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0A4" w:rsidRDefault="00FD00A4"/>
    <w:p w:rsidR="00FD00A4" w:rsidRDefault="00FD00A4"/>
    <w:tbl>
      <w:tblPr>
        <w:tblStyle w:val="TableGrid"/>
        <w:tblW w:w="9630" w:type="dxa"/>
        <w:tblInd w:w="-522" w:type="dxa"/>
        <w:tblLook w:val="04A0" w:firstRow="1" w:lastRow="0" w:firstColumn="1" w:lastColumn="0" w:noHBand="0" w:noVBand="1"/>
      </w:tblPr>
      <w:tblGrid>
        <w:gridCol w:w="1710"/>
        <w:gridCol w:w="5490"/>
        <w:gridCol w:w="2430"/>
      </w:tblGrid>
      <w:tr w:rsidR="005C385C" w:rsidRPr="00FD00A4" w:rsidTr="00FD00A4">
        <w:trPr>
          <w:trHeight w:val="422"/>
        </w:trPr>
        <w:tc>
          <w:tcPr>
            <w:tcW w:w="9630" w:type="dxa"/>
            <w:gridSpan w:val="3"/>
            <w:tcBorders>
              <w:top w:val="nil"/>
              <w:left w:val="nil"/>
              <w:bottom w:val="single" w:sz="4" w:space="0" w:color="auto"/>
              <w:right w:val="nil"/>
            </w:tcBorders>
            <w:shd w:val="clear" w:color="auto" w:fill="auto"/>
            <w:vAlign w:val="center"/>
          </w:tcPr>
          <w:p w:rsidR="005C385C" w:rsidRPr="00FD00A4" w:rsidRDefault="002C7859" w:rsidP="0019665D">
            <w:pPr>
              <w:jc w:val="center"/>
              <w:rPr>
                <w:rStyle w:val="Strong"/>
                <w:sz w:val="28"/>
              </w:rPr>
            </w:pPr>
            <w:r w:rsidRPr="00FD00A4">
              <w:rPr>
                <w:rStyle w:val="Strong"/>
                <w:sz w:val="28"/>
              </w:rPr>
              <w:t>Tabla Resumen para las Consultorías</w:t>
            </w:r>
          </w:p>
        </w:tc>
      </w:tr>
      <w:tr w:rsidR="00236CE7" w:rsidRPr="002C7859" w:rsidTr="00FD00A4">
        <w:tc>
          <w:tcPr>
            <w:tcW w:w="1710" w:type="dxa"/>
            <w:tcBorders>
              <w:top w:val="single" w:sz="4" w:space="0" w:color="auto"/>
            </w:tcBorders>
            <w:shd w:val="clear" w:color="auto" w:fill="B8CCE4" w:themeFill="accent1" w:themeFillTint="66"/>
            <w:vAlign w:val="center"/>
          </w:tcPr>
          <w:p w:rsidR="00236CE7" w:rsidRPr="002C7859" w:rsidRDefault="00236CE7" w:rsidP="0019665D">
            <w:pPr>
              <w:jc w:val="center"/>
              <w:rPr>
                <w:rStyle w:val="Strong"/>
              </w:rPr>
            </w:pPr>
            <w:bookmarkStart w:id="0" w:name="_Toc207190913"/>
          </w:p>
        </w:tc>
        <w:tc>
          <w:tcPr>
            <w:tcW w:w="5490" w:type="dxa"/>
            <w:tcBorders>
              <w:top w:val="single" w:sz="4" w:space="0" w:color="auto"/>
            </w:tcBorders>
            <w:shd w:val="clear" w:color="auto" w:fill="B8CCE4" w:themeFill="accent1" w:themeFillTint="66"/>
            <w:vAlign w:val="center"/>
          </w:tcPr>
          <w:p w:rsidR="00236CE7" w:rsidRPr="002C7859" w:rsidRDefault="00236CE7" w:rsidP="003A1DAE">
            <w:pPr>
              <w:jc w:val="center"/>
              <w:rPr>
                <w:rStyle w:val="Strong"/>
                <w:lang w:val="en-US"/>
              </w:rPr>
            </w:pPr>
            <w:r w:rsidRPr="002C7859">
              <w:rPr>
                <w:rStyle w:val="Strong"/>
                <w:lang w:val="en-US"/>
              </w:rPr>
              <w:t>Nombre</w:t>
            </w:r>
            <w:r w:rsidR="005C385C" w:rsidRPr="002C7859">
              <w:rPr>
                <w:rStyle w:val="Strong"/>
                <w:lang w:val="en-US"/>
              </w:rPr>
              <w:t xml:space="preserve"> de la consultoría</w:t>
            </w:r>
          </w:p>
        </w:tc>
        <w:tc>
          <w:tcPr>
            <w:tcW w:w="2430" w:type="dxa"/>
            <w:tcBorders>
              <w:top w:val="single" w:sz="4" w:space="0" w:color="auto"/>
            </w:tcBorders>
            <w:shd w:val="clear" w:color="auto" w:fill="B8CCE4" w:themeFill="accent1" w:themeFillTint="66"/>
            <w:vAlign w:val="center"/>
          </w:tcPr>
          <w:p w:rsidR="00236CE7" w:rsidRPr="002C7859" w:rsidRDefault="0019665D" w:rsidP="00757108">
            <w:pPr>
              <w:jc w:val="center"/>
              <w:rPr>
                <w:rStyle w:val="Strong"/>
                <w:lang w:val="en-US"/>
              </w:rPr>
            </w:pPr>
            <w:r>
              <w:rPr>
                <w:rStyle w:val="Strong"/>
                <w:lang w:val="en-US"/>
              </w:rPr>
              <w:t xml:space="preserve">Enlace electrónico </w:t>
            </w:r>
            <w:r w:rsidR="005C385C" w:rsidRPr="002C7859">
              <w:rPr>
                <w:rStyle w:val="Strong"/>
                <w:lang w:val="en-US"/>
              </w:rPr>
              <w:t>IDBDocs #</w:t>
            </w:r>
          </w:p>
        </w:tc>
      </w:tr>
      <w:tr w:rsidR="002C7859" w:rsidRPr="002C7859" w:rsidTr="00FE350A">
        <w:tc>
          <w:tcPr>
            <w:tcW w:w="9630" w:type="dxa"/>
            <w:gridSpan w:val="3"/>
            <w:shd w:val="clear" w:color="auto" w:fill="F2F2F2" w:themeFill="background1" w:themeFillShade="F2"/>
            <w:vAlign w:val="center"/>
          </w:tcPr>
          <w:p w:rsidR="002C7859" w:rsidRPr="002C7859" w:rsidRDefault="002C7859" w:rsidP="00757108">
            <w:pPr>
              <w:spacing w:before="40" w:after="40"/>
              <w:rPr>
                <w:rStyle w:val="Strong"/>
                <w:b w:val="0"/>
                <w:lang w:val="en-US"/>
              </w:rPr>
            </w:pPr>
            <w:r w:rsidRPr="002C7859">
              <w:rPr>
                <w:rStyle w:val="Strong"/>
                <w:lang w:val="en-US"/>
              </w:rPr>
              <w:t>Componente 1</w:t>
            </w:r>
          </w:p>
        </w:tc>
        <w:bookmarkStart w:id="1" w:name="_GoBack"/>
        <w:bookmarkEnd w:id="1"/>
      </w:tr>
      <w:tr w:rsidR="00236CE7" w:rsidRPr="002C7859" w:rsidTr="00A22B91">
        <w:tc>
          <w:tcPr>
            <w:tcW w:w="1710" w:type="dxa"/>
          </w:tcPr>
          <w:p w:rsidR="00236CE7" w:rsidRPr="002C7859" w:rsidRDefault="005C385C" w:rsidP="00167659">
            <w:pPr>
              <w:jc w:val="center"/>
              <w:rPr>
                <w:rStyle w:val="Strong"/>
                <w:b w:val="0"/>
                <w:lang w:val="en-US"/>
              </w:rPr>
            </w:pPr>
            <w:r w:rsidRPr="002C7859">
              <w:rPr>
                <w:rStyle w:val="Strong"/>
                <w:b w:val="0"/>
                <w:lang w:val="en-US"/>
              </w:rPr>
              <w:t xml:space="preserve">Anexo II </w:t>
            </w:r>
            <w:r w:rsidR="00AA4147">
              <w:rPr>
                <w:rStyle w:val="Strong"/>
                <w:b w:val="0"/>
                <w:lang w:val="en-US"/>
              </w:rPr>
              <w:t>–</w:t>
            </w:r>
            <w:r w:rsidRPr="002C7859">
              <w:rPr>
                <w:rStyle w:val="Strong"/>
                <w:b w:val="0"/>
                <w:lang w:val="en-US"/>
              </w:rPr>
              <w:t xml:space="preserve"> </w:t>
            </w:r>
            <w:r w:rsidR="00AA4147">
              <w:rPr>
                <w:rStyle w:val="Strong"/>
                <w:b w:val="0"/>
                <w:lang w:val="en-US"/>
              </w:rPr>
              <w:t>(</w:t>
            </w:r>
            <w:r w:rsidRPr="002C7859">
              <w:rPr>
                <w:rStyle w:val="Strong"/>
                <w:b w:val="0"/>
                <w:lang w:val="en-US"/>
              </w:rPr>
              <w:t>A</w:t>
            </w:r>
            <w:r w:rsidR="00AA4147">
              <w:rPr>
                <w:rStyle w:val="Strong"/>
                <w:b w:val="0"/>
                <w:lang w:val="en-US"/>
              </w:rPr>
              <w:t>)</w:t>
            </w:r>
          </w:p>
        </w:tc>
        <w:tc>
          <w:tcPr>
            <w:tcW w:w="5490" w:type="dxa"/>
          </w:tcPr>
          <w:p w:rsidR="00236CE7" w:rsidRPr="002C7859" w:rsidRDefault="003A1DAE" w:rsidP="00FE2F9B">
            <w:pPr>
              <w:rPr>
                <w:rStyle w:val="Strong"/>
                <w:b w:val="0"/>
                <w:lang w:val="en-US"/>
              </w:rPr>
            </w:pPr>
            <w:r>
              <w:rPr>
                <w:rStyle w:val="Strong"/>
                <w:b w:val="0"/>
                <w:lang w:val="en-US"/>
              </w:rPr>
              <w:t>Componente 1 – Contrato 1 y 2</w:t>
            </w:r>
          </w:p>
        </w:tc>
        <w:tc>
          <w:tcPr>
            <w:tcW w:w="2430" w:type="dxa"/>
            <w:vAlign w:val="center"/>
          </w:tcPr>
          <w:p w:rsidR="00236CE7" w:rsidRPr="002C7859" w:rsidRDefault="00541E53" w:rsidP="003A1DAE">
            <w:pPr>
              <w:jc w:val="center"/>
              <w:rPr>
                <w:rStyle w:val="Strong"/>
                <w:b w:val="0"/>
                <w:lang w:val="en-US"/>
              </w:rPr>
            </w:pPr>
            <w:hyperlink r:id="rId9" w:history="1">
              <w:r w:rsidR="003A1DAE" w:rsidRPr="003A1DAE">
                <w:rPr>
                  <w:rStyle w:val="Hyperlink"/>
                  <w:lang w:val="en-US"/>
                </w:rPr>
                <w:t>38896048</w:t>
              </w:r>
            </w:hyperlink>
          </w:p>
        </w:tc>
      </w:tr>
      <w:tr w:rsidR="00236CE7" w:rsidRPr="002C7859" w:rsidTr="00A22B91">
        <w:tc>
          <w:tcPr>
            <w:tcW w:w="1710" w:type="dxa"/>
          </w:tcPr>
          <w:p w:rsidR="00236CE7" w:rsidRPr="002C7859" w:rsidRDefault="005C385C" w:rsidP="00167659">
            <w:pPr>
              <w:jc w:val="center"/>
              <w:rPr>
                <w:rStyle w:val="Strong"/>
                <w:b w:val="0"/>
                <w:lang w:val="en-US"/>
              </w:rPr>
            </w:pPr>
            <w:r w:rsidRPr="002C7859">
              <w:rPr>
                <w:rStyle w:val="Strong"/>
                <w:b w:val="0"/>
                <w:lang w:val="en-US"/>
              </w:rPr>
              <w:t xml:space="preserve">Anexo II </w:t>
            </w:r>
            <w:r w:rsidR="00AA4147">
              <w:rPr>
                <w:rStyle w:val="Strong"/>
                <w:b w:val="0"/>
                <w:lang w:val="en-US"/>
              </w:rPr>
              <w:t>–</w:t>
            </w:r>
            <w:r w:rsidRPr="002C7859">
              <w:rPr>
                <w:rStyle w:val="Strong"/>
                <w:b w:val="0"/>
                <w:lang w:val="en-US"/>
              </w:rPr>
              <w:t xml:space="preserve"> </w:t>
            </w:r>
            <w:r w:rsidR="00AA4147">
              <w:rPr>
                <w:rStyle w:val="Strong"/>
                <w:b w:val="0"/>
                <w:lang w:val="en-US"/>
              </w:rPr>
              <w:t>(</w:t>
            </w:r>
            <w:r w:rsidRPr="002C7859">
              <w:rPr>
                <w:rStyle w:val="Strong"/>
                <w:b w:val="0"/>
                <w:lang w:val="en-US"/>
              </w:rPr>
              <w:t>B</w:t>
            </w:r>
            <w:r w:rsidR="00AA4147">
              <w:rPr>
                <w:rStyle w:val="Strong"/>
                <w:b w:val="0"/>
                <w:lang w:val="en-US"/>
              </w:rPr>
              <w:t>)</w:t>
            </w:r>
          </w:p>
        </w:tc>
        <w:tc>
          <w:tcPr>
            <w:tcW w:w="5490" w:type="dxa"/>
          </w:tcPr>
          <w:p w:rsidR="00236CE7" w:rsidRPr="002C7859" w:rsidRDefault="003A1DAE" w:rsidP="00564369">
            <w:pPr>
              <w:rPr>
                <w:rStyle w:val="Strong"/>
                <w:b w:val="0"/>
                <w:smallCaps/>
              </w:rPr>
            </w:pPr>
            <w:r>
              <w:rPr>
                <w:rStyle w:val="Strong"/>
                <w:b w:val="0"/>
                <w:lang w:val="en-US"/>
              </w:rPr>
              <w:t>Componente 1 – Contrato 3 y 4</w:t>
            </w:r>
          </w:p>
        </w:tc>
        <w:tc>
          <w:tcPr>
            <w:tcW w:w="2430" w:type="dxa"/>
            <w:vAlign w:val="center"/>
          </w:tcPr>
          <w:p w:rsidR="00236CE7" w:rsidRPr="002C7859" w:rsidRDefault="00541E53" w:rsidP="003A1DAE">
            <w:pPr>
              <w:jc w:val="center"/>
              <w:rPr>
                <w:rStyle w:val="Strong"/>
                <w:b w:val="0"/>
              </w:rPr>
            </w:pPr>
            <w:hyperlink r:id="rId10" w:history="1">
              <w:r w:rsidR="003A1DAE" w:rsidRPr="003A1DAE">
                <w:rPr>
                  <w:rStyle w:val="Hyperlink"/>
                </w:rPr>
                <w:t>38896058</w:t>
              </w:r>
            </w:hyperlink>
          </w:p>
        </w:tc>
      </w:tr>
      <w:tr w:rsidR="00236CE7" w:rsidRPr="002C7859" w:rsidTr="00A22B91">
        <w:tc>
          <w:tcPr>
            <w:tcW w:w="1710" w:type="dxa"/>
          </w:tcPr>
          <w:p w:rsidR="00236CE7" w:rsidRPr="002C7859" w:rsidRDefault="005C385C" w:rsidP="00167659">
            <w:pPr>
              <w:jc w:val="center"/>
              <w:rPr>
                <w:rStyle w:val="Strong"/>
                <w:b w:val="0"/>
              </w:rPr>
            </w:pPr>
            <w:r w:rsidRPr="002C7859">
              <w:rPr>
                <w:rStyle w:val="Strong"/>
                <w:b w:val="0"/>
                <w:lang w:val="en-US"/>
              </w:rPr>
              <w:t xml:space="preserve">Anexo II </w:t>
            </w:r>
            <w:r w:rsidR="00AA4147">
              <w:rPr>
                <w:rStyle w:val="Strong"/>
                <w:b w:val="0"/>
                <w:lang w:val="en-US"/>
              </w:rPr>
              <w:t>–</w:t>
            </w:r>
            <w:r w:rsidRPr="002C7859">
              <w:rPr>
                <w:rStyle w:val="Strong"/>
                <w:b w:val="0"/>
                <w:lang w:val="en-US"/>
              </w:rPr>
              <w:t xml:space="preserve"> </w:t>
            </w:r>
            <w:r w:rsidR="00AA4147">
              <w:rPr>
                <w:rStyle w:val="Strong"/>
                <w:b w:val="0"/>
                <w:lang w:val="en-US"/>
              </w:rPr>
              <w:t>(</w:t>
            </w:r>
            <w:r w:rsidRPr="002C7859">
              <w:rPr>
                <w:rStyle w:val="Strong"/>
                <w:b w:val="0"/>
                <w:lang w:val="en-US"/>
              </w:rPr>
              <w:t>C</w:t>
            </w:r>
            <w:r w:rsidR="00AA4147">
              <w:rPr>
                <w:rStyle w:val="Strong"/>
                <w:b w:val="0"/>
                <w:lang w:val="en-US"/>
              </w:rPr>
              <w:t>)</w:t>
            </w:r>
          </w:p>
        </w:tc>
        <w:tc>
          <w:tcPr>
            <w:tcW w:w="5490" w:type="dxa"/>
          </w:tcPr>
          <w:p w:rsidR="00236CE7" w:rsidRPr="002C7859" w:rsidRDefault="003A1DAE" w:rsidP="007D1822">
            <w:pPr>
              <w:rPr>
                <w:rStyle w:val="Strong"/>
                <w:b w:val="0"/>
              </w:rPr>
            </w:pPr>
            <w:r>
              <w:rPr>
                <w:rStyle w:val="Strong"/>
                <w:b w:val="0"/>
                <w:lang w:val="en-US"/>
              </w:rPr>
              <w:t>Componente 1 – Contrato 5 y 6</w:t>
            </w:r>
          </w:p>
        </w:tc>
        <w:tc>
          <w:tcPr>
            <w:tcW w:w="2430" w:type="dxa"/>
            <w:vAlign w:val="center"/>
          </w:tcPr>
          <w:p w:rsidR="00236CE7" w:rsidRPr="002C7859" w:rsidRDefault="00541E53" w:rsidP="003A1DAE">
            <w:pPr>
              <w:jc w:val="center"/>
              <w:rPr>
                <w:rStyle w:val="Strong"/>
                <w:b w:val="0"/>
              </w:rPr>
            </w:pPr>
            <w:hyperlink r:id="rId11" w:history="1">
              <w:r w:rsidR="003A1DAE" w:rsidRPr="003A1DAE">
                <w:rPr>
                  <w:rStyle w:val="Hyperlink"/>
                </w:rPr>
                <w:t>38896064</w:t>
              </w:r>
            </w:hyperlink>
          </w:p>
        </w:tc>
      </w:tr>
      <w:tr w:rsidR="003F065F" w:rsidRPr="002C7859" w:rsidTr="00A22B91">
        <w:tc>
          <w:tcPr>
            <w:tcW w:w="1710" w:type="dxa"/>
          </w:tcPr>
          <w:p w:rsidR="003F065F" w:rsidRPr="002C7859" w:rsidRDefault="003F065F" w:rsidP="003F065F">
            <w:pPr>
              <w:jc w:val="center"/>
              <w:rPr>
                <w:rStyle w:val="Strong"/>
                <w:b w:val="0"/>
                <w:lang w:val="en-US"/>
              </w:rPr>
            </w:pPr>
            <w:r w:rsidRPr="002C7859">
              <w:rPr>
                <w:rStyle w:val="Strong"/>
                <w:b w:val="0"/>
              </w:rPr>
              <w:t>Anexo II - (</w:t>
            </w:r>
            <w:r>
              <w:rPr>
                <w:rStyle w:val="Strong"/>
                <w:b w:val="0"/>
              </w:rPr>
              <w:t>D</w:t>
            </w:r>
            <w:r w:rsidRPr="002C7859">
              <w:rPr>
                <w:rStyle w:val="Strong"/>
                <w:b w:val="0"/>
              </w:rPr>
              <w:t>)</w:t>
            </w:r>
          </w:p>
        </w:tc>
        <w:tc>
          <w:tcPr>
            <w:tcW w:w="5490" w:type="dxa"/>
          </w:tcPr>
          <w:p w:rsidR="003F065F" w:rsidRPr="002C7859" w:rsidRDefault="003A1DAE" w:rsidP="00796FBC">
            <w:pPr>
              <w:rPr>
                <w:rStyle w:val="Strong"/>
                <w:b w:val="0"/>
              </w:rPr>
            </w:pPr>
            <w:r>
              <w:rPr>
                <w:rStyle w:val="Strong"/>
                <w:b w:val="0"/>
                <w:lang w:val="en-US"/>
              </w:rPr>
              <w:t>Componente 1 – Contrato 7 y 8</w:t>
            </w:r>
          </w:p>
        </w:tc>
        <w:tc>
          <w:tcPr>
            <w:tcW w:w="2430" w:type="dxa"/>
            <w:vAlign w:val="center"/>
          </w:tcPr>
          <w:p w:rsidR="003F065F" w:rsidRPr="002C7859" w:rsidRDefault="00541E53" w:rsidP="003A1DAE">
            <w:pPr>
              <w:jc w:val="center"/>
              <w:rPr>
                <w:rStyle w:val="Strong"/>
                <w:b w:val="0"/>
              </w:rPr>
            </w:pPr>
            <w:hyperlink r:id="rId12" w:history="1">
              <w:r w:rsidR="003A1DAE" w:rsidRPr="003A1DAE">
                <w:rPr>
                  <w:rStyle w:val="Hyperlink"/>
                </w:rPr>
                <w:t>38896069</w:t>
              </w:r>
            </w:hyperlink>
          </w:p>
        </w:tc>
      </w:tr>
      <w:tr w:rsidR="006146A0" w:rsidRPr="002C7859" w:rsidTr="00FE350A">
        <w:tc>
          <w:tcPr>
            <w:tcW w:w="9630" w:type="dxa"/>
            <w:gridSpan w:val="3"/>
            <w:shd w:val="clear" w:color="auto" w:fill="F2F2F2" w:themeFill="background1" w:themeFillShade="F2"/>
            <w:vAlign w:val="center"/>
          </w:tcPr>
          <w:p w:rsidR="006146A0" w:rsidRPr="002C7859" w:rsidRDefault="006146A0" w:rsidP="00757108">
            <w:pPr>
              <w:spacing w:before="40" w:after="40"/>
              <w:rPr>
                <w:rStyle w:val="Strong"/>
              </w:rPr>
            </w:pPr>
            <w:r w:rsidRPr="002C7859">
              <w:rPr>
                <w:rStyle w:val="Strong"/>
              </w:rPr>
              <w:t xml:space="preserve">Componente </w:t>
            </w:r>
            <w:r w:rsidR="003A1DAE">
              <w:rPr>
                <w:rStyle w:val="Strong"/>
              </w:rPr>
              <w:t>2</w:t>
            </w:r>
          </w:p>
        </w:tc>
      </w:tr>
      <w:tr w:rsidR="00236CE7" w:rsidRPr="002C7859" w:rsidTr="00A22B91">
        <w:tc>
          <w:tcPr>
            <w:tcW w:w="1710" w:type="dxa"/>
          </w:tcPr>
          <w:p w:rsidR="00236CE7" w:rsidRPr="002C7859" w:rsidRDefault="006146A0" w:rsidP="003F065F">
            <w:pPr>
              <w:jc w:val="center"/>
              <w:rPr>
                <w:rStyle w:val="Strong"/>
                <w:b w:val="0"/>
              </w:rPr>
            </w:pPr>
            <w:r w:rsidRPr="002C7859">
              <w:rPr>
                <w:rStyle w:val="Strong"/>
                <w:b w:val="0"/>
              </w:rPr>
              <w:t>Anexo II - (</w:t>
            </w:r>
            <w:r w:rsidR="003F065F">
              <w:rPr>
                <w:rStyle w:val="Strong"/>
                <w:b w:val="0"/>
              </w:rPr>
              <w:t>E</w:t>
            </w:r>
            <w:r w:rsidRPr="002C7859">
              <w:rPr>
                <w:rStyle w:val="Strong"/>
                <w:b w:val="0"/>
              </w:rPr>
              <w:t>)</w:t>
            </w:r>
          </w:p>
        </w:tc>
        <w:tc>
          <w:tcPr>
            <w:tcW w:w="5490" w:type="dxa"/>
          </w:tcPr>
          <w:p w:rsidR="00236CE7" w:rsidRPr="00564369" w:rsidRDefault="003A1DAE" w:rsidP="00564369">
            <w:pPr>
              <w:rPr>
                <w:rStyle w:val="Strong"/>
                <w:b w:val="0"/>
                <w:iCs/>
                <w:lang w:val="es-PE"/>
              </w:rPr>
            </w:pPr>
            <w:r>
              <w:rPr>
                <w:rStyle w:val="Strong"/>
                <w:b w:val="0"/>
                <w:lang w:val="en-US"/>
              </w:rPr>
              <w:t>Componente 2 – Contrato 9</w:t>
            </w:r>
          </w:p>
        </w:tc>
        <w:tc>
          <w:tcPr>
            <w:tcW w:w="2430" w:type="dxa"/>
            <w:vAlign w:val="center"/>
          </w:tcPr>
          <w:p w:rsidR="00236CE7" w:rsidRPr="00564369" w:rsidRDefault="00541E53" w:rsidP="003A1DAE">
            <w:pPr>
              <w:jc w:val="center"/>
              <w:rPr>
                <w:rStyle w:val="Strong"/>
                <w:b w:val="0"/>
                <w:lang w:val="es-PE"/>
              </w:rPr>
            </w:pPr>
            <w:hyperlink r:id="rId13" w:history="1">
              <w:r w:rsidR="003A1DAE" w:rsidRPr="003A1DAE">
                <w:rPr>
                  <w:rStyle w:val="Hyperlink"/>
                  <w:lang w:val="es-PE"/>
                </w:rPr>
                <w:t>38896076</w:t>
              </w:r>
            </w:hyperlink>
          </w:p>
        </w:tc>
      </w:tr>
      <w:bookmarkEnd w:id="0"/>
    </w:tbl>
    <w:p w:rsidR="004B660A" w:rsidRDefault="004B660A" w:rsidP="002C7859">
      <w:pPr>
        <w:pStyle w:val="ListParagraph"/>
        <w:ind w:left="0"/>
        <w:jc w:val="center"/>
        <w:rPr>
          <w:sz w:val="22"/>
        </w:rPr>
      </w:pPr>
    </w:p>
    <w:p w:rsidR="004B660A" w:rsidRPr="004B660A" w:rsidRDefault="004B660A" w:rsidP="00C461F4">
      <w:pPr>
        <w:keepNext/>
        <w:tabs>
          <w:tab w:val="left" w:pos="1440"/>
        </w:tabs>
        <w:spacing w:before="120"/>
        <w:rPr>
          <w:b/>
          <w:lang w:val="pt-BR"/>
        </w:rPr>
      </w:pPr>
      <w:r w:rsidRPr="004B660A">
        <w:rPr>
          <w:sz w:val="22"/>
          <w:lang w:val="pt-BR"/>
        </w:rPr>
        <w:br w:type="page"/>
      </w:r>
      <w:r w:rsidRPr="004B660A">
        <w:rPr>
          <w:b/>
          <w:lang w:val="pt-BR"/>
        </w:rPr>
        <w:lastRenderedPageBreak/>
        <w:t>Regional</w:t>
      </w:r>
    </w:p>
    <w:p w:rsidR="004B660A" w:rsidRPr="00381F59" w:rsidRDefault="004B660A" w:rsidP="00C461F4">
      <w:pPr>
        <w:keepNext/>
        <w:tabs>
          <w:tab w:val="left" w:pos="1440"/>
        </w:tabs>
        <w:spacing w:before="120"/>
        <w:rPr>
          <w:b/>
          <w:lang w:val="pt-BR"/>
        </w:rPr>
      </w:pPr>
      <w:r w:rsidRPr="00381F59">
        <w:rPr>
          <w:b/>
          <w:lang w:val="pt-BR"/>
        </w:rPr>
        <w:t>IFD/FMM/ICES</w:t>
      </w:r>
      <w:r>
        <w:rPr>
          <w:b/>
          <w:lang w:val="pt-BR"/>
        </w:rPr>
        <w:t xml:space="preserve">/ </w:t>
      </w:r>
      <w:r w:rsidRPr="00381F59">
        <w:rPr>
          <w:b/>
          <w:lang w:val="pt-BR"/>
        </w:rPr>
        <w:t>Anexo I (A)</w:t>
      </w:r>
    </w:p>
    <w:p w:rsidR="004B660A" w:rsidRPr="00C461F4" w:rsidRDefault="004B660A" w:rsidP="005950E8">
      <w:pPr>
        <w:keepNext/>
        <w:tabs>
          <w:tab w:val="left" w:pos="1440"/>
        </w:tabs>
        <w:spacing w:before="120"/>
        <w:jc w:val="both"/>
        <w:rPr>
          <w:b/>
        </w:rPr>
      </w:pPr>
      <w:r w:rsidRPr="00C461F4">
        <w:rPr>
          <w:b/>
        </w:rPr>
        <w:t>Consultor</w:t>
      </w:r>
      <w:r w:rsidRPr="00C461F4">
        <w:rPr>
          <w:rFonts w:hint="eastAsia"/>
          <w:b/>
        </w:rPr>
        <w:t>í</w:t>
      </w:r>
      <w:r w:rsidRPr="00C461F4">
        <w:rPr>
          <w:b/>
        </w:rPr>
        <w:t>a de Apoyo para la aplicaci</w:t>
      </w:r>
      <w:r w:rsidRPr="00C461F4">
        <w:rPr>
          <w:rFonts w:hint="eastAsia"/>
          <w:b/>
        </w:rPr>
        <w:t>ó</w:t>
      </w:r>
      <w:r w:rsidRPr="00C461F4">
        <w:rPr>
          <w:b/>
        </w:rPr>
        <w:t>n de la metodolog</w:t>
      </w:r>
      <w:r w:rsidRPr="00C461F4">
        <w:rPr>
          <w:rFonts w:hint="eastAsia"/>
          <w:b/>
        </w:rPr>
        <w:t>í</w:t>
      </w:r>
      <w:r w:rsidRPr="00C461F4">
        <w:rPr>
          <w:b/>
        </w:rPr>
        <w:t>a ICES en una Ciudad Adicional en M</w:t>
      </w:r>
      <w:r w:rsidRPr="00C461F4">
        <w:rPr>
          <w:rFonts w:hint="eastAsia"/>
          <w:b/>
        </w:rPr>
        <w:t>é</w:t>
      </w:r>
      <w:r w:rsidRPr="00C461F4">
        <w:rPr>
          <w:b/>
        </w:rPr>
        <w:t>xico y para la Coordinaci</w:t>
      </w:r>
      <w:r w:rsidRPr="00C461F4">
        <w:rPr>
          <w:rFonts w:hint="eastAsia"/>
          <w:b/>
        </w:rPr>
        <w:t>ó</w:t>
      </w:r>
      <w:r w:rsidRPr="00C461F4">
        <w:rPr>
          <w:b/>
        </w:rPr>
        <w:t>n de los Equipos Locales y Banobras (Componente 1 y contrato 1 y 2)</w:t>
      </w:r>
    </w:p>
    <w:p w:rsidR="004B660A" w:rsidRPr="00973D21" w:rsidRDefault="004B660A" w:rsidP="00C461F4">
      <w:pPr>
        <w:pStyle w:val="Heading2"/>
        <w:spacing w:before="120"/>
        <w:jc w:val="left"/>
        <w:rPr>
          <w:rFonts w:ascii="Times New Roman" w:hAnsi="Times New Roman"/>
          <w:lang w:val="es-ES"/>
        </w:rPr>
      </w:pPr>
      <w:r w:rsidRPr="00973D21">
        <w:rPr>
          <w:rFonts w:ascii="Times New Roman" w:hAnsi="Times New Roman"/>
          <w:lang w:val="es-ES"/>
        </w:rPr>
        <w:t>Términos de Referencia</w:t>
      </w:r>
    </w:p>
    <w:p w:rsidR="004B660A" w:rsidRPr="00896F3A" w:rsidRDefault="004B660A" w:rsidP="00896F3A">
      <w:pPr>
        <w:pStyle w:val="ListParagraph"/>
        <w:numPr>
          <w:ilvl w:val="0"/>
          <w:numId w:val="4"/>
        </w:numPr>
        <w:spacing w:before="240" w:after="240"/>
        <w:ind w:left="540"/>
        <w:jc w:val="both"/>
        <w:rPr>
          <w:rFonts w:ascii="Times New Roman Bold" w:hAnsi="Times New Roman Bold"/>
          <w:b/>
          <w:bCs/>
          <w:smallCaps/>
        </w:rPr>
      </w:pPr>
      <w:r w:rsidRPr="00896F3A">
        <w:rPr>
          <w:rFonts w:ascii="Times New Roman Bold" w:hAnsi="Times New Roman Bold"/>
          <w:b/>
          <w:bCs/>
          <w:smallCaps/>
        </w:rPr>
        <w:t>Antecedentes</w:t>
      </w:r>
    </w:p>
    <w:p w:rsidR="004B660A" w:rsidRPr="00973D21" w:rsidRDefault="004B660A" w:rsidP="00896F3A">
      <w:pPr>
        <w:pStyle w:val="Paragraph"/>
        <w:numPr>
          <w:ilvl w:val="0"/>
          <w:numId w:val="5"/>
        </w:numPr>
        <w:ind w:hanging="720"/>
        <w:rPr>
          <w:szCs w:val="24"/>
        </w:rPr>
      </w:pPr>
      <w:r w:rsidRPr="00973D21">
        <w:rPr>
          <w:szCs w:val="24"/>
        </w:rPr>
        <w:t xml:space="preserve">El rápido proceso de urbanización observado en América Latina y el Caribe (ALC) durante las últimas décadas ha traído numerosos retos para el desarrollo de la región: </w:t>
      </w:r>
      <w:r>
        <w:rPr>
          <w:szCs w:val="24"/>
        </w:rPr>
        <w:t>(</w:t>
      </w:r>
      <w:r w:rsidRPr="00973D21">
        <w:rPr>
          <w:szCs w:val="24"/>
        </w:rPr>
        <w:t xml:space="preserve">a) crecimiento desordenado y patrones de uso de suelo inadecuados; </w:t>
      </w:r>
      <w:r>
        <w:rPr>
          <w:szCs w:val="24"/>
        </w:rPr>
        <w:t>(</w:t>
      </w:r>
      <w:r w:rsidRPr="00973D21">
        <w:rPr>
          <w:szCs w:val="24"/>
        </w:rPr>
        <w:t xml:space="preserve">b) proporción creciente de la población viviendo en condiciones de pobreza; </w:t>
      </w:r>
      <w:r>
        <w:rPr>
          <w:szCs w:val="24"/>
        </w:rPr>
        <w:t>(</w:t>
      </w:r>
      <w:r w:rsidRPr="00973D21">
        <w:rPr>
          <w:szCs w:val="24"/>
        </w:rPr>
        <w:t>c)</w:t>
      </w:r>
      <w:r>
        <w:rPr>
          <w:szCs w:val="24"/>
        </w:rPr>
        <w:t> </w:t>
      </w:r>
      <w:r w:rsidRPr="00973D21">
        <w:rPr>
          <w:szCs w:val="24"/>
        </w:rPr>
        <w:t>limitación de recursos y capacidades institucionales</w:t>
      </w:r>
      <w:r>
        <w:rPr>
          <w:szCs w:val="24"/>
        </w:rPr>
        <w:t>,</w:t>
      </w:r>
      <w:r w:rsidRPr="00973D21">
        <w:rPr>
          <w:szCs w:val="24"/>
        </w:rPr>
        <w:t xml:space="preserve"> y </w:t>
      </w:r>
      <w:r>
        <w:rPr>
          <w:szCs w:val="24"/>
        </w:rPr>
        <w:t>(</w:t>
      </w:r>
      <w:r w:rsidRPr="00973D21">
        <w:rPr>
          <w:szCs w:val="24"/>
        </w:rPr>
        <w:t>d) crecientes problemas ambientales y sociales, aumento de la vulnerabilidad de la población. Los desafíos de la urbanización acelerada adquieren mayor relevancia en ciudades de tamaño intermedio, donde la población urbana tiende a asentarse cada vez más.</w:t>
      </w:r>
    </w:p>
    <w:p w:rsidR="004B660A" w:rsidRPr="00973D21" w:rsidRDefault="004B660A" w:rsidP="00896F3A">
      <w:pPr>
        <w:pStyle w:val="Paragraph"/>
        <w:numPr>
          <w:ilvl w:val="0"/>
          <w:numId w:val="5"/>
        </w:numPr>
        <w:ind w:hanging="720"/>
        <w:rPr>
          <w:szCs w:val="24"/>
        </w:rPr>
      </w:pPr>
      <w:r w:rsidRPr="00973D21">
        <w:rPr>
          <w:szCs w:val="24"/>
        </w:rPr>
        <w:t>Aproximadamente el 27% de la población urbana latinoamericana 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Los eventos climáticos extremos, cada vez más comunes, acrecientan la situación de vulnerabilidad de esta población, especialmente en las ciudades costeras o situadas en llanuras que pudieran ser afectadas por inundaciones. Al mismo tiempo, la vida urbana acelera el proceso de cambio climático: las ciudades son responsables del consumo de más del 75% de la energía distribuida y de la producción de un 75-80% de los gases de efecto invernadero</w:t>
      </w:r>
      <w:r w:rsidRPr="00973D21">
        <w:rPr>
          <w:rStyle w:val="FootnoteReference"/>
          <w:szCs w:val="24"/>
        </w:rPr>
        <w:footnoteReference w:id="1"/>
      </w:r>
      <w:r w:rsidRPr="00973D21">
        <w:rPr>
          <w:szCs w:val="24"/>
        </w:rPr>
        <w:t xml:space="preserve">. Por otra parte, el proceso de descentralización que se ha desarrollado en la región durante las dos últimas décadas ha provocado que una gran parte de los gobiernos locales deba asumir responsabilidades mayores en la provisión de servicios, aunque no explote de forma adecuada sus fuentes propias de ingreso y dependa de transferencias nacionales para su financiamiento. </w:t>
      </w:r>
    </w:p>
    <w:p w:rsidR="004B660A" w:rsidRPr="00973D21" w:rsidRDefault="004B660A" w:rsidP="00896F3A">
      <w:pPr>
        <w:pStyle w:val="Paragraph"/>
        <w:numPr>
          <w:ilvl w:val="0"/>
          <w:numId w:val="5"/>
        </w:numPr>
        <w:ind w:hanging="720"/>
        <w:rPr>
          <w:szCs w:val="24"/>
        </w:rPr>
      </w:pPr>
      <w:r w:rsidRPr="00973D21">
        <w:rPr>
          <w:szCs w:val="24"/>
        </w:rPr>
        <w:t xml:space="preserve">El tratamiento de estos retos exigió el lanzamiento de una nueva iniciativa del BID, Ciudades Emergentes y Sostenibles (CES), destinada a contribuir al logro de la sostenibilidad urbana, ambiental y fiscal de ciudades con una población intermedia en rápido crecimiento. La iniciativa CES procura un desarrollo integral de las ciudades que han tenido un alto crecimiento poblacional y desarrollo socioeconómico. </w:t>
      </w:r>
    </w:p>
    <w:p w:rsidR="004B660A" w:rsidRPr="00973D21" w:rsidRDefault="004B660A" w:rsidP="00896F3A">
      <w:pPr>
        <w:pStyle w:val="Paragraph"/>
        <w:numPr>
          <w:ilvl w:val="0"/>
          <w:numId w:val="5"/>
        </w:numPr>
        <w:ind w:hanging="720"/>
        <w:rPr>
          <w:szCs w:val="24"/>
        </w:rPr>
      </w:pPr>
      <w:r w:rsidRPr="00973D21">
        <w:rPr>
          <w:szCs w:val="24"/>
        </w:rPr>
        <w:lastRenderedPageBreak/>
        <w:t>La iniciativa permite identificar restricciones o cuellos de botella que se encuentren obstaculizando el camino a la sostenibilidad y priorizar los problemas identificados para guiar decisiones de inversión en los sectores que tienen el potencial de generar mayores impactos positivos, elaborando un plan de acción y financiamiento.</w:t>
      </w:r>
    </w:p>
    <w:p w:rsidR="004B660A" w:rsidRPr="00973D21" w:rsidRDefault="004B660A" w:rsidP="00896F3A">
      <w:pPr>
        <w:pStyle w:val="Paragraph"/>
        <w:numPr>
          <w:ilvl w:val="0"/>
          <w:numId w:val="5"/>
        </w:numPr>
        <w:ind w:hanging="720"/>
        <w:rPr>
          <w:szCs w:val="24"/>
        </w:rPr>
      </w:pPr>
      <w:r w:rsidRPr="00973D21">
        <w:rPr>
          <w:szCs w:val="24"/>
        </w:rPr>
        <w:t>Las ciudades seleccionadas cuentan con un equipo interdisciplinario del Banco para trabajar en la aplicación de la Metodología, quienes requieren de la contratación de un consultor de apoyo local que colabore con el equipo en la definición de indicadores, coordinación de la gestión del plan de trabajos, criterios de priorización, desarrollo de planes de acción, preparación de TDR para contratación de estudios y preparación de informes.</w:t>
      </w:r>
    </w:p>
    <w:p w:rsidR="004B660A" w:rsidRPr="00896F3A" w:rsidRDefault="004B660A" w:rsidP="00896F3A">
      <w:pPr>
        <w:pStyle w:val="ListParagraph"/>
        <w:numPr>
          <w:ilvl w:val="0"/>
          <w:numId w:val="4"/>
        </w:numPr>
        <w:spacing w:before="240" w:after="120"/>
        <w:ind w:left="540"/>
        <w:rPr>
          <w:rFonts w:ascii="Times New Roman Bold" w:hAnsi="Times New Roman Bold"/>
          <w:b/>
          <w:smallCaps/>
          <w:lang w:val="es-ES"/>
        </w:rPr>
      </w:pPr>
      <w:r w:rsidRPr="00896F3A">
        <w:rPr>
          <w:rFonts w:ascii="Times New Roman Bold" w:hAnsi="Times New Roman Bold"/>
          <w:b/>
          <w:smallCaps/>
          <w:lang w:val="es-ES"/>
        </w:rPr>
        <w:t>Objetivos de la consultoría</w:t>
      </w:r>
    </w:p>
    <w:p w:rsidR="004B660A" w:rsidRPr="00973D21" w:rsidRDefault="004B660A" w:rsidP="00896F3A">
      <w:pPr>
        <w:pStyle w:val="Paragraph"/>
        <w:numPr>
          <w:ilvl w:val="0"/>
          <w:numId w:val="7"/>
        </w:numPr>
        <w:ind w:hanging="720"/>
        <w:rPr>
          <w:szCs w:val="24"/>
        </w:rPr>
      </w:pPr>
      <w:r w:rsidRPr="00973D21">
        <w:rPr>
          <w:szCs w:val="24"/>
        </w:rPr>
        <w:t xml:space="preserve">Esta consultoría tendrá los siguientes objetivos: </w:t>
      </w:r>
      <w:r>
        <w:rPr>
          <w:szCs w:val="24"/>
        </w:rPr>
        <w:t>(</w:t>
      </w:r>
      <w:r w:rsidRPr="00973D21">
        <w:rPr>
          <w:szCs w:val="24"/>
        </w:rPr>
        <w:t>a) apoya</w:t>
      </w:r>
      <w:r>
        <w:rPr>
          <w:szCs w:val="24"/>
        </w:rPr>
        <w:t xml:space="preserve"> técnico</w:t>
      </w:r>
      <w:r w:rsidRPr="00973D21">
        <w:rPr>
          <w:szCs w:val="24"/>
        </w:rPr>
        <w:t xml:space="preserve"> al equipo de la ICES y a la ciudad en la aplicación de la metodología en el marco del Acuerdo entre el Banco y Banobras</w:t>
      </w:r>
      <w:r>
        <w:rPr>
          <w:szCs w:val="24"/>
        </w:rPr>
        <w:t>;</w:t>
      </w:r>
      <w:r w:rsidRPr="00973D21">
        <w:rPr>
          <w:szCs w:val="24"/>
        </w:rPr>
        <w:t xml:space="preserve"> </w:t>
      </w:r>
      <w:r>
        <w:rPr>
          <w:szCs w:val="24"/>
        </w:rPr>
        <w:t>(</w:t>
      </w:r>
      <w:r w:rsidRPr="00973D21">
        <w:rPr>
          <w:szCs w:val="24"/>
        </w:rPr>
        <w:t xml:space="preserve">b) coordinar los trabajos </w:t>
      </w:r>
      <w:r>
        <w:rPr>
          <w:szCs w:val="24"/>
        </w:rPr>
        <w:t xml:space="preserve">técnicos </w:t>
      </w:r>
      <w:r w:rsidRPr="00973D21">
        <w:rPr>
          <w:szCs w:val="24"/>
        </w:rPr>
        <w:t>de los especialistas locales y otros consultores en áreas  medioambientales, urbanas y fiscales, para que desarrollen su actividad en tiempo y forma</w:t>
      </w:r>
      <w:r>
        <w:rPr>
          <w:szCs w:val="24"/>
        </w:rPr>
        <w:t>,</w:t>
      </w:r>
      <w:r w:rsidRPr="00973D21">
        <w:rPr>
          <w:szCs w:val="24"/>
        </w:rPr>
        <w:t xml:space="preserve"> y </w:t>
      </w:r>
      <w:r>
        <w:rPr>
          <w:szCs w:val="24"/>
        </w:rPr>
        <w:t>(</w:t>
      </w:r>
      <w:r w:rsidRPr="00973D21">
        <w:rPr>
          <w:szCs w:val="24"/>
        </w:rPr>
        <w:t xml:space="preserve">c) preparación de informes </w:t>
      </w:r>
      <w:r>
        <w:rPr>
          <w:szCs w:val="24"/>
        </w:rPr>
        <w:t xml:space="preserve">técnicos </w:t>
      </w:r>
      <w:r w:rsidRPr="00973D21">
        <w:rPr>
          <w:szCs w:val="24"/>
        </w:rPr>
        <w:t>y TDR necesarios para el desarrollo y aplicación de la iniciativa en la ciudad.</w:t>
      </w:r>
    </w:p>
    <w:p w:rsidR="004B660A" w:rsidRPr="00896F3A" w:rsidRDefault="004B660A" w:rsidP="00896F3A">
      <w:pPr>
        <w:pStyle w:val="ListParagraph"/>
        <w:numPr>
          <w:ilvl w:val="0"/>
          <w:numId w:val="4"/>
        </w:numPr>
        <w:spacing w:before="240" w:after="120"/>
        <w:ind w:left="540"/>
        <w:rPr>
          <w:rFonts w:ascii="Times New Roman Bold" w:hAnsi="Times New Roman Bold"/>
          <w:b/>
          <w:smallCaps/>
          <w:lang w:val="es-ES"/>
        </w:rPr>
      </w:pPr>
      <w:r w:rsidRPr="00896F3A">
        <w:rPr>
          <w:rFonts w:ascii="Times New Roman Bold" w:hAnsi="Times New Roman Bold"/>
          <w:b/>
          <w:smallCaps/>
          <w:lang w:val="es-ES"/>
        </w:rPr>
        <w:t>Actividades de la Consultoría</w:t>
      </w:r>
    </w:p>
    <w:p w:rsidR="004B660A" w:rsidRPr="00973D21" w:rsidRDefault="004B660A" w:rsidP="00896F3A">
      <w:pPr>
        <w:pStyle w:val="Paragraph"/>
        <w:numPr>
          <w:ilvl w:val="0"/>
          <w:numId w:val="6"/>
        </w:numPr>
        <w:tabs>
          <w:tab w:val="left" w:pos="720"/>
        </w:tabs>
        <w:spacing w:after="240"/>
        <w:ind w:hanging="720"/>
        <w:outlineLvl w:val="9"/>
        <w:rPr>
          <w:szCs w:val="24"/>
          <w:lang w:val="es-AR"/>
        </w:rPr>
      </w:pPr>
      <w:r w:rsidRPr="00973D21">
        <w:rPr>
          <w:szCs w:val="24"/>
        </w:rPr>
        <w:t xml:space="preserve">Para el logro del objetivo señalado, esta consultoría incluirá una o más de las siguientes actividades, dependiendo de la tarea a realizar: </w:t>
      </w:r>
      <w:r>
        <w:rPr>
          <w:szCs w:val="24"/>
        </w:rPr>
        <w:t>(</w:t>
      </w:r>
      <w:r w:rsidRPr="00973D21">
        <w:rPr>
          <w:szCs w:val="24"/>
        </w:rPr>
        <w:t>a) revisión</w:t>
      </w:r>
      <w:r>
        <w:rPr>
          <w:szCs w:val="24"/>
        </w:rPr>
        <w:t xml:space="preserve"> técnica</w:t>
      </w:r>
      <w:r w:rsidRPr="00973D21">
        <w:rPr>
          <w:szCs w:val="24"/>
        </w:rPr>
        <w:t xml:space="preserve"> de documentos y antecedentes disponibles</w:t>
      </w:r>
      <w:r>
        <w:rPr>
          <w:szCs w:val="24"/>
        </w:rPr>
        <w:t>;(</w:t>
      </w:r>
      <w:r w:rsidRPr="00973D21">
        <w:rPr>
          <w:szCs w:val="24"/>
        </w:rPr>
        <w:t xml:space="preserve">b) realizar o participar </w:t>
      </w:r>
      <w:r>
        <w:rPr>
          <w:szCs w:val="24"/>
        </w:rPr>
        <w:t>en</w:t>
      </w:r>
      <w:r w:rsidRPr="00973D21">
        <w:rPr>
          <w:szCs w:val="24"/>
        </w:rPr>
        <w:t xml:space="preserve"> entrevistas</w:t>
      </w:r>
      <w:r>
        <w:rPr>
          <w:szCs w:val="24"/>
        </w:rPr>
        <w:t>;</w:t>
      </w:r>
      <w:r w:rsidRPr="00973D21">
        <w:rPr>
          <w:szCs w:val="24"/>
        </w:rPr>
        <w:t xml:space="preserve"> </w:t>
      </w:r>
      <w:r>
        <w:rPr>
          <w:szCs w:val="24"/>
        </w:rPr>
        <w:t>(</w:t>
      </w:r>
      <w:r w:rsidRPr="00973D21">
        <w:rPr>
          <w:szCs w:val="24"/>
        </w:rPr>
        <w:t>c)</w:t>
      </w:r>
      <w:r>
        <w:rPr>
          <w:szCs w:val="24"/>
        </w:rPr>
        <w:t> </w:t>
      </w:r>
      <w:r w:rsidRPr="00973D21">
        <w:rPr>
          <w:szCs w:val="24"/>
        </w:rPr>
        <w:t xml:space="preserve">realizar visitas </w:t>
      </w:r>
      <w:r>
        <w:rPr>
          <w:szCs w:val="24"/>
        </w:rPr>
        <w:t xml:space="preserve">técnicas </w:t>
      </w:r>
      <w:r w:rsidRPr="00973D21">
        <w:rPr>
          <w:szCs w:val="24"/>
        </w:rPr>
        <w:t xml:space="preserve">de campo, y </w:t>
      </w:r>
      <w:r>
        <w:rPr>
          <w:szCs w:val="24"/>
        </w:rPr>
        <w:t>(</w:t>
      </w:r>
      <w:r w:rsidRPr="00973D21">
        <w:rPr>
          <w:szCs w:val="24"/>
        </w:rPr>
        <w:t>d) coordinar, participar y apoyar las demás actividades y estudios</w:t>
      </w:r>
      <w:r>
        <w:rPr>
          <w:szCs w:val="24"/>
        </w:rPr>
        <w:t xml:space="preserve"> técnicos</w:t>
      </w:r>
      <w:r w:rsidRPr="00973D21">
        <w:rPr>
          <w:szCs w:val="24"/>
        </w:rPr>
        <w:t xml:space="preserve"> a desarrollarse de manera que permitan responder adecuadamente con los objetivos de la presente aplicación. Dichas actividades podrán estar relacionadas con una o más de las actividades o temas que se describen a continuación. </w:t>
      </w:r>
    </w:p>
    <w:p w:rsidR="004B660A" w:rsidRPr="00973D21" w:rsidRDefault="004B660A" w:rsidP="00896F3A">
      <w:pPr>
        <w:pStyle w:val="Paragraph"/>
        <w:numPr>
          <w:ilvl w:val="0"/>
          <w:numId w:val="8"/>
        </w:numPr>
        <w:ind w:left="1440" w:hanging="720"/>
        <w:contextualSpacing/>
        <w:outlineLvl w:val="9"/>
        <w:rPr>
          <w:szCs w:val="24"/>
          <w:lang w:val="es-AR"/>
        </w:rPr>
      </w:pPr>
      <w:r w:rsidRPr="00987667">
        <w:rPr>
          <w:b/>
          <w:iCs/>
          <w:szCs w:val="24"/>
        </w:rPr>
        <w:t>Revisión de información existente</w:t>
      </w:r>
      <w:r w:rsidRPr="00973D21">
        <w:rPr>
          <w:b/>
          <w:szCs w:val="24"/>
        </w:rPr>
        <w:t>.</w:t>
      </w:r>
      <w:r w:rsidRPr="00973D21">
        <w:rPr>
          <w:szCs w:val="24"/>
        </w:rPr>
        <w:t xml:space="preserve"> Revisión </w:t>
      </w:r>
      <w:r>
        <w:rPr>
          <w:szCs w:val="24"/>
        </w:rPr>
        <w:t xml:space="preserve">técnica </w:t>
      </w:r>
      <w:r w:rsidRPr="00973D21">
        <w:rPr>
          <w:szCs w:val="24"/>
        </w:rPr>
        <w:t xml:space="preserve">de los estudios y datos disponibles y apoyo en el análisis de los mismos. </w:t>
      </w:r>
    </w:p>
    <w:p w:rsidR="004B660A" w:rsidRPr="00973D21" w:rsidRDefault="004B660A" w:rsidP="00896F3A">
      <w:pPr>
        <w:pStyle w:val="Paragraph"/>
        <w:numPr>
          <w:ilvl w:val="0"/>
          <w:numId w:val="8"/>
        </w:numPr>
        <w:ind w:left="1440" w:hanging="720"/>
        <w:contextualSpacing/>
        <w:outlineLvl w:val="9"/>
        <w:rPr>
          <w:szCs w:val="24"/>
          <w:lang w:val="es-AR"/>
        </w:rPr>
      </w:pPr>
      <w:r w:rsidRPr="00973D21">
        <w:rPr>
          <w:b/>
          <w:iCs/>
          <w:szCs w:val="24"/>
        </w:rPr>
        <w:t>Análisis y procesamiento de indicadores</w:t>
      </w:r>
      <w:r w:rsidRPr="00973D21">
        <w:rPr>
          <w:b/>
          <w:szCs w:val="24"/>
        </w:rPr>
        <w:t>.</w:t>
      </w:r>
      <w:r w:rsidRPr="00973D21">
        <w:rPr>
          <w:szCs w:val="24"/>
        </w:rPr>
        <w:t xml:space="preserve"> Análisis y procesamiento de los indicadores relevados para los distintos temas y sectores identificados, estudiando la razonabilidad y coherencia de los mismos</w:t>
      </w:r>
      <w:r w:rsidRPr="00973D21">
        <w:rPr>
          <w:szCs w:val="24"/>
          <w:lang w:val="es-AR"/>
        </w:rPr>
        <w:t>. Asimismo, realizará un análisis y procesamiento de aquellos indicadores que se hayan identificado para ser georeferenciados.</w:t>
      </w:r>
    </w:p>
    <w:p w:rsidR="004B660A" w:rsidRPr="00973D21" w:rsidRDefault="004B660A" w:rsidP="00896F3A">
      <w:pPr>
        <w:pStyle w:val="Paragraph"/>
        <w:numPr>
          <w:ilvl w:val="0"/>
          <w:numId w:val="8"/>
        </w:numPr>
        <w:ind w:left="1440" w:hanging="720"/>
        <w:contextualSpacing/>
        <w:outlineLvl w:val="9"/>
        <w:rPr>
          <w:szCs w:val="24"/>
          <w:lang w:val="es-AR"/>
        </w:rPr>
      </w:pPr>
      <w:r w:rsidRPr="00973D21">
        <w:rPr>
          <w:b/>
          <w:iCs/>
          <w:szCs w:val="24"/>
        </w:rPr>
        <w:t>Otros estudios</w:t>
      </w:r>
      <w:r w:rsidRPr="00973D21">
        <w:rPr>
          <w:b/>
          <w:szCs w:val="24"/>
        </w:rPr>
        <w:t>.</w:t>
      </w:r>
      <w:r w:rsidRPr="00973D21">
        <w:rPr>
          <w:szCs w:val="24"/>
        </w:rPr>
        <w:t xml:space="preserve"> Apoyo, análisis</w:t>
      </w:r>
      <w:r>
        <w:rPr>
          <w:szCs w:val="24"/>
        </w:rPr>
        <w:t xml:space="preserve"> técnico</w:t>
      </w:r>
      <w:r w:rsidRPr="00973D21">
        <w:rPr>
          <w:szCs w:val="24"/>
        </w:rPr>
        <w:t xml:space="preserve"> y procesamiento de los documentos y adaptación de los TDR necesarios para la contratación de otros estudios necesarios para la aplicación de la iniciativa, tales como encuesta de opinión, huella urbana y cambio climático</w:t>
      </w:r>
      <w:r w:rsidRPr="00973D21">
        <w:rPr>
          <w:szCs w:val="24"/>
          <w:lang w:val="es-AR"/>
        </w:rPr>
        <w:t>.</w:t>
      </w:r>
    </w:p>
    <w:p w:rsidR="004B660A" w:rsidRPr="00973D21" w:rsidRDefault="004B660A" w:rsidP="00896F3A">
      <w:pPr>
        <w:pStyle w:val="Paragraph"/>
        <w:numPr>
          <w:ilvl w:val="0"/>
          <w:numId w:val="8"/>
        </w:numPr>
        <w:ind w:left="1440" w:hanging="720"/>
        <w:contextualSpacing/>
        <w:outlineLvl w:val="9"/>
        <w:rPr>
          <w:szCs w:val="24"/>
          <w:lang w:val="es-AR"/>
        </w:rPr>
      </w:pPr>
      <w:r w:rsidRPr="00973D21">
        <w:rPr>
          <w:b/>
          <w:iCs/>
          <w:szCs w:val="24"/>
        </w:rPr>
        <w:lastRenderedPageBreak/>
        <w:t>Aplicación de filtros.</w:t>
      </w:r>
      <w:r w:rsidRPr="00973D21">
        <w:rPr>
          <w:szCs w:val="24"/>
        </w:rPr>
        <w:t xml:space="preserve"> Apoyo en el desarrollo de la aplicación de los filtros previstos para establecer la priorización de los temas centrales de las ciudades.</w:t>
      </w:r>
    </w:p>
    <w:p w:rsidR="004B660A" w:rsidRPr="00973D21" w:rsidRDefault="004B660A" w:rsidP="00896F3A">
      <w:pPr>
        <w:pStyle w:val="Paragraph"/>
        <w:numPr>
          <w:ilvl w:val="0"/>
          <w:numId w:val="8"/>
        </w:numPr>
        <w:ind w:left="1440" w:hanging="720"/>
        <w:contextualSpacing/>
        <w:outlineLvl w:val="9"/>
        <w:rPr>
          <w:szCs w:val="24"/>
          <w:lang w:val="es-AR"/>
        </w:rPr>
      </w:pPr>
      <w:r w:rsidRPr="00973D21">
        <w:rPr>
          <w:b/>
          <w:iCs/>
          <w:szCs w:val="24"/>
        </w:rPr>
        <w:t>Desarrollo de posibles soluciones.</w:t>
      </w:r>
      <w:r w:rsidRPr="00973D21">
        <w:rPr>
          <w:szCs w:val="24"/>
        </w:rPr>
        <w:t xml:space="preserve"> Análisis e identificación de las posibles soluciones</w:t>
      </w:r>
      <w:r>
        <w:rPr>
          <w:szCs w:val="24"/>
        </w:rPr>
        <w:t xml:space="preserve"> técnicas</w:t>
      </w:r>
      <w:r w:rsidRPr="00973D21">
        <w:rPr>
          <w:szCs w:val="24"/>
        </w:rPr>
        <w:t xml:space="preserve"> para las prioridades establecidas, tanto a nivel sectorial como territorial. Para ello se basará en el diálogo con los especialistas sectoriales, el equipo de cada ciudad y los estudios realizados y sus conclusiones. </w:t>
      </w:r>
    </w:p>
    <w:p w:rsidR="004B660A" w:rsidRPr="00973D21" w:rsidRDefault="004B660A" w:rsidP="00896F3A">
      <w:pPr>
        <w:pStyle w:val="Paragraph"/>
        <w:numPr>
          <w:ilvl w:val="0"/>
          <w:numId w:val="8"/>
        </w:numPr>
        <w:ind w:left="1440" w:hanging="720"/>
        <w:contextualSpacing/>
        <w:rPr>
          <w:szCs w:val="24"/>
        </w:rPr>
      </w:pPr>
      <w:r w:rsidRPr="00973D21">
        <w:rPr>
          <w:b/>
          <w:iCs/>
          <w:szCs w:val="24"/>
        </w:rPr>
        <w:t>Planes de Acción y Financiamiento, Monitoreo Ciudadano.</w:t>
      </w:r>
      <w:r w:rsidRPr="00973D21">
        <w:rPr>
          <w:szCs w:val="24"/>
          <w:lang w:val="es-AR"/>
        </w:rPr>
        <w:t xml:space="preserve"> Apoyo en el desarrollo de las alternativas de solución escogidas sectorialmente y especificación de las necesidades de estudios de reinversión. Estimación de costos. Asimismo se analizará e identificarán las posibles fuentes de financiamiento. Elaboración del documento del Plan de Acción y Financiamiento para cada ciudad. Establecimiento del sistema de monitoreo ciudadano. Apoyo en la preparación de la Cooperación </w:t>
      </w:r>
      <w:r w:rsidRPr="00973D21">
        <w:rPr>
          <w:szCs w:val="24"/>
        </w:rPr>
        <w:t>Técnica para el financiamiento de estudios de preinversión.</w:t>
      </w:r>
    </w:p>
    <w:p w:rsidR="004B660A" w:rsidRPr="00896F3A" w:rsidRDefault="004B660A" w:rsidP="00896F3A">
      <w:pPr>
        <w:pStyle w:val="Paragraph"/>
        <w:numPr>
          <w:ilvl w:val="0"/>
          <w:numId w:val="4"/>
        </w:numPr>
        <w:spacing w:before="240"/>
        <w:ind w:left="540"/>
        <w:rPr>
          <w:rFonts w:ascii="Times New Roman Bold" w:hAnsi="Times New Roman Bold"/>
          <w:b/>
          <w:smallCaps/>
          <w:szCs w:val="24"/>
        </w:rPr>
      </w:pPr>
      <w:r w:rsidRPr="00896F3A">
        <w:rPr>
          <w:rFonts w:ascii="Times New Roman Bold" w:hAnsi="Times New Roman Bold"/>
          <w:b/>
          <w:smallCaps/>
          <w:szCs w:val="24"/>
        </w:rPr>
        <w:t>Producto e Informes</w:t>
      </w:r>
    </w:p>
    <w:p w:rsidR="004B660A" w:rsidRPr="00973D21" w:rsidRDefault="004B660A" w:rsidP="00896F3A">
      <w:pPr>
        <w:pStyle w:val="Paragraph"/>
        <w:numPr>
          <w:ilvl w:val="0"/>
          <w:numId w:val="9"/>
        </w:numPr>
        <w:ind w:hanging="720"/>
        <w:rPr>
          <w:szCs w:val="24"/>
        </w:rPr>
      </w:pPr>
      <w:r w:rsidRPr="00973D21">
        <w:rPr>
          <w:szCs w:val="24"/>
        </w:rPr>
        <w:t>El consultor acordará un plan de trabajo de acuerdo al cronograma de actividades previsto para la aplicación de la iniciativa y posteriormente preparará y presentará informes individuales sobre cada una de las consultas encomendadas, conteniendo un breve resumen de la cuestión planteada, el análisis realizado y las recomendaciones formuladas. Cada informe deberá indicar el número de días efectivamente utilizados.</w:t>
      </w:r>
    </w:p>
    <w:p w:rsidR="004B660A" w:rsidRPr="00896F3A" w:rsidRDefault="004B660A" w:rsidP="00896F3A">
      <w:pPr>
        <w:pStyle w:val="Paragraph"/>
        <w:numPr>
          <w:ilvl w:val="0"/>
          <w:numId w:val="4"/>
        </w:numPr>
        <w:spacing w:before="240"/>
        <w:ind w:left="540"/>
        <w:rPr>
          <w:rFonts w:ascii="Times New Roman Bold" w:hAnsi="Times New Roman Bold"/>
          <w:b/>
          <w:smallCaps/>
          <w:szCs w:val="24"/>
        </w:rPr>
      </w:pPr>
      <w:r w:rsidRPr="00896F3A">
        <w:rPr>
          <w:rFonts w:ascii="Times New Roman Bold" w:hAnsi="Times New Roman Bold"/>
          <w:b/>
          <w:smallCaps/>
          <w:szCs w:val="24"/>
        </w:rPr>
        <w:t>Pagos</w:t>
      </w:r>
    </w:p>
    <w:p w:rsidR="004B660A" w:rsidRPr="00973D21" w:rsidRDefault="004B660A" w:rsidP="00896F3A">
      <w:pPr>
        <w:pStyle w:val="Paragraph"/>
        <w:numPr>
          <w:ilvl w:val="0"/>
          <w:numId w:val="10"/>
        </w:numPr>
        <w:ind w:hanging="720"/>
        <w:rPr>
          <w:szCs w:val="24"/>
        </w:rPr>
      </w:pPr>
      <w:r w:rsidRPr="00973D21">
        <w:rPr>
          <w:szCs w:val="24"/>
        </w:rPr>
        <w:t>Los pagos se realizarán en forma mensual, en función de los días trabajados por el consultor, y aprobados por el especialista en función de los informes individuales presentados.</w:t>
      </w:r>
    </w:p>
    <w:p w:rsidR="004B660A" w:rsidRPr="00896F3A" w:rsidRDefault="004B660A" w:rsidP="00896F3A">
      <w:pPr>
        <w:pStyle w:val="Paragraph"/>
        <w:numPr>
          <w:ilvl w:val="0"/>
          <w:numId w:val="4"/>
        </w:numPr>
        <w:spacing w:before="240"/>
        <w:ind w:left="540"/>
        <w:rPr>
          <w:rFonts w:ascii="Times New Roman Bold" w:hAnsi="Times New Roman Bold"/>
          <w:b/>
          <w:smallCaps/>
          <w:szCs w:val="24"/>
        </w:rPr>
      </w:pPr>
      <w:r w:rsidRPr="00896F3A">
        <w:rPr>
          <w:rFonts w:ascii="Times New Roman Bold" w:hAnsi="Times New Roman Bold"/>
          <w:b/>
          <w:smallCaps/>
          <w:szCs w:val="24"/>
        </w:rPr>
        <w:t>Calificación del Consultor</w:t>
      </w:r>
    </w:p>
    <w:p w:rsidR="004B660A" w:rsidRPr="00973D21" w:rsidRDefault="004B660A" w:rsidP="00896F3A">
      <w:pPr>
        <w:pStyle w:val="Paragraph"/>
        <w:numPr>
          <w:ilvl w:val="0"/>
          <w:numId w:val="12"/>
        </w:numPr>
        <w:contextualSpacing/>
        <w:rPr>
          <w:szCs w:val="24"/>
        </w:rPr>
      </w:pPr>
      <w:r w:rsidRPr="00973D21">
        <w:rPr>
          <w:szCs w:val="24"/>
        </w:rPr>
        <w:t>Consultor nacional o internacional, graduado en ciencias económicas o administración de empresas</w:t>
      </w:r>
    </w:p>
    <w:p w:rsidR="004B660A" w:rsidRPr="00973D21" w:rsidRDefault="004B660A" w:rsidP="00896F3A">
      <w:pPr>
        <w:pStyle w:val="Paragraph"/>
        <w:numPr>
          <w:ilvl w:val="0"/>
          <w:numId w:val="12"/>
        </w:numPr>
        <w:contextualSpacing/>
        <w:rPr>
          <w:szCs w:val="24"/>
        </w:rPr>
      </w:pPr>
      <w:r w:rsidRPr="00973D21">
        <w:rPr>
          <w:szCs w:val="24"/>
        </w:rPr>
        <w:t>Más de diez años de experiencia profesional</w:t>
      </w:r>
    </w:p>
    <w:p w:rsidR="004B660A" w:rsidRPr="00973D21" w:rsidRDefault="004B660A" w:rsidP="00896F3A">
      <w:pPr>
        <w:pStyle w:val="Paragraph"/>
        <w:numPr>
          <w:ilvl w:val="0"/>
          <w:numId w:val="12"/>
        </w:numPr>
        <w:contextualSpacing/>
        <w:rPr>
          <w:szCs w:val="24"/>
        </w:rPr>
      </w:pPr>
      <w:r w:rsidRPr="00973D21">
        <w:rPr>
          <w:szCs w:val="24"/>
        </w:rPr>
        <w:t>Experiencia previa de trabajo en temas similares a la presente convocatoria</w:t>
      </w:r>
    </w:p>
    <w:p w:rsidR="004B660A" w:rsidRPr="00C461F4" w:rsidRDefault="004B660A" w:rsidP="00896F3A">
      <w:pPr>
        <w:pStyle w:val="Paragraph"/>
        <w:numPr>
          <w:ilvl w:val="0"/>
          <w:numId w:val="12"/>
        </w:numPr>
        <w:contextualSpacing/>
        <w:rPr>
          <w:szCs w:val="24"/>
        </w:rPr>
      </w:pPr>
      <w:r w:rsidRPr="00973D21">
        <w:rPr>
          <w:szCs w:val="24"/>
        </w:rPr>
        <w:t>Trabajos previos con organismos internacionales, en particular con el BID.</w:t>
      </w:r>
    </w:p>
    <w:p w:rsidR="004B660A" w:rsidRPr="00896F3A" w:rsidRDefault="004B660A" w:rsidP="00896F3A">
      <w:pPr>
        <w:pStyle w:val="Paragraph"/>
        <w:numPr>
          <w:ilvl w:val="0"/>
          <w:numId w:val="4"/>
        </w:numPr>
        <w:spacing w:before="240"/>
        <w:ind w:left="540"/>
        <w:rPr>
          <w:rFonts w:ascii="Times New Roman Bold" w:hAnsi="Times New Roman Bold"/>
          <w:b/>
          <w:smallCaps/>
          <w:szCs w:val="24"/>
        </w:rPr>
      </w:pPr>
      <w:r w:rsidRPr="00896F3A">
        <w:rPr>
          <w:rFonts w:ascii="Times New Roman Bold" w:hAnsi="Times New Roman Bold"/>
          <w:b/>
          <w:smallCaps/>
          <w:szCs w:val="24"/>
        </w:rPr>
        <w:t>Características de la Consultoría</w:t>
      </w:r>
    </w:p>
    <w:p w:rsidR="004B660A" w:rsidRPr="00973D21" w:rsidRDefault="004B660A" w:rsidP="00896F3A">
      <w:pPr>
        <w:pStyle w:val="Paragraph"/>
        <w:numPr>
          <w:ilvl w:val="0"/>
          <w:numId w:val="13"/>
        </w:numPr>
        <w:contextualSpacing/>
        <w:rPr>
          <w:szCs w:val="24"/>
        </w:rPr>
      </w:pPr>
      <w:r w:rsidRPr="00973D21">
        <w:rPr>
          <w:szCs w:val="24"/>
        </w:rPr>
        <w:t>Tipo de consultoría: Consultor individual.</w:t>
      </w:r>
    </w:p>
    <w:p w:rsidR="004B660A" w:rsidRPr="00973D21" w:rsidRDefault="004B660A" w:rsidP="00896F3A">
      <w:pPr>
        <w:pStyle w:val="Paragraph"/>
        <w:numPr>
          <w:ilvl w:val="0"/>
          <w:numId w:val="13"/>
        </w:numPr>
        <w:contextualSpacing/>
        <w:rPr>
          <w:szCs w:val="24"/>
        </w:rPr>
      </w:pPr>
      <w:r w:rsidRPr="00973D21">
        <w:rPr>
          <w:szCs w:val="24"/>
        </w:rPr>
        <w:t xml:space="preserve">Fecha de inicio y duración: El plazo total de contrato será de 12 meses calendarios contados a partir de la firma del contrato. </w:t>
      </w:r>
    </w:p>
    <w:p w:rsidR="004B660A" w:rsidRPr="00973D21" w:rsidRDefault="004B660A" w:rsidP="00896F3A">
      <w:pPr>
        <w:pStyle w:val="Paragraph"/>
        <w:numPr>
          <w:ilvl w:val="0"/>
          <w:numId w:val="13"/>
        </w:numPr>
        <w:contextualSpacing/>
        <w:rPr>
          <w:szCs w:val="24"/>
          <w:lang w:val="es-AR"/>
        </w:rPr>
      </w:pPr>
      <w:r w:rsidRPr="00973D21">
        <w:rPr>
          <w:szCs w:val="24"/>
        </w:rPr>
        <w:t xml:space="preserve">Lugar y modalidad de trabajo: </w:t>
      </w:r>
      <w:r w:rsidRPr="00973D21">
        <w:rPr>
          <w:szCs w:val="24"/>
          <w:lang w:val="es-CO"/>
        </w:rPr>
        <w:t xml:space="preserve">El trabajo será realizado en la Representación del Banco en México, y cuando sea necesario en las Ciudades Adicionales objeto de </w:t>
      </w:r>
      <w:r w:rsidRPr="00973D21">
        <w:rPr>
          <w:szCs w:val="24"/>
          <w:lang w:val="es-CO"/>
        </w:rPr>
        <w:lastRenderedPageBreak/>
        <w:t xml:space="preserve">la aplicación de la Iniciativa.  Todas las visitas de campo, </w:t>
      </w:r>
      <w:r w:rsidRPr="00973D21">
        <w:rPr>
          <w:szCs w:val="24"/>
          <w:lang w:val="es-BO"/>
        </w:rPr>
        <w:t>los gastos de pasajes y viáticos necesarios para la realización de los viajes</w:t>
      </w:r>
      <w:r w:rsidRPr="00973D21">
        <w:rPr>
          <w:szCs w:val="24"/>
          <w:lang w:val="es-CO"/>
        </w:rPr>
        <w:t xml:space="preserve"> deberán ser previamente autorizadas por el Especialista respectivo y serán remuneradas según lo establecen las políticas del Banco. </w:t>
      </w:r>
    </w:p>
    <w:p w:rsidR="004B660A" w:rsidRPr="00896F3A" w:rsidRDefault="004B660A" w:rsidP="00896F3A">
      <w:pPr>
        <w:pStyle w:val="ListParagraph"/>
        <w:numPr>
          <w:ilvl w:val="0"/>
          <w:numId w:val="4"/>
        </w:numPr>
        <w:spacing w:before="240" w:after="120"/>
        <w:ind w:left="540"/>
        <w:rPr>
          <w:rFonts w:ascii="Times New Roman Bold" w:hAnsi="Times New Roman Bold"/>
          <w:b/>
          <w:smallCaps/>
        </w:rPr>
      </w:pPr>
      <w:r w:rsidRPr="00896F3A">
        <w:rPr>
          <w:rFonts w:ascii="Times New Roman Bold" w:hAnsi="Times New Roman Bold"/>
          <w:b/>
          <w:smallCaps/>
        </w:rPr>
        <w:t>Supervisión</w:t>
      </w:r>
    </w:p>
    <w:p w:rsidR="004B660A" w:rsidRPr="00381F59" w:rsidRDefault="004B660A" w:rsidP="00381F59">
      <w:pPr>
        <w:pStyle w:val="Heading1"/>
        <w:rPr>
          <w:lang w:val="es-ES_tradnl" w:eastAsia="en-US"/>
        </w:rPr>
      </w:pPr>
      <w:r w:rsidRPr="00973D21">
        <w:t>Se desempeñará bajo la supervisión de Huá</w:t>
      </w:r>
      <w:r>
        <w:t>scar Eguino, Especialista Líder.</w:t>
      </w:r>
    </w:p>
    <w:p w:rsidR="00896F3A" w:rsidRDefault="00896F3A">
      <w:pPr>
        <w:rPr>
          <w:rFonts w:eastAsia="Calibri"/>
          <w:sz w:val="22"/>
        </w:rPr>
      </w:pPr>
      <w:r>
        <w:rPr>
          <w:rFonts w:eastAsia="Calibri"/>
          <w:sz w:val="22"/>
        </w:rPr>
        <w:br w:type="page"/>
      </w:r>
    </w:p>
    <w:p w:rsidR="00896F3A" w:rsidRPr="00541E53" w:rsidRDefault="00896F3A" w:rsidP="000E574B">
      <w:pPr>
        <w:pStyle w:val="BodyText"/>
        <w:tabs>
          <w:tab w:val="left" w:pos="0"/>
        </w:tabs>
        <w:spacing w:after="120"/>
        <w:rPr>
          <w:b/>
          <w:lang w:val="pt-BR"/>
        </w:rPr>
      </w:pPr>
      <w:r w:rsidRPr="00541E53">
        <w:rPr>
          <w:b/>
          <w:lang w:val="pt-BR"/>
        </w:rPr>
        <w:lastRenderedPageBreak/>
        <w:t>Regional</w:t>
      </w:r>
    </w:p>
    <w:p w:rsidR="00896F3A" w:rsidRPr="00896F3A" w:rsidRDefault="00896F3A" w:rsidP="000E574B">
      <w:pPr>
        <w:pStyle w:val="BodyText"/>
        <w:tabs>
          <w:tab w:val="left" w:pos="0"/>
        </w:tabs>
        <w:spacing w:after="120"/>
        <w:rPr>
          <w:b/>
          <w:lang w:val="pt-BR"/>
        </w:rPr>
      </w:pPr>
      <w:r w:rsidRPr="00896F3A">
        <w:rPr>
          <w:b/>
          <w:lang w:val="pt-BR"/>
        </w:rPr>
        <w:t xml:space="preserve">IFD/FMM/ICES/ </w:t>
      </w:r>
      <w:r>
        <w:rPr>
          <w:b/>
          <w:lang w:val="pt-BR"/>
        </w:rPr>
        <w:t>Anexo I (B</w:t>
      </w:r>
      <w:r w:rsidRPr="00381F59">
        <w:rPr>
          <w:b/>
          <w:lang w:val="pt-BR"/>
        </w:rPr>
        <w:t>)</w:t>
      </w:r>
    </w:p>
    <w:p w:rsidR="00896F3A" w:rsidRPr="00A34CDD" w:rsidRDefault="00896F3A" w:rsidP="00896F3A">
      <w:pPr>
        <w:pStyle w:val="BodyText"/>
        <w:tabs>
          <w:tab w:val="left" w:pos="0"/>
        </w:tabs>
        <w:spacing w:after="240"/>
        <w:rPr>
          <w:b/>
        </w:rPr>
      </w:pPr>
      <w:r w:rsidRPr="00A34CDD">
        <w:rPr>
          <w:b/>
        </w:rPr>
        <w:t>Apoyo para Actividades de Profundización de los Diagnósticos y Estudios Sectoriales de la Iniciativa en el Marco de del Acuerdo entre el Banco y Banobras (Componente 1 y contrato 3 y 4)</w:t>
      </w:r>
    </w:p>
    <w:p w:rsidR="00896F3A" w:rsidRDefault="00896F3A" w:rsidP="006B2F6C">
      <w:pPr>
        <w:pStyle w:val="BodyText"/>
        <w:tabs>
          <w:tab w:val="left" w:pos="0"/>
        </w:tabs>
        <w:rPr>
          <w:b/>
          <w:smallCaps/>
        </w:rPr>
        <w:sectPr w:rsidR="00896F3A" w:rsidSect="00A319D4">
          <w:headerReference w:type="even" r:id="rId14"/>
          <w:headerReference w:type="default" r:id="rId15"/>
          <w:type w:val="continuous"/>
          <w:pgSz w:w="12240" w:h="15840" w:code="1"/>
          <w:pgMar w:top="1440" w:right="1800" w:bottom="1440" w:left="1800" w:header="720" w:footer="720" w:gutter="0"/>
          <w:cols w:space="720"/>
          <w:docGrid w:linePitch="360"/>
        </w:sectPr>
      </w:pPr>
      <w:r w:rsidRPr="00A34CDD">
        <w:rPr>
          <w:b/>
          <w:smallCaps/>
        </w:rPr>
        <w:t>Términos de Referencia</w:t>
      </w:r>
    </w:p>
    <w:p w:rsidR="00896F3A" w:rsidRDefault="00896F3A" w:rsidP="00E03622">
      <w:pPr>
        <w:spacing w:before="120"/>
      </w:pPr>
    </w:p>
    <w:p w:rsidR="00896F3A" w:rsidRDefault="00896F3A" w:rsidP="00E03622">
      <w:pPr>
        <w:spacing w:before="120"/>
        <w:sectPr w:rsidR="00896F3A" w:rsidSect="00A319D4">
          <w:type w:val="continuous"/>
          <w:pgSz w:w="12240" w:h="15840" w:code="1"/>
          <w:pgMar w:top="1440" w:right="1800" w:bottom="1440" w:left="1800" w:header="720" w:footer="720" w:gutter="0"/>
          <w:cols w:space="720"/>
          <w:docGrid w:linePitch="360"/>
        </w:sectPr>
      </w:pPr>
    </w:p>
    <w:p w:rsidR="00896F3A" w:rsidRPr="00CB2683" w:rsidRDefault="00896F3A" w:rsidP="00896F3A">
      <w:pPr>
        <w:pStyle w:val="Chapter"/>
        <w:numPr>
          <w:ilvl w:val="0"/>
          <w:numId w:val="15"/>
        </w:numPr>
        <w:tabs>
          <w:tab w:val="clear" w:pos="2088"/>
          <w:tab w:val="num" w:pos="648"/>
        </w:tabs>
        <w:ind w:left="0"/>
        <w:jc w:val="left"/>
      </w:pPr>
      <w:r w:rsidRPr="00CB2683">
        <w:lastRenderedPageBreak/>
        <w:t>Antecedentes</w:t>
      </w:r>
    </w:p>
    <w:p w:rsidR="00896F3A" w:rsidRPr="000E574B" w:rsidRDefault="00896F3A" w:rsidP="00896F3A">
      <w:pPr>
        <w:pStyle w:val="Paragraph"/>
        <w:numPr>
          <w:ilvl w:val="1"/>
          <w:numId w:val="15"/>
        </w:numPr>
        <w:tabs>
          <w:tab w:val="clear" w:pos="2736"/>
          <w:tab w:val="num" w:pos="720"/>
        </w:tabs>
        <w:ind w:left="720" w:hanging="720"/>
      </w:pPr>
      <w:r w:rsidRPr="000E574B">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896F3A" w:rsidRPr="000E574B" w:rsidRDefault="00896F3A" w:rsidP="00896F3A">
      <w:pPr>
        <w:pStyle w:val="Paragraph"/>
        <w:numPr>
          <w:ilvl w:val="1"/>
          <w:numId w:val="15"/>
        </w:numPr>
        <w:tabs>
          <w:tab w:val="clear" w:pos="2736"/>
          <w:tab w:val="num" w:pos="720"/>
        </w:tabs>
        <w:ind w:left="720" w:hanging="720"/>
      </w:pPr>
      <w:r w:rsidRPr="000E574B">
        <w:t xml:space="preserve">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 </w:t>
      </w:r>
    </w:p>
    <w:p w:rsidR="00896F3A" w:rsidRPr="000E574B" w:rsidRDefault="00896F3A" w:rsidP="00896F3A">
      <w:pPr>
        <w:pStyle w:val="Paragraph"/>
        <w:numPr>
          <w:ilvl w:val="1"/>
          <w:numId w:val="15"/>
        </w:numPr>
        <w:tabs>
          <w:tab w:val="clear" w:pos="2736"/>
          <w:tab w:val="num" w:pos="720"/>
        </w:tabs>
        <w:ind w:left="720" w:hanging="720"/>
      </w:pPr>
      <w:r w:rsidRPr="000E574B">
        <w:t xml:space="preserve">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 </w:t>
      </w:r>
    </w:p>
    <w:p w:rsidR="00896F3A" w:rsidRPr="000E574B" w:rsidRDefault="00896F3A" w:rsidP="00896F3A">
      <w:pPr>
        <w:pStyle w:val="Paragraph"/>
        <w:numPr>
          <w:ilvl w:val="1"/>
          <w:numId w:val="15"/>
        </w:numPr>
        <w:tabs>
          <w:tab w:val="clear" w:pos="2736"/>
          <w:tab w:val="num" w:pos="720"/>
        </w:tabs>
        <w:ind w:left="720" w:hanging="720"/>
      </w:pPr>
      <w:r w:rsidRPr="000E574B">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896F3A" w:rsidRDefault="00896F3A" w:rsidP="00896F3A">
      <w:pPr>
        <w:pStyle w:val="Paragraph"/>
        <w:numPr>
          <w:ilvl w:val="1"/>
          <w:numId w:val="15"/>
        </w:numPr>
        <w:tabs>
          <w:tab w:val="clear" w:pos="2736"/>
          <w:tab w:val="num" w:pos="720"/>
        </w:tabs>
        <w:ind w:left="720" w:hanging="720"/>
      </w:pPr>
      <w:r w:rsidRPr="000E574B">
        <w:t xml:space="preserve">En desarrollo de la Iniciativa, el Banco requiere del apoyo de </w:t>
      </w:r>
      <w:r>
        <w:t>contractuales</w:t>
      </w:r>
      <w:r w:rsidRPr="000E574B">
        <w:t xml:space="preserve"> locales que faciliten la coordinación de las actividades de la Iniciativa en las ciudades, específicamente aquellas relacionadas con la compilación, procesamiento y análisis de información, así como las relativas a la coordinación entre el Banco y las ciudades.</w:t>
      </w:r>
      <w:r>
        <w:t xml:space="preserve"> </w:t>
      </w:r>
    </w:p>
    <w:p w:rsidR="00896F3A" w:rsidRPr="000E574B" w:rsidRDefault="00896F3A" w:rsidP="00896F3A">
      <w:pPr>
        <w:pStyle w:val="Chapter"/>
        <w:numPr>
          <w:ilvl w:val="0"/>
          <w:numId w:val="15"/>
        </w:numPr>
        <w:tabs>
          <w:tab w:val="clear" w:pos="2088"/>
          <w:tab w:val="num" w:pos="648"/>
        </w:tabs>
        <w:spacing w:before="120"/>
        <w:ind w:left="0"/>
        <w:jc w:val="left"/>
      </w:pPr>
      <w:r>
        <w:lastRenderedPageBreak/>
        <w:t>Objetivo de la Consultoría</w:t>
      </w:r>
    </w:p>
    <w:p w:rsidR="00896F3A" w:rsidRDefault="00896F3A" w:rsidP="00896F3A">
      <w:pPr>
        <w:pStyle w:val="Paragraph"/>
        <w:numPr>
          <w:ilvl w:val="1"/>
          <w:numId w:val="15"/>
        </w:numPr>
        <w:tabs>
          <w:tab w:val="clear" w:pos="2736"/>
          <w:tab w:val="num" w:pos="720"/>
        </w:tabs>
        <w:spacing w:before="0"/>
        <w:ind w:left="720" w:hanging="720"/>
      </w:pPr>
      <w:r w:rsidRPr="000E574B">
        <w:t>El objetivo apoyar al equipo ICES en la profundización de los diagnósticos técnicos sectoriales y en la priorización de temas de la Iniciativa en el marco del Acuerdo entre el Banco y Banobras.</w:t>
      </w:r>
      <w:r>
        <w:t xml:space="preserve"> </w:t>
      </w:r>
    </w:p>
    <w:p w:rsidR="00896F3A" w:rsidRDefault="00896F3A" w:rsidP="000E574B">
      <w:pPr>
        <w:spacing w:after="120"/>
        <w:sectPr w:rsidR="00896F3A" w:rsidSect="00A319D4">
          <w:type w:val="continuous"/>
          <w:pgSz w:w="12240" w:h="15840" w:code="1"/>
          <w:pgMar w:top="1440" w:right="1800" w:bottom="1440" w:left="1800" w:header="720" w:footer="720" w:gutter="0"/>
          <w:cols w:space="720"/>
          <w:docGrid w:linePitch="360"/>
        </w:sectPr>
      </w:pPr>
    </w:p>
    <w:p w:rsidR="00896F3A" w:rsidRPr="00A34CDD" w:rsidRDefault="00896F3A" w:rsidP="00896F3A">
      <w:pPr>
        <w:pStyle w:val="Chapter"/>
        <w:numPr>
          <w:ilvl w:val="0"/>
          <w:numId w:val="15"/>
        </w:numPr>
        <w:tabs>
          <w:tab w:val="clear" w:pos="2088"/>
          <w:tab w:val="num" w:pos="648"/>
        </w:tabs>
        <w:spacing w:after="120"/>
        <w:ind w:left="0"/>
        <w:jc w:val="left"/>
      </w:pPr>
      <w:r w:rsidRPr="00A34CDD">
        <w:lastRenderedPageBreak/>
        <w:t>Actividades</w:t>
      </w:r>
      <w:r>
        <w:t xml:space="preserve"> principales</w:t>
      </w:r>
    </w:p>
    <w:p w:rsidR="00896F3A" w:rsidRPr="000E574B" w:rsidRDefault="00896F3A" w:rsidP="00896F3A">
      <w:pPr>
        <w:pStyle w:val="Paragraph"/>
        <w:numPr>
          <w:ilvl w:val="1"/>
          <w:numId w:val="15"/>
        </w:numPr>
        <w:tabs>
          <w:tab w:val="clear" w:pos="2736"/>
          <w:tab w:val="num" w:pos="720"/>
        </w:tabs>
        <w:ind w:left="720" w:hanging="720"/>
      </w:pPr>
      <w:r w:rsidRPr="000E574B">
        <w:t>Los consultores deberán realizar las siguientes actividades:</w:t>
      </w:r>
    </w:p>
    <w:p w:rsidR="00896F3A" w:rsidRPr="00E03622" w:rsidRDefault="00896F3A" w:rsidP="00896F3A">
      <w:pPr>
        <w:pStyle w:val="subpar"/>
        <w:numPr>
          <w:ilvl w:val="2"/>
          <w:numId w:val="15"/>
        </w:numPr>
        <w:tabs>
          <w:tab w:val="clear" w:pos="2592"/>
          <w:tab w:val="num" w:pos="1152"/>
        </w:tabs>
        <w:spacing w:before="0" w:after="0"/>
        <w:ind w:left="1152"/>
      </w:pPr>
      <w:r w:rsidRPr="00E03622">
        <w:t>Apoyar las actividades técnicas tendientes a revisar, analizar y perfeccionar los estudios sectoriales y material de conocimiento de la Iniciativa.</w:t>
      </w:r>
    </w:p>
    <w:p w:rsidR="00896F3A" w:rsidRPr="00E03622" w:rsidRDefault="00896F3A" w:rsidP="00896F3A">
      <w:pPr>
        <w:pStyle w:val="subpar"/>
        <w:numPr>
          <w:ilvl w:val="2"/>
          <w:numId w:val="15"/>
        </w:numPr>
        <w:tabs>
          <w:tab w:val="clear" w:pos="2592"/>
          <w:tab w:val="num" w:pos="1152"/>
        </w:tabs>
        <w:spacing w:before="0" w:after="0"/>
        <w:ind w:left="1152"/>
      </w:pPr>
      <w:r w:rsidRPr="00E03622">
        <w:t>Apoyar a los especialistas sectoriales en aquellos temas técnicos relacionados con la profundización de los estudios en las ciudades ICES estipulados en la metodología.</w:t>
      </w:r>
    </w:p>
    <w:p w:rsidR="00896F3A" w:rsidRPr="00E03622" w:rsidRDefault="00896F3A" w:rsidP="00896F3A">
      <w:pPr>
        <w:pStyle w:val="subpar"/>
        <w:numPr>
          <w:ilvl w:val="2"/>
          <w:numId w:val="15"/>
        </w:numPr>
        <w:tabs>
          <w:tab w:val="clear" w:pos="2592"/>
          <w:tab w:val="num" w:pos="1152"/>
        </w:tabs>
        <w:spacing w:before="0" w:after="0"/>
        <w:ind w:left="1152"/>
      </w:pPr>
      <w:r w:rsidRPr="00E03622">
        <w:t>Compilar y procesar la información técnica necesaria para el diligenciamiento de la profundización de los estudios sectoriales de ICES. Para ello establecerán contacto con los especialistas del Banco y las entidades del nivel local y nacional involucradas.</w:t>
      </w:r>
    </w:p>
    <w:p w:rsidR="00896F3A" w:rsidRPr="00E03622" w:rsidRDefault="00896F3A" w:rsidP="00896F3A">
      <w:pPr>
        <w:pStyle w:val="subpar"/>
        <w:numPr>
          <w:ilvl w:val="2"/>
          <w:numId w:val="15"/>
        </w:numPr>
        <w:tabs>
          <w:tab w:val="clear" w:pos="2592"/>
          <w:tab w:val="num" w:pos="1152"/>
        </w:tabs>
        <w:spacing w:before="0" w:after="0"/>
        <w:ind w:left="1152"/>
      </w:pPr>
      <w:r w:rsidRPr="00E03622">
        <w:t>Apoyar el análisis técnico de la información compilada, participando en procesos tales como la elaboración de estudios, proyectos de análisis temático.</w:t>
      </w:r>
    </w:p>
    <w:p w:rsidR="00896F3A" w:rsidRPr="00E03622" w:rsidRDefault="00896F3A" w:rsidP="00896F3A">
      <w:pPr>
        <w:pStyle w:val="subpar"/>
        <w:numPr>
          <w:ilvl w:val="2"/>
          <w:numId w:val="15"/>
        </w:numPr>
        <w:tabs>
          <w:tab w:val="clear" w:pos="2592"/>
          <w:tab w:val="num" w:pos="1152"/>
        </w:tabs>
        <w:spacing w:before="0" w:after="0"/>
        <w:ind w:left="1152"/>
      </w:pPr>
      <w:r w:rsidRPr="00E03622">
        <w:t>Facilitar la preparación de las agendas relativas a las misiones.</w:t>
      </w:r>
    </w:p>
    <w:p w:rsidR="00896F3A" w:rsidRDefault="00896F3A" w:rsidP="00896F3A">
      <w:pPr>
        <w:pStyle w:val="subpar"/>
        <w:numPr>
          <w:ilvl w:val="2"/>
          <w:numId w:val="15"/>
        </w:numPr>
        <w:tabs>
          <w:tab w:val="clear" w:pos="2592"/>
          <w:tab w:val="num" w:pos="1152"/>
        </w:tabs>
        <w:spacing w:before="0" w:after="0"/>
        <w:ind w:left="1152"/>
      </w:pPr>
      <w:r w:rsidRPr="00E03622">
        <w:t>Servir de facilitador en el nivel local.</w:t>
      </w:r>
      <w:r>
        <w:t xml:space="preserve"> </w:t>
      </w:r>
    </w:p>
    <w:p w:rsidR="00896F3A" w:rsidRDefault="00896F3A" w:rsidP="00E03622">
      <w:pPr>
        <w:sectPr w:rsidR="00896F3A" w:rsidSect="00A319D4">
          <w:type w:val="continuous"/>
          <w:pgSz w:w="12240" w:h="15840" w:code="1"/>
          <w:pgMar w:top="1440" w:right="1800" w:bottom="1440" w:left="1800" w:header="720" w:footer="720" w:gutter="0"/>
          <w:cols w:space="720"/>
          <w:docGrid w:linePitch="360"/>
        </w:sectPr>
      </w:pPr>
    </w:p>
    <w:p w:rsidR="00896F3A" w:rsidRPr="000E574B" w:rsidRDefault="00896F3A" w:rsidP="00896F3A">
      <w:pPr>
        <w:pStyle w:val="Chapter"/>
        <w:numPr>
          <w:ilvl w:val="0"/>
          <w:numId w:val="15"/>
        </w:numPr>
        <w:tabs>
          <w:tab w:val="clear" w:pos="2088"/>
          <w:tab w:val="num" w:pos="648"/>
        </w:tabs>
        <w:spacing w:after="120"/>
        <w:ind w:left="0"/>
        <w:jc w:val="left"/>
      </w:pPr>
      <w:r w:rsidRPr="000E574B">
        <w:lastRenderedPageBreak/>
        <w:t>Informes y Productos</w:t>
      </w:r>
    </w:p>
    <w:p w:rsidR="00896F3A" w:rsidRDefault="00896F3A" w:rsidP="00896F3A">
      <w:pPr>
        <w:pStyle w:val="Paragraph"/>
        <w:numPr>
          <w:ilvl w:val="1"/>
          <w:numId w:val="15"/>
        </w:numPr>
        <w:tabs>
          <w:tab w:val="clear" w:pos="2736"/>
          <w:tab w:val="num" w:pos="720"/>
        </w:tabs>
        <w:ind w:left="720" w:hanging="720"/>
      </w:pPr>
      <w:r w:rsidRPr="00E03622">
        <w:t>Los consultores deberán presentar informes mensuales con un resumen ejecutivo de las actividades realizadas y productos alcanzados.</w:t>
      </w:r>
      <w:r>
        <w:t xml:space="preserve"> </w:t>
      </w:r>
    </w:p>
    <w:p w:rsidR="00896F3A" w:rsidRDefault="00896F3A" w:rsidP="00E03622">
      <w:pPr>
        <w:sectPr w:rsidR="00896F3A" w:rsidSect="00A319D4">
          <w:type w:val="continuous"/>
          <w:pgSz w:w="12240" w:h="15840" w:code="1"/>
          <w:pgMar w:top="1440" w:right="1800" w:bottom="1440" w:left="1800" w:header="720" w:footer="720" w:gutter="0"/>
          <w:cols w:space="720"/>
          <w:docGrid w:linePitch="360"/>
        </w:sectPr>
      </w:pPr>
    </w:p>
    <w:p w:rsidR="00896F3A" w:rsidRPr="000E574B" w:rsidRDefault="00896F3A" w:rsidP="00896F3A">
      <w:pPr>
        <w:pStyle w:val="Chapter"/>
        <w:numPr>
          <w:ilvl w:val="0"/>
          <w:numId w:val="15"/>
        </w:numPr>
        <w:tabs>
          <w:tab w:val="clear" w:pos="2088"/>
          <w:tab w:val="num" w:pos="648"/>
        </w:tabs>
        <w:spacing w:after="120"/>
        <w:ind w:left="0"/>
        <w:jc w:val="left"/>
      </w:pPr>
      <w:r w:rsidRPr="000E574B">
        <w:lastRenderedPageBreak/>
        <w:t>Características de la Consultoría</w:t>
      </w:r>
    </w:p>
    <w:p w:rsidR="00896F3A" w:rsidRPr="000E574B" w:rsidRDefault="00896F3A" w:rsidP="00896F3A">
      <w:pPr>
        <w:pStyle w:val="Paragraph"/>
        <w:numPr>
          <w:ilvl w:val="1"/>
          <w:numId w:val="15"/>
        </w:numPr>
        <w:tabs>
          <w:tab w:val="clear" w:pos="2736"/>
          <w:tab w:val="num" w:pos="720"/>
        </w:tabs>
        <w:spacing w:before="0" w:after="0"/>
        <w:ind w:left="720" w:hanging="720"/>
      </w:pPr>
      <w:r w:rsidRPr="000E574B">
        <w:t xml:space="preserve">Tipo de consultoría. Individual, nacional/internacional.  </w:t>
      </w:r>
    </w:p>
    <w:p w:rsidR="00896F3A" w:rsidRPr="000E574B" w:rsidRDefault="00896F3A" w:rsidP="00896F3A">
      <w:pPr>
        <w:pStyle w:val="Paragraph"/>
        <w:numPr>
          <w:ilvl w:val="1"/>
          <w:numId w:val="15"/>
        </w:numPr>
        <w:tabs>
          <w:tab w:val="clear" w:pos="2736"/>
          <w:tab w:val="num" w:pos="720"/>
        </w:tabs>
        <w:spacing w:before="0" w:after="0"/>
        <w:ind w:left="720" w:hanging="720"/>
      </w:pPr>
      <w:r w:rsidRPr="000E574B">
        <w:t>Fecha de comienzo y duración: 12 meses contados a partir de la firma del contrato</w:t>
      </w:r>
    </w:p>
    <w:p w:rsidR="00896F3A" w:rsidRDefault="00896F3A" w:rsidP="00896F3A">
      <w:pPr>
        <w:pStyle w:val="Paragraph"/>
        <w:numPr>
          <w:ilvl w:val="1"/>
          <w:numId w:val="15"/>
        </w:numPr>
        <w:tabs>
          <w:tab w:val="clear" w:pos="2736"/>
          <w:tab w:val="num" w:pos="720"/>
        </w:tabs>
        <w:spacing w:before="0" w:after="0"/>
        <w:ind w:left="720" w:hanging="720"/>
      </w:pPr>
      <w:r w:rsidRPr="000E574B">
        <w:t>Lugar de trabajo: México, DF, México</w:t>
      </w:r>
      <w:r>
        <w:t xml:space="preserve"> </w:t>
      </w:r>
    </w:p>
    <w:p w:rsidR="00896F3A" w:rsidRDefault="00896F3A" w:rsidP="00896F3A">
      <w:pPr>
        <w:pStyle w:val="Paragraph"/>
        <w:numPr>
          <w:ilvl w:val="1"/>
          <w:numId w:val="15"/>
        </w:numPr>
        <w:tabs>
          <w:tab w:val="clear" w:pos="2736"/>
          <w:tab w:val="num" w:pos="720"/>
        </w:tabs>
        <w:spacing w:before="0" w:after="0"/>
        <w:ind w:left="720" w:hanging="720"/>
      </w:pPr>
      <w:r>
        <w:t>Forma de pago.</w:t>
      </w:r>
      <w:r w:rsidRPr="00FF1419">
        <w:t>Individual, Suma Alzada/mensual.</w:t>
      </w:r>
    </w:p>
    <w:p w:rsidR="00896F3A" w:rsidRDefault="00896F3A" w:rsidP="00E03622">
      <w:pPr>
        <w:sectPr w:rsidR="00896F3A" w:rsidSect="00A319D4">
          <w:type w:val="continuous"/>
          <w:pgSz w:w="12240" w:h="15840" w:code="1"/>
          <w:pgMar w:top="1440" w:right="1800" w:bottom="1440" w:left="1800" w:header="720" w:footer="720" w:gutter="0"/>
          <w:cols w:space="720"/>
          <w:docGrid w:linePitch="360"/>
        </w:sectPr>
      </w:pPr>
    </w:p>
    <w:p w:rsidR="00896F3A" w:rsidRDefault="00896F3A" w:rsidP="00896F3A">
      <w:pPr>
        <w:pStyle w:val="Chapter"/>
        <w:numPr>
          <w:ilvl w:val="0"/>
          <w:numId w:val="15"/>
        </w:numPr>
        <w:tabs>
          <w:tab w:val="clear" w:pos="2088"/>
          <w:tab w:val="num" w:pos="648"/>
        </w:tabs>
        <w:spacing w:after="120"/>
        <w:ind w:left="0"/>
        <w:jc w:val="left"/>
      </w:pPr>
      <w:r w:rsidRPr="000E574B">
        <w:lastRenderedPageBreak/>
        <w:t>Calificaciones</w:t>
      </w:r>
    </w:p>
    <w:p w:rsidR="00896F3A" w:rsidRDefault="00896F3A" w:rsidP="00896F3A">
      <w:pPr>
        <w:pStyle w:val="Paragraph"/>
        <w:numPr>
          <w:ilvl w:val="1"/>
          <w:numId w:val="15"/>
        </w:numPr>
        <w:tabs>
          <w:tab w:val="clear" w:pos="2736"/>
          <w:tab w:val="num" w:pos="720"/>
        </w:tabs>
        <w:ind w:left="720" w:hanging="720"/>
      </w:pPr>
      <w:r w:rsidRPr="000E574B">
        <w:t xml:space="preserve">Profesional con grado universitario en áreas relacionadas con la ICES, con experiencia en manejo de bases de datos, análisis de los mismos. Dependiendo del caso específico de cada ciudad estas calificaciones podrán variar. </w:t>
      </w:r>
    </w:p>
    <w:p w:rsidR="00896F3A" w:rsidRDefault="00896F3A" w:rsidP="00E03622">
      <w:pPr>
        <w:sectPr w:rsidR="00896F3A" w:rsidSect="00A319D4">
          <w:type w:val="continuous"/>
          <w:pgSz w:w="12240" w:h="15840" w:code="1"/>
          <w:pgMar w:top="1440" w:right="1800" w:bottom="1440" w:left="1800" w:header="720" w:footer="720" w:gutter="0"/>
          <w:cols w:space="720"/>
          <w:docGrid w:linePitch="360"/>
        </w:sectPr>
      </w:pPr>
    </w:p>
    <w:p w:rsidR="00896F3A" w:rsidRPr="000E574B" w:rsidRDefault="00896F3A" w:rsidP="00896F3A">
      <w:pPr>
        <w:pStyle w:val="Chapter"/>
        <w:numPr>
          <w:ilvl w:val="0"/>
          <w:numId w:val="15"/>
        </w:numPr>
        <w:tabs>
          <w:tab w:val="clear" w:pos="2088"/>
          <w:tab w:val="num" w:pos="648"/>
        </w:tabs>
        <w:spacing w:after="120"/>
        <w:ind w:left="0"/>
        <w:jc w:val="left"/>
      </w:pPr>
      <w:r w:rsidRPr="000E574B">
        <w:lastRenderedPageBreak/>
        <w:t>Supervisión</w:t>
      </w:r>
    </w:p>
    <w:p w:rsidR="00896F3A" w:rsidRPr="00896F3A" w:rsidRDefault="00896F3A" w:rsidP="00896F3A">
      <w:pPr>
        <w:pStyle w:val="Paragraph"/>
        <w:numPr>
          <w:ilvl w:val="1"/>
          <w:numId w:val="15"/>
        </w:numPr>
        <w:tabs>
          <w:tab w:val="clear" w:pos="2736"/>
          <w:tab w:val="num" w:pos="720"/>
        </w:tabs>
        <w:ind w:left="720" w:hanging="720"/>
      </w:pPr>
      <w:r w:rsidRPr="00E03622">
        <w:t>La supervisión de las consultorías será efectuada por Huáscar Eguino, Especialista Líder (IFD</w:t>
      </w:r>
      <w:r>
        <w:t>/FMM</w:t>
      </w:r>
      <w:r w:rsidRPr="00E03622">
        <w:t>), apoyado por el Jefe de Ciudad.</w:t>
      </w:r>
      <w:r w:rsidRPr="00E03622" w:rsidDel="00E03622">
        <w:t xml:space="preserve"> </w:t>
      </w:r>
      <w:r>
        <w:br w:type="page"/>
      </w:r>
    </w:p>
    <w:p w:rsidR="00896F3A" w:rsidRPr="00541E53" w:rsidRDefault="00896F3A" w:rsidP="008109EC">
      <w:pPr>
        <w:keepNext/>
        <w:tabs>
          <w:tab w:val="left" w:pos="1440"/>
        </w:tabs>
        <w:spacing w:after="120"/>
        <w:rPr>
          <w:b/>
          <w:lang w:val="pt-BR"/>
        </w:rPr>
      </w:pPr>
      <w:r w:rsidRPr="00541E53">
        <w:rPr>
          <w:b/>
          <w:lang w:val="pt-BR"/>
        </w:rPr>
        <w:lastRenderedPageBreak/>
        <w:t>Regional</w:t>
      </w:r>
    </w:p>
    <w:p w:rsidR="00896F3A" w:rsidRPr="00896F3A" w:rsidRDefault="00896F3A" w:rsidP="008109EC">
      <w:pPr>
        <w:keepNext/>
        <w:tabs>
          <w:tab w:val="left" w:pos="1440"/>
        </w:tabs>
        <w:spacing w:after="120"/>
        <w:rPr>
          <w:b/>
          <w:lang w:val="pt-BR"/>
        </w:rPr>
      </w:pPr>
      <w:r w:rsidRPr="00896F3A">
        <w:rPr>
          <w:b/>
          <w:lang w:val="pt-BR"/>
        </w:rPr>
        <w:t xml:space="preserve">IFD/FMM/ICES/ </w:t>
      </w:r>
      <w:r w:rsidRPr="00381F59">
        <w:rPr>
          <w:b/>
          <w:lang w:val="pt-BR"/>
        </w:rPr>
        <w:t>Anexo I (</w:t>
      </w:r>
      <w:r>
        <w:rPr>
          <w:b/>
          <w:lang w:val="pt-BR"/>
        </w:rPr>
        <w:t>C</w:t>
      </w:r>
      <w:r w:rsidRPr="00381F59">
        <w:rPr>
          <w:b/>
          <w:lang w:val="pt-BR"/>
        </w:rPr>
        <w:t>)</w:t>
      </w:r>
    </w:p>
    <w:p w:rsidR="00896F3A" w:rsidRPr="00DF4557" w:rsidRDefault="00896F3A" w:rsidP="008109EC">
      <w:pPr>
        <w:keepNext/>
        <w:tabs>
          <w:tab w:val="left" w:pos="1440"/>
        </w:tabs>
        <w:spacing w:after="120"/>
        <w:rPr>
          <w:b/>
        </w:rPr>
      </w:pPr>
      <w:r w:rsidRPr="00DF4557">
        <w:rPr>
          <w:b/>
        </w:rPr>
        <w:t>Consultor</w:t>
      </w:r>
      <w:r w:rsidRPr="00DF4557">
        <w:rPr>
          <w:rFonts w:hint="eastAsia"/>
          <w:b/>
        </w:rPr>
        <w:t>í</w:t>
      </w:r>
      <w:r w:rsidRPr="00DF4557">
        <w:rPr>
          <w:b/>
        </w:rPr>
        <w:t>a de Apoyo para la Aplicaci</w:t>
      </w:r>
      <w:r w:rsidRPr="00DF4557">
        <w:rPr>
          <w:rFonts w:hint="eastAsia"/>
          <w:b/>
        </w:rPr>
        <w:t>ó</w:t>
      </w:r>
      <w:r w:rsidRPr="00DF4557">
        <w:rPr>
          <w:b/>
        </w:rPr>
        <w:t>n de la metodolog</w:t>
      </w:r>
      <w:r w:rsidRPr="00DF4557">
        <w:rPr>
          <w:rFonts w:hint="eastAsia"/>
          <w:b/>
        </w:rPr>
        <w:t>í</w:t>
      </w:r>
      <w:r w:rsidRPr="00DF4557">
        <w:rPr>
          <w:b/>
        </w:rPr>
        <w:t>a ICES en una Ciudad Adicional en Colombia y para la Coordinaci</w:t>
      </w:r>
      <w:r w:rsidRPr="00DF4557">
        <w:rPr>
          <w:rFonts w:hint="eastAsia"/>
          <w:b/>
        </w:rPr>
        <w:t>ó</w:t>
      </w:r>
      <w:r w:rsidRPr="00DF4557">
        <w:rPr>
          <w:b/>
        </w:rPr>
        <w:t>n de los Equipos Locales y Findeter (Componente 1 y contrato 5 y 6)</w:t>
      </w:r>
    </w:p>
    <w:p w:rsidR="00896F3A" w:rsidRDefault="00896F3A" w:rsidP="0099051F">
      <w:r w:rsidRPr="00DF4557">
        <w:rPr>
          <w:b/>
          <w:smallCaps/>
          <w:lang w:val="es-ES"/>
        </w:rPr>
        <w:t>T</w:t>
      </w:r>
      <w:r w:rsidRPr="00DF4557">
        <w:rPr>
          <w:rFonts w:hint="eastAsia"/>
          <w:b/>
          <w:smallCaps/>
          <w:lang w:val="es-ES"/>
        </w:rPr>
        <w:t>é</w:t>
      </w:r>
      <w:r w:rsidRPr="00DF4557">
        <w:rPr>
          <w:b/>
          <w:smallCaps/>
          <w:lang w:val="es-ES"/>
        </w:rPr>
        <w:t>rminos de Referencia</w:t>
      </w:r>
      <w:r>
        <w:rPr>
          <w:b/>
          <w:smallCaps/>
          <w:lang w:val="es-ES"/>
        </w:rPr>
        <w:t xml:space="preserve"> </w:t>
      </w:r>
      <w:bookmarkStart w:id="2" w:name="_Toc219199610"/>
    </w:p>
    <w:p w:rsidR="00896F3A" w:rsidRDefault="00896F3A" w:rsidP="0099051F">
      <w:pPr>
        <w:sectPr w:rsidR="00896F3A" w:rsidSect="00A319D4">
          <w:headerReference w:type="even" r:id="rId16"/>
          <w:type w:val="continuous"/>
          <w:pgSz w:w="12240" w:h="15840" w:code="1"/>
          <w:pgMar w:top="1440" w:right="1800" w:bottom="1440" w:left="1800" w:header="720" w:footer="720" w:gutter="0"/>
          <w:cols w:space="720"/>
          <w:docGrid w:linePitch="360"/>
        </w:sectPr>
      </w:pPr>
    </w:p>
    <w:p w:rsidR="00896F3A" w:rsidRPr="008109EC" w:rsidRDefault="00896F3A" w:rsidP="00896F3A">
      <w:pPr>
        <w:pStyle w:val="Chapter"/>
        <w:numPr>
          <w:ilvl w:val="0"/>
          <w:numId w:val="16"/>
        </w:numPr>
        <w:tabs>
          <w:tab w:val="clear" w:pos="2088"/>
          <w:tab w:val="num" w:pos="648"/>
        </w:tabs>
        <w:ind w:left="0"/>
        <w:jc w:val="left"/>
      </w:pPr>
      <w:r w:rsidRPr="008109EC">
        <w:lastRenderedPageBreak/>
        <w:t>Antecedentes</w:t>
      </w:r>
    </w:p>
    <w:p w:rsidR="00896F3A" w:rsidRPr="00A93EC6" w:rsidRDefault="00896F3A" w:rsidP="00896F3A">
      <w:pPr>
        <w:pStyle w:val="Paragraph"/>
        <w:numPr>
          <w:ilvl w:val="1"/>
          <w:numId w:val="16"/>
        </w:numPr>
        <w:tabs>
          <w:tab w:val="clear" w:pos="2736"/>
          <w:tab w:val="num" w:pos="720"/>
        </w:tabs>
        <w:spacing w:before="0"/>
        <w:ind w:left="720" w:hanging="720"/>
      </w:pPr>
      <w:r w:rsidRPr="00A93EC6">
        <w:t xml:space="preserve">El rápido proceso de urbanización observado en América Latina y el Caribe (ALC) durante las últimas décadas ha traído numerosos retos para el desarrollo de la región: </w:t>
      </w:r>
      <w:r>
        <w:t>(</w:t>
      </w:r>
      <w:r w:rsidRPr="00A93EC6">
        <w:t xml:space="preserve">a) crecimiento desordenado y patrones de uso de suelo inadecuados; </w:t>
      </w:r>
      <w:r>
        <w:t>(</w:t>
      </w:r>
      <w:r w:rsidRPr="00A93EC6">
        <w:t>b)</w:t>
      </w:r>
      <w:r>
        <w:t> </w:t>
      </w:r>
      <w:r w:rsidRPr="00A93EC6">
        <w:t xml:space="preserve">proporción creciente de la población viviendo en condiciones de pobreza; </w:t>
      </w:r>
      <w:r>
        <w:t>(</w:t>
      </w:r>
      <w:r w:rsidRPr="00A93EC6">
        <w:t>c)</w:t>
      </w:r>
      <w:r>
        <w:t> </w:t>
      </w:r>
      <w:r w:rsidRPr="00A93EC6">
        <w:t xml:space="preserve">limitación de recursos y capacidades institucionales; y </w:t>
      </w:r>
      <w:r>
        <w:t>(</w:t>
      </w:r>
      <w:r w:rsidRPr="00A93EC6">
        <w:t>d) crecientes problemas ambientales y sociales, aumento de la vulnerabilidad de la población. Los desafíos de la urbanización acelerada adquieren mayor relevancia en ciudades de tamaño intermedio, donde la población urbana tiende a asentarse cada vez más.</w:t>
      </w:r>
    </w:p>
    <w:p w:rsidR="00896F3A" w:rsidRPr="008109EC" w:rsidRDefault="00896F3A" w:rsidP="00896F3A">
      <w:pPr>
        <w:pStyle w:val="Paragraph"/>
        <w:numPr>
          <w:ilvl w:val="1"/>
          <w:numId w:val="16"/>
        </w:numPr>
        <w:tabs>
          <w:tab w:val="clear" w:pos="2736"/>
          <w:tab w:val="num" w:pos="720"/>
        </w:tabs>
        <w:spacing w:before="0"/>
        <w:ind w:left="720" w:hanging="720"/>
      </w:pPr>
      <w:r w:rsidRPr="008109EC">
        <w:t>Aproximadamente el 27% de la población urbana latinoamericana 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Los eventos climáticos extremos, cada vez más comunes, acrecientan la situación de vulnerabilidad de esta población, especialmente en las ciudades costeras o situadas en llanuras que pudieran ser afectadas por inundaciones. Al mismo tiempo, la vida urbana acelera el proceso de cambio climático: las ciudades son responsables del consumo de más del 75% de la energía distribuida y de la producción de un 75-80% de los gases de efecto invernadero</w:t>
      </w:r>
      <w:r w:rsidRPr="008109EC">
        <w:rPr>
          <w:vertAlign w:val="superscript"/>
        </w:rPr>
        <w:footnoteReference w:id="2"/>
      </w:r>
      <w:r w:rsidRPr="008109EC">
        <w:t xml:space="preserve">. Por otra parte, el proceso de descentralización que se ha desarrollado en la región durante las dos últimas décadas ha provocado que una gran parte de los gobiernos locales deba asumir responsabilidades mayores en la provisión de servicios, aunque no explote de forma adecuada sus fuentes propias de ingreso y dependa de transferencias nacionales para su financiamiento. </w:t>
      </w:r>
    </w:p>
    <w:p w:rsidR="00896F3A" w:rsidRPr="008109EC" w:rsidRDefault="00896F3A" w:rsidP="00896F3A">
      <w:pPr>
        <w:pStyle w:val="Paragraph"/>
        <w:numPr>
          <w:ilvl w:val="1"/>
          <w:numId w:val="16"/>
        </w:numPr>
        <w:tabs>
          <w:tab w:val="clear" w:pos="2736"/>
          <w:tab w:val="num" w:pos="720"/>
        </w:tabs>
        <w:spacing w:before="0"/>
        <w:ind w:left="720" w:hanging="720"/>
      </w:pPr>
      <w:r w:rsidRPr="008109EC">
        <w:t xml:space="preserve">El tratamiento de estos retos exigió el lanzamiento de una nueva iniciativa del BID, Ciudades Emergentes y Sostenibles (CES), destinada a contribuir al logro de la sostenibilidad urbana, ambiental y fiscal de ciudades con una población intermedia en rápido crecimiento. La iniciativa CES procura un desarrollo integral de las ciudades que han tenido un alto crecimiento poblacional y desarrollo socioeconómico. </w:t>
      </w:r>
    </w:p>
    <w:p w:rsidR="00896F3A" w:rsidRPr="008109EC" w:rsidRDefault="00896F3A" w:rsidP="00896F3A">
      <w:pPr>
        <w:pStyle w:val="Paragraph"/>
        <w:numPr>
          <w:ilvl w:val="1"/>
          <w:numId w:val="16"/>
        </w:numPr>
        <w:tabs>
          <w:tab w:val="clear" w:pos="2736"/>
          <w:tab w:val="num" w:pos="720"/>
        </w:tabs>
        <w:spacing w:before="0"/>
        <w:ind w:left="720" w:hanging="720"/>
      </w:pPr>
      <w:r w:rsidRPr="008109EC">
        <w:t xml:space="preserve">La iniciativa permite identificar restricciones o cuellos de botella que se encuentren obstaculizando el camino a la sostenibilidad y priorizar los problemas </w:t>
      </w:r>
      <w:r w:rsidRPr="008109EC">
        <w:lastRenderedPageBreak/>
        <w:t>identificados para guiar decisiones de inversión en los sectores que tienen el potencial de generar mayores impactos positivos, elaborando un plan de acción y financiamiento.</w:t>
      </w:r>
    </w:p>
    <w:p w:rsidR="00896F3A" w:rsidRDefault="00896F3A" w:rsidP="00896F3A">
      <w:pPr>
        <w:pStyle w:val="Paragraph"/>
        <w:numPr>
          <w:ilvl w:val="1"/>
          <w:numId w:val="16"/>
        </w:numPr>
        <w:tabs>
          <w:tab w:val="clear" w:pos="2736"/>
          <w:tab w:val="num" w:pos="720"/>
        </w:tabs>
        <w:spacing w:before="0"/>
        <w:ind w:left="720" w:hanging="720"/>
      </w:pPr>
      <w:r w:rsidRPr="008109EC">
        <w:t>Las ciudades seleccionadas cuentan con un equipo interdisciplinario del Banco para trabajar en la aplicación de la Metodología, quienes requieren de la contratación de un consultor de apoyo local que colabore con el equipo en la definición de indicadores, coordinación de la gestión del plan de trabajos, criterios de priorización, desarrollo de planes de acción, preparación de TDR para contratación de estudios y preparación de informes.</w:t>
      </w:r>
      <w:r>
        <w:t xml:space="preserve"> </w:t>
      </w:r>
    </w:p>
    <w:p w:rsidR="00896F3A" w:rsidRDefault="00896F3A" w:rsidP="0099051F">
      <w:pPr>
        <w:sectPr w:rsidR="00896F3A" w:rsidSect="00A319D4">
          <w:type w:val="continuous"/>
          <w:pgSz w:w="12240" w:h="15840" w:code="1"/>
          <w:pgMar w:top="1440" w:right="1800" w:bottom="1440" w:left="1800" w:header="720" w:footer="720" w:gutter="0"/>
          <w:cols w:space="720"/>
          <w:docGrid w:linePitch="360"/>
        </w:sectPr>
      </w:pPr>
    </w:p>
    <w:p w:rsidR="00896F3A" w:rsidRPr="008109EC" w:rsidRDefault="00896F3A" w:rsidP="00896F3A">
      <w:pPr>
        <w:pStyle w:val="Chapter"/>
        <w:numPr>
          <w:ilvl w:val="0"/>
          <w:numId w:val="16"/>
        </w:numPr>
        <w:tabs>
          <w:tab w:val="clear" w:pos="2088"/>
          <w:tab w:val="num" w:pos="648"/>
        </w:tabs>
        <w:ind w:left="0"/>
        <w:jc w:val="left"/>
      </w:pPr>
      <w:r w:rsidRPr="008109EC">
        <w:lastRenderedPageBreak/>
        <w:t>Objetivos de la consultoría</w:t>
      </w:r>
    </w:p>
    <w:p w:rsidR="00896F3A" w:rsidRDefault="00896F3A" w:rsidP="00896F3A">
      <w:pPr>
        <w:pStyle w:val="Paragraph"/>
        <w:numPr>
          <w:ilvl w:val="1"/>
          <w:numId w:val="16"/>
        </w:numPr>
        <w:tabs>
          <w:tab w:val="clear" w:pos="2736"/>
          <w:tab w:val="num" w:pos="720"/>
        </w:tabs>
        <w:ind w:left="720" w:hanging="720"/>
      </w:pPr>
      <w:r w:rsidRPr="008109EC">
        <w:t xml:space="preserve">Esta consultoría tendrá los siguientes objetivos: </w:t>
      </w:r>
      <w:r>
        <w:t>(</w:t>
      </w:r>
      <w:r w:rsidRPr="008109EC">
        <w:t>a) apoyo técnico al equipo de la ICES y la Ciudad en la aplicación de la metodología en el marco del Acuerdo entre el Banco y Findeter</w:t>
      </w:r>
      <w:r>
        <w:t>;</w:t>
      </w:r>
      <w:r w:rsidRPr="008109EC">
        <w:t xml:space="preserve"> </w:t>
      </w:r>
      <w:r>
        <w:t>(</w:t>
      </w:r>
      <w:r w:rsidRPr="008109EC">
        <w:t>b) coordinar técnica y administrativa  de los trabajos de los especialistas locales y otros consultores en áreas medioambientales, urbanas y fiscales, para que desarrollen su actividad en tiempo y forma</w:t>
      </w:r>
      <w:r>
        <w:t>,</w:t>
      </w:r>
      <w:r w:rsidRPr="008109EC">
        <w:t xml:space="preserve"> y </w:t>
      </w:r>
      <w:r>
        <w:t>(</w:t>
      </w:r>
      <w:r w:rsidRPr="008109EC">
        <w:t>c)</w:t>
      </w:r>
      <w:r>
        <w:t> </w:t>
      </w:r>
      <w:r w:rsidRPr="008109EC">
        <w:t>preparación de informes y TDR necesarios para el desarrollo y aplicación de la iniciativa en la ciudad.</w:t>
      </w:r>
      <w:r>
        <w:t xml:space="preserve"> </w:t>
      </w:r>
      <w:bookmarkEnd w:id="2"/>
    </w:p>
    <w:p w:rsidR="00896F3A" w:rsidRDefault="00896F3A" w:rsidP="0099051F">
      <w:pPr>
        <w:sectPr w:rsidR="00896F3A" w:rsidSect="00A319D4">
          <w:type w:val="continuous"/>
          <w:pgSz w:w="12240" w:h="15840" w:code="1"/>
          <w:pgMar w:top="1440" w:right="1800" w:bottom="1440" w:left="1800" w:header="720" w:footer="720" w:gutter="0"/>
          <w:cols w:space="720"/>
          <w:docGrid w:linePitch="360"/>
        </w:sectPr>
      </w:pPr>
    </w:p>
    <w:p w:rsidR="00896F3A" w:rsidRPr="008109EC" w:rsidRDefault="00896F3A" w:rsidP="00896F3A">
      <w:pPr>
        <w:pStyle w:val="Chapter"/>
        <w:numPr>
          <w:ilvl w:val="0"/>
          <w:numId w:val="16"/>
        </w:numPr>
        <w:tabs>
          <w:tab w:val="clear" w:pos="2088"/>
          <w:tab w:val="num" w:pos="648"/>
        </w:tabs>
        <w:ind w:left="0"/>
        <w:jc w:val="left"/>
      </w:pPr>
      <w:r w:rsidRPr="008109EC">
        <w:lastRenderedPageBreak/>
        <w:t>Actividades principales</w:t>
      </w:r>
    </w:p>
    <w:p w:rsidR="00896F3A" w:rsidRPr="008109EC" w:rsidRDefault="00896F3A" w:rsidP="00896F3A">
      <w:pPr>
        <w:pStyle w:val="Paragraph"/>
        <w:numPr>
          <w:ilvl w:val="1"/>
          <w:numId w:val="16"/>
        </w:numPr>
        <w:tabs>
          <w:tab w:val="clear" w:pos="2736"/>
          <w:tab w:val="num" w:pos="720"/>
        </w:tabs>
        <w:spacing w:before="0"/>
        <w:ind w:left="720" w:hanging="720"/>
      </w:pPr>
      <w:r w:rsidRPr="008109EC">
        <w:t xml:space="preserve">Para el logro del objetivo señalado, esta consultoría incluirá una o más de las siguientes actividades, dependiendo de la tarea a realizar: </w:t>
      </w:r>
      <w:r>
        <w:t>(</w:t>
      </w:r>
      <w:r w:rsidRPr="008109EC">
        <w:t>a) revisión técnica de documentos y antecedentes disponibles</w:t>
      </w:r>
      <w:r>
        <w:t>;</w:t>
      </w:r>
      <w:r w:rsidRPr="008109EC">
        <w:t xml:space="preserve"> </w:t>
      </w:r>
      <w:r>
        <w:t>(</w:t>
      </w:r>
      <w:r w:rsidRPr="008109EC">
        <w:t>b) realizar o participar en entrevistas</w:t>
      </w:r>
      <w:r>
        <w:t>;</w:t>
      </w:r>
      <w:r w:rsidRPr="008109EC">
        <w:t xml:space="preserve"> </w:t>
      </w:r>
      <w:r>
        <w:t>(</w:t>
      </w:r>
      <w:r w:rsidRPr="008109EC">
        <w:t>c)</w:t>
      </w:r>
      <w:r>
        <w:t> </w:t>
      </w:r>
      <w:r w:rsidRPr="008109EC">
        <w:t xml:space="preserve">realizar visitas de campo, y </w:t>
      </w:r>
      <w:r>
        <w:t>(</w:t>
      </w:r>
      <w:r w:rsidRPr="008109EC">
        <w:t>d) coordinar, participar y apoyar las demás actividades y estudios técnicos a desarrollarse de manera que permitan responder adecuadamente con los objetivos de la presente aplicación. Dichas actividades podrán estar relacionadas con una o más de las actividades o temas que se describen a continuación</w:t>
      </w:r>
      <w:r>
        <w:t>:</w:t>
      </w:r>
      <w:r w:rsidRPr="008109EC">
        <w:t xml:space="preserve"> </w:t>
      </w:r>
    </w:p>
    <w:p w:rsidR="00896F3A" w:rsidRPr="008109EC" w:rsidRDefault="00896F3A" w:rsidP="00896F3A">
      <w:pPr>
        <w:pStyle w:val="subpar"/>
        <w:numPr>
          <w:ilvl w:val="2"/>
          <w:numId w:val="16"/>
        </w:numPr>
        <w:tabs>
          <w:tab w:val="clear" w:pos="2592"/>
          <w:tab w:val="num" w:pos="1152"/>
        </w:tabs>
        <w:spacing w:after="0"/>
        <w:ind w:left="1152"/>
      </w:pPr>
      <w:r w:rsidRPr="008109EC">
        <w:t xml:space="preserve">Revisión de información existente. Revisión de los estudios y datos disponibles y apoyo en el análisis de los mismos. </w:t>
      </w:r>
    </w:p>
    <w:p w:rsidR="00896F3A" w:rsidRPr="008109EC" w:rsidRDefault="00896F3A" w:rsidP="00896F3A">
      <w:pPr>
        <w:pStyle w:val="subpar"/>
        <w:numPr>
          <w:ilvl w:val="2"/>
          <w:numId w:val="16"/>
        </w:numPr>
        <w:tabs>
          <w:tab w:val="clear" w:pos="2592"/>
          <w:tab w:val="num" w:pos="1152"/>
        </w:tabs>
        <w:spacing w:after="0"/>
        <w:ind w:left="1152"/>
      </w:pPr>
      <w:r w:rsidRPr="008109EC">
        <w:t>Análisis y procesamiento de indicadores. Análisis técnico y procesamiento de los indicadores relevados para los distintos temas y sectores identificados, estudiando la razonabilidad y coherencia de los mismos. Asimismo, realizará un análisis técnico y procesamiento de aquellos indicadores que se hayan identificado para ser georeferenciados.</w:t>
      </w:r>
    </w:p>
    <w:p w:rsidR="00896F3A" w:rsidRPr="008109EC" w:rsidRDefault="00896F3A" w:rsidP="00896F3A">
      <w:pPr>
        <w:pStyle w:val="subpar"/>
        <w:numPr>
          <w:ilvl w:val="2"/>
          <w:numId w:val="16"/>
        </w:numPr>
        <w:tabs>
          <w:tab w:val="clear" w:pos="2592"/>
          <w:tab w:val="num" w:pos="1152"/>
        </w:tabs>
        <w:spacing w:after="0"/>
        <w:ind w:left="1152"/>
      </w:pPr>
      <w:r w:rsidRPr="008109EC">
        <w:t>Otros estudios. Apoyo, análisis y procesamiento de los documentos y adaptación de los TDR necesarios para la contratación de otros estudios necesarios para la aplicación de la iniciativa, tales como encuesta de opinión, huella urbana y cambio climático.</w:t>
      </w:r>
    </w:p>
    <w:p w:rsidR="00896F3A" w:rsidRPr="008109EC" w:rsidRDefault="00896F3A" w:rsidP="00896F3A">
      <w:pPr>
        <w:pStyle w:val="subpar"/>
        <w:numPr>
          <w:ilvl w:val="2"/>
          <w:numId w:val="16"/>
        </w:numPr>
        <w:tabs>
          <w:tab w:val="clear" w:pos="2592"/>
          <w:tab w:val="num" w:pos="1152"/>
        </w:tabs>
        <w:spacing w:after="0"/>
        <w:ind w:left="1152"/>
      </w:pPr>
      <w:r w:rsidRPr="008109EC">
        <w:lastRenderedPageBreak/>
        <w:t>Aplicación de filtros. Apoyo en el desarrollo de la aplicación de los filtros previstos para establecer la priorización de los temas centrales de las ciudades.</w:t>
      </w:r>
    </w:p>
    <w:p w:rsidR="00896F3A" w:rsidRPr="008109EC" w:rsidRDefault="00896F3A" w:rsidP="00896F3A">
      <w:pPr>
        <w:pStyle w:val="subpar"/>
        <w:numPr>
          <w:ilvl w:val="2"/>
          <w:numId w:val="16"/>
        </w:numPr>
        <w:tabs>
          <w:tab w:val="clear" w:pos="2592"/>
          <w:tab w:val="num" w:pos="1152"/>
        </w:tabs>
        <w:spacing w:after="0"/>
        <w:ind w:left="1152"/>
      </w:pPr>
      <w:r w:rsidRPr="008109EC">
        <w:t xml:space="preserve">Desarrollo de posibles soluciones. Análisis e identificación de las posibles soluciones para las prioridades establecidas, tanto a nivel sectorial como territorial. Para ello se basará en el diálogo con los especialistas sectoriales, el equipo de cada ciudad y los estudios realizados y sus conclusiones. </w:t>
      </w:r>
    </w:p>
    <w:p w:rsidR="00896F3A" w:rsidRDefault="00896F3A" w:rsidP="00896F3A">
      <w:pPr>
        <w:pStyle w:val="subpar"/>
        <w:numPr>
          <w:ilvl w:val="2"/>
          <w:numId w:val="16"/>
        </w:numPr>
        <w:tabs>
          <w:tab w:val="clear" w:pos="2592"/>
          <w:tab w:val="num" w:pos="1152"/>
        </w:tabs>
        <w:spacing w:after="0"/>
        <w:ind w:left="1152"/>
      </w:pPr>
      <w:r w:rsidRPr="008109EC">
        <w:t xml:space="preserve">Planes de Acción y Financiamiento, Monitoreo Ciudadano. Apoyo en el desarrollo de las alternativas de solución escogidas sectorialmente y </w:t>
      </w:r>
      <w:r w:rsidRPr="008109EC">
        <w:rPr>
          <w:lang w:val="es-AR"/>
        </w:rPr>
        <w:t xml:space="preserve">especificación de las necesidades de estudios de reinversión. Estimación de costos. Asimismo se analizará e identificarán las posibles fuentes de financiamiento. Elaboración del documento del Plan de Acción y Financiamiento para cada ciudad. Establecimiento del sistema de monitoreo ciudadano. Apoyo en la preparación de la Cooperación </w:t>
      </w:r>
      <w:r w:rsidRPr="00A93EC6">
        <w:t>Técnica para el financiamiento de estudios de preinversión.</w:t>
      </w:r>
      <w:r>
        <w:t xml:space="preserve"> </w:t>
      </w:r>
    </w:p>
    <w:p w:rsidR="00896F3A" w:rsidRDefault="00896F3A" w:rsidP="0099051F">
      <w:pPr>
        <w:sectPr w:rsidR="00896F3A" w:rsidSect="00A319D4">
          <w:type w:val="continuous"/>
          <w:pgSz w:w="12240" w:h="15840" w:code="1"/>
          <w:pgMar w:top="1440" w:right="1800" w:bottom="1440" w:left="1800" w:header="720" w:footer="720" w:gutter="0"/>
          <w:cols w:space="720"/>
          <w:docGrid w:linePitch="360"/>
        </w:sectPr>
      </w:pPr>
    </w:p>
    <w:p w:rsidR="00896F3A" w:rsidRPr="008109EC" w:rsidRDefault="00896F3A" w:rsidP="00896F3A">
      <w:pPr>
        <w:pStyle w:val="Chapter"/>
        <w:numPr>
          <w:ilvl w:val="0"/>
          <w:numId w:val="16"/>
        </w:numPr>
        <w:tabs>
          <w:tab w:val="clear" w:pos="2088"/>
          <w:tab w:val="num" w:pos="648"/>
        </w:tabs>
        <w:ind w:left="0"/>
        <w:jc w:val="left"/>
      </w:pPr>
      <w:r w:rsidRPr="008109EC">
        <w:lastRenderedPageBreak/>
        <w:t>Informes</w:t>
      </w:r>
    </w:p>
    <w:p w:rsidR="00896F3A" w:rsidRDefault="00896F3A" w:rsidP="00896F3A">
      <w:pPr>
        <w:pStyle w:val="Paragraph"/>
        <w:numPr>
          <w:ilvl w:val="1"/>
          <w:numId w:val="16"/>
        </w:numPr>
        <w:tabs>
          <w:tab w:val="clear" w:pos="2736"/>
          <w:tab w:val="num" w:pos="720"/>
        </w:tabs>
        <w:spacing w:before="0"/>
        <w:ind w:left="720" w:hanging="720"/>
      </w:pPr>
      <w:r w:rsidRPr="008109EC">
        <w:t>El consultor acordará un plan de trabajo de acuerdo al cronograma de actividades  previsto para la aplicación de la iniciativa y posteriormente preparará y presentará informes individuales sobre cada una de las consultas encomendadas, conteniendo un breve resumen de la cuestión planteada, el análisis realizado y las recomendaciones formuladas. Cada informe deberá indicar el número de días efectivamente utilizados.</w:t>
      </w:r>
      <w:r>
        <w:t xml:space="preserve"> </w:t>
      </w:r>
    </w:p>
    <w:p w:rsidR="00896F3A" w:rsidRDefault="00896F3A" w:rsidP="0099051F">
      <w:pPr>
        <w:sectPr w:rsidR="00896F3A" w:rsidSect="00A319D4">
          <w:type w:val="continuous"/>
          <w:pgSz w:w="12240" w:h="15840" w:code="1"/>
          <w:pgMar w:top="1440" w:right="1800" w:bottom="1440" w:left="1800" w:header="720" w:footer="720" w:gutter="0"/>
          <w:cols w:space="720"/>
          <w:docGrid w:linePitch="360"/>
        </w:sectPr>
      </w:pPr>
    </w:p>
    <w:p w:rsidR="00896F3A" w:rsidRPr="008109EC" w:rsidRDefault="00896F3A" w:rsidP="00896F3A">
      <w:pPr>
        <w:pStyle w:val="Chapter"/>
        <w:numPr>
          <w:ilvl w:val="0"/>
          <w:numId w:val="16"/>
        </w:numPr>
        <w:tabs>
          <w:tab w:val="clear" w:pos="2088"/>
          <w:tab w:val="num" w:pos="648"/>
        </w:tabs>
        <w:ind w:left="0"/>
        <w:jc w:val="left"/>
      </w:pPr>
      <w:r w:rsidRPr="008109EC">
        <w:lastRenderedPageBreak/>
        <w:t>Cronograma de Pagos</w:t>
      </w:r>
    </w:p>
    <w:p w:rsidR="00896F3A" w:rsidRDefault="00896F3A" w:rsidP="00896F3A">
      <w:pPr>
        <w:pStyle w:val="Paragraph"/>
        <w:numPr>
          <w:ilvl w:val="1"/>
          <w:numId w:val="16"/>
        </w:numPr>
        <w:tabs>
          <w:tab w:val="clear" w:pos="2736"/>
          <w:tab w:val="num" w:pos="720"/>
        </w:tabs>
        <w:spacing w:before="0"/>
        <w:ind w:left="720" w:hanging="720"/>
      </w:pPr>
      <w:r w:rsidRPr="008109EC">
        <w:t>Los pagos se realizarán en forma mensual, en función de los días trabajados por el consultor, y aprobados por el especialista en función de los informes individuales presentados.</w:t>
      </w:r>
      <w:r>
        <w:t xml:space="preserve"> </w:t>
      </w:r>
    </w:p>
    <w:p w:rsidR="00896F3A" w:rsidRDefault="00896F3A" w:rsidP="0099051F">
      <w:pPr>
        <w:sectPr w:rsidR="00896F3A" w:rsidSect="00A319D4">
          <w:type w:val="continuous"/>
          <w:pgSz w:w="12240" w:h="15840" w:code="1"/>
          <w:pgMar w:top="1440" w:right="1800" w:bottom="1440" w:left="1800" w:header="720" w:footer="720" w:gutter="0"/>
          <w:cols w:space="720"/>
          <w:docGrid w:linePitch="360"/>
        </w:sectPr>
      </w:pPr>
    </w:p>
    <w:p w:rsidR="00896F3A" w:rsidRDefault="00896F3A" w:rsidP="00896F3A">
      <w:pPr>
        <w:pStyle w:val="Chapter"/>
        <w:numPr>
          <w:ilvl w:val="0"/>
          <w:numId w:val="16"/>
        </w:numPr>
        <w:tabs>
          <w:tab w:val="clear" w:pos="2088"/>
          <w:tab w:val="num" w:pos="648"/>
        </w:tabs>
        <w:ind w:left="0"/>
        <w:jc w:val="left"/>
      </w:pPr>
      <w:r w:rsidRPr="008109EC">
        <w:lastRenderedPageBreak/>
        <w:t>Calificación del consultor</w:t>
      </w:r>
      <w:r>
        <w:t xml:space="preserve"> </w:t>
      </w:r>
    </w:p>
    <w:p w:rsidR="00896F3A" w:rsidRDefault="00896F3A" w:rsidP="008109EC">
      <w:pPr>
        <w:sectPr w:rsidR="00896F3A" w:rsidSect="00A319D4">
          <w:type w:val="continuous"/>
          <w:pgSz w:w="12240" w:h="15840" w:code="1"/>
          <w:pgMar w:top="1440" w:right="1800" w:bottom="1440" w:left="1800" w:header="720" w:footer="720" w:gutter="0"/>
          <w:cols w:space="720"/>
          <w:docGrid w:linePitch="360"/>
        </w:sectPr>
      </w:pPr>
    </w:p>
    <w:p w:rsidR="00896F3A" w:rsidRDefault="00896F3A" w:rsidP="00896F3A">
      <w:pPr>
        <w:pStyle w:val="Paragraph"/>
        <w:numPr>
          <w:ilvl w:val="1"/>
          <w:numId w:val="16"/>
        </w:numPr>
        <w:tabs>
          <w:tab w:val="clear" w:pos="2736"/>
          <w:tab w:val="num" w:pos="720"/>
        </w:tabs>
        <w:spacing w:before="0"/>
        <w:ind w:left="720" w:hanging="720"/>
      </w:pPr>
      <w:r w:rsidRPr="008109EC">
        <w:lastRenderedPageBreak/>
        <w:t>Consultor nacional o internacional, graduado en ciencias económicas o administración de empresas; más de diez años de experiencia profesional; experiencia previa de trabajo en temas similares a la presente convocatoria; y trabajos previos con organismos internacionales, en particular con el BID.</w:t>
      </w:r>
      <w:r>
        <w:t xml:space="preserve"> </w:t>
      </w:r>
    </w:p>
    <w:p w:rsidR="00896F3A" w:rsidRDefault="00896F3A" w:rsidP="0099051F">
      <w:pPr>
        <w:sectPr w:rsidR="00896F3A" w:rsidSect="00A319D4">
          <w:type w:val="continuous"/>
          <w:pgSz w:w="12240" w:h="15840" w:code="1"/>
          <w:pgMar w:top="1440" w:right="1800" w:bottom="1440" w:left="1800" w:header="720" w:footer="720" w:gutter="0"/>
          <w:cols w:space="720"/>
          <w:docGrid w:linePitch="360"/>
        </w:sectPr>
      </w:pPr>
    </w:p>
    <w:p w:rsidR="00896F3A" w:rsidRPr="008109EC" w:rsidRDefault="00896F3A" w:rsidP="00896F3A">
      <w:pPr>
        <w:pStyle w:val="Chapter"/>
        <w:numPr>
          <w:ilvl w:val="0"/>
          <w:numId w:val="16"/>
        </w:numPr>
        <w:tabs>
          <w:tab w:val="clear" w:pos="2088"/>
          <w:tab w:val="num" w:pos="648"/>
        </w:tabs>
        <w:ind w:left="0"/>
        <w:jc w:val="left"/>
      </w:pPr>
      <w:r w:rsidRPr="008109EC">
        <w:lastRenderedPageBreak/>
        <w:t>Características de la Consultoría</w:t>
      </w:r>
    </w:p>
    <w:p w:rsidR="00896F3A" w:rsidRPr="008109EC" w:rsidRDefault="00896F3A" w:rsidP="00896F3A">
      <w:pPr>
        <w:pStyle w:val="ListParagraph"/>
        <w:numPr>
          <w:ilvl w:val="0"/>
          <w:numId w:val="17"/>
        </w:numPr>
      </w:pPr>
      <w:r w:rsidRPr="008109EC">
        <w:t>Tipo de consultoría: Consultor individual.</w:t>
      </w:r>
    </w:p>
    <w:p w:rsidR="00896F3A" w:rsidRPr="008109EC" w:rsidRDefault="00896F3A" w:rsidP="00896F3A">
      <w:pPr>
        <w:pStyle w:val="ListParagraph"/>
        <w:numPr>
          <w:ilvl w:val="0"/>
          <w:numId w:val="17"/>
        </w:numPr>
      </w:pPr>
      <w:r w:rsidRPr="008109EC">
        <w:t xml:space="preserve">Fecha de inicio y duración: El plazo total de contrato será de 12 meses calendarios contados a partir de la firma del contrato. </w:t>
      </w:r>
    </w:p>
    <w:p w:rsidR="00896F3A" w:rsidRDefault="00896F3A" w:rsidP="00896F3A">
      <w:pPr>
        <w:pStyle w:val="ListParagraph"/>
        <w:numPr>
          <w:ilvl w:val="0"/>
          <w:numId w:val="17"/>
        </w:numPr>
      </w:pPr>
      <w:r w:rsidRPr="008109EC">
        <w:t xml:space="preserve">Lugar y modalidad de trabajo: El trabajo será realizado en la Representación del Banco en Colombia, y cuando sea necesario en las Ciudades Adicionales objeto </w:t>
      </w:r>
      <w:r w:rsidRPr="008109EC">
        <w:lastRenderedPageBreak/>
        <w:t>de la aplicación de la Iniciativa.  Todas las visitas de campo, los gastos de pasajes y viáticos necesarios para la realización de los viajes deberán ser previamente autorizadas por el Especialista respectivo y serán remuneradas según lo establecen las políticas del Banco</w:t>
      </w:r>
      <w:r>
        <w:t xml:space="preserve">. </w:t>
      </w:r>
    </w:p>
    <w:p w:rsidR="00896F3A" w:rsidRDefault="00896F3A" w:rsidP="0099051F">
      <w:pPr>
        <w:sectPr w:rsidR="00896F3A" w:rsidSect="00A319D4">
          <w:type w:val="continuous"/>
          <w:pgSz w:w="12240" w:h="15840" w:code="1"/>
          <w:pgMar w:top="1440" w:right="1800" w:bottom="1440" w:left="1800" w:header="720" w:footer="720" w:gutter="0"/>
          <w:cols w:space="720"/>
          <w:docGrid w:linePitch="360"/>
        </w:sectPr>
      </w:pPr>
    </w:p>
    <w:p w:rsidR="00896F3A" w:rsidRPr="008109EC" w:rsidRDefault="00896F3A" w:rsidP="00896F3A">
      <w:pPr>
        <w:pStyle w:val="Chapter"/>
        <w:numPr>
          <w:ilvl w:val="0"/>
          <w:numId w:val="16"/>
        </w:numPr>
        <w:tabs>
          <w:tab w:val="clear" w:pos="2088"/>
          <w:tab w:val="num" w:pos="648"/>
        </w:tabs>
        <w:ind w:left="0"/>
        <w:jc w:val="left"/>
      </w:pPr>
      <w:r w:rsidRPr="008109EC">
        <w:lastRenderedPageBreak/>
        <w:t>Supervisión</w:t>
      </w:r>
    </w:p>
    <w:p w:rsidR="00896F3A" w:rsidRPr="00A93EC6" w:rsidRDefault="00896F3A" w:rsidP="00896F3A">
      <w:pPr>
        <w:pStyle w:val="Paragraph"/>
        <w:numPr>
          <w:ilvl w:val="1"/>
          <w:numId w:val="16"/>
        </w:numPr>
        <w:tabs>
          <w:tab w:val="clear" w:pos="2736"/>
          <w:tab w:val="num" w:pos="720"/>
        </w:tabs>
        <w:spacing w:before="0"/>
        <w:ind w:left="720" w:hanging="720"/>
        <w:rPr>
          <w:b/>
        </w:rPr>
      </w:pPr>
      <w:r w:rsidRPr="008109EC">
        <w:t xml:space="preserve">Se desempeñará bajo la supervisión de Huáscar Eguino, Especialista Líder (FMM/IFD), apoyado por el Jefe de Ciudad. </w:t>
      </w:r>
    </w:p>
    <w:p w:rsidR="00896F3A" w:rsidRDefault="00896F3A">
      <w:pPr>
        <w:rPr>
          <w:szCs w:val="20"/>
        </w:rPr>
      </w:pPr>
      <w:r>
        <w:br w:type="page"/>
      </w:r>
    </w:p>
    <w:p w:rsidR="00896F3A" w:rsidRPr="00541E53" w:rsidRDefault="00896F3A" w:rsidP="00AF3536">
      <w:pPr>
        <w:pStyle w:val="BodyText"/>
        <w:tabs>
          <w:tab w:val="left" w:pos="0"/>
        </w:tabs>
        <w:spacing w:after="120"/>
        <w:ind w:right="0"/>
        <w:rPr>
          <w:b/>
          <w:lang w:val="pt-BR"/>
        </w:rPr>
      </w:pPr>
      <w:r w:rsidRPr="00541E53">
        <w:rPr>
          <w:b/>
          <w:lang w:val="pt-BR"/>
        </w:rPr>
        <w:lastRenderedPageBreak/>
        <w:t>Regional</w:t>
      </w:r>
    </w:p>
    <w:p w:rsidR="00896F3A" w:rsidRPr="00896F3A" w:rsidRDefault="00896F3A" w:rsidP="00AF3536">
      <w:pPr>
        <w:pStyle w:val="BodyText"/>
        <w:tabs>
          <w:tab w:val="left" w:pos="0"/>
        </w:tabs>
        <w:spacing w:after="120"/>
        <w:ind w:right="0"/>
        <w:rPr>
          <w:b/>
          <w:lang w:val="pt-BR"/>
        </w:rPr>
      </w:pPr>
      <w:r w:rsidRPr="00896F3A">
        <w:rPr>
          <w:b/>
          <w:lang w:val="pt-BR"/>
        </w:rPr>
        <w:t xml:space="preserve">IFD/FMM/ICES/ </w:t>
      </w:r>
      <w:r>
        <w:rPr>
          <w:b/>
          <w:lang w:val="pt-BR"/>
        </w:rPr>
        <w:t>Anexo I (D</w:t>
      </w:r>
      <w:r w:rsidRPr="00381F59">
        <w:rPr>
          <w:b/>
          <w:lang w:val="pt-BR"/>
        </w:rPr>
        <w:t>)</w:t>
      </w:r>
    </w:p>
    <w:p w:rsidR="00896F3A" w:rsidRPr="00F6738D" w:rsidRDefault="00896F3A" w:rsidP="00AF3536">
      <w:pPr>
        <w:pStyle w:val="BodyText"/>
        <w:tabs>
          <w:tab w:val="left" w:pos="0"/>
        </w:tabs>
        <w:spacing w:after="120"/>
        <w:ind w:right="0"/>
        <w:rPr>
          <w:b/>
        </w:rPr>
      </w:pPr>
      <w:r w:rsidRPr="00F6738D">
        <w:rPr>
          <w:b/>
        </w:rPr>
        <w:t>Apoyo para Actividades de Profundizaci</w:t>
      </w:r>
      <w:r w:rsidRPr="00F6738D">
        <w:rPr>
          <w:rFonts w:hint="eastAsia"/>
          <w:b/>
        </w:rPr>
        <w:t>ó</w:t>
      </w:r>
      <w:r w:rsidRPr="00F6738D">
        <w:rPr>
          <w:b/>
        </w:rPr>
        <w:t>n de los Diagn</w:t>
      </w:r>
      <w:r w:rsidRPr="00F6738D">
        <w:rPr>
          <w:rFonts w:hint="eastAsia"/>
          <w:b/>
        </w:rPr>
        <w:t>ó</w:t>
      </w:r>
      <w:r w:rsidRPr="00F6738D">
        <w:rPr>
          <w:b/>
        </w:rPr>
        <w:t>sticos y Estudios Sectoriales de la Iniciativa en el Marco de del Acuerdo entre el Banco y Findeter (Componente 1 y contrato 7 y 8)</w:t>
      </w:r>
    </w:p>
    <w:p w:rsidR="00896F3A" w:rsidRPr="00F6738D" w:rsidRDefault="00896F3A" w:rsidP="00AF3536">
      <w:pPr>
        <w:pStyle w:val="BodyText"/>
        <w:tabs>
          <w:tab w:val="left" w:pos="0"/>
        </w:tabs>
        <w:spacing w:after="120"/>
        <w:ind w:right="0"/>
        <w:rPr>
          <w:b/>
          <w:smallCaps/>
        </w:rPr>
      </w:pPr>
      <w:r w:rsidRPr="00F6738D">
        <w:rPr>
          <w:b/>
          <w:smallCaps/>
        </w:rPr>
        <w:t>T</w:t>
      </w:r>
      <w:r w:rsidRPr="00F6738D">
        <w:rPr>
          <w:rFonts w:hint="eastAsia"/>
          <w:b/>
          <w:smallCaps/>
        </w:rPr>
        <w:t>é</w:t>
      </w:r>
      <w:r w:rsidRPr="00F6738D">
        <w:rPr>
          <w:b/>
          <w:smallCaps/>
        </w:rPr>
        <w:t>rminos de Referencia</w:t>
      </w:r>
    </w:p>
    <w:p w:rsidR="00896F3A" w:rsidRPr="00896F3A" w:rsidRDefault="00896F3A" w:rsidP="00896F3A">
      <w:pPr>
        <w:pStyle w:val="ListParagraph"/>
        <w:numPr>
          <w:ilvl w:val="0"/>
          <w:numId w:val="18"/>
        </w:numPr>
        <w:spacing w:before="120" w:after="120"/>
        <w:rPr>
          <w:rFonts w:ascii="Times New Roman Bold" w:hAnsi="Times New Roman Bold"/>
          <w:b/>
          <w:smallCaps/>
        </w:rPr>
      </w:pPr>
      <w:r w:rsidRPr="00896F3A">
        <w:rPr>
          <w:rFonts w:ascii="Times New Roman Bold" w:hAnsi="Times New Roman Bold"/>
          <w:b/>
          <w:smallCaps/>
        </w:rPr>
        <w:t>Antecedentes</w:t>
      </w:r>
    </w:p>
    <w:p w:rsidR="00896F3A" w:rsidRPr="00AF3536" w:rsidRDefault="00896F3A" w:rsidP="00896F3A">
      <w:pPr>
        <w:pStyle w:val="Paragraph"/>
        <w:numPr>
          <w:ilvl w:val="1"/>
          <w:numId w:val="19"/>
        </w:numPr>
        <w:tabs>
          <w:tab w:val="clear" w:pos="2736"/>
          <w:tab w:val="num" w:pos="720"/>
        </w:tabs>
        <w:ind w:left="720" w:hanging="720"/>
      </w:pPr>
      <w:r w:rsidRPr="00AF3536">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896F3A" w:rsidRPr="00AF3536" w:rsidRDefault="00896F3A" w:rsidP="00896F3A">
      <w:pPr>
        <w:pStyle w:val="Paragraph"/>
        <w:numPr>
          <w:ilvl w:val="1"/>
          <w:numId w:val="19"/>
        </w:numPr>
        <w:tabs>
          <w:tab w:val="clear" w:pos="2736"/>
          <w:tab w:val="num" w:pos="720"/>
        </w:tabs>
        <w:ind w:left="720" w:hanging="720"/>
      </w:pPr>
      <w:r w:rsidRPr="00AF3536">
        <w:t xml:space="preserve">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 </w:t>
      </w:r>
    </w:p>
    <w:p w:rsidR="00896F3A" w:rsidRPr="00AF3536" w:rsidRDefault="00896F3A" w:rsidP="00896F3A">
      <w:pPr>
        <w:pStyle w:val="Paragraph"/>
        <w:numPr>
          <w:ilvl w:val="1"/>
          <w:numId w:val="19"/>
        </w:numPr>
        <w:tabs>
          <w:tab w:val="clear" w:pos="2736"/>
          <w:tab w:val="num" w:pos="720"/>
        </w:tabs>
        <w:ind w:left="720" w:hanging="720"/>
      </w:pPr>
      <w:r w:rsidRPr="00AF3536">
        <w:t xml:space="preserve">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 </w:t>
      </w:r>
    </w:p>
    <w:p w:rsidR="00896F3A" w:rsidRPr="00AF3536" w:rsidRDefault="00896F3A" w:rsidP="00896F3A">
      <w:pPr>
        <w:pStyle w:val="Paragraph"/>
        <w:numPr>
          <w:ilvl w:val="1"/>
          <w:numId w:val="19"/>
        </w:numPr>
        <w:tabs>
          <w:tab w:val="clear" w:pos="2736"/>
          <w:tab w:val="num" w:pos="720"/>
        </w:tabs>
        <w:ind w:left="720" w:hanging="720"/>
      </w:pPr>
      <w:r w:rsidRPr="00AF3536">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896F3A" w:rsidRDefault="00896F3A" w:rsidP="00896F3A">
      <w:pPr>
        <w:pStyle w:val="Paragraph"/>
        <w:numPr>
          <w:ilvl w:val="1"/>
          <w:numId w:val="19"/>
        </w:numPr>
        <w:tabs>
          <w:tab w:val="clear" w:pos="2736"/>
          <w:tab w:val="num" w:pos="720"/>
        </w:tabs>
        <w:spacing w:after="0"/>
        <w:ind w:left="720" w:hanging="720"/>
      </w:pPr>
      <w:r w:rsidRPr="00AF3536">
        <w:t xml:space="preserve">En desarrollo de la Iniciativa, el Banco requiere del apoyo de </w:t>
      </w:r>
      <w:r>
        <w:t>contractuales</w:t>
      </w:r>
      <w:r w:rsidRPr="00AF3536">
        <w:t xml:space="preserve"> locales que faciliten la coordinación de las actividades de la Iniciativa en las ciudades, específicamente aquellas relacionadas con la compilación, procesamiento y análisis de información, así como las relativas a la coordinación entre el Banco y las ciudades.</w:t>
      </w:r>
      <w:r>
        <w:t xml:space="preserve"> </w:t>
      </w:r>
    </w:p>
    <w:p w:rsidR="00896F3A" w:rsidRPr="00AF3536" w:rsidRDefault="00896F3A" w:rsidP="00896F3A">
      <w:pPr>
        <w:pStyle w:val="Chapter"/>
        <w:numPr>
          <w:ilvl w:val="0"/>
          <w:numId w:val="19"/>
        </w:numPr>
        <w:tabs>
          <w:tab w:val="clear" w:pos="2088"/>
          <w:tab w:val="num" w:pos="648"/>
        </w:tabs>
        <w:spacing w:after="120"/>
        <w:ind w:left="0"/>
        <w:jc w:val="left"/>
      </w:pPr>
      <w:r w:rsidRPr="00922DDE">
        <w:t>Objetivos de la Consultoría</w:t>
      </w:r>
    </w:p>
    <w:p w:rsidR="00896F3A" w:rsidRDefault="00896F3A" w:rsidP="00896F3A">
      <w:pPr>
        <w:pStyle w:val="Paragraph"/>
        <w:numPr>
          <w:ilvl w:val="1"/>
          <w:numId w:val="19"/>
        </w:numPr>
        <w:tabs>
          <w:tab w:val="clear" w:pos="2736"/>
          <w:tab w:val="num" w:pos="720"/>
        </w:tabs>
        <w:ind w:left="720" w:hanging="720"/>
      </w:pPr>
      <w:r w:rsidRPr="00AF3536">
        <w:t>El Con</w:t>
      </w:r>
      <w:r>
        <w:t>tratado</w:t>
      </w:r>
      <w:r w:rsidRPr="00AF3536">
        <w:t xml:space="preserve"> t</w:t>
      </w:r>
      <w:r>
        <w:t>endrá</w:t>
      </w:r>
      <w:r w:rsidRPr="00AF3536">
        <w:t xml:space="preserve"> como objetivo brindar apoyo técnico al equipo ICES en la profundización de los diagnósticos sectoriales y priorización de temas de la Iniciativa en el marco del Acuerdo entre el Banco y Findeter.</w:t>
      </w:r>
      <w:r>
        <w:t xml:space="preserve"> </w:t>
      </w:r>
    </w:p>
    <w:p w:rsidR="00896F3A" w:rsidRDefault="00896F3A" w:rsidP="001D543C">
      <w:pPr>
        <w:sectPr w:rsidR="00896F3A" w:rsidSect="00C05D45">
          <w:headerReference w:type="even" r:id="rId17"/>
          <w:type w:val="continuous"/>
          <w:pgSz w:w="12240" w:h="15840" w:code="1"/>
          <w:pgMar w:top="1440" w:right="1800" w:bottom="1440" w:left="1800" w:header="720" w:footer="720" w:gutter="0"/>
          <w:cols w:space="720"/>
          <w:docGrid w:linePitch="360"/>
        </w:sectPr>
      </w:pPr>
    </w:p>
    <w:p w:rsidR="00896F3A" w:rsidRPr="00AF3536" w:rsidRDefault="00896F3A" w:rsidP="00896F3A">
      <w:pPr>
        <w:pStyle w:val="Chapter"/>
        <w:numPr>
          <w:ilvl w:val="0"/>
          <w:numId w:val="19"/>
        </w:numPr>
        <w:tabs>
          <w:tab w:val="clear" w:pos="2088"/>
          <w:tab w:val="num" w:pos="648"/>
        </w:tabs>
        <w:spacing w:after="120"/>
        <w:ind w:left="0"/>
        <w:jc w:val="left"/>
      </w:pPr>
      <w:r w:rsidRPr="00AF3536">
        <w:lastRenderedPageBreak/>
        <w:t>Actividades principales</w:t>
      </w:r>
    </w:p>
    <w:p w:rsidR="00896F3A" w:rsidRPr="00AF3536" w:rsidRDefault="00896F3A" w:rsidP="00896F3A">
      <w:pPr>
        <w:pStyle w:val="Paragraph"/>
        <w:numPr>
          <w:ilvl w:val="1"/>
          <w:numId w:val="19"/>
        </w:numPr>
        <w:tabs>
          <w:tab w:val="clear" w:pos="2736"/>
          <w:tab w:val="num" w:pos="720"/>
        </w:tabs>
        <w:ind w:left="720" w:hanging="720"/>
      </w:pPr>
      <w:r w:rsidRPr="00AF3536">
        <w:t xml:space="preserve">Los </w:t>
      </w:r>
      <w:r>
        <w:t>contratados</w:t>
      </w:r>
      <w:r w:rsidRPr="00AF3536">
        <w:t xml:space="preserve"> deberán realizar las siguientes actividades:</w:t>
      </w:r>
    </w:p>
    <w:p w:rsidR="00896F3A" w:rsidRPr="00AF3536" w:rsidRDefault="00896F3A" w:rsidP="00896F3A">
      <w:pPr>
        <w:pStyle w:val="ListParagraph"/>
        <w:numPr>
          <w:ilvl w:val="0"/>
          <w:numId w:val="20"/>
        </w:numPr>
        <w:jc w:val="both"/>
      </w:pPr>
      <w:r w:rsidRPr="00AF3536">
        <w:t>Apoyar las actividades tendientes a revisar, analizar y perfeccionar los estudios técnicos y material de conocimiento de la Iniciativa.</w:t>
      </w:r>
    </w:p>
    <w:p w:rsidR="00896F3A" w:rsidRPr="00AF3536" w:rsidRDefault="00896F3A" w:rsidP="00896F3A">
      <w:pPr>
        <w:pStyle w:val="ListParagraph"/>
        <w:numPr>
          <w:ilvl w:val="0"/>
          <w:numId w:val="20"/>
        </w:numPr>
        <w:jc w:val="both"/>
      </w:pPr>
      <w:r w:rsidRPr="00AF3536">
        <w:t>Apoyar a los especialistas sectoriales en aquellos temas relacionados con la profundización de los estudios en las ciudades ICES estipulados en la metodología.</w:t>
      </w:r>
    </w:p>
    <w:p w:rsidR="00896F3A" w:rsidRPr="00AF3536" w:rsidRDefault="00896F3A" w:rsidP="00896F3A">
      <w:pPr>
        <w:pStyle w:val="ListParagraph"/>
        <w:numPr>
          <w:ilvl w:val="0"/>
          <w:numId w:val="20"/>
        </w:numPr>
        <w:jc w:val="both"/>
      </w:pPr>
      <w:r w:rsidRPr="00AF3536">
        <w:t>Compilar y procesar la información técnica necesaria para el diligenciamiento de la profundización de los estudios sectoriales de ICES. Para ello establecerán contacto con los especialistas del Banco y las entidades del nivel local y nacional involucradas.</w:t>
      </w:r>
    </w:p>
    <w:p w:rsidR="00896F3A" w:rsidRPr="00AF3536" w:rsidRDefault="00896F3A" w:rsidP="00896F3A">
      <w:pPr>
        <w:pStyle w:val="ListParagraph"/>
        <w:numPr>
          <w:ilvl w:val="0"/>
          <w:numId w:val="20"/>
        </w:numPr>
        <w:jc w:val="both"/>
      </w:pPr>
      <w:r w:rsidRPr="00AF3536">
        <w:t>Apoyar el análisis técnico de la información compilada, participando en procesos tales como la elaboración de estudios, proyectos de análisis temático.</w:t>
      </w:r>
    </w:p>
    <w:p w:rsidR="00896F3A" w:rsidRPr="00AF3536" w:rsidRDefault="00896F3A" w:rsidP="00896F3A">
      <w:pPr>
        <w:pStyle w:val="ListParagraph"/>
        <w:numPr>
          <w:ilvl w:val="0"/>
          <w:numId w:val="20"/>
        </w:numPr>
        <w:jc w:val="both"/>
      </w:pPr>
      <w:r w:rsidRPr="00AF3536">
        <w:t>Facilitar la preparación de las agendas relativas a las misiones.</w:t>
      </w:r>
    </w:p>
    <w:p w:rsidR="00896F3A" w:rsidRDefault="00896F3A" w:rsidP="00896F3A">
      <w:pPr>
        <w:pStyle w:val="ListParagraph"/>
        <w:numPr>
          <w:ilvl w:val="0"/>
          <w:numId w:val="20"/>
        </w:numPr>
        <w:jc w:val="both"/>
      </w:pPr>
      <w:r w:rsidRPr="00AF3536">
        <w:t>Servir de facilitador en el nivel local.</w:t>
      </w:r>
      <w:r>
        <w:t xml:space="preserve"> </w:t>
      </w:r>
    </w:p>
    <w:p w:rsidR="00896F3A" w:rsidRDefault="00896F3A" w:rsidP="00C05D45">
      <w:pPr>
        <w:sectPr w:rsidR="00896F3A" w:rsidSect="00AF3536">
          <w:type w:val="continuous"/>
          <w:pgSz w:w="12240" w:h="15840" w:code="1"/>
          <w:pgMar w:top="1440" w:right="1800" w:bottom="1440" w:left="1800" w:header="720" w:footer="720" w:gutter="0"/>
          <w:cols w:space="720"/>
          <w:docGrid w:linePitch="360"/>
        </w:sectPr>
      </w:pPr>
    </w:p>
    <w:p w:rsidR="00896F3A" w:rsidRPr="00815D7A" w:rsidRDefault="00896F3A" w:rsidP="00896F3A">
      <w:pPr>
        <w:pStyle w:val="Chapter"/>
        <w:numPr>
          <w:ilvl w:val="0"/>
          <w:numId w:val="19"/>
        </w:numPr>
        <w:tabs>
          <w:tab w:val="clear" w:pos="2088"/>
          <w:tab w:val="num" w:pos="648"/>
        </w:tabs>
        <w:spacing w:after="120"/>
        <w:ind w:left="0"/>
        <w:jc w:val="left"/>
      </w:pPr>
      <w:r w:rsidRPr="00815D7A">
        <w:lastRenderedPageBreak/>
        <w:t>Informes</w:t>
      </w:r>
    </w:p>
    <w:p w:rsidR="00896F3A" w:rsidRDefault="00896F3A" w:rsidP="00896F3A">
      <w:pPr>
        <w:pStyle w:val="Paragraph"/>
        <w:numPr>
          <w:ilvl w:val="1"/>
          <w:numId w:val="19"/>
        </w:numPr>
        <w:tabs>
          <w:tab w:val="clear" w:pos="2736"/>
          <w:tab w:val="num" w:pos="720"/>
        </w:tabs>
        <w:ind w:left="720" w:hanging="720"/>
      </w:pPr>
      <w:r w:rsidRPr="00815D7A">
        <w:t xml:space="preserve">Los </w:t>
      </w:r>
      <w:r>
        <w:t xml:space="preserve">contratados </w:t>
      </w:r>
      <w:r w:rsidRPr="00815D7A">
        <w:t>deberán presentar informes mensuales con un resumen ejecutivo de las actividades realizadas y productos alcanzados.</w:t>
      </w:r>
      <w:r>
        <w:t xml:space="preserve"> </w:t>
      </w:r>
    </w:p>
    <w:p w:rsidR="00896F3A" w:rsidRDefault="00896F3A" w:rsidP="00C05D45">
      <w:pPr>
        <w:sectPr w:rsidR="00896F3A" w:rsidSect="00AF3536">
          <w:type w:val="continuous"/>
          <w:pgSz w:w="12240" w:h="15840" w:code="1"/>
          <w:pgMar w:top="1440" w:right="1800" w:bottom="1440" w:left="1800" w:header="720" w:footer="720" w:gutter="0"/>
          <w:cols w:space="720"/>
          <w:docGrid w:linePitch="360"/>
        </w:sectPr>
      </w:pPr>
    </w:p>
    <w:p w:rsidR="00896F3A" w:rsidRPr="00F6738D" w:rsidRDefault="00896F3A" w:rsidP="00896F3A">
      <w:pPr>
        <w:pStyle w:val="Chapter"/>
        <w:numPr>
          <w:ilvl w:val="0"/>
          <w:numId w:val="19"/>
        </w:numPr>
        <w:tabs>
          <w:tab w:val="clear" w:pos="2088"/>
          <w:tab w:val="num" w:pos="648"/>
        </w:tabs>
        <w:spacing w:after="120"/>
        <w:ind w:left="0"/>
        <w:jc w:val="left"/>
      </w:pPr>
      <w:r w:rsidRPr="00A8730B">
        <w:lastRenderedPageBreak/>
        <w:t>Características de la Consultoría</w:t>
      </w:r>
    </w:p>
    <w:p w:rsidR="00896F3A" w:rsidRPr="00815D7A" w:rsidRDefault="00896F3A" w:rsidP="00896F3A">
      <w:pPr>
        <w:pStyle w:val="subpar"/>
        <w:numPr>
          <w:ilvl w:val="0"/>
          <w:numId w:val="14"/>
        </w:numPr>
        <w:tabs>
          <w:tab w:val="left" w:pos="720"/>
        </w:tabs>
        <w:contextualSpacing/>
      </w:pPr>
      <w:r w:rsidRPr="00815D7A">
        <w:t xml:space="preserve">Tipo de consultoría. Individual, nacional/internacional.  </w:t>
      </w:r>
    </w:p>
    <w:p w:rsidR="00896F3A" w:rsidRPr="00815D7A" w:rsidRDefault="00896F3A" w:rsidP="00896F3A">
      <w:pPr>
        <w:pStyle w:val="subpar"/>
        <w:numPr>
          <w:ilvl w:val="0"/>
          <w:numId w:val="14"/>
        </w:numPr>
        <w:tabs>
          <w:tab w:val="left" w:pos="720"/>
        </w:tabs>
        <w:contextualSpacing/>
      </w:pPr>
      <w:r w:rsidRPr="00815D7A">
        <w:t>Fecha de comienzo y duración: 12 meses contados a partir de la firma del contrato</w:t>
      </w:r>
    </w:p>
    <w:p w:rsidR="00896F3A" w:rsidRPr="00815D7A" w:rsidRDefault="00896F3A" w:rsidP="00896F3A">
      <w:pPr>
        <w:pStyle w:val="subpar"/>
        <w:numPr>
          <w:ilvl w:val="0"/>
          <w:numId w:val="14"/>
        </w:numPr>
        <w:tabs>
          <w:tab w:val="left" w:pos="720"/>
        </w:tabs>
        <w:contextualSpacing/>
      </w:pPr>
      <w:r w:rsidRPr="00815D7A">
        <w:t>Lugar de trabajo. Bogotá, Colombia</w:t>
      </w:r>
    </w:p>
    <w:p w:rsidR="00896F3A" w:rsidRDefault="00896F3A" w:rsidP="00896F3A">
      <w:pPr>
        <w:pStyle w:val="subpar"/>
        <w:numPr>
          <w:ilvl w:val="0"/>
          <w:numId w:val="14"/>
        </w:numPr>
        <w:tabs>
          <w:tab w:val="left" w:pos="720"/>
        </w:tabs>
        <w:contextualSpacing/>
      </w:pPr>
      <w:r w:rsidRPr="00815D7A">
        <w:t xml:space="preserve">Remuneración y forma de pago. Individual, Suma Alzada/mensual. </w:t>
      </w:r>
      <w:r>
        <w:t xml:space="preserve"> </w:t>
      </w:r>
    </w:p>
    <w:p w:rsidR="00896F3A" w:rsidRDefault="00896F3A" w:rsidP="00896F3A">
      <w:pPr>
        <w:pStyle w:val="Chapter"/>
        <w:numPr>
          <w:ilvl w:val="0"/>
          <w:numId w:val="19"/>
        </w:numPr>
        <w:tabs>
          <w:tab w:val="clear" w:pos="2088"/>
          <w:tab w:val="num" w:pos="648"/>
        </w:tabs>
        <w:spacing w:after="120"/>
        <w:ind w:left="0"/>
        <w:sectPr w:rsidR="00896F3A" w:rsidSect="00C05D45">
          <w:type w:val="continuous"/>
          <w:pgSz w:w="12240" w:h="15840" w:code="1"/>
          <w:pgMar w:top="1440" w:right="1800" w:bottom="1440" w:left="1800" w:header="720" w:footer="720" w:gutter="0"/>
          <w:cols w:space="720"/>
          <w:docGrid w:linePitch="360"/>
        </w:sectPr>
      </w:pPr>
    </w:p>
    <w:p w:rsidR="00896F3A" w:rsidRDefault="00896F3A" w:rsidP="00896F3A">
      <w:pPr>
        <w:pStyle w:val="Chapter"/>
        <w:numPr>
          <w:ilvl w:val="0"/>
          <w:numId w:val="19"/>
        </w:numPr>
        <w:tabs>
          <w:tab w:val="clear" w:pos="2088"/>
          <w:tab w:val="num" w:pos="648"/>
        </w:tabs>
        <w:spacing w:after="0"/>
        <w:ind w:left="0"/>
        <w:jc w:val="left"/>
      </w:pPr>
      <w:r>
        <w:lastRenderedPageBreak/>
        <w:t>Calificaciones</w:t>
      </w:r>
    </w:p>
    <w:p w:rsidR="00896F3A" w:rsidRPr="00AF3536" w:rsidRDefault="00896F3A" w:rsidP="00896F3A">
      <w:pPr>
        <w:pStyle w:val="Paragraph"/>
        <w:numPr>
          <w:ilvl w:val="1"/>
          <w:numId w:val="19"/>
        </w:numPr>
        <w:tabs>
          <w:tab w:val="clear" w:pos="2736"/>
          <w:tab w:val="num" w:pos="720"/>
        </w:tabs>
        <w:ind w:left="720" w:hanging="720"/>
        <w:rPr>
          <w:lang w:val="es-ES"/>
        </w:rPr>
        <w:sectPr w:rsidR="00896F3A" w:rsidRPr="00AF3536" w:rsidSect="00AF3536">
          <w:type w:val="continuous"/>
          <w:pgSz w:w="12240" w:h="15840" w:code="1"/>
          <w:pgMar w:top="1440" w:right="1800" w:bottom="1440" w:left="1800" w:header="720" w:footer="720" w:gutter="0"/>
          <w:cols w:space="720"/>
          <w:docGrid w:linePitch="360"/>
        </w:sectPr>
      </w:pPr>
      <w:r w:rsidRPr="00815D7A">
        <w:t>Profesional con grado universitario en áreas relacionadas con la ICES, con experiencia en manejo de bases de datos, análisis de los mismos. Dependiendo del caso específico de ca</w:t>
      </w:r>
      <w:r>
        <w:t xml:space="preserve">da ciudad estas calificaciones </w:t>
      </w:r>
      <w:r w:rsidRPr="00815D7A">
        <w:t>podrán variar.</w:t>
      </w:r>
    </w:p>
    <w:p w:rsidR="00896F3A" w:rsidRPr="00815D7A" w:rsidRDefault="00896F3A" w:rsidP="00896F3A">
      <w:pPr>
        <w:pStyle w:val="Chapter"/>
        <w:numPr>
          <w:ilvl w:val="0"/>
          <w:numId w:val="19"/>
        </w:numPr>
        <w:tabs>
          <w:tab w:val="clear" w:pos="2088"/>
          <w:tab w:val="num" w:pos="648"/>
        </w:tabs>
        <w:spacing w:after="120"/>
        <w:ind w:left="0"/>
        <w:jc w:val="left"/>
      </w:pPr>
      <w:r w:rsidRPr="00F6738D">
        <w:lastRenderedPageBreak/>
        <w:t xml:space="preserve">Supervisión </w:t>
      </w:r>
    </w:p>
    <w:p w:rsidR="00896F3A" w:rsidRPr="00A8730B" w:rsidRDefault="00896F3A" w:rsidP="00896F3A">
      <w:pPr>
        <w:pStyle w:val="Paragraph"/>
        <w:numPr>
          <w:ilvl w:val="1"/>
          <w:numId w:val="19"/>
        </w:numPr>
        <w:tabs>
          <w:tab w:val="clear" w:pos="2736"/>
          <w:tab w:val="num" w:pos="720"/>
        </w:tabs>
        <w:ind w:left="720" w:hanging="720"/>
      </w:pPr>
      <w:r w:rsidRPr="00815D7A">
        <w:t>La supervisión de las consultorías será efectuada por Huáscar Eguino, Especialista Líder (FMM/IFD), apoyado por el Jefe de Ciudad.</w:t>
      </w:r>
    </w:p>
    <w:p w:rsidR="00896F3A" w:rsidRDefault="00896F3A">
      <w:pPr>
        <w:rPr>
          <w:szCs w:val="20"/>
        </w:rPr>
      </w:pPr>
      <w:r>
        <w:br w:type="page"/>
      </w:r>
    </w:p>
    <w:p w:rsidR="00896F3A" w:rsidRPr="00541E53" w:rsidRDefault="00896F3A" w:rsidP="00A37F2A">
      <w:pPr>
        <w:pStyle w:val="BodyText"/>
        <w:tabs>
          <w:tab w:val="left" w:pos="0"/>
        </w:tabs>
        <w:spacing w:before="120"/>
        <w:ind w:right="0"/>
        <w:rPr>
          <w:b/>
          <w:lang w:val="pt-BR"/>
        </w:rPr>
      </w:pPr>
      <w:r w:rsidRPr="00541E53">
        <w:rPr>
          <w:b/>
          <w:lang w:val="pt-BR"/>
        </w:rPr>
        <w:lastRenderedPageBreak/>
        <w:t>Regional</w:t>
      </w:r>
    </w:p>
    <w:p w:rsidR="00896F3A" w:rsidRPr="00896F3A" w:rsidRDefault="00896F3A" w:rsidP="00A37F2A">
      <w:pPr>
        <w:pStyle w:val="BodyText"/>
        <w:tabs>
          <w:tab w:val="left" w:pos="0"/>
        </w:tabs>
        <w:spacing w:before="120"/>
        <w:ind w:right="0"/>
        <w:rPr>
          <w:b/>
          <w:lang w:val="pt-BR"/>
        </w:rPr>
      </w:pPr>
      <w:r w:rsidRPr="00896F3A">
        <w:rPr>
          <w:b/>
          <w:lang w:val="pt-BR"/>
        </w:rPr>
        <w:t xml:space="preserve">IFD/FMM/ICES/ </w:t>
      </w:r>
      <w:r w:rsidRPr="00381F59">
        <w:rPr>
          <w:b/>
          <w:lang w:val="pt-BR"/>
        </w:rPr>
        <w:t>Anexo I (</w:t>
      </w:r>
      <w:r>
        <w:rPr>
          <w:b/>
          <w:lang w:val="pt-BR"/>
        </w:rPr>
        <w:t>E</w:t>
      </w:r>
      <w:r w:rsidRPr="00381F59">
        <w:rPr>
          <w:b/>
          <w:lang w:val="pt-BR"/>
        </w:rPr>
        <w:t>)</w:t>
      </w:r>
    </w:p>
    <w:p w:rsidR="00896F3A" w:rsidRPr="00995D27" w:rsidRDefault="00896F3A" w:rsidP="00A37F2A">
      <w:pPr>
        <w:pStyle w:val="BodyText"/>
        <w:tabs>
          <w:tab w:val="left" w:pos="0"/>
        </w:tabs>
        <w:spacing w:before="120"/>
        <w:ind w:right="0"/>
        <w:rPr>
          <w:b/>
        </w:rPr>
      </w:pPr>
      <w:r w:rsidRPr="00995D27">
        <w:rPr>
          <w:b/>
        </w:rPr>
        <w:t>Consultor de Apoyo en Aprendizajes Institucionales para la Replicaci</w:t>
      </w:r>
      <w:r w:rsidRPr="00995D27">
        <w:rPr>
          <w:rFonts w:hint="eastAsia"/>
          <w:b/>
        </w:rPr>
        <w:t>ó</w:t>
      </w:r>
      <w:r w:rsidRPr="00995D27">
        <w:rPr>
          <w:b/>
        </w:rPr>
        <w:t>n de Programas Nacionales ICES (Componente 2 y contrato 9)</w:t>
      </w:r>
    </w:p>
    <w:p w:rsidR="00896F3A" w:rsidRDefault="00896F3A" w:rsidP="00A37F2A">
      <w:pPr>
        <w:pStyle w:val="BodyText"/>
        <w:sectPr w:rsidR="00896F3A" w:rsidSect="008F1D43">
          <w:headerReference w:type="even" r:id="rId18"/>
          <w:type w:val="continuous"/>
          <w:pgSz w:w="12240" w:h="15840" w:code="1"/>
          <w:pgMar w:top="1440" w:right="1800" w:bottom="1440" w:left="1800" w:header="720" w:footer="720" w:gutter="0"/>
          <w:cols w:space="720"/>
          <w:docGrid w:linePitch="360"/>
        </w:sectPr>
      </w:pPr>
      <w:r w:rsidRPr="00995D27">
        <w:rPr>
          <w:b/>
          <w:smallCaps/>
        </w:rPr>
        <w:t>T</w:t>
      </w:r>
      <w:r w:rsidRPr="00995D27">
        <w:rPr>
          <w:rFonts w:hint="eastAsia"/>
          <w:b/>
          <w:smallCaps/>
        </w:rPr>
        <w:t>é</w:t>
      </w:r>
      <w:r w:rsidRPr="00995D27">
        <w:rPr>
          <w:b/>
          <w:smallCaps/>
        </w:rPr>
        <w:t>rminos de Referencia</w:t>
      </w:r>
      <w:r>
        <w:rPr>
          <w:b/>
          <w:smallCaps/>
        </w:rPr>
        <w:t xml:space="preserve"> </w:t>
      </w:r>
    </w:p>
    <w:p w:rsidR="00896F3A" w:rsidRDefault="00896F3A" w:rsidP="001E2168"/>
    <w:p w:rsidR="00896F3A" w:rsidRDefault="00896F3A" w:rsidP="001E2168">
      <w:pPr>
        <w:sectPr w:rsidR="00896F3A" w:rsidSect="008F1D43">
          <w:type w:val="continuous"/>
          <w:pgSz w:w="12240" w:h="15840" w:code="1"/>
          <w:pgMar w:top="1440" w:right="1800" w:bottom="1440" w:left="1800" w:header="720" w:footer="720" w:gutter="0"/>
          <w:cols w:space="720"/>
          <w:docGrid w:linePitch="360"/>
        </w:sectPr>
      </w:pPr>
    </w:p>
    <w:p w:rsidR="00896F3A" w:rsidRPr="00A37F2A" w:rsidRDefault="00896F3A" w:rsidP="00896F3A">
      <w:pPr>
        <w:pStyle w:val="Chapter"/>
        <w:numPr>
          <w:ilvl w:val="0"/>
          <w:numId w:val="21"/>
        </w:numPr>
        <w:tabs>
          <w:tab w:val="clear" w:pos="1800"/>
          <w:tab w:val="num" w:pos="648"/>
        </w:tabs>
        <w:ind w:left="0"/>
        <w:jc w:val="left"/>
      </w:pPr>
      <w:r>
        <w:lastRenderedPageBreak/>
        <w:t>Antecedentes</w:t>
      </w:r>
    </w:p>
    <w:p w:rsidR="00896F3A" w:rsidRPr="00A37F2A" w:rsidRDefault="00896F3A" w:rsidP="00896F3A">
      <w:pPr>
        <w:pStyle w:val="Paragraph"/>
        <w:numPr>
          <w:ilvl w:val="1"/>
          <w:numId w:val="21"/>
        </w:numPr>
        <w:tabs>
          <w:tab w:val="clear" w:pos="2448"/>
          <w:tab w:val="num" w:pos="720"/>
        </w:tabs>
        <w:spacing w:after="0"/>
        <w:ind w:left="720" w:hanging="720"/>
      </w:pPr>
      <w:r w:rsidRPr="00A37F2A">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896F3A" w:rsidRPr="00A37F2A" w:rsidRDefault="00896F3A" w:rsidP="00896F3A">
      <w:pPr>
        <w:pStyle w:val="Paragraph"/>
        <w:numPr>
          <w:ilvl w:val="1"/>
          <w:numId w:val="21"/>
        </w:numPr>
        <w:tabs>
          <w:tab w:val="clear" w:pos="2448"/>
          <w:tab w:val="num" w:pos="720"/>
        </w:tabs>
        <w:spacing w:after="0"/>
        <w:ind w:left="720" w:hanging="720"/>
      </w:pPr>
      <w:r w:rsidRPr="00A37F2A">
        <w:t xml:space="preserve">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 </w:t>
      </w:r>
    </w:p>
    <w:p w:rsidR="00896F3A" w:rsidRPr="00A37F2A" w:rsidRDefault="00896F3A" w:rsidP="00896F3A">
      <w:pPr>
        <w:pStyle w:val="Paragraph"/>
        <w:numPr>
          <w:ilvl w:val="1"/>
          <w:numId w:val="21"/>
        </w:numPr>
        <w:tabs>
          <w:tab w:val="clear" w:pos="2448"/>
          <w:tab w:val="num" w:pos="720"/>
        </w:tabs>
        <w:spacing w:after="0"/>
        <w:ind w:left="720" w:hanging="720"/>
      </w:pPr>
      <w:r w:rsidRPr="00A37F2A">
        <w:t xml:space="preserve">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 </w:t>
      </w:r>
    </w:p>
    <w:p w:rsidR="00896F3A" w:rsidRPr="00A37F2A" w:rsidRDefault="00896F3A" w:rsidP="00896F3A">
      <w:pPr>
        <w:pStyle w:val="Paragraph"/>
        <w:numPr>
          <w:ilvl w:val="1"/>
          <w:numId w:val="21"/>
        </w:numPr>
        <w:tabs>
          <w:tab w:val="clear" w:pos="2448"/>
          <w:tab w:val="num" w:pos="720"/>
        </w:tabs>
        <w:spacing w:after="0"/>
        <w:ind w:left="720" w:hanging="720"/>
      </w:pPr>
      <w:r w:rsidRPr="00A37F2A">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896F3A" w:rsidRPr="00A37F2A" w:rsidRDefault="00896F3A" w:rsidP="00896F3A">
      <w:pPr>
        <w:pStyle w:val="Paragraph"/>
        <w:numPr>
          <w:ilvl w:val="1"/>
          <w:numId w:val="21"/>
        </w:numPr>
        <w:tabs>
          <w:tab w:val="clear" w:pos="2448"/>
          <w:tab w:val="num" w:pos="720"/>
        </w:tabs>
        <w:spacing w:after="0"/>
        <w:ind w:left="720" w:hanging="720"/>
      </w:pPr>
      <w:r w:rsidRPr="00A37F2A">
        <w:t>En desarrollo de la Iniciativa, el Banco requiere del apoyo de consultores locales que apoyen en el desarrollo del modelo institucional establecido en los acuerdos que se han firmado con la Financiera de Desarrollo Territorial (Findeter) de Colombia y con el Banco Nacional de Obras y Servicios Públicos (Banobras), asi como otros dos países (por definir), en los que se hayan implementado esquemas simlares con la ICES. Se busca que esta consultoría colabore en la consolidación de dicho modelo e identifique las lecciones aprendidas que puedan beneficiarlos países de la región.</w:t>
      </w:r>
    </w:p>
    <w:p w:rsidR="00896F3A" w:rsidRDefault="00896F3A" w:rsidP="001E2168">
      <w:pPr>
        <w:sectPr w:rsidR="00896F3A" w:rsidSect="008F1D43">
          <w:type w:val="continuous"/>
          <w:pgSz w:w="12240" w:h="15840" w:code="1"/>
          <w:pgMar w:top="1440" w:right="1800" w:bottom="1440" w:left="1800" w:header="720" w:footer="720" w:gutter="0"/>
          <w:cols w:space="720"/>
          <w:docGrid w:linePitch="360"/>
        </w:sectPr>
      </w:pPr>
    </w:p>
    <w:p w:rsidR="00896F3A" w:rsidRPr="00A37F2A" w:rsidRDefault="00896F3A" w:rsidP="00896F3A">
      <w:pPr>
        <w:pStyle w:val="Chapter"/>
        <w:numPr>
          <w:ilvl w:val="0"/>
          <w:numId w:val="21"/>
        </w:numPr>
        <w:tabs>
          <w:tab w:val="clear" w:pos="1800"/>
          <w:tab w:val="num" w:pos="648"/>
        </w:tabs>
        <w:ind w:left="0"/>
        <w:jc w:val="left"/>
      </w:pPr>
      <w:r>
        <w:lastRenderedPageBreak/>
        <w:t>Objetivos de la Consultoría</w:t>
      </w:r>
    </w:p>
    <w:p w:rsidR="00896F3A" w:rsidRDefault="00896F3A" w:rsidP="00896F3A">
      <w:pPr>
        <w:pStyle w:val="Paragraph"/>
        <w:numPr>
          <w:ilvl w:val="1"/>
          <w:numId w:val="21"/>
        </w:numPr>
        <w:tabs>
          <w:tab w:val="clear" w:pos="2448"/>
          <w:tab w:val="num" w:pos="720"/>
        </w:tabs>
        <w:ind w:left="720" w:hanging="720"/>
      </w:pPr>
      <w:r w:rsidRPr="00A37F2A">
        <w:t xml:space="preserve">El </w:t>
      </w:r>
      <w:r>
        <w:t>Contratado tendrá</w:t>
      </w:r>
      <w:r w:rsidRPr="00A37F2A">
        <w:t xml:space="preserve"> como objetivo realizar el análisis de las lecciones aprendidas y el marco institucional utilizado durante la aplicación de la metodología ICES en </w:t>
      </w:r>
      <w:r w:rsidRPr="00A37F2A">
        <w:lastRenderedPageBreak/>
        <w:t>Ciudades Adicionales de Colombia y México en el marco del acuerdo ICES- Findeter e ICES-Banobras. Asimismo, el Consultor analizará experiencias similares a las de Colombia y México en otros dos países de la región.</w:t>
      </w:r>
    </w:p>
    <w:p w:rsidR="00896F3A" w:rsidRDefault="00896F3A" w:rsidP="001E2168">
      <w:pPr>
        <w:sectPr w:rsidR="00896F3A" w:rsidSect="008F1D43">
          <w:type w:val="continuous"/>
          <w:pgSz w:w="12240" w:h="15840" w:code="1"/>
          <w:pgMar w:top="1440" w:right="1800" w:bottom="1440" w:left="1800" w:header="720" w:footer="720" w:gutter="0"/>
          <w:cols w:space="720"/>
          <w:docGrid w:linePitch="360"/>
        </w:sectPr>
      </w:pPr>
    </w:p>
    <w:p w:rsidR="00896F3A" w:rsidRPr="00A37F2A" w:rsidRDefault="00896F3A" w:rsidP="00896F3A">
      <w:pPr>
        <w:pStyle w:val="Chapter"/>
        <w:numPr>
          <w:ilvl w:val="0"/>
          <w:numId w:val="21"/>
        </w:numPr>
        <w:tabs>
          <w:tab w:val="clear" w:pos="1800"/>
          <w:tab w:val="num" w:pos="648"/>
        </w:tabs>
        <w:ind w:left="0"/>
        <w:jc w:val="left"/>
      </w:pPr>
      <w:r w:rsidRPr="00A37F2A">
        <w:lastRenderedPageBreak/>
        <w:t>Actividades principales</w:t>
      </w:r>
    </w:p>
    <w:p w:rsidR="00896F3A" w:rsidRDefault="00896F3A" w:rsidP="00896F3A">
      <w:pPr>
        <w:pStyle w:val="ListParagraph"/>
        <w:numPr>
          <w:ilvl w:val="0"/>
          <w:numId w:val="23"/>
        </w:numPr>
      </w:pPr>
      <w:r w:rsidRPr="00A37F2A">
        <w:t>Analizar los esquemas institucionales de colaboración Banco- Instituciones Locales de Desarrollo (ILD)-Municipios</w:t>
      </w:r>
      <w:r>
        <w:t xml:space="preserve">; </w:t>
      </w:r>
    </w:p>
    <w:p w:rsidR="00896F3A" w:rsidRDefault="00896F3A" w:rsidP="00896F3A">
      <w:pPr>
        <w:pStyle w:val="ListParagraph"/>
        <w:numPr>
          <w:ilvl w:val="0"/>
          <w:numId w:val="23"/>
        </w:numPr>
      </w:pPr>
      <w:r>
        <w:t>Elaboración</w:t>
      </w:r>
      <w:r w:rsidRPr="00A37F2A">
        <w:t xml:space="preserve"> de un documento final que incluya los resultados de esta colaboración en cuanto a la correcta aplicación de la metodología y las relaciones entre los equipos involucrados</w:t>
      </w:r>
      <w:r>
        <w:t xml:space="preserve">; </w:t>
      </w:r>
    </w:p>
    <w:p w:rsidR="00896F3A" w:rsidRDefault="00896F3A" w:rsidP="00896F3A">
      <w:pPr>
        <w:pStyle w:val="ListParagraph"/>
        <w:numPr>
          <w:ilvl w:val="0"/>
          <w:numId w:val="23"/>
        </w:numPr>
      </w:pPr>
      <w:r w:rsidRPr="00A37F2A">
        <w:t>Identificar los resultados logrados en la aplicación de los Planes de Acción desarrollados para cada ciudad</w:t>
      </w:r>
      <w:r w:rsidRPr="00A37F2A" w:rsidDel="008878B0">
        <w:t xml:space="preserve"> </w:t>
      </w:r>
      <w:r w:rsidRPr="00A37F2A">
        <w:t>Servir de facilitador en el nivel local.</w:t>
      </w:r>
      <w:r>
        <w:t xml:space="preserve"> </w:t>
      </w:r>
    </w:p>
    <w:p w:rsidR="00896F3A" w:rsidRPr="00A37F2A" w:rsidRDefault="00896F3A" w:rsidP="00A37F2A">
      <w:pPr>
        <w:sectPr w:rsidR="00896F3A" w:rsidRPr="00A37F2A" w:rsidSect="008F1D43">
          <w:type w:val="continuous"/>
          <w:pgSz w:w="12240" w:h="15840" w:code="1"/>
          <w:pgMar w:top="1440" w:right="1800" w:bottom="1440" w:left="1800" w:header="720" w:footer="720" w:gutter="0"/>
          <w:cols w:space="720"/>
          <w:docGrid w:linePitch="360"/>
        </w:sectPr>
      </w:pPr>
    </w:p>
    <w:p w:rsidR="00896F3A" w:rsidRPr="00A37F2A" w:rsidRDefault="00896F3A" w:rsidP="00896F3A">
      <w:pPr>
        <w:pStyle w:val="Chapter"/>
        <w:numPr>
          <w:ilvl w:val="0"/>
          <w:numId w:val="21"/>
        </w:numPr>
        <w:tabs>
          <w:tab w:val="clear" w:pos="1800"/>
          <w:tab w:val="num" w:pos="648"/>
        </w:tabs>
        <w:ind w:left="0"/>
        <w:jc w:val="left"/>
      </w:pPr>
      <w:r w:rsidRPr="00A37F2A">
        <w:lastRenderedPageBreak/>
        <w:t>Informes y Productos</w:t>
      </w:r>
    </w:p>
    <w:p w:rsidR="00896F3A" w:rsidRDefault="00896F3A" w:rsidP="00896F3A">
      <w:pPr>
        <w:pStyle w:val="Paragraph"/>
        <w:numPr>
          <w:ilvl w:val="1"/>
          <w:numId w:val="21"/>
        </w:numPr>
        <w:tabs>
          <w:tab w:val="clear" w:pos="2448"/>
          <w:tab w:val="num" w:pos="720"/>
        </w:tabs>
        <w:ind w:left="720" w:hanging="720"/>
      </w:pPr>
      <w:r w:rsidRPr="00A37F2A">
        <w:t>Los consultores deberán presentar informes mensuales con un resumen ejecutivo de las actividades realizadas y productos alcanzados.</w:t>
      </w:r>
    </w:p>
    <w:p w:rsidR="00896F3A" w:rsidRDefault="00896F3A" w:rsidP="001E2168">
      <w:pPr>
        <w:sectPr w:rsidR="00896F3A" w:rsidSect="008F1D43">
          <w:type w:val="continuous"/>
          <w:pgSz w:w="12240" w:h="15840" w:code="1"/>
          <w:pgMar w:top="1440" w:right="1800" w:bottom="1440" w:left="1800" w:header="720" w:footer="720" w:gutter="0"/>
          <w:cols w:space="720"/>
          <w:docGrid w:linePitch="360"/>
        </w:sectPr>
      </w:pPr>
    </w:p>
    <w:p w:rsidR="00896F3A" w:rsidRPr="00A37F2A" w:rsidRDefault="00896F3A" w:rsidP="00896F3A">
      <w:pPr>
        <w:pStyle w:val="Chapter"/>
        <w:numPr>
          <w:ilvl w:val="0"/>
          <w:numId w:val="21"/>
        </w:numPr>
        <w:tabs>
          <w:tab w:val="clear" w:pos="1800"/>
          <w:tab w:val="num" w:pos="648"/>
        </w:tabs>
        <w:ind w:left="0"/>
        <w:jc w:val="left"/>
      </w:pPr>
      <w:r w:rsidRPr="00A37F2A">
        <w:lastRenderedPageBreak/>
        <w:t>Características de la Consultoría</w:t>
      </w:r>
    </w:p>
    <w:p w:rsidR="00896F3A" w:rsidRPr="00A37F2A" w:rsidRDefault="00896F3A" w:rsidP="00896F3A">
      <w:pPr>
        <w:pStyle w:val="ListParagraph"/>
        <w:numPr>
          <w:ilvl w:val="0"/>
          <w:numId w:val="22"/>
        </w:numPr>
      </w:pPr>
      <w:r w:rsidRPr="00A37F2A">
        <w:t xml:space="preserve">Tipo de consultoría. Individual, nacional.  </w:t>
      </w:r>
    </w:p>
    <w:p w:rsidR="00896F3A" w:rsidRPr="00A37F2A" w:rsidRDefault="00896F3A" w:rsidP="00896F3A">
      <w:pPr>
        <w:pStyle w:val="ListParagraph"/>
        <w:numPr>
          <w:ilvl w:val="0"/>
          <w:numId w:val="22"/>
        </w:numPr>
      </w:pPr>
      <w:r w:rsidRPr="00A37F2A">
        <w:t>Fecha de comienzo y duración: 12 meses contados a partir de la firma del contrato</w:t>
      </w:r>
    </w:p>
    <w:p w:rsidR="00896F3A" w:rsidRDefault="00896F3A" w:rsidP="00896F3A">
      <w:pPr>
        <w:pStyle w:val="ListParagraph"/>
        <w:numPr>
          <w:ilvl w:val="0"/>
          <w:numId w:val="22"/>
        </w:numPr>
      </w:pPr>
      <w:r w:rsidRPr="00A37F2A">
        <w:t>Lugar de trabajo. Bogotá, Colombia / México, DF, México / Dos países adicionales</w:t>
      </w:r>
      <w:r>
        <w:t>.</w:t>
      </w:r>
    </w:p>
    <w:p w:rsidR="00896F3A" w:rsidRDefault="00896F3A" w:rsidP="00896F3A">
      <w:pPr>
        <w:pStyle w:val="ListParagraph"/>
        <w:numPr>
          <w:ilvl w:val="0"/>
          <w:numId w:val="22"/>
        </w:numPr>
      </w:pPr>
      <w:r>
        <w:t>Remuneración</w:t>
      </w:r>
      <w:r w:rsidRPr="00782BCB">
        <w:t xml:space="preserve"> y forma de pago. Individual, Suma Alzada/mensual. </w:t>
      </w:r>
    </w:p>
    <w:p w:rsidR="00896F3A" w:rsidRDefault="00896F3A" w:rsidP="001E2168">
      <w:pPr>
        <w:sectPr w:rsidR="00896F3A" w:rsidSect="008F1D43">
          <w:type w:val="continuous"/>
          <w:pgSz w:w="12240" w:h="15840" w:code="1"/>
          <w:pgMar w:top="1440" w:right="1800" w:bottom="1440" w:left="1800" w:header="720" w:footer="720" w:gutter="0"/>
          <w:cols w:space="720"/>
          <w:docGrid w:linePitch="360"/>
        </w:sectPr>
      </w:pPr>
    </w:p>
    <w:p w:rsidR="00896F3A" w:rsidRDefault="00896F3A" w:rsidP="00896F3A">
      <w:pPr>
        <w:pStyle w:val="Chapter"/>
        <w:numPr>
          <w:ilvl w:val="0"/>
          <w:numId w:val="21"/>
        </w:numPr>
        <w:tabs>
          <w:tab w:val="clear" w:pos="1800"/>
          <w:tab w:val="num" w:pos="648"/>
        </w:tabs>
        <w:ind w:left="0"/>
        <w:jc w:val="left"/>
      </w:pPr>
      <w:r>
        <w:lastRenderedPageBreak/>
        <w:t>Calificaciones</w:t>
      </w:r>
      <w:r w:rsidRPr="00A37F2A">
        <w:t xml:space="preserve"> </w:t>
      </w:r>
    </w:p>
    <w:p w:rsidR="00896F3A" w:rsidRDefault="00896F3A" w:rsidP="00896F3A">
      <w:pPr>
        <w:pStyle w:val="Paragraph"/>
        <w:numPr>
          <w:ilvl w:val="1"/>
          <w:numId w:val="21"/>
        </w:numPr>
        <w:tabs>
          <w:tab w:val="clear" w:pos="2448"/>
          <w:tab w:val="num" w:pos="720"/>
        </w:tabs>
        <w:ind w:left="720" w:hanging="720"/>
      </w:pPr>
      <w:r w:rsidRPr="00A37F2A">
        <w:t xml:space="preserve">Profesional con grado universitario en áreas relacionadas con la ICES, con experiencia en manejo de bases de datos, análisis de los mismos. Dependiendo del caso específico de cada ciudad estas calificaciones  podrán variar. </w:t>
      </w:r>
    </w:p>
    <w:p w:rsidR="00896F3A" w:rsidRDefault="00896F3A" w:rsidP="001E2168">
      <w:pPr>
        <w:sectPr w:rsidR="00896F3A" w:rsidSect="008F1D43">
          <w:type w:val="continuous"/>
          <w:pgSz w:w="12240" w:h="15840" w:code="1"/>
          <w:pgMar w:top="1440" w:right="1800" w:bottom="1440" w:left="1800" w:header="720" w:footer="720" w:gutter="0"/>
          <w:cols w:space="720"/>
          <w:docGrid w:linePitch="360"/>
        </w:sectPr>
      </w:pPr>
    </w:p>
    <w:p w:rsidR="00896F3A" w:rsidRPr="00A37F2A" w:rsidRDefault="00896F3A" w:rsidP="00896F3A">
      <w:pPr>
        <w:pStyle w:val="Chapter"/>
        <w:numPr>
          <w:ilvl w:val="0"/>
          <w:numId w:val="21"/>
        </w:numPr>
        <w:tabs>
          <w:tab w:val="clear" w:pos="1800"/>
          <w:tab w:val="num" w:pos="648"/>
        </w:tabs>
        <w:ind w:left="0"/>
        <w:jc w:val="left"/>
      </w:pPr>
      <w:r w:rsidRPr="00A37F2A">
        <w:lastRenderedPageBreak/>
        <w:t>Supervisión</w:t>
      </w:r>
    </w:p>
    <w:p w:rsidR="00896F3A" w:rsidRPr="00F53DB2" w:rsidRDefault="00896F3A" w:rsidP="00896F3A">
      <w:pPr>
        <w:pStyle w:val="Paragraph"/>
        <w:numPr>
          <w:ilvl w:val="1"/>
          <w:numId w:val="21"/>
        </w:numPr>
        <w:tabs>
          <w:tab w:val="clear" w:pos="2448"/>
          <w:tab w:val="num" w:pos="720"/>
        </w:tabs>
        <w:ind w:left="720" w:hanging="720"/>
        <w:rPr>
          <w:b/>
        </w:rPr>
      </w:pPr>
      <w:r w:rsidRPr="00A37F2A">
        <w:t>La supervisión de las consultorías será efectuada por Huáscar Eguino, Especialista Líder (FMM/IFD) y Ellis Juan, Coordinador General de la ICES (VPS/VPS).</w:t>
      </w:r>
      <w:r w:rsidRPr="00A37F2A" w:rsidDel="001E2168">
        <w:t xml:space="preserve"> </w:t>
      </w:r>
    </w:p>
    <w:p w:rsidR="00896F3A" w:rsidRPr="00896F3A" w:rsidRDefault="00896F3A" w:rsidP="00896F3A">
      <w:pPr>
        <w:pStyle w:val="Paragraph"/>
        <w:numPr>
          <w:ilvl w:val="0"/>
          <w:numId w:val="0"/>
        </w:numPr>
      </w:pPr>
    </w:p>
    <w:sectPr w:rsidR="00896F3A" w:rsidRPr="00896F3A" w:rsidSect="006A1198">
      <w:headerReference w:type="default" r:id="rId1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CE7" w:rsidRDefault="00236CE7">
      <w:r>
        <w:separator/>
      </w:r>
    </w:p>
  </w:endnote>
  <w:endnote w:type="continuationSeparator" w:id="0">
    <w:p w:rsidR="00236CE7" w:rsidRDefault="0023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CE7" w:rsidRDefault="00236CE7">
      <w:r>
        <w:separator/>
      </w:r>
    </w:p>
  </w:footnote>
  <w:footnote w:type="continuationSeparator" w:id="0">
    <w:p w:rsidR="00236CE7" w:rsidRDefault="00236CE7">
      <w:r>
        <w:continuationSeparator/>
      </w:r>
    </w:p>
  </w:footnote>
  <w:footnote w:id="1">
    <w:p w:rsidR="004B660A" w:rsidRPr="00A81BA6" w:rsidRDefault="004B660A" w:rsidP="00C461F4">
      <w:pPr>
        <w:pStyle w:val="FootnoteText"/>
        <w:spacing w:after="0"/>
        <w:ind w:left="180" w:hanging="180"/>
      </w:pPr>
      <w:r>
        <w:rPr>
          <w:rStyle w:val="FootnoteReference"/>
        </w:rPr>
        <w:footnoteRef/>
      </w:r>
      <w:r w:rsidRPr="00A81BA6">
        <w:t xml:space="preserve"> </w:t>
      </w:r>
      <w:r>
        <w:t>Los países de nuestra región, en términos de generación per cápita, realizan más emisiones GEI que la mayoría de los otros países del mundo en desarrollo, incluyendo a China e India.</w:t>
      </w:r>
    </w:p>
  </w:footnote>
  <w:footnote w:id="2">
    <w:p w:rsidR="00896F3A" w:rsidRPr="008109EC" w:rsidRDefault="00896F3A" w:rsidP="008109EC">
      <w:pPr>
        <w:ind w:left="360" w:hanging="360"/>
        <w:jc w:val="both"/>
        <w:rPr>
          <w:sz w:val="20"/>
        </w:rPr>
      </w:pPr>
      <w:r w:rsidRPr="008109EC">
        <w:rPr>
          <w:rStyle w:val="FootnoteReference"/>
          <w:sz w:val="20"/>
        </w:rPr>
        <w:footnoteRef/>
      </w:r>
      <w:r w:rsidRPr="008109EC">
        <w:rPr>
          <w:sz w:val="20"/>
        </w:rPr>
        <w:t xml:space="preserve"> </w:t>
      </w:r>
      <w:r w:rsidRPr="008109EC">
        <w:rPr>
          <w:sz w:val="20"/>
        </w:rPr>
        <w:tab/>
        <w:t>Los países de nuestra región, en términos de generación per cápita, realizan más emisiones GEI que la</w:t>
      </w:r>
      <w:r>
        <w:rPr>
          <w:sz w:val="20"/>
        </w:rPr>
        <w:t> </w:t>
      </w:r>
      <w:r w:rsidRPr="008109EC">
        <w:rPr>
          <w:sz w:val="20"/>
        </w:rPr>
        <w:t>mayoría de los otros países del mundo en desarrollo, incluyendo a China e India.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009114"/>
      <w:docPartObj>
        <w:docPartGallery w:val="Page Numbers (Top of Page)"/>
        <w:docPartUnique/>
      </w:docPartObj>
    </w:sdtPr>
    <w:sdtEndPr>
      <w:rPr>
        <w:noProof/>
      </w:rPr>
    </w:sdtEndPr>
    <w:sdtContent>
      <w:p w:rsidR="00896F3A" w:rsidRPr="00B473E5" w:rsidRDefault="00896F3A" w:rsidP="004310F7">
        <w:pPr>
          <w:pStyle w:val="Header"/>
          <w:pBdr>
            <w:bottom w:val="none" w:sz="0" w:space="0" w:color="auto"/>
          </w:pBdr>
          <w:jc w:val="right"/>
          <w:rPr>
            <w:b/>
            <w:sz w:val="24"/>
            <w:lang w:val="fr-FR"/>
          </w:rPr>
        </w:pPr>
        <w:r w:rsidRPr="00B473E5">
          <w:rPr>
            <w:b/>
            <w:sz w:val="24"/>
            <w:lang w:val="fr-FR"/>
          </w:rPr>
          <w:t xml:space="preserve">Annex </w:t>
        </w:r>
        <w:r>
          <w:rPr>
            <w:b/>
            <w:sz w:val="24"/>
            <w:lang w:val="fr-FR"/>
          </w:rPr>
          <w:t>I – RG-T2491</w:t>
        </w:r>
      </w:p>
      <w:p w:rsidR="00896F3A" w:rsidRPr="00B473E5" w:rsidRDefault="00896F3A" w:rsidP="00DF7700">
        <w:pPr>
          <w:pStyle w:val="Header"/>
          <w:pBdr>
            <w:bottom w:val="none" w:sz="0" w:space="0" w:color="auto"/>
          </w:pBdr>
          <w:jc w:val="right"/>
          <w:rPr>
            <w:lang w:val="en-US"/>
          </w:rPr>
        </w:pPr>
        <w:r w:rsidRPr="00B473E5">
          <w:rPr>
            <w:lang w:val="en-US"/>
          </w:rPr>
          <w:t xml:space="preserve">Page </w:t>
        </w:r>
        <w:r w:rsidRPr="00B473E5">
          <w:fldChar w:fldCharType="begin"/>
        </w:r>
        <w:r w:rsidRPr="00B473E5">
          <w:rPr>
            <w:lang w:val="en-US"/>
          </w:rPr>
          <w:instrText xml:space="preserve"> PAGE   \* MERGEFORMAT </w:instrText>
        </w:r>
        <w:r w:rsidRPr="00B473E5">
          <w:fldChar w:fldCharType="separate"/>
        </w:r>
        <w:r>
          <w:rPr>
            <w:noProof/>
            <w:lang w:val="en-US"/>
          </w:rPr>
          <w:t>2</w:t>
        </w:r>
        <w:r w:rsidRPr="00B473E5">
          <w:rPr>
            <w:noProof/>
          </w:rPr>
          <w:fldChar w:fldCharType="end"/>
        </w:r>
        <w:r w:rsidRPr="00B473E5">
          <w:rPr>
            <w:noProof/>
            <w:lang w:val="en-US"/>
          </w:rPr>
          <w:t xml:space="preserve"> of </w:t>
        </w:r>
        <w:r>
          <w:rPr>
            <w:noProof/>
            <w:lang w:val="en-US"/>
          </w:rPr>
          <w:t>2</w:t>
        </w:r>
      </w:p>
    </w:sdtContent>
  </w:sdt>
  <w:p w:rsidR="00896F3A" w:rsidRPr="003D4968" w:rsidRDefault="00896F3A" w:rsidP="00DF7700">
    <w:pPr>
      <w:pStyle w:val="Header"/>
      <w:pBdr>
        <w:bottom w:val="none" w:sz="0" w:space="0" w:color="auto"/>
      </w:pBd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635097"/>
      <w:docPartObj>
        <w:docPartGallery w:val="Page Numbers (Top of Page)"/>
        <w:docPartUnique/>
      </w:docPartObj>
    </w:sdtPr>
    <w:sdtEndPr>
      <w:rPr>
        <w:sz w:val="22"/>
        <w:szCs w:val="22"/>
      </w:rPr>
    </w:sdtEndPr>
    <w:sdtContent>
      <w:p w:rsidR="00541E53" w:rsidRPr="00541E53" w:rsidRDefault="00541E53" w:rsidP="00541E53">
        <w:pPr>
          <w:pStyle w:val="Header"/>
          <w:pBdr>
            <w:bottom w:val="none" w:sz="0" w:space="0" w:color="auto"/>
          </w:pBdr>
          <w:jc w:val="right"/>
          <w:rPr>
            <w:sz w:val="22"/>
            <w:szCs w:val="22"/>
          </w:rPr>
        </w:pPr>
        <w:r w:rsidRPr="00541E53">
          <w:rPr>
            <w:b/>
            <w:sz w:val="22"/>
            <w:szCs w:val="22"/>
            <w:lang w:val="fr-FR"/>
          </w:rPr>
          <w:t>Anex</w:t>
        </w:r>
        <w:r w:rsidRPr="00541E53">
          <w:rPr>
            <w:b/>
            <w:sz w:val="22"/>
            <w:szCs w:val="22"/>
            <w:lang w:val="fr-FR"/>
          </w:rPr>
          <w:t>o</w:t>
        </w:r>
        <w:r w:rsidRPr="00541E53">
          <w:rPr>
            <w:b/>
            <w:sz w:val="22"/>
            <w:szCs w:val="22"/>
            <w:lang w:val="fr-FR"/>
          </w:rPr>
          <w:t xml:space="preserve"> I – RG-T2491</w:t>
        </w:r>
      </w:p>
      <w:p w:rsidR="00896F3A" w:rsidRPr="00541E53" w:rsidRDefault="00541E53" w:rsidP="00541E53">
        <w:pPr>
          <w:pStyle w:val="Header"/>
          <w:pBdr>
            <w:bottom w:val="none" w:sz="0" w:space="0" w:color="auto"/>
          </w:pBdr>
          <w:jc w:val="right"/>
          <w:rPr>
            <w:sz w:val="22"/>
            <w:szCs w:val="22"/>
          </w:rPr>
        </w:pPr>
        <w:r w:rsidRPr="00541E53">
          <w:rPr>
            <w:sz w:val="22"/>
            <w:szCs w:val="22"/>
          </w:rPr>
          <w:t xml:space="preserve">Page </w:t>
        </w:r>
        <w:r w:rsidRPr="00541E53">
          <w:rPr>
            <w:b/>
            <w:bCs/>
            <w:sz w:val="22"/>
            <w:szCs w:val="22"/>
          </w:rPr>
          <w:fldChar w:fldCharType="begin"/>
        </w:r>
        <w:r w:rsidRPr="00541E53">
          <w:rPr>
            <w:b/>
            <w:bCs/>
            <w:sz w:val="22"/>
            <w:szCs w:val="22"/>
          </w:rPr>
          <w:instrText xml:space="preserve"> PAGE </w:instrText>
        </w:r>
        <w:r w:rsidRPr="00541E53">
          <w:rPr>
            <w:b/>
            <w:bCs/>
            <w:sz w:val="22"/>
            <w:szCs w:val="22"/>
          </w:rPr>
          <w:fldChar w:fldCharType="separate"/>
        </w:r>
        <w:r>
          <w:rPr>
            <w:b/>
            <w:bCs/>
            <w:noProof/>
            <w:sz w:val="22"/>
            <w:szCs w:val="22"/>
          </w:rPr>
          <w:t>2</w:t>
        </w:r>
        <w:r w:rsidRPr="00541E53">
          <w:rPr>
            <w:b/>
            <w:bCs/>
            <w:sz w:val="22"/>
            <w:szCs w:val="22"/>
          </w:rPr>
          <w:fldChar w:fldCharType="end"/>
        </w:r>
        <w:r w:rsidRPr="00541E53">
          <w:rPr>
            <w:sz w:val="22"/>
            <w:szCs w:val="22"/>
          </w:rPr>
          <w:t xml:space="preserve"> of </w:t>
        </w:r>
        <w:r w:rsidRPr="00541E53">
          <w:rPr>
            <w:b/>
            <w:bCs/>
            <w:sz w:val="22"/>
            <w:szCs w:val="22"/>
          </w:rPr>
          <w:fldChar w:fldCharType="begin"/>
        </w:r>
        <w:r w:rsidRPr="00541E53">
          <w:rPr>
            <w:b/>
            <w:bCs/>
            <w:sz w:val="22"/>
            <w:szCs w:val="22"/>
          </w:rPr>
          <w:instrText xml:space="preserve"> NUMPAGES  </w:instrText>
        </w:r>
        <w:r w:rsidRPr="00541E53">
          <w:rPr>
            <w:b/>
            <w:bCs/>
            <w:sz w:val="22"/>
            <w:szCs w:val="22"/>
          </w:rPr>
          <w:fldChar w:fldCharType="separate"/>
        </w:r>
        <w:r>
          <w:rPr>
            <w:b/>
            <w:bCs/>
            <w:noProof/>
            <w:sz w:val="22"/>
            <w:szCs w:val="22"/>
          </w:rPr>
          <w:t>15</w:t>
        </w:r>
        <w:r w:rsidRPr="00541E53">
          <w:rPr>
            <w:b/>
            <w:bCs/>
            <w:sz w:val="22"/>
            <w:szCs w:val="22"/>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784506"/>
      <w:docPartObj>
        <w:docPartGallery w:val="Page Numbers (Top of Page)"/>
        <w:docPartUnique/>
      </w:docPartObj>
    </w:sdtPr>
    <w:sdtEndPr>
      <w:rPr>
        <w:noProof/>
      </w:rPr>
    </w:sdtEndPr>
    <w:sdtContent>
      <w:p w:rsidR="00896F3A" w:rsidRPr="00B473E5" w:rsidRDefault="00896F3A" w:rsidP="004310F7">
        <w:pPr>
          <w:pStyle w:val="Header"/>
          <w:pBdr>
            <w:bottom w:val="none" w:sz="0" w:space="0" w:color="auto"/>
          </w:pBdr>
          <w:jc w:val="right"/>
          <w:rPr>
            <w:b/>
            <w:sz w:val="24"/>
            <w:lang w:val="fr-FR"/>
          </w:rPr>
        </w:pPr>
        <w:r w:rsidRPr="00B473E5">
          <w:rPr>
            <w:b/>
            <w:sz w:val="24"/>
            <w:lang w:val="fr-FR"/>
          </w:rPr>
          <w:t xml:space="preserve">Annex </w:t>
        </w:r>
        <w:r>
          <w:rPr>
            <w:b/>
            <w:sz w:val="24"/>
            <w:lang w:val="fr-FR"/>
          </w:rPr>
          <w:t>I – RG-T2491</w:t>
        </w:r>
      </w:p>
      <w:p w:rsidR="00896F3A" w:rsidRPr="00B473E5" w:rsidRDefault="00896F3A" w:rsidP="00DF7700">
        <w:pPr>
          <w:pStyle w:val="Header"/>
          <w:pBdr>
            <w:bottom w:val="none" w:sz="0" w:space="0" w:color="auto"/>
          </w:pBdr>
          <w:jc w:val="right"/>
          <w:rPr>
            <w:lang w:val="en-US"/>
          </w:rPr>
        </w:pPr>
        <w:r w:rsidRPr="00B473E5">
          <w:rPr>
            <w:lang w:val="en-US"/>
          </w:rPr>
          <w:t xml:space="preserve">Page </w:t>
        </w:r>
        <w:r w:rsidRPr="00B473E5">
          <w:fldChar w:fldCharType="begin"/>
        </w:r>
        <w:r w:rsidRPr="00B473E5">
          <w:rPr>
            <w:lang w:val="en-US"/>
          </w:rPr>
          <w:instrText xml:space="preserve"> PAGE   \* MERGEFORMAT </w:instrText>
        </w:r>
        <w:r w:rsidRPr="00B473E5">
          <w:fldChar w:fldCharType="separate"/>
        </w:r>
        <w:r>
          <w:rPr>
            <w:noProof/>
            <w:lang w:val="en-US"/>
          </w:rPr>
          <w:t>4</w:t>
        </w:r>
        <w:r w:rsidRPr="00B473E5">
          <w:rPr>
            <w:noProof/>
          </w:rPr>
          <w:fldChar w:fldCharType="end"/>
        </w:r>
        <w:r w:rsidRPr="00B473E5">
          <w:rPr>
            <w:noProof/>
            <w:lang w:val="en-US"/>
          </w:rPr>
          <w:t xml:space="preserve"> of </w:t>
        </w:r>
        <w:r>
          <w:rPr>
            <w:noProof/>
            <w:lang w:val="en-US"/>
          </w:rPr>
          <w:t>4</w:t>
        </w:r>
      </w:p>
    </w:sdtContent>
  </w:sdt>
  <w:p w:rsidR="00896F3A" w:rsidRPr="003D4968" w:rsidRDefault="00896F3A" w:rsidP="00DF7700">
    <w:pPr>
      <w:pStyle w:val="Header"/>
      <w:pBdr>
        <w:bottom w:val="none" w:sz="0" w:space="0" w:color="auto"/>
      </w:pBdr>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8425495"/>
      <w:docPartObj>
        <w:docPartGallery w:val="Page Numbers (Top of Page)"/>
        <w:docPartUnique/>
      </w:docPartObj>
    </w:sdtPr>
    <w:sdtEndPr>
      <w:rPr>
        <w:noProof/>
      </w:rPr>
    </w:sdtEndPr>
    <w:sdtContent>
      <w:p w:rsidR="00896F3A" w:rsidRPr="00B473E5" w:rsidRDefault="00896F3A" w:rsidP="004310F7">
        <w:pPr>
          <w:pStyle w:val="Header"/>
          <w:pBdr>
            <w:bottom w:val="none" w:sz="0" w:space="0" w:color="auto"/>
          </w:pBdr>
          <w:jc w:val="right"/>
          <w:rPr>
            <w:b/>
            <w:sz w:val="24"/>
            <w:lang w:val="fr-FR"/>
          </w:rPr>
        </w:pPr>
        <w:r w:rsidRPr="00B473E5">
          <w:rPr>
            <w:b/>
            <w:sz w:val="24"/>
            <w:lang w:val="fr-FR"/>
          </w:rPr>
          <w:t xml:space="preserve">Annex </w:t>
        </w:r>
        <w:r>
          <w:rPr>
            <w:b/>
            <w:sz w:val="24"/>
            <w:lang w:val="fr-FR"/>
          </w:rPr>
          <w:t>I – RG-T2491</w:t>
        </w:r>
      </w:p>
      <w:p w:rsidR="00896F3A" w:rsidRPr="00B473E5" w:rsidRDefault="00896F3A" w:rsidP="00DF7700">
        <w:pPr>
          <w:pStyle w:val="Header"/>
          <w:pBdr>
            <w:bottom w:val="none" w:sz="0" w:space="0" w:color="auto"/>
          </w:pBdr>
          <w:jc w:val="right"/>
          <w:rPr>
            <w:lang w:val="en-US"/>
          </w:rPr>
        </w:pPr>
        <w:r w:rsidRPr="00B473E5">
          <w:rPr>
            <w:lang w:val="en-US"/>
          </w:rPr>
          <w:t xml:space="preserve">Page </w:t>
        </w:r>
        <w:r w:rsidRPr="00B473E5">
          <w:fldChar w:fldCharType="begin"/>
        </w:r>
        <w:r w:rsidRPr="00B473E5">
          <w:rPr>
            <w:lang w:val="en-US"/>
          </w:rPr>
          <w:instrText xml:space="preserve"> PAGE   \* MERGEFORMAT </w:instrText>
        </w:r>
        <w:r w:rsidRPr="00B473E5">
          <w:fldChar w:fldCharType="separate"/>
        </w:r>
        <w:r>
          <w:rPr>
            <w:noProof/>
            <w:lang w:val="en-US"/>
          </w:rPr>
          <w:t>2</w:t>
        </w:r>
        <w:r w:rsidRPr="00B473E5">
          <w:rPr>
            <w:noProof/>
          </w:rPr>
          <w:fldChar w:fldCharType="end"/>
        </w:r>
        <w:r w:rsidRPr="00B473E5">
          <w:rPr>
            <w:noProof/>
            <w:lang w:val="en-US"/>
          </w:rPr>
          <w:t xml:space="preserve"> of </w:t>
        </w:r>
        <w:r>
          <w:rPr>
            <w:noProof/>
            <w:lang w:val="en-US"/>
          </w:rPr>
          <w:t>2</w:t>
        </w:r>
      </w:p>
    </w:sdtContent>
  </w:sdt>
  <w:p w:rsidR="00896F3A" w:rsidRPr="003D4968" w:rsidRDefault="00896F3A" w:rsidP="00DF7700">
    <w:pPr>
      <w:pStyle w:val="Header"/>
      <w:pBdr>
        <w:bottom w:val="none" w:sz="0" w:space="0" w:color="auto"/>
      </w:pBdr>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284695"/>
      <w:docPartObj>
        <w:docPartGallery w:val="Page Numbers (Top of Page)"/>
        <w:docPartUnique/>
      </w:docPartObj>
    </w:sdtPr>
    <w:sdtEndPr>
      <w:rPr>
        <w:noProof/>
      </w:rPr>
    </w:sdtEndPr>
    <w:sdtContent>
      <w:p w:rsidR="00896F3A" w:rsidRPr="00B473E5" w:rsidRDefault="00896F3A" w:rsidP="004310F7">
        <w:pPr>
          <w:pStyle w:val="Header"/>
          <w:pBdr>
            <w:bottom w:val="none" w:sz="0" w:space="0" w:color="auto"/>
          </w:pBdr>
          <w:jc w:val="right"/>
          <w:rPr>
            <w:b/>
            <w:sz w:val="24"/>
            <w:lang w:val="fr-FR"/>
          </w:rPr>
        </w:pPr>
        <w:r w:rsidRPr="00B473E5">
          <w:rPr>
            <w:b/>
            <w:sz w:val="24"/>
            <w:lang w:val="fr-FR"/>
          </w:rPr>
          <w:t xml:space="preserve">Annex </w:t>
        </w:r>
        <w:r>
          <w:rPr>
            <w:b/>
            <w:sz w:val="24"/>
            <w:lang w:val="fr-FR"/>
          </w:rPr>
          <w:t>I – RG-T2491</w:t>
        </w:r>
      </w:p>
      <w:p w:rsidR="00896F3A" w:rsidRPr="00B473E5" w:rsidRDefault="00896F3A" w:rsidP="00DF7700">
        <w:pPr>
          <w:pStyle w:val="Header"/>
          <w:pBdr>
            <w:bottom w:val="none" w:sz="0" w:space="0" w:color="auto"/>
          </w:pBdr>
          <w:jc w:val="right"/>
          <w:rPr>
            <w:lang w:val="en-US"/>
          </w:rPr>
        </w:pPr>
        <w:r w:rsidRPr="00B473E5">
          <w:rPr>
            <w:lang w:val="en-US"/>
          </w:rPr>
          <w:t xml:space="preserve">Page </w:t>
        </w:r>
        <w:r w:rsidRPr="00B473E5">
          <w:fldChar w:fldCharType="begin"/>
        </w:r>
        <w:r w:rsidRPr="00B473E5">
          <w:rPr>
            <w:lang w:val="en-US"/>
          </w:rPr>
          <w:instrText xml:space="preserve"> PAGE   \* MERGEFORMAT </w:instrText>
        </w:r>
        <w:r w:rsidRPr="00B473E5">
          <w:fldChar w:fldCharType="separate"/>
        </w:r>
        <w:r>
          <w:rPr>
            <w:noProof/>
            <w:lang w:val="en-US"/>
          </w:rPr>
          <w:t>2</w:t>
        </w:r>
        <w:r w:rsidRPr="00B473E5">
          <w:rPr>
            <w:noProof/>
          </w:rPr>
          <w:fldChar w:fldCharType="end"/>
        </w:r>
        <w:r w:rsidRPr="00B473E5">
          <w:rPr>
            <w:noProof/>
            <w:lang w:val="en-US"/>
          </w:rPr>
          <w:t xml:space="preserve"> of 2</w:t>
        </w:r>
      </w:p>
    </w:sdtContent>
  </w:sdt>
  <w:p w:rsidR="00896F3A" w:rsidRPr="003D4968" w:rsidRDefault="00896F3A" w:rsidP="00DF7700">
    <w:pPr>
      <w:pStyle w:val="Header"/>
      <w:pBdr>
        <w:bottom w:val="none" w:sz="0" w:space="0" w:color="auto"/>
      </w:pBdr>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szCs w:val="24"/>
      </w:rPr>
    </w:sdtEndPr>
    <w:sdtContent>
      <w:sdt>
        <w:sdtPr>
          <w:id w:val="1256711168"/>
          <w:docPartObj>
            <w:docPartGallery w:val="Page Numbers (Top of Page)"/>
            <w:docPartUnique/>
          </w:docPartObj>
        </w:sdtPr>
        <w:sdtEndPr>
          <w:rPr>
            <w:noProof/>
            <w:sz w:val="24"/>
            <w:szCs w:val="24"/>
          </w:rPr>
        </w:sdtEndPr>
        <w:sdtContent>
          <w:p w:rsidR="00FD00A4" w:rsidRPr="00FD00A4" w:rsidRDefault="00FD00A4" w:rsidP="00FD00A4">
            <w:pPr>
              <w:pStyle w:val="Header"/>
              <w:pBdr>
                <w:bottom w:val="none" w:sz="0" w:space="0" w:color="auto"/>
              </w:pBdr>
              <w:jc w:val="right"/>
              <w:rPr>
                <w:sz w:val="24"/>
                <w:szCs w:val="24"/>
                <w:lang w:val="fr-FR"/>
              </w:rPr>
            </w:pPr>
            <w:r w:rsidRPr="00FD00A4">
              <w:rPr>
                <w:b/>
                <w:sz w:val="24"/>
                <w:szCs w:val="24"/>
                <w:lang w:val="fr-FR"/>
              </w:rPr>
              <w:t>Anexo II – RG-T2491</w:t>
            </w:r>
          </w:p>
        </w:sdtContent>
      </w:sdt>
      <w:p w:rsidR="00236CE7" w:rsidRPr="00FD00A4" w:rsidRDefault="00FD00A4" w:rsidP="00FD00A4">
        <w:pPr>
          <w:pStyle w:val="Header"/>
          <w:pBdr>
            <w:bottom w:val="none" w:sz="0" w:space="0" w:color="auto"/>
          </w:pBdr>
          <w:jc w:val="right"/>
          <w:rPr>
            <w:szCs w:val="24"/>
            <w:lang w:val="fr-FR"/>
          </w:rPr>
        </w:pPr>
        <w:r w:rsidRPr="00FD00A4">
          <w:rPr>
            <w:szCs w:val="24"/>
            <w:lang w:val="fr-FR"/>
          </w:rPr>
          <w:t xml:space="preserve">Page </w:t>
        </w:r>
        <w:r w:rsidRPr="00FD00A4">
          <w:rPr>
            <w:b/>
            <w:bCs/>
            <w:szCs w:val="24"/>
          </w:rPr>
          <w:fldChar w:fldCharType="begin"/>
        </w:r>
        <w:r w:rsidRPr="00FD00A4">
          <w:rPr>
            <w:b/>
            <w:bCs/>
            <w:szCs w:val="24"/>
            <w:lang w:val="fr-FR"/>
          </w:rPr>
          <w:instrText xml:space="preserve"> PAGE </w:instrText>
        </w:r>
        <w:r w:rsidRPr="00FD00A4">
          <w:rPr>
            <w:b/>
            <w:bCs/>
            <w:szCs w:val="24"/>
          </w:rPr>
          <w:fldChar w:fldCharType="separate"/>
        </w:r>
        <w:r w:rsidR="00896F3A">
          <w:rPr>
            <w:b/>
            <w:bCs/>
            <w:szCs w:val="24"/>
            <w:lang w:val="fr-FR"/>
          </w:rPr>
          <w:t>14</w:t>
        </w:r>
        <w:r w:rsidRPr="00FD00A4">
          <w:rPr>
            <w:b/>
            <w:bCs/>
            <w:szCs w:val="24"/>
          </w:rPr>
          <w:fldChar w:fldCharType="end"/>
        </w:r>
        <w:r w:rsidRPr="00FD00A4">
          <w:rPr>
            <w:szCs w:val="24"/>
            <w:lang w:val="fr-FR"/>
          </w:rPr>
          <w:t xml:space="preserve"> of </w:t>
        </w:r>
        <w:r w:rsidRPr="00FD00A4">
          <w:rPr>
            <w:b/>
            <w:bCs/>
            <w:szCs w:val="24"/>
          </w:rPr>
          <w:fldChar w:fldCharType="begin"/>
        </w:r>
        <w:r w:rsidRPr="00FD00A4">
          <w:rPr>
            <w:b/>
            <w:bCs/>
            <w:szCs w:val="24"/>
            <w:lang w:val="fr-FR"/>
          </w:rPr>
          <w:instrText xml:space="preserve"> NUMPAGES  </w:instrText>
        </w:r>
        <w:r w:rsidRPr="00FD00A4">
          <w:rPr>
            <w:b/>
            <w:bCs/>
            <w:szCs w:val="24"/>
          </w:rPr>
          <w:fldChar w:fldCharType="separate"/>
        </w:r>
        <w:r w:rsidR="00896F3A">
          <w:rPr>
            <w:b/>
            <w:bCs/>
            <w:szCs w:val="24"/>
            <w:lang w:val="fr-FR"/>
          </w:rPr>
          <w:t>14</w:t>
        </w:r>
        <w:r w:rsidRPr="00FD00A4">
          <w:rPr>
            <w:b/>
            <w:bCs/>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5"/>
    <w:multiLevelType w:val="multilevel"/>
    <w:tmpl w:val="00000005"/>
    <w:name w:val="WWNum4"/>
    <w:lvl w:ilvl="0">
      <w:start w:val="1"/>
      <w:numFmt w:val="lowerLetter"/>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4">
    <w:nsid w:val="028276E7"/>
    <w:multiLevelType w:val="hybridMultilevel"/>
    <w:tmpl w:val="F7922B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1B4CAC"/>
    <w:multiLevelType w:val="multilevel"/>
    <w:tmpl w:val="82DE10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0C7212B9"/>
    <w:multiLevelType w:val="hybridMultilevel"/>
    <w:tmpl w:val="D706A834"/>
    <w:lvl w:ilvl="0" w:tplc="B7C45DCE">
      <w:start w:val="3"/>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550B3E"/>
    <w:multiLevelType w:val="hybridMultilevel"/>
    <w:tmpl w:val="EE46959A"/>
    <w:lvl w:ilvl="0" w:tplc="26364276">
      <w:start w:val="4"/>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FB477C"/>
    <w:multiLevelType w:val="hybridMultilevel"/>
    <w:tmpl w:val="86CA671E"/>
    <w:lvl w:ilvl="0" w:tplc="4A3AF246">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52F69"/>
    <w:multiLevelType w:val="multilevel"/>
    <w:tmpl w:val="2320EC4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
    <w:nsid w:val="266D57C2"/>
    <w:multiLevelType w:val="hybridMultilevel"/>
    <w:tmpl w:val="D6286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AF0C9B"/>
    <w:multiLevelType w:val="hybridMultilevel"/>
    <w:tmpl w:val="6C2C7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7E7C26"/>
    <w:multiLevelType w:val="hybridMultilevel"/>
    <w:tmpl w:val="5C0241F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A706BA"/>
    <w:multiLevelType w:val="multilevel"/>
    <w:tmpl w:val="D222DAB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rPr>
        <w:b w:val="0"/>
        <w:sz w:val="24"/>
        <w:szCs w:val="24"/>
      </w:rPr>
    </w:lvl>
    <w:lvl w:ilvl="8">
      <w:start w:val="1"/>
      <w:numFmt w:val="lowerRoman"/>
      <w:pStyle w:val="Heading9"/>
      <w:lvlText w:val="%9."/>
      <w:lvlJc w:val="right"/>
      <w:pPr>
        <w:ind w:left="5688" w:hanging="144"/>
      </w:pPr>
    </w:lvl>
  </w:abstractNum>
  <w:abstractNum w:abstractNumId="15">
    <w:nsid w:val="36127FA5"/>
    <w:multiLevelType w:val="multilevel"/>
    <w:tmpl w:val="12545ED2"/>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b w:val="0"/>
      </w:r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16">
    <w:nsid w:val="3D0B7CF2"/>
    <w:multiLevelType w:val="hybridMultilevel"/>
    <w:tmpl w:val="62421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10B7957"/>
    <w:multiLevelType w:val="hybridMultilevel"/>
    <w:tmpl w:val="9FA4BE48"/>
    <w:lvl w:ilvl="0" w:tplc="940E7798">
      <w:start w:val="5"/>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19">
    <w:nsid w:val="479B56D6"/>
    <w:multiLevelType w:val="hybridMultilevel"/>
    <w:tmpl w:val="0EB21D02"/>
    <w:lvl w:ilvl="0" w:tplc="50C62028">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966122"/>
    <w:multiLevelType w:val="hybridMultilevel"/>
    <w:tmpl w:val="4F4EB274"/>
    <w:name w:val="WWNum32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E11306"/>
    <w:multiLevelType w:val="multilevel"/>
    <w:tmpl w:val="0E2C141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nsid w:val="5D944E48"/>
    <w:multiLevelType w:val="hybridMultilevel"/>
    <w:tmpl w:val="CDEA39EE"/>
    <w:name w:val="WWNum32"/>
    <w:lvl w:ilvl="0" w:tplc="3CE6A508">
      <w:start w:val="4"/>
      <w:numFmt w:val="upperRoman"/>
      <w:lvlText w:val="%1."/>
      <w:lvlJc w:val="left"/>
      <w:pPr>
        <w:ind w:left="108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50139C"/>
    <w:multiLevelType w:val="multilevel"/>
    <w:tmpl w:val="1A02299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nsid w:val="61B10290"/>
    <w:multiLevelType w:val="hybridMultilevel"/>
    <w:tmpl w:val="A840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446300"/>
    <w:multiLevelType w:val="hybridMultilevel"/>
    <w:tmpl w:val="951E0DF0"/>
    <w:lvl w:ilvl="0" w:tplc="0332DBFA">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754307"/>
    <w:multiLevelType w:val="hybridMultilevel"/>
    <w:tmpl w:val="489C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331ACC"/>
    <w:multiLevelType w:val="hybridMultilevel"/>
    <w:tmpl w:val="7444C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96897"/>
    <w:multiLevelType w:val="hybridMultilevel"/>
    <w:tmpl w:val="C8C85464"/>
    <w:lvl w:ilvl="0" w:tplc="E73474EC">
      <w:start w:val="8"/>
      <w:numFmt w:val="decimal"/>
      <w:pStyle w:val="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7252F4"/>
    <w:multiLevelType w:val="hybridMultilevel"/>
    <w:tmpl w:val="2D9C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5"/>
  </w:num>
  <w:num w:numId="4">
    <w:abstractNumId w:val="13"/>
  </w:num>
  <w:num w:numId="5">
    <w:abstractNumId w:val="19"/>
  </w:num>
  <w:num w:numId="6">
    <w:abstractNumId w:val="6"/>
  </w:num>
  <w:num w:numId="7">
    <w:abstractNumId w:val="25"/>
  </w:num>
  <w:num w:numId="8">
    <w:abstractNumId w:val="8"/>
  </w:num>
  <w:num w:numId="9">
    <w:abstractNumId w:val="7"/>
  </w:num>
  <w:num w:numId="10">
    <w:abstractNumId w:val="17"/>
  </w:num>
  <w:num w:numId="11">
    <w:abstractNumId w:val="28"/>
  </w:num>
  <w:num w:numId="12">
    <w:abstractNumId w:val="16"/>
  </w:num>
  <w:num w:numId="13">
    <w:abstractNumId w:val="26"/>
  </w:num>
  <w:num w:numId="14">
    <w:abstractNumId w:val="24"/>
  </w:num>
  <w:num w:numId="15">
    <w:abstractNumId w:val="9"/>
  </w:num>
  <w:num w:numId="16">
    <w:abstractNumId w:val="23"/>
  </w:num>
  <w:num w:numId="17">
    <w:abstractNumId w:val="27"/>
  </w:num>
  <w:num w:numId="18">
    <w:abstractNumId w:val="4"/>
  </w:num>
  <w:num w:numId="19">
    <w:abstractNumId w:val="21"/>
  </w:num>
  <w:num w:numId="20">
    <w:abstractNumId w:val="12"/>
  </w:num>
  <w:num w:numId="21">
    <w:abstractNumId w:val="5"/>
  </w:num>
  <w:num w:numId="22">
    <w:abstractNumId w:val="29"/>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PR"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9420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AFA"/>
    <w:rsid w:val="00012882"/>
    <w:rsid w:val="000146C1"/>
    <w:rsid w:val="000148E2"/>
    <w:rsid w:val="00016B35"/>
    <w:rsid w:val="00023424"/>
    <w:rsid w:val="00023443"/>
    <w:rsid w:val="0002352B"/>
    <w:rsid w:val="000253B7"/>
    <w:rsid w:val="00026D77"/>
    <w:rsid w:val="00027CAA"/>
    <w:rsid w:val="00027F5C"/>
    <w:rsid w:val="000306A2"/>
    <w:rsid w:val="00030A33"/>
    <w:rsid w:val="00030DBD"/>
    <w:rsid w:val="00031BDD"/>
    <w:rsid w:val="00032E3F"/>
    <w:rsid w:val="00034E4A"/>
    <w:rsid w:val="00036D0C"/>
    <w:rsid w:val="00040488"/>
    <w:rsid w:val="000404B1"/>
    <w:rsid w:val="00041C1D"/>
    <w:rsid w:val="0004317F"/>
    <w:rsid w:val="00043C08"/>
    <w:rsid w:val="00043D6A"/>
    <w:rsid w:val="00044084"/>
    <w:rsid w:val="00044B03"/>
    <w:rsid w:val="000451BB"/>
    <w:rsid w:val="00046458"/>
    <w:rsid w:val="000539A3"/>
    <w:rsid w:val="00055265"/>
    <w:rsid w:val="00060261"/>
    <w:rsid w:val="00060469"/>
    <w:rsid w:val="00062668"/>
    <w:rsid w:val="000632E4"/>
    <w:rsid w:val="000635ED"/>
    <w:rsid w:val="000646A1"/>
    <w:rsid w:val="00071ABC"/>
    <w:rsid w:val="0007246A"/>
    <w:rsid w:val="00086396"/>
    <w:rsid w:val="00091EC9"/>
    <w:rsid w:val="00093DF0"/>
    <w:rsid w:val="00097912"/>
    <w:rsid w:val="000A15F8"/>
    <w:rsid w:val="000A58C3"/>
    <w:rsid w:val="000A7159"/>
    <w:rsid w:val="000B0B83"/>
    <w:rsid w:val="000B0F10"/>
    <w:rsid w:val="000B21B1"/>
    <w:rsid w:val="000B50AB"/>
    <w:rsid w:val="000B53FC"/>
    <w:rsid w:val="000B5EFF"/>
    <w:rsid w:val="000B6105"/>
    <w:rsid w:val="000D3D18"/>
    <w:rsid w:val="000D4CB3"/>
    <w:rsid w:val="000E17F0"/>
    <w:rsid w:val="000E21DD"/>
    <w:rsid w:val="000E576A"/>
    <w:rsid w:val="000E65F6"/>
    <w:rsid w:val="000F0183"/>
    <w:rsid w:val="000F1B75"/>
    <w:rsid w:val="000F2EA4"/>
    <w:rsid w:val="000F49F7"/>
    <w:rsid w:val="000F63CE"/>
    <w:rsid w:val="00101554"/>
    <w:rsid w:val="00103E18"/>
    <w:rsid w:val="00104062"/>
    <w:rsid w:val="001209A7"/>
    <w:rsid w:val="001217B8"/>
    <w:rsid w:val="001220CD"/>
    <w:rsid w:val="001245A3"/>
    <w:rsid w:val="001246BF"/>
    <w:rsid w:val="00126E1C"/>
    <w:rsid w:val="001329FE"/>
    <w:rsid w:val="00135615"/>
    <w:rsid w:val="00135BE6"/>
    <w:rsid w:val="0013686A"/>
    <w:rsid w:val="0014323E"/>
    <w:rsid w:val="00144972"/>
    <w:rsid w:val="00144C61"/>
    <w:rsid w:val="001452FE"/>
    <w:rsid w:val="0014653D"/>
    <w:rsid w:val="00150C3C"/>
    <w:rsid w:val="00151217"/>
    <w:rsid w:val="00151883"/>
    <w:rsid w:val="00154F07"/>
    <w:rsid w:val="00155B38"/>
    <w:rsid w:val="0015780B"/>
    <w:rsid w:val="00161280"/>
    <w:rsid w:val="00162C29"/>
    <w:rsid w:val="0016550E"/>
    <w:rsid w:val="00166199"/>
    <w:rsid w:val="00166737"/>
    <w:rsid w:val="0016674D"/>
    <w:rsid w:val="0016681D"/>
    <w:rsid w:val="00167659"/>
    <w:rsid w:val="00171B6F"/>
    <w:rsid w:val="0017597D"/>
    <w:rsid w:val="00184DBB"/>
    <w:rsid w:val="0018707D"/>
    <w:rsid w:val="00190E03"/>
    <w:rsid w:val="00192CE2"/>
    <w:rsid w:val="00193951"/>
    <w:rsid w:val="0019665D"/>
    <w:rsid w:val="001A1C31"/>
    <w:rsid w:val="001A427C"/>
    <w:rsid w:val="001A495F"/>
    <w:rsid w:val="001A6ADD"/>
    <w:rsid w:val="001A6CE0"/>
    <w:rsid w:val="001A7C3C"/>
    <w:rsid w:val="001B6745"/>
    <w:rsid w:val="001C1F2F"/>
    <w:rsid w:val="001C6144"/>
    <w:rsid w:val="001C6161"/>
    <w:rsid w:val="001D0871"/>
    <w:rsid w:val="001D38A4"/>
    <w:rsid w:val="001D40E5"/>
    <w:rsid w:val="001D41FD"/>
    <w:rsid w:val="001D503D"/>
    <w:rsid w:val="001D5498"/>
    <w:rsid w:val="001D565A"/>
    <w:rsid w:val="001D6E6D"/>
    <w:rsid w:val="001E2726"/>
    <w:rsid w:val="001E2AF9"/>
    <w:rsid w:val="001E3B31"/>
    <w:rsid w:val="001E4B3C"/>
    <w:rsid w:val="001E712B"/>
    <w:rsid w:val="001E7F9A"/>
    <w:rsid w:val="001F3979"/>
    <w:rsid w:val="001F4FBD"/>
    <w:rsid w:val="001F6BB3"/>
    <w:rsid w:val="00200ED6"/>
    <w:rsid w:val="00201531"/>
    <w:rsid w:val="00202259"/>
    <w:rsid w:val="00203994"/>
    <w:rsid w:val="00205326"/>
    <w:rsid w:val="002078B5"/>
    <w:rsid w:val="00210BC7"/>
    <w:rsid w:val="00211C67"/>
    <w:rsid w:val="0021594F"/>
    <w:rsid w:val="00217347"/>
    <w:rsid w:val="00221727"/>
    <w:rsid w:val="0022299F"/>
    <w:rsid w:val="002241DB"/>
    <w:rsid w:val="002264F7"/>
    <w:rsid w:val="00230A49"/>
    <w:rsid w:val="00235D25"/>
    <w:rsid w:val="002363B4"/>
    <w:rsid w:val="00236CE7"/>
    <w:rsid w:val="00242094"/>
    <w:rsid w:val="002438CF"/>
    <w:rsid w:val="0024406C"/>
    <w:rsid w:val="00255AA4"/>
    <w:rsid w:val="00256541"/>
    <w:rsid w:val="00256644"/>
    <w:rsid w:val="00256C5D"/>
    <w:rsid w:val="00257152"/>
    <w:rsid w:val="00261F02"/>
    <w:rsid w:val="002624E7"/>
    <w:rsid w:val="00263A9C"/>
    <w:rsid w:val="002644BE"/>
    <w:rsid w:val="00266440"/>
    <w:rsid w:val="00266742"/>
    <w:rsid w:val="00266DA2"/>
    <w:rsid w:val="0027615A"/>
    <w:rsid w:val="00276497"/>
    <w:rsid w:val="002815D4"/>
    <w:rsid w:val="00283AC4"/>
    <w:rsid w:val="00283BEB"/>
    <w:rsid w:val="0028415E"/>
    <w:rsid w:val="00292299"/>
    <w:rsid w:val="00294809"/>
    <w:rsid w:val="002A6E8D"/>
    <w:rsid w:val="002A710F"/>
    <w:rsid w:val="002B021F"/>
    <w:rsid w:val="002B03DA"/>
    <w:rsid w:val="002B060D"/>
    <w:rsid w:val="002B2291"/>
    <w:rsid w:val="002B4395"/>
    <w:rsid w:val="002B5D9B"/>
    <w:rsid w:val="002C3D9C"/>
    <w:rsid w:val="002C3FF6"/>
    <w:rsid w:val="002C43F1"/>
    <w:rsid w:val="002C470D"/>
    <w:rsid w:val="002C7859"/>
    <w:rsid w:val="002D0235"/>
    <w:rsid w:val="002D3269"/>
    <w:rsid w:val="002D6C1B"/>
    <w:rsid w:val="002E1BDE"/>
    <w:rsid w:val="002E5161"/>
    <w:rsid w:val="002E614F"/>
    <w:rsid w:val="002E6227"/>
    <w:rsid w:val="002F337B"/>
    <w:rsid w:val="00300E78"/>
    <w:rsid w:val="00301D81"/>
    <w:rsid w:val="00305511"/>
    <w:rsid w:val="00307041"/>
    <w:rsid w:val="00311D6C"/>
    <w:rsid w:val="00312BE8"/>
    <w:rsid w:val="00315D0B"/>
    <w:rsid w:val="00320708"/>
    <w:rsid w:val="00320DD3"/>
    <w:rsid w:val="00321583"/>
    <w:rsid w:val="00322B02"/>
    <w:rsid w:val="00323B44"/>
    <w:rsid w:val="00324527"/>
    <w:rsid w:val="0033131D"/>
    <w:rsid w:val="00332BB7"/>
    <w:rsid w:val="00333124"/>
    <w:rsid w:val="0033365E"/>
    <w:rsid w:val="003369B1"/>
    <w:rsid w:val="00337700"/>
    <w:rsid w:val="00337CCA"/>
    <w:rsid w:val="0034022B"/>
    <w:rsid w:val="0034331C"/>
    <w:rsid w:val="00347C14"/>
    <w:rsid w:val="00350201"/>
    <w:rsid w:val="00350C26"/>
    <w:rsid w:val="00352BDD"/>
    <w:rsid w:val="00353021"/>
    <w:rsid w:val="00355100"/>
    <w:rsid w:val="00356D36"/>
    <w:rsid w:val="003570F2"/>
    <w:rsid w:val="00357EF4"/>
    <w:rsid w:val="003602E6"/>
    <w:rsid w:val="00360CE6"/>
    <w:rsid w:val="003626E1"/>
    <w:rsid w:val="00363175"/>
    <w:rsid w:val="00364723"/>
    <w:rsid w:val="00366AA7"/>
    <w:rsid w:val="00367A63"/>
    <w:rsid w:val="00375062"/>
    <w:rsid w:val="00380460"/>
    <w:rsid w:val="00384CAD"/>
    <w:rsid w:val="0038576F"/>
    <w:rsid w:val="0039120C"/>
    <w:rsid w:val="003912DD"/>
    <w:rsid w:val="0039410F"/>
    <w:rsid w:val="003948E0"/>
    <w:rsid w:val="0039497B"/>
    <w:rsid w:val="00394D36"/>
    <w:rsid w:val="003954F2"/>
    <w:rsid w:val="003973D7"/>
    <w:rsid w:val="003A0F9E"/>
    <w:rsid w:val="003A12E6"/>
    <w:rsid w:val="003A1AE6"/>
    <w:rsid w:val="003A1DAE"/>
    <w:rsid w:val="003A224E"/>
    <w:rsid w:val="003A5A77"/>
    <w:rsid w:val="003A6942"/>
    <w:rsid w:val="003B1570"/>
    <w:rsid w:val="003B18CA"/>
    <w:rsid w:val="003B4207"/>
    <w:rsid w:val="003B4256"/>
    <w:rsid w:val="003B4E89"/>
    <w:rsid w:val="003B7996"/>
    <w:rsid w:val="003C11CE"/>
    <w:rsid w:val="003C5B5D"/>
    <w:rsid w:val="003C5BFD"/>
    <w:rsid w:val="003C6562"/>
    <w:rsid w:val="003C6A40"/>
    <w:rsid w:val="003C77B1"/>
    <w:rsid w:val="003D2DBD"/>
    <w:rsid w:val="003D4487"/>
    <w:rsid w:val="003D4F84"/>
    <w:rsid w:val="003D644E"/>
    <w:rsid w:val="003D68D9"/>
    <w:rsid w:val="003D6A4E"/>
    <w:rsid w:val="003D6A9A"/>
    <w:rsid w:val="003D6F94"/>
    <w:rsid w:val="003E180A"/>
    <w:rsid w:val="003E3C49"/>
    <w:rsid w:val="003E49EF"/>
    <w:rsid w:val="003F065F"/>
    <w:rsid w:val="003F3885"/>
    <w:rsid w:val="003F438F"/>
    <w:rsid w:val="003F5EBC"/>
    <w:rsid w:val="0040127A"/>
    <w:rsid w:val="0040259B"/>
    <w:rsid w:val="00402BB8"/>
    <w:rsid w:val="0040408D"/>
    <w:rsid w:val="00410294"/>
    <w:rsid w:val="00416B35"/>
    <w:rsid w:val="00420C0A"/>
    <w:rsid w:val="004243AE"/>
    <w:rsid w:val="00426E10"/>
    <w:rsid w:val="00434188"/>
    <w:rsid w:val="0043451E"/>
    <w:rsid w:val="004352CD"/>
    <w:rsid w:val="004358B5"/>
    <w:rsid w:val="004367D3"/>
    <w:rsid w:val="0043776B"/>
    <w:rsid w:val="0044470D"/>
    <w:rsid w:val="00447176"/>
    <w:rsid w:val="004479C8"/>
    <w:rsid w:val="004523C9"/>
    <w:rsid w:val="0045308A"/>
    <w:rsid w:val="004544CD"/>
    <w:rsid w:val="004551EB"/>
    <w:rsid w:val="00456147"/>
    <w:rsid w:val="004601EA"/>
    <w:rsid w:val="00465A5E"/>
    <w:rsid w:val="00466BCA"/>
    <w:rsid w:val="00466C3D"/>
    <w:rsid w:val="00467399"/>
    <w:rsid w:val="00471691"/>
    <w:rsid w:val="00471870"/>
    <w:rsid w:val="00474FF1"/>
    <w:rsid w:val="0047645B"/>
    <w:rsid w:val="00483CC5"/>
    <w:rsid w:val="00490B7F"/>
    <w:rsid w:val="00493014"/>
    <w:rsid w:val="004951C5"/>
    <w:rsid w:val="0049529A"/>
    <w:rsid w:val="004A2C12"/>
    <w:rsid w:val="004A2CEA"/>
    <w:rsid w:val="004A3A86"/>
    <w:rsid w:val="004B0907"/>
    <w:rsid w:val="004B2FA8"/>
    <w:rsid w:val="004B34AC"/>
    <w:rsid w:val="004B5E2F"/>
    <w:rsid w:val="004B660A"/>
    <w:rsid w:val="004B7720"/>
    <w:rsid w:val="004B7978"/>
    <w:rsid w:val="004C1EFA"/>
    <w:rsid w:val="004C27C5"/>
    <w:rsid w:val="004C3D1A"/>
    <w:rsid w:val="004C3EAD"/>
    <w:rsid w:val="004C4CB9"/>
    <w:rsid w:val="004C5DC5"/>
    <w:rsid w:val="004C7E49"/>
    <w:rsid w:val="004D0337"/>
    <w:rsid w:val="004D137B"/>
    <w:rsid w:val="004D3E93"/>
    <w:rsid w:val="004D5802"/>
    <w:rsid w:val="004E5154"/>
    <w:rsid w:val="004E527D"/>
    <w:rsid w:val="004F41CF"/>
    <w:rsid w:val="004F46B5"/>
    <w:rsid w:val="004F4F5E"/>
    <w:rsid w:val="004F71A9"/>
    <w:rsid w:val="00500E00"/>
    <w:rsid w:val="00501A9F"/>
    <w:rsid w:val="00502EC8"/>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7E"/>
    <w:rsid w:val="00530E64"/>
    <w:rsid w:val="00533C2C"/>
    <w:rsid w:val="00533D45"/>
    <w:rsid w:val="00534802"/>
    <w:rsid w:val="005378CD"/>
    <w:rsid w:val="005409B5"/>
    <w:rsid w:val="00541E53"/>
    <w:rsid w:val="00542593"/>
    <w:rsid w:val="00542A10"/>
    <w:rsid w:val="005439DF"/>
    <w:rsid w:val="00551C2E"/>
    <w:rsid w:val="00552146"/>
    <w:rsid w:val="0055297B"/>
    <w:rsid w:val="005535D4"/>
    <w:rsid w:val="00555FA7"/>
    <w:rsid w:val="005561EA"/>
    <w:rsid w:val="00557B95"/>
    <w:rsid w:val="00560A3E"/>
    <w:rsid w:val="00560DCD"/>
    <w:rsid w:val="005612C2"/>
    <w:rsid w:val="00564369"/>
    <w:rsid w:val="00564FC9"/>
    <w:rsid w:val="00567DCA"/>
    <w:rsid w:val="00567F27"/>
    <w:rsid w:val="00570259"/>
    <w:rsid w:val="0057235C"/>
    <w:rsid w:val="00572612"/>
    <w:rsid w:val="005742A0"/>
    <w:rsid w:val="00581490"/>
    <w:rsid w:val="0058188B"/>
    <w:rsid w:val="00582311"/>
    <w:rsid w:val="00582D1B"/>
    <w:rsid w:val="00583BF2"/>
    <w:rsid w:val="00584A8B"/>
    <w:rsid w:val="005909A3"/>
    <w:rsid w:val="00592858"/>
    <w:rsid w:val="00594D08"/>
    <w:rsid w:val="0059765A"/>
    <w:rsid w:val="005A016B"/>
    <w:rsid w:val="005A0EDA"/>
    <w:rsid w:val="005A4710"/>
    <w:rsid w:val="005A53CB"/>
    <w:rsid w:val="005A7066"/>
    <w:rsid w:val="005A7321"/>
    <w:rsid w:val="005B2DC9"/>
    <w:rsid w:val="005B3C6E"/>
    <w:rsid w:val="005B471E"/>
    <w:rsid w:val="005B4A2C"/>
    <w:rsid w:val="005C385C"/>
    <w:rsid w:val="005C48CF"/>
    <w:rsid w:val="005C516E"/>
    <w:rsid w:val="005C6CAC"/>
    <w:rsid w:val="005D083E"/>
    <w:rsid w:val="005D0C8E"/>
    <w:rsid w:val="005D0CE6"/>
    <w:rsid w:val="005D119D"/>
    <w:rsid w:val="005D3356"/>
    <w:rsid w:val="005D6806"/>
    <w:rsid w:val="005D6BC6"/>
    <w:rsid w:val="005E0C63"/>
    <w:rsid w:val="005E3A5A"/>
    <w:rsid w:val="005E5548"/>
    <w:rsid w:val="005E6279"/>
    <w:rsid w:val="005E79F9"/>
    <w:rsid w:val="005F128D"/>
    <w:rsid w:val="005F24E9"/>
    <w:rsid w:val="005F2DDC"/>
    <w:rsid w:val="005F3398"/>
    <w:rsid w:val="005F42CC"/>
    <w:rsid w:val="005F5389"/>
    <w:rsid w:val="005F6F0A"/>
    <w:rsid w:val="005F7204"/>
    <w:rsid w:val="005F72AC"/>
    <w:rsid w:val="006025D2"/>
    <w:rsid w:val="006043A1"/>
    <w:rsid w:val="0060538F"/>
    <w:rsid w:val="0060585B"/>
    <w:rsid w:val="00607575"/>
    <w:rsid w:val="006108A8"/>
    <w:rsid w:val="00610C47"/>
    <w:rsid w:val="00613811"/>
    <w:rsid w:val="00613C66"/>
    <w:rsid w:val="006146A0"/>
    <w:rsid w:val="0061486F"/>
    <w:rsid w:val="00614870"/>
    <w:rsid w:val="00623DDD"/>
    <w:rsid w:val="00630679"/>
    <w:rsid w:val="00631F48"/>
    <w:rsid w:val="00633877"/>
    <w:rsid w:val="00633D54"/>
    <w:rsid w:val="00635884"/>
    <w:rsid w:val="00635973"/>
    <w:rsid w:val="0063699E"/>
    <w:rsid w:val="00636ABF"/>
    <w:rsid w:val="00640826"/>
    <w:rsid w:val="00642F0C"/>
    <w:rsid w:val="0064515D"/>
    <w:rsid w:val="0064719C"/>
    <w:rsid w:val="00651815"/>
    <w:rsid w:val="0065442D"/>
    <w:rsid w:val="00657AE2"/>
    <w:rsid w:val="00660B6F"/>
    <w:rsid w:val="00662E2B"/>
    <w:rsid w:val="00670336"/>
    <w:rsid w:val="006713D0"/>
    <w:rsid w:val="0067296A"/>
    <w:rsid w:val="0067349F"/>
    <w:rsid w:val="006740D8"/>
    <w:rsid w:val="006749B9"/>
    <w:rsid w:val="00675A7B"/>
    <w:rsid w:val="0067636D"/>
    <w:rsid w:val="00677074"/>
    <w:rsid w:val="00680EDD"/>
    <w:rsid w:val="00681DCF"/>
    <w:rsid w:val="006828FC"/>
    <w:rsid w:val="0068401D"/>
    <w:rsid w:val="00686FA9"/>
    <w:rsid w:val="006877AF"/>
    <w:rsid w:val="00690495"/>
    <w:rsid w:val="00694F1D"/>
    <w:rsid w:val="006964E6"/>
    <w:rsid w:val="006A0178"/>
    <w:rsid w:val="006A0993"/>
    <w:rsid w:val="006A0EDD"/>
    <w:rsid w:val="006A1198"/>
    <w:rsid w:val="006A1568"/>
    <w:rsid w:val="006A1653"/>
    <w:rsid w:val="006A1F83"/>
    <w:rsid w:val="006A4B04"/>
    <w:rsid w:val="006A60C2"/>
    <w:rsid w:val="006B125F"/>
    <w:rsid w:val="006B234D"/>
    <w:rsid w:val="006B25DE"/>
    <w:rsid w:val="006B25E6"/>
    <w:rsid w:val="006B4005"/>
    <w:rsid w:val="006B7320"/>
    <w:rsid w:val="006C0B4B"/>
    <w:rsid w:val="006D2D01"/>
    <w:rsid w:val="006D4638"/>
    <w:rsid w:val="006D5753"/>
    <w:rsid w:val="006D71D9"/>
    <w:rsid w:val="006E11EA"/>
    <w:rsid w:val="006E4057"/>
    <w:rsid w:val="006F045F"/>
    <w:rsid w:val="006F4657"/>
    <w:rsid w:val="006F4CFC"/>
    <w:rsid w:val="006F6F07"/>
    <w:rsid w:val="00702013"/>
    <w:rsid w:val="00704FA0"/>
    <w:rsid w:val="007073B6"/>
    <w:rsid w:val="00714077"/>
    <w:rsid w:val="0071424E"/>
    <w:rsid w:val="00717970"/>
    <w:rsid w:val="00717A0C"/>
    <w:rsid w:val="0072228C"/>
    <w:rsid w:val="00723C53"/>
    <w:rsid w:val="00724574"/>
    <w:rsid w:val="0072543E"/>
    <w:rsid w:val="00726C11"/>
    <w:rsid w:val="00727BF2"/>
    <w:rsid w:val="00731D4B"/>
    <w:rsid w:val="007340D5"/>
    <w:rsid w:val="00735811"/>
    <w:rsid w:val="00735959"/>
    <w:rsid w:val="00741BB1"/>
    <w:rsid w:val="00741D45"/>
    <w:rsid w:val="00742392"/>
    <w:rsid w:val="0075626E"/>
    <w:rsid w:val="00757108"/>
    <w:rsid w:val="00757EB8"/>
    <w:rsid w:val="00760B9A"/>
    <w:rsid w:val="007620DD"/>
    <w:rsid w:val="007631A5"/>
    <w:rsid w:val="00763C26"/>
    <w:rsid w:val="00765442"/>
    <w:rsid w:val="00766097"/>
    <w:rsid w:val="00766F81"/>
    <w:rsid w:val="0076787A"/>
    <w:rsid w:val="0077192C"/>
    <w:rsid w:val="00771BE7"/>
    <w:rsid w:val="007727AF"/>
    <w:rsid w:val="00773760"/>
    <w:rsid w:val="00774672"/>
    <w:rsid w:val="007752EC"/>
    <w:rsid w:val="007805F2"/>
    <w:rsid w:val="00783DB6"/>
    <w:rsid w:val="0078505C"/>
    <w:rsid w:val="0078526C"/>
    <w:rsid w:val="00785D89"/>
    <w:rsid w:val="00787B81"/>
    <w:rsid w:val="007936F9"/>
    <w:rsid w:val="007941F8"/>
    <w:rsid w:val="0079521B"/>
    <w:rsid w:val="00795E33"/>
    <w:rsid w:val="007971C0"/>
    <w:rsid w:val="007971C7"/>
    <w:rsid w:val="007A0A80"/>
    <w:rsid w:val="007A252A"/>
    <w:rsid w:val="007A28ED"/>
    <w:rsid w:val="007A3600"/>
    <w:rsid w:val="007A3753"/>
    <w:rsid w:val="007A4F83"/>
    <w:rsid w:val="007A6967"/>
    <w:rsid w:val="007A697E"/>
    <w:rsid w:val="007A6E49"/>
    <w:rsid w:val="007A712C"/>
    <w:rsid w:val="007A7B74"/>
    <w:rsid w:val="007B0085"/>
    <w:rsid w:val="007B64FA"/>
    <w:rsid w:val="007B7F7B"/>
    <w:rsid w:val="007C2DD1"/>
    <w:rsid w:val="007C53A6"/>
    <w:rsid w:val="007D1822"/>
    <w:rsid w:val="007D3910"/>
    <w:rsid w:val="007E0670"/>
    <w:rsid w:val="007E10DB"/>
    <w:rsid w:val="007E180B"/>
    <w:rsid w:val="007E1AB2"/>
    <w:rsid w:val="007E2CA7"/>
    <w:rsid w:val="007E73BC"/>
    <w:rsid w:val="007F4931"/>
    <w:rsid w:val="007F6AE5"/>
    <w:rsid w:val="007F77BD"/>
    <w:rsid w:val="00800912"/>
    <w:rsid w:val="00801F7F"/>
    <w:rsid w:val="0080479E"/>
    <w:rsid w:val="008052F1"/>
    <w:rsid w:val="00806540"/>
    <w:rsid w:val="00812314"/>
    <w:rsid w:val="00812BF9"/>
    <w:rsid w:val="0081466F"/>
    <w:rsid w:val="008174A0"/>
    <w:rsid w:val="0082033D"/>
    <w:rsid w:val="00820BC6"/>
    <w:rsid w:val="008245E6"/>
    <w:rsid w:val="00825304"/>
    <w:rsid w:val="00827BD0"/>
    <w:rsid w:val="00831080"/>
    <w:rsid w:val="00832A0E"/>
    <w:rsid w:val="00833E29"/>
    <w:rsid w:val="00835743"/>
    <w:rsid w:val="008378AB"/>
    <w:rsid w:val="00842E9F"/>
    <w:rsid w:val="00843306"/>
    <w:rsid w:val="00843570"/>
    <w:rsid w:val="00844349"/>
    <w:rsid w:val="00844C80"/>
    <w:rsid w:val="00851FE5"/>
    <w:rsid w:val="00852670"/>
    <w:rsid w:val="008527B9"/>
    <w:rsid w:val="0085528C"/>
    <w:rsid w:val="008610F1"/>
    <w:rsid w:val="00861AD8"/>
    <w:rsid w:val="0086252B"/>
    <w:rsid w:val="00863406"/>
    <w:rsid w:val="008702C6"/>
    <w:rsid w:val="00870F24"/>
    <w:rsid w:val="00872565"/>
    <w:rsid w:val="00874C9E"/>
    <w:rsid w:val="008765DE"/>
    <w:rsid w:val="00876C17"/>
    <w:rsid w:val="00877B8A"/>
    <w:rsid w:val="00881616"/>
    <w:rsid w:val="00882E48"/>
    <w:rsid w:val="0088516F"/>
    <w:rsid w:val="00887819"/>
    <w:rsid w:val="00887822"/>
    <w:rsid w:val="00890580"/>
    <w:rsid w:val="00893FA6"/>
    <w:rsid w:val="0089482F"/>
    <w:rsid w:val="00895322"/>
    <w:rsid w:val="0089612E"/>
    <w:rsid w:val="008961CE"/>
    <w:rsid w:val="00896765"/>
    <w:rsid w:val="00896F3A"/>
    <w:rsid w:val="008A5E7A"/>
    <w:rsid w:val="008B1F4A"/>
    <w:rsid w:val="008B3BFB"/>
    <w:rsid w:val="008B64B5"/>
    <w:rsid w:val="008B7632"/>
    <w:rsid w:val="008C55E5"/>
    <w:rsid w:val="008D0A7C"/>
    <w:rsid w:val="008E2028"/>
    <w:rsid w:val="008E3A3A"/>
    <w:rsid w:val="008E76D7"/>
    <w:rsid w:val="008F0563"/>
    <w:rsid w:val="008F246C"/>
    <w:rsid w:val="008F2563"/>
    <w:rsid w:val="008F4283"/>
    <w:rsid w:val="008F4594"/>
    <w:rsid w:val="008F7E9B"/>
    <w:rsid w:val="009002E6"/>
    <w:rsid w:val="00905672"/>
    <w:rsid w:val="00905EAE"/>
    <w:rsid w:val="00911DC4"/>
    <w:rsid w:val="00914056"/>
    <w:rsid w:val="00917E17"/>
    <w:rsid w:val="00917E60"/>
    <w:rsid w:val="009208E6"/>
    <w:rsid w:val="00922B09"/>
    <w:rsid w:val="00924B4E"/>
    <w:rsid w:val="0092581D"/>
    <w:rsid w:val="00930547"/>
    <w:rsid w:val="0093084A"/>
    <w:rsid w:val="00932046"/>
    <w:rsid w:val="0093267E"/>
    <w:rsid w:val="009407AC"/>
    <w:rsid w:val="00941E89"/>
    <w:rsid w:val="009425AE"/>
    <w:rsid w:val="0094458F"/>
    <w:rsid w:val="0094517D"/>
    <w:rsid w:val="00951C66"/>
    <w:rsid w:val="0095393D"/>
    <w:rsid w:val="0095504F"/>
    <w:rsid w:val="00955901"/>
    <w:rsid w:val="00962F27"/>
    <w:rsid w:val="00967051"/>
    <w:rsid w:val="00967FF3"/>
    <w:rsid w:val="00974661"/>
    <w:rsid w:val="0097553C"/>
    <w:rsid w:val="0097578D"/>
    <w:rsid w:val="00976251"/>
    <w:rsid w:val="00977229"/>
    <w:rsid w:val="0099148C"/>
    <w:rsid w:val="009919C6"/>
    <w:rsid w:val="00996293"/>
    <w:rsid w:val="009A10E5"/>
    <w:rsid w:val="009A2BF8"/>
    <w:rsid w:val="009A4DBC"/>
    <w:rsid w:val="009A5FC5"/>
    <w:rsid w:val="009A6424"/>
    <w:rsid w:val="009A78C2"/>
    <w:rsid w:val="009B0360"/>
    <w:rsid w:val="009C393F"/>
    <w:rsid w:val="009D02CE"/>
    <w:rsid w:val="009D14F5"/>
    <w:rsid w:val="009D1FB1"/>
    <w:rsid w:val="009D29ED"/>
    <w:rsid w:val="009D333E"/>
    <w:rsid w:val="009D3623"/>
    <w:rsid w:val="009D64E8"/>
    <w:rsid w:val="009D6F78"/>
    <w:rsid w:val="009E0121"/>
    <w:rsid w:val="009E0D4F"/>
    <w:rsid w:val="009E1EB1"/>
    <w:rsid w:val="009E2F06"/>
    <w:rsid w:val="009E4920"/>
    <w:rsid w:val="009E6F2B"/>
    <w:rsid w:val="009E71B4"/>
    <w:rsid w:val="009F23D9"/>
    <w:rsid w:val="009F4A6E"/>
    <w:rsid w:val="009F62ED"/>
    <w:rsid w:val="009F6537"/>
    <w:rsid w:val="009F7982"/>
    <w:rsid w:val="00A013A9"/>
    <w:rsid w:val="00A024F6"/>
    <w:rsid w:val="00A03067"/>
    <w:rsid w:val="00A057ED"/>
    <w:rsid w:val="00A06C6B"/>
    <w:rsid w:val="00A078E1"/>
    <w:rsid w:val="00A07902"/>
    <w:rsid w:val="00A12E33"/>
    <w:rsid w:val="00A1326C"/>
    <w:rsid w:val="00A1407D"/>
    <w:rsid w:val="00A2003E"/>
    <w:rsid w:val="00A22B91"/>
    <w:rsid w:val="00A2654C"/>
    <w:rsid w:val="00A3118D"/>
    <w:rsid w:val="00A3147F"/>
    <w:rsid w:val="00A336A0"/>
    <w:rsid w:val="00A339D3"/>
    <w:rsid w:val="00A3578C"/>
    <w:rsid w:val="00A36F05"/>
    <w:rsid w:val="00A45EF0"/>
    <w:rsid w:val="00A46605"/>
    <w:rsid w:val="00A47A16"/>
    <w:rsid w:val="00A51D01"/>
    <w:rsid w:val="00A51FBC"/>
    <w:rsid w:val="00A5297E"/>
    <w:rsid w:val="00A5339E"/>
    <w:rsid w:val="00A562F6"/>
    <w:rsid w:val="00A567B1"/>
    <w:rsid w:val="00A56890"/>
    <w:rsid w:val="00A60A7D"/>
    <w:rsid w:val="00A60EC1"/>
    <w:rsid w:val="00A637B7"/>
    <w:rsid w:val="00A642BB"/>
    <w:rsid w:val="00A646D6"/>
    <w:rsid w:val="00A64721"/>
    <w:rsid w:val="00A67DBB"/>
    <w:rsid w:val="00A70858"/>
    <w:rsid w:val="00A728EC"/>
    <w:rsid w:val="00A73211"/>
    <w:rsid w:val="00A73881"/>
    <w:rsid w:val="00A75895"/>
    <w:rsid w:val="00A820AA"/>
    <w:rsid w:val="00A82D55"/>
    <w:rsid w:val="00A83223"/>
    <w:rsid w:val="00A84FF1"/>
    <w:rsid w:val="00A85C36"/>
    <w:rsid w:val="00A9374A"/>
    <w:rsid w:val="00A955D3"/>
    <w:rsid w:val="00A95C6D"/>
    <w:rsid w:val="00AA1BDC"/>
    <w:rsid w:val="00AA1E2E"/>
    <w:rsid w:val="00AA245F"/>
    <w:rsid w:val="00AA2F44"/>
    <w:rsid w:val="00AA4147"/>
    <w:rsid w:val="00AA4C2A"/>
    <w:rsid w:val="00AA623B"/>
    <w:rsid w:val="00AA7B7A"/>
    <w:rsid w:val="00AB2D94"/>
    <w:rsid w:val="00AB6A02"/>
    <w:rsid w:val="00AC0302"/>
    <w:rsid w:val="00AC165B"/>
    <w:rsid w:val="00AC4597"/>
    <w:rsid w:val="00AC5525"/>
    <w:rsid w:val="00AC650B"/>
    <w:rsid w:val="00AC68B3"/>
    <w:rsid w:val="00AC7905"/>
    <w:rsid w:val="00AC7E13"/>
    <w:rsid w:val="00AD2487"/>
    <w:rsid w:val="00AD6165"/>
    <w:rsid w:val="00AD73A3"/>
    <w:rsid w:val="00AD7A86"/>
    <w:rsid w:val="00AE2C8C"/>
    <w:rsid w:val="00AE3E2D"/>
    <w:rsid w:val="00AE4B3A"/>
    <w:rsid w:val="00AE67AA"/>
    <w:rsid w:val="00AE740C"/>
    <w:rsid w:val="00AF2FC4"/>
    <w:rsid w:val="00AF3108"/>
    <w:rsid w:val="00AF4E4E"/>
    <w:rsid w:val="00AF4FE7"/>
    <w:rsid w:val="00AF5CFB"/>
    <w:rsid w:val="00AF5D93"/>
    <w:rsid w:val="00AF61CB"/>
    <w:rsid w:val="00B02937"/>
    <w:rsid w:val="00B032E9"/>
    <w:rsid w:val="00B03C16"/>
    <w:rsid w:val="00B0489B"/>
    <w:rsid w:val="00B1176D"/>
    <w:rsid w:val="00B11CF4"/>
    <w:rsid w:val="00B12552"/>
    <w:rsid w:val="00B13B01"/>
    <w:rsid w:val="00B1419E"/>
    <w:rsid w:val="00B2135B"/>
    <w:rsid w:val="00B22BC4"/>
    <w:rsid w:val="00B27C3E"/>
    <w:rsid w:val="00B3027D"/>
    <w:rsid w:val="00B3033D"/>
    <w:rsid w:val="00B317C3"/>
    <w:rsid w:val="00B358AD"/>
    <w:rsid w:val="00B3736E"/>
    <w:rsid w:val="00B406F1"/>
    <w:rsid w:val="00B40B1E"/>
    <w:rsid w:val="00B44271"/>
    <w:rsid w:val="00B465E9"/>
    <w:rsid w:val="00B46B1E"/>
    <w:rsid w:val="00B505A0"/>
    <w:rsid w:val="00B508B2"/>
    <w:rsid w:val="00B5288A"/>
    <w:rsid w:val="00B534E7"/>
    <w:rsid w:val="00B53FED"/>
    <w:rsid w:val="00B54C0B"/>
    <w:rsid w:val="00B60D91"/>
    <w:rsid w:val="00B623F9"/>
    <w:rsid w:val="00B67479"/>
    <w:rsid w:val="00B7041B"/>
    <w:rsid w:val="00B70D41"/>
    <w:rsid w:val="00B74B4C"/>
    <w:rsid w:val="00B80969"/>
    <w:rsid w:val="00B81178"/>
    <w:rsid w:val="00B81C61"/>
    <w:rsid w:val="00B83B9A"/>
    <w:rsid w:val="00B85AF3"/>
    <w:rsid w:val="00B866D2"/>
    <w:rsid w:val="00B950DD"/>
    <w:rsid w:val="00B95AA3"/>
    <w:rsid w:val="00B95D8F"/>
    <w:rsid w:val="00B96525"/>
    <w:rsid w:val="00B96D1E"/>
    <w:rsid w:val="00BA370E"/>
    <w:rsid w:val="00BA418B"/>
    <w:rsid w:val="00BA78FC"/>
    <w:rsid w:val="00BB285F"/>
    <w:rsid w:val="00BB316C"/>
    <w:rsid w:val="00BB7BDA"/>
    <w:rsid w:val="00BC11FB"/>
    <w:rsid w:val="00BC2425"/>
    <w:rsid w:val="00BC45D9"/>
    <w:rsid w:val="00BC4C10"/>
    <w:rsid w:val="00BC5775"/>
    <w:rsid w:val="00BD0577"/>
    <w:rsid w:val="00BD26EC"/>
    <w:rsid w:val="00BD2BEF"/>
    <w:rsid w:val="00BD6429"/>
    <w:rsid w:val="00BE12E1"/>
    <w:rsid w:val="00BE2DD9"/>
    <w:rsid w:val="00BE5131"/>
    <w:rsid w:val="00BF22E2"/>
    <w:rsid w:val="00BF7FDC"/>
    <w:rsid w:val="00C0078E"/>
    <w:rsid w:val="00C01C73"/>
    <w:rsid w:val="00C02FA2"/>
    <w:rsid w:val="00C030B2"/>
    <w:rsid w:val="00C030D5"/>
    <w:rsid w:val="00C044F2"/>
    <w:rsid w:val="00C06518"/>
    <w:rsid w:val="00C06C7D"/>
    <w:rsid w:val="00C13BA4"/>
    <w:rsid w:val="00C140C1"/>
    <w:rsid w:val="00C1425F"/>
    <w:rsid w:val="00C1444F"/>
    <w:rsid w:val="00C161F0"/>
    <w:rsid w:val="00C202F8"/>
    <w:rsid w:val="00C21A58"/>
    <w:rsid w:val="00C224BF"/>
    <w:rsid w:val="00C22D36"/>
    <w:rsid w:val="00C230B6"/>
    <w:rsid w:val="00C24A2F"/>
    <w:rsid w:val="00C26202"/>
    <w:rsid w:val="00C265A9"/>
    <w:rsid w:val="00C30A76"/>
    <w:rsid w:val="00C31BCF"/>
    <w:rsid w:val="00C32DFE"/>
    <w:rsid w:val="00C32FEB"/>
    <w:rsid w:val="00C35530"/>
    <w:rsid w:val="00C3648B"/>
    <w:rsid w:val="00C42C0B"/>
    <w:rsid w:val="00C42FCD"/>
    <w:rsid w:val="00C43056"/>
    <w:rsid w:val="00C4365E"/>
    <w:rsid w:val="00C457C1"/>
    <w:rsid w:val="00C46788"/>
    <w:rsid w:val="00C472FB"/>
    <w:rsid w:val="00C50C26"/>
    <w:rsid w:val="00C515AC"/>
    <w:rsid w:val="00C52AF5"/>
    <w:rsid w:val="00C5478F"/>
    <w:rsid w:val="00C567A8"/>
    <w:rsid w:val="00C56D10"/>
    <w:rsid w:val="00C56EA7"/>
    <w:rsid w:val="00C57E27"/>
    <w:rsid w:val="00C60E6E"/>
    <w:rsid w:val="00C61D44"/>
    <w:rsid w:val="00C62220"/>
    <w:rsid w:val="00C641A1"/>
    <w:rsid w:val="00C64A9F"/>
    <w:rsid w:val="00C75023"/>
    <w:rsid w:val="00C82A80"/>
    <w:rsid w:val="00C84BD9"/>
    <w:rsid w:val="00C94392"/>
    <w:rsid w:val="00C946C1"/>
    <w:rsid w:val="00C95AE6"/>
    <w:rsid w:val="00C95E03"/>
    <w:rsid w:val="00C96E86"/>
    <w:rsid w:val="00CA06F2"/>
    <w:rsid w:val="00CA3E4A"/>
    <w:rsid w:val="00CA511C"/>
    <w:rsid w:val="00CB0B27"/>
    <w:rsid w:val="00CB12F2"/>
    <w:rsid w:val="00CB30C1"/>
    <w:rsid w:val="00CB32DA"/>
    <w:rsid w:val="00CB3F44"/>
    <w:rsid w:val="00CB4879"/>
    <w:rsid w:val="00CB6078"/>
    <w:rsid w:val="00CB6E83"/>
    <w:rsid w:val="00CB7C56"/>
    <w:rsid w:val="00CC29CD"/>
    <w:rsid w:val="00CC2AD0"/>
    <w:rsid w:val="00CD3B82"/>
    <w:rsid w:val="00CD565D"/>
    <w:rsid w:val="00CD6669"/>
    <w:rsid w:val="00CD6C47"/>
    <w:rsid w:val="00CE5EDA"/>
    <w:rsid w:val="00CE6BC2"/>
    <w:rsid w:val="00CE7353"/>
    <w:rsid w:val="00CE7EE7"/>
    <w:rsid w:val="00CF05EC"/>
    <w:rsid w:val="00CF4F39"/>
    <w:rsid w:val="00CF608D"/>
    <w:rsid w:val="00D002BA"/>
    <w:rsid w:val="00D017C5"/>
    <w:rsid w:val="00D030F0"/>
    <w:rsid w:val="00D03742"/>
    <w:rsid w:val="00D062E6"/>
    <w:rsid w:val="00D115F8"/>
    <w:rsid w:val="00D127B2"/>
    <w:rsid w:val="00D15FA9"/>
    <w:rsid w:val="00D16F84"/>
    <w:rsid w:val="00D17BB0"/>
    <w:rsid w:val="00D215D1"/>
    <w:rsid w:val="00D2278D"/>
    <w:rsid w:val="00D23F8A"/>
    <w:rsid w:val="00D241E1"/>
    <w:rsid w:val="00D260EE"/>
    <w:rsid w:val="00D304D0"/>
    <w:rsid w:val="00D3087F"/>
    <w:rsid w:val="00D32581"/>
    <w:rsid w:val="00D35E9F"/>
    <w:rsid w:val="00D4275A"/>
    <w:rsid w:val="00D475CE"/>
    <w:rsid w:val="00D51B6A"/>
    <w:rsid w:val="00D53958"/>
    <w:rsid w:val="00D54AED"/>
    <w:rsid w:val="00D56D57"/>
    <w:rsid w:val="00D62A5B"/>
    <w:rsid w:val="00D63C04"/>
    <w:rsid w:val="00D73CA0"/>
    <w:rsid w:val="00D73E45"/>
    <w:rsid w:val="00D76182"/>
    <w:rsid w:val="00D7658C"/>
    <w:rsid w:val="00D76A5C"/>
    <w:rsid w:val="00D80518"/>
    <w:rsid w:val="00D8108E"/>
    <w:rsid w:val="00D8499D"/>
    <w:rsid w:val="00D85DD2"/>
    <w:rsid w:val="00D86E48"/>
    <w:rsid w:val="00D90074"/>
    <w:rsid w:val="00D907C1"/>
    <w:rsid w:val="00D907EA"/>
    <w:rsid w:val="00D90C6E"/>
    <w:rsid w:val="00D93F97"/>
    <w:rsid w:val="00D9674E"/>
    <w:rsid w:val="00D96E50"/>
    <w:rsid w:val="00D97EBF"/>
    <w:rsid w:val="00DA27FB"/>
    <w:rsid w:val="00DA37EC"/>
    <w:rsid w:val="00DA5E91"/>
    <w:rsid w:val="00DA6C05"/>
    <w:rsid w:val="00DA6D96"/>
    <w:rsid w:val="00DA793E"/>
    <w:rsid w:val="00DB37CE"/>
    <w:rsid w:val="00DB3DDF"/>
    <w:rsid w:val="00DB50B0"/>
    <w:rsid w:val="00DB5C67"/>
    <w:rsid w:val="00DB67CD"/>
    <w:rsid w:val="00DC2A0F"/>
    <w:rsid w:val="00DC70C0"/>
    <w:rsid w:val="00DD4330"/>
    <w:rsid w:val="00DD4340"/>
    <w:rsid w:val="00DE1B42"/>
    <w:rsid w:val="00DE1CCE"/>
    <w:rsid w:val="00DE3171"/>
    <w:rsid w:val="00DE31AA"/>
    <w:rsid w:val="00DE4A06"/>
    <w:rsid w:val="00DE5EF3"/>
    <w:rsid w:val="00DF012C"/>
    <w:rsid w:val="00DF1526"/>
    <w:rsid w:val="00DF76BF"/>
    <w:rsid w:val="00DF7700"/>
    <w:rsid w:val="00E00F12"/>
    <w:rsid w:val="00E07C0C"/>
    <w:rsid w:val="00E11527"/>
    <w:rsid w:val="00E11F4F"/>
    <w:rsid w:val="00E12FCE"/>
    <w:rsid w:val="00E260C8"/>
    <w:rsid w:val="00E26AB2"/>
    <w:rsid w:val="00E3078E"/>
    <w:rsid w:val="00E323D4"/>
    <w:rsid w:val="00E32893"/>
    <w:rsid w:val="00E34199"/>
    <w:rsid w:val="00E3690C"/>
    <w:rsid w:val="00E4013F"/>
    <w:rsid w:val="00E40B06"/>
    <w:rsid w:val="00E4170F"/>
    <w:rsid w:val="00E430CE"/>
    <w:rsid w:val="00E43B75"/>
    <w:rsid w:val="00E45C7C"/>
    <w:rsid w:val="00E50822"/>
    <w:rsid w:val="00E51214"/>
    <w:rsid w:val="00E51AB6"/>
    <w:rsid w:val="00E53C59"/>
    <w:rsid w:val="00E5401D"/>
    <w:rsid w:val="00E5487A"/>
    <w:rsid w:val="00E55312"/>
    <w:rsid w:val="00E554EA"/>
    <w:rsid w:val="00E60429"/>
    <w:rsid w:val="00E64190"/>
    <w:rsid w:val="00E6590A"/>
    <w:rsid w:val="00E7128B"/>
    <w:rsid w:val="00E72473"/>
    <w:rsid w:val="00E7626D"/>
    <w:rsid w:val="00E7792A"/>
    <w:rsid w:val="00E837EA"/>
    <w:rsid w:val="00E87A2A"/>
    <w:rsid w:val="00E91BED"/>
    <w:rsid w:val="00E97CA0"/>
    <w:rsid w:val="00EA0E73"/>
    <w:rsid w:val="00EA756B"/>
    <w:rsid w:val="00EB1C8C"/>
    <w:rsid w:val="00EB63B2"/>
    <w:rsid w:val="00EB7F39"/>
    <w:rsid w:val="00EC37D7"/>
    <w:rsid w:val="00EC3AA2"/>
    <w:rsid w:val="00EC66FF"/>
    <w:rsid w:val="00EC6870"/>
    <w:rsid w:val="00ED20A7"/>
    <w:rsid w:val="00ED3D49"/>
    <w:rsid w:val="00ED4501"/>
    <w:rsid w:val="00ED52AA"/>
    <w:rsid w:val="00ED5589"/>
    <w:rsid w:val="00ED55E9"/>
    <w:rsid w:val="00ED72C2"/>
    <w:rsid w:val="00EE168E"/>
    <w:rsid w:val="00EE3E5C"/>
    <w:rsid w:val="00EF189C"/>
    <w:rsid w:val="00EF2AA1"/>
    <w:rsid w:val="00EF5897"/>
    <w:rsid w:val="00EF7973"/>
    <w:rsid w:val="00F01A04"/>
    <w:rsid w:val="00F02EC2"/>
    <w:rsid w:val="00F03B1E"/>
    <w:rsid w:val="00F04BD7"/>
    <w:rsid w:val="00F07E3B"/>
    <w:rsid w:val="00F12FA4"/>
    <w:rsid w:val="00F24AB3"/>
    <w:rsid w:val="00F2604B"/>
    <w:rsid w:val="00F30D0C"/>
    <w:rsid w:val="00F34CA1"/>
    <w:rsid w:val="00F34E79"/>
    <w:rsid w:val="00F40392"/>
    <w:rsid w:val="00F4220C"/>
    <w:rsid w:val="00F435A2"/>
    <w:rsid w:val="00F4567B"/>
    <w:rsid w:val="00F5179D"/>
    <w:rsid w:val="00F558C5"/>
    <w:rsid w:val="00F561E7"/>
    <w:rsid w:val="00F57DEC"/>
    <w:rsid w:val="00F57F6E"/>
    <w:rsid w:val="00F605F7"/>
    <w:rsid w:val="00F61F8F"/>
    <w:rsid w:val="00F634D9"/>
    <w:rsid w:val="00F63A70"/>
    <w:rsid w:val="00F65748"/>
    <w:rsid w:val="00F67070"/>
    <w:rsid w:val="00F67CA6"/>
    <w:rsid w:val="00F71CC7"/>
    <w:rsid w:val="00F71D60"/>
    <w:rsid w:val="00F73655"/>
    <w:rsid w:val="00F819E3"/>
    <w:rsid w:val="00F91695"/>
    <w:rsid w:val="00F91FCD"/>
    <w:rsid w:val="00F946A6"/>
    <w:rsid w:val="00F96A8B"/>
    <w:rsid w:val="00FA16D2"/>
    <w:rsid w:val="00FA19A2"/>
    <w:rsid w:val="00FA1BC6"/>
    <w:rsid w:val="00FA3403"/>
    <w:rsid w:val="00FA5438"/>
    <w:rsid w:val="00FA78E7"/>
    <w:rsid w:val="00FB0991"/>
    <w:rsid w:val="00FB277B"/>
    <w:rsid w:val="00FB360C"/>
    <w:rsid w:val="00FB4787"/>
    <w:rsid w:val="00FB51FC"/>
    <w:rsid w:val="00FB5F5D"/>
    <w:rsid w:val="00FB6919"/>
    <w:rsid w:val="00FB7D9D"/>
    <w:rsid w:val="00FC2018"/>
    <w:rsid w:val="00FC41ED"/>
    <w:rsid w:val="00FC5CCA"/>
    <w:rsid w:val="00FC709D"/>
    <w:rsid w:val="00FC7461"/>
    <w:rsid w:val="00FD00A4"/>
    <w:rsid w:val="00FD0E44"/>
    <w:rsid w:val="00FD1505"/>
    <w:rsid w:val="00FD2FDC"/>
    <w:rsid w:val="00FD5B6D"/>
    <w:rsid w:val="00FE2F9B"/>
    <w:rsid w:val="00FE350A"/>
    <w:rsid w:val="00FE7BC4"/>
    <w:rsid w:val="00FF1C85"/>
    <w:rsid w:val="00FF1F64"/>
    <w:rsid w:val="00FF2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FD00A4"/>
    <w:pPr>
      <w:keepNext/>
      <w:numPr>
        <w:numId w:val="11"/>
      </w:numPr>
      <w:tabs>
        <w:tab w:val="left" w:pos="0"/>
      </w:tabs>
      <w:spacing w:before="240" w:after="240"/>
      <w:ind w:hanging="720"/>
      <w:contextualSpacing/>
      <w:outlineLvl w:val="0"/>
    </w:pPr>
    <w:rPr>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812314"/>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812314"/>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FB277B"/>
    <w:pPr>
      <w:numPr>
        <w:ilvl w:val="4"/>
        <w:numId w:val="2"/>
      </w:numPr>
      <w:spacing w:after="240"/>
      <w:outlineLvl w:val="4"/>
    </w:pPr>
    <w:rPr>
      <w:szCs w:val="20"/>
      <w:lang w:val="en-US"/>
    </w:rPr>
  </w:style>
  <w:style w:type="paragraph" w:styleId="Heading6">
    <w:name w:val="heading 6"/>
    <w:basedOn w:val="Normal"/>
    <w:next w:val="BankNormal"/>
    <w:qFormat/>
    <w:rsid w:val="00FB277B"/>
    <w:pPr>
      <w:numPr>
        <w:ilvl w:val="5"/>
        <w:numId w:val="2"/>
      </w:numPr>
      <w:spacing w:after="240"/>
      <w:outlineLvl w:val="5"/>
    </w:pPr>
    <w:rPr>
      <w:szCs w:val="20"/>
      <w:lang w:val="en-US"/>
    </w:rPr>
  </w:style>
  <w:style w:type="paragraph" w:styleId="Heading7">
    <w:name w:val="heading 7"/>
    <w:basedOn w:val="Normal"/>
    <w:next w:val="Normal"/>
    <w:qFormat/>
    <w:rsid w:val="00FB277B"/>
    <w:pPr>
      <w:keepNext/>
      <w:numPr>
        <w:ilvl w:val="6"/>
        <w:numId w:val="2"/>
      </w:numPr>
      <w:jc w:val="both"/>
      <w:outlineLvl w:val="6"/>
    </w:pPr>
    <w:rPr>
      <w:b/>
      <w:bCs/>
      <w:sz w:val="20"/>
      <w:lang w:val="en-US"/>
    </w:rPr>
  </w:style>
  <w:style w:type="paragraph" w:styleId="Heading8">
    <w:name w:val="heading 8"/>
    <w:basedOn w:val="Normal"/>
    <w:next w:val="Normal"/>
    <w:qFormat/>
    <w:rsid w:val="00FB277B"/>
    <w:pPr>
      <w:keepNext/>
      <w:numPr>
        <w:ilvl w:val="7"/>
        <w:numId w:val="2"/>
      </w:numPr>
      <w:jc w:val="both"/>
      <w:outlineLvl w:val="7"/>
    </w:pPr>
    <w:rPr>
      <w:b/>
      <w:bCs/>
      <w:sz w:val="20"/>
      <w:lang w:val="en-US"/>
    </w:rPr>
  </w:style>
  <w:style w:type="paragraph" w:styleId="Heading9">
    <w:name w:val="heading 9"/>
    <w:basedOn w:val="Normal"/>
    <w:next w:val="Normal"/>
    <w:qFormat/>
    <w:rsid w:val="00FB277B"/>
    <w:pPr>
      <w:keepNext/>
      <w:numPr>
        <w:ilvl w:val="8"/>
        <w:numId w:val="2"/>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referencia nota al pie,FC,Fußnotenzeichen DISS,titulo 2,Style 24,pie pddes"/>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qFormat/>
    <w:rsid w:val="00FB277B"/>
    <w:pPr>
      <w:numPr>
        <w:ilvl w:val="1"/>
        <w:numId w:val="3"/>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ind w:left="360" w:hanging="36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FB277B"/>
    <w:pPr>
      <w:keepNext/>
      <w:numPr>
        <w:numId w:val="3"/>
      </w:numPr>
      <w:tabs>
        <w:tab w:val="clear" w:pos="2952"/>
        <w:tab w:val="num" w:pos="648"/>
        <w:tab w:val="left" w:pos="1440"/>
      </w:tabs>
      <w:spacing w:before="240" w:after="240"/>
      <w:ind w:left="0"/>
      <w:jc w:val="center"/>
    </w:pPr>
    <w:rPr>
      <w:b/>
      <w:smallCaps/>
      <w:lang w:val="es-ES"/>
    </w:rPr>
  </w:style>
  <w:style w:type="paragraph" w:customStyle="1" w:styleId="subpar">
    <w:name w:val="subpar"/>
    <w:basedOn w:val="BodyTextIndent3"/>
    <w:uiPriority w:val="99"/>
    <w:rsid w:val="00FB277B"/>
    <w:pPr>
      <w:numPr>
        <w:ilvl w:val="2"/>
        <w:numId w:val="3"/>
      </w:numPr>
      <w:tabs>
        <w:tab w:val="clear" w:pos="3456"/>
        <w:tab w:val="num" w:pos="1152"/>
      </w:tabs>
      <w:spacing w:before="120"/>
      <w:ind w:left="1152"/>
      <w:jc w:val="both"/>
      <w:outlineLvl w:val="2"/>
    </w:pPr>
  </w:style>
  <w:style w:type="paragraph" w:customStyle="1" w:styleId="SubSubPar">
    <w:name w:val="SubSubPar"/>
    <w:basedOn w:val="subpar"/>
    <w:uiPriority w:val="99"/>
    <w:rsid w:val="00FB277B"/>
    <w:pPr>
      <w:numPr>
        <w:ilvl w:val="3"/>
      </w:numPr>
      <w:tabs>
        <w:tab w:val="clear" w:pos="3888"/>
        <w:tab w:val="left" w:pos="0"/>
        <w:tab w:val="num" w:pos="1296"/>
      </w:tabs>
      <w:ind w:left="1296"/>
    </w:pPr>
  </w:style>
  <w:style w:type="character" w:customStyle="1" w:styleId="ParagraphChar">
    <w:name w:val="Paragraph Char"/>
    <w:link w:val="Paragraph"/>
    <w:rsid w:val="00FB277B"/>
    <w:rPr>
      <w:sz w:val="24"/>
      <w:lang w:val="es-ES_tradnl"/>
    </w:rPr>
  </w:style>
  <w:style w:type="paragraph" w:customStyle="1" w:styleId="FirstHeading">
    <w:name w:val="FirstHeading"/>
    <w:basedOn w:val="Normal"/>
    <w:next w:val="Normal"/>
    <w:link w:val="FirstHeadingChar"/>
    <w:rsid w:val="00FB277B"/>
    <w:pPr>
      <w:keepNext/>
      <w:numPr>
        <w:numId w:val="2"/>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FB277B"/>
    <w:rPr>
      <w:b/>
      <w:sz w:val="24"/>
      <w:szCs w:val="24"/>
      <w:lang w:val="es-ES_tradnl"/>
    </w:rPr>
  </w:style>
  <w:style w:type="paragraph" w:customStyle="1" w:styleId="SecHeading">
    <w:name w:val="SecHeading"/>
    <w:basedOn w:val="Normal"/>
    <w:next w:val="Paragraph"/>
    <w:link w:val="SecHeadingChar"/>
    <w:rsid w:val="00FB277B"/>
    <w:pPr>
      <w:keepNext/>
      <w:numPr>
        <w:ilvl w:val="1"/>
        <w:numId w:val="2"/>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FB277B"/>
    <w:rPr>
      <w:b/>
      <w:sz w:val="24"/>
      <w:szCs w:val="24"/>
      <w:lang w:val="es-ES_tradnl"/>
    </w:rPr>
  </w:style>
  <w:style w:type="paragraph" w:customStyle="1" w:styleId="SubHeading1">
    <w:name w:val="SubHeading1"/>
    <w:basedOn w:val="SecHeading"/>
    <w:link w:val="SubHeading1Char"/>
    <w:rsid w:val="00FB277B"/>
    <w:pPr>
      <w:numPr>
        <w:ilvl w:val="2"/>
      </w:numPr>
      <w:tabs>
        <w:tab w:val="clear" w:pos="5976"/>
        <w:tab w:val="num" w:pos="1872"/>
      </w:tabs>
      <w:ind w:left="1872"/>
    </w:pPr>
  </w:style>
  <w:style w:type="character" w:customStyle="1" w:styleId="SubHeading1Char">
    <w:name w:val="SubHeading1 Char"/>
    <w:basedOn w:val="DefaultParagraphFont"/>
    <w:link w:val="SubHeading1"/>
    <w:rsid w:val="00FB277B"/>
    <w:rPr>
      <w:b/>
      <w:sz w:val="24"/>
      <w:szCs w:val="24"/>
      <w:lang w:val="es-ES_tradnl"/>
    </w:rPr>
  </w:style>
  <w:style w:type="paragraph" w:customStyle="1" w:styleId="Subheading2">
    <w:name w:val="Subheading2"/>
    <w:basedOn w:val="SecHeading"/>
    <w:link w:val="Subheading2Char"/>
    <w:rsid w:val="00FB277B"/>
    <w:pPr>
      <w:numPr>
        <w:ilvl w:val="3"/>
      </w:numPr>
      <w:tabs>
        <w:tab w:val="clear" w:pos="6480"/>
        <w:tab w:val="num" w:pos="2376"/>
      </w:tabs>
      <w:ind w:left="2376"/>
    </w:pPr>
  </w:style>
  <w:style w:type="character" w:customStyle="1" w:styleId="Subheading2Char">
    <w:name w:val="Subheading2 Char"/>
    <w:basedOn w:val="DefaultParagraphFont"/>
    <w:link w:val="Subheading2"/>
    <w:rsid w:val="00FB277B"/>
    <w:rPr>
      <w:b/>
      <w:sz w:val="24"/>
      <w:szCs w:val="24"/>
      <w:lang w:val="es-ES_tradnl"/>
    </w:rPr>
  </w:style>
  <w:style w:type="paragraph" w:customStyle="1" w:styleId="Regtable">
    <w:name w:val="Regtable"/>
    <w:basedOn w:val="Normal"/>
    <w:link w:val="RegtableChar"/>
    <w:rsid w:val="00FB277B"/>
    <w:pPr>
      <w:keepLines/>
      <w:framePr w:wrap="around" w:vAnchor="text" w:hAnchor="text" w:y="1"/>
      <w:spacing w:before="20" w:after="20"/>
    </w:pPr>
    <w:rPr>
      <w:sz w:val="20"/>
    </w:rPr>
  </w:style>
  <w:style w:type="character" w:customStyle="1" w:styleId="RegtableChar">
    <w:name w:val="Regtable Char"/>
    <w:basedOn w:val="DefaultParagraphFont"/>
    <w:link w:val="Regtable"/>
    <w:rsid w:val="00FB277B"/>
    <w:rPr>
      <w:szCs w:val="24"/>
      <w:lang w:val="es-ES_tradnl"/>
    </w:rPr>
  </w:style>
  <w:style w:type="paragraph" w:customStyle="1" w:styleId="TableTitle">
    <w:name w:val="TableTitle"/>
    <w:basedOn w:val="Normal"/>
    <w:link w:val="TableTitleChar"/>
    <w:rsid w:val="00FB277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FB277B"/>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 w:type="character" w:styleId="BookTitle">
    <w:name w:val="Book Title"/>
    <w:basedOn w:val="DefaultParagraphFont"/>
    <w:uiPriority w:val="33"/>
    <w:qFormat/>
    <w:rsid w:val="0081466F"/>
    <w:rPr>
      <w:b/>
      <w:bCs/>
      <w:smallCaps/>
      <w:spacing w:val="5"/>
    </w:rPr>
  </w:style>
  <w:style w:type="table" w:styleId="TableGrid">
    <w:name w:val="Table Grid"/>
    <w:basedOn w:val="TableNormal"/>
    <w:rsid w:val="00236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7F49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FD00A4"/>
    <w:pPr>
      <w:keepNext/>
      <w:numPr>
        <w:numId w:val="11"/>
      </w:numPr>
      <w:tabs>
        <w:tab w:val="left" w:pos="0"/>
      </w:tabs>
      <w:spacing w:before="240" w:after="240"/>
      <w:ind w:hanging="720"/>
      <w:contextualSpacing/>
      <w:outlineLvl w:val="0"/>
    </w:pPr>
    <w:rPr>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812314"/>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812314"/>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FB277B"/>
    <w:pPr>
      <w:numPr>
        <w:ilvl w:val="4"/>
        <w:numId w:val="2"/>
      </w:numPr>
      <w:spacing w:after="240"/>
      <w:outlineLvl w:val="4"/>
    </w:pPr>
    <w:rPr>
      <w:szCs w:val="20"/>
      <w:lang w:val="en-US"/>
    </w:rPr>
  </w:style>
  <w:style w:type="paragraph" w:styleId="Heading6">
    <w:name w:val="heading 6"/>
    <w:basedOn w:val="Normal"/>
    <w:next w:val="BankNormal"/>
    <w:qFormat/>
    <w:rsid w:val="00FB277B"/>
    <w:pPr>
      <w:numPr>
        <w:ilvl w:val="5"/>
        <w:numId w:val="2"/>
      </w:numPr>
      <w:spacing w:after="240"/>
      <w:outlineLvl w:val="5"/>
    </w:pPr>
    <w:rPr>
      <w:szCs w:val="20"/>
      <w:lang w:val="en-US"/>
    </w:rPr>
  </w:style>
  <w:style w:type="paragraph" w:styleId="Heading7">
    <w:name w:val="heading 7"/>
    <w:basedOn w:val="Normal"/>
    <w:next w:val="Normal"/>
    <w:qFormat/>
    <w:rsid w:val="00FB277B"/>
    <w:pPr>
      <w:keepNext/>
      <w:numPr>
        <w:ilvl w:val="6"/>
        <w:numId w:val="2"/>
      </w:numPr>
      <w:jc w:val="both"/>
      <w:outlineLvl w:val="6"/>
    </w:pPr>
    <w:rPr>
      <w:b/>
      <w:bCs/>
      <w:sz w:val="20"/>
      <w:lang w:val="en-US"/>
    </w:rPr>
  </w:style>
  <w:style w:type="paragraph" w:styleId="Heading8">
    <w:name w:val="heading 8"/>
    <w:basedOn w:val="Normal"/>
    <w:next w:val="Normal"/>
    <w:qFormat/>
    <w:rsid w:val="00FB277B"/>
    <w:pPr>
      <w:keepNext/>
      <w:numPr>
        <w:ilvl w:val="7"/>
        <w:numId w:val="2"/>
      </w:numPr>
      <w:jc w:val="both"/>
      <w:outlineLvl w:val="7"/>
    </w:pPr>
    <w:rPr>
      <w:b/>
      <w:bCs/>
      <w:sz w:val="20"/>
      <w:lang w:val="en-US"/>
    </w:rPr>
  </w:style>
  <w:style w:type="paragraph" w:styleId="Heading9">
    <w:name w:val="heading 9"/>
    <w:basedOn w:val="Normal"/>
    <w:next w:val="Normal"/>
    <w:qFormat/>
    <w:rsid w:val="00FB277B"/>
    <w:pPr>
      <w:keepNext/>
      <w:numPr>
        <w:ilvl w:val="8"/>
        <w:numId w:val="2"/>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referencia nota al pie,FC,Fußnotenzeichen DISS,titulo 2,Style 24,pie pddes"/>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Char Char Char Char,single space,footnote text,ft,texto de nota al pie,Nota a pie/Bibliog,foottextfra,Texto de rodapé,nota_rodapé,nota de rodapé,footnote,FOOTNOTES,Texto nota pie Car Car,F,Texto nota pie Car Car Car Car Car Car Car Car"/>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qFormat/>
    <w:rsid w:val="00FB277B"/>
    <w:pPr>
      <w:numPr>
        <w:ilvl w:val="1"/>
        <w:numId w:val="3"/>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ind w:left="360" w:hanging="36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Char Char Char Char Char,single space Char,footnote text Char,ft Char,texto de nota al pie Char,Nota a pie/Bibliog Char,foottextfra Char,Texto de rodapé Char,nota_rodapé Char,nota de rodapé Char,footnote Char,FOOTNOTES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FB277B"/>
    <w:pPr>
      <w:keepNext/>
      <w:numPr>
        <w:numId w:val="3"/>
      </w:numPr>
      <w:tabs>
        <w:tab w:val="clear" w:pos="2952"/>
        <w:tab w:val="num" w:pos="648"/>
        <w:tab w:val="left" w:pos="1440"/>
      </w:tabs>
      <w:spacing w:before="240" w:after="240"/>
      <w:ind w:left="0"/>
      <w:jc w:val="center"/>
    </w:pPr>
    <w:rPr>
      <w:b/>
      <w:smallCaps/>
      <w:lang w:val="es-ES"/>
    </w:rPr>
  </w:style>
  <w:style w:type="paragraph" w:customStyle="1" w:styleId="subpar">
    <w:name w:val="subpar"/>
    <w:basedOn w:val="BodyTextIndent3"/>
    <w:uiPriority w:val="99"/>
    <w:rsid w:val="00FB277B"/>
    <w:pPr>
      <w:numPr>
        <w:ilvl w:val="2"/>
        <w:numId w:val="3"/>
      </w:numPr>
      <w:tabs>
        <w:tab w:val="clear" w:pos="3456"/>
        <w:tab w:val="num" w:pos="1152"/>
      </w:tabs>
      <w:spacing w:before="120"/>
      <w:ind w:left="1152"/>
      <w:jc w:val="both"/>
      <w:outlineLvl w:val="2"/>
    </w:pPr>
  </w:style>
  <w:style w:type="paragraph" w:customStyle="1" w:styleId="SubSubPar">
    <w:name w:val="SubSubPar"/>
    <w:basedOn w:val="subpar"/>
    <w:uiPriority w:val="99"/>
    <w:rsid w:val="00FB277B"/>
    <w:pPr>
      <w:numPr>
        <w:ilvl w:val="3"/>
      </w:numPr>
      <w:tabs>
        <w:tab w:val="clear" w:pos="3888"/>
        <w:tab w:val="left" w:pos="0"/>
        <w:tab w:val="num" w:pos="1296"/>
      </w:tabs>
      <w:ind w:left="1296"/>
    </w:pPr>
  </w:style>
  <w:style w:type="character" w:customStyle="1" w:styleId="ParagraphChar">
    <w:name w:val="Paragraph Char"/>
    <w:link w:val="Paragraph"/>
    <w:rsid w:val="00FB277B"/>
    <w:rPr>
      <w:sz w:val="24"/>
      <w:lang w:val="es-ES_tradnl"/>
    </w:rPr>
  </w:style>
  <w:style w:type="paragraph" w:customStyle="1" w:styleId="FirstHeading">
    <w:name w:val="FirstHeading"/>
    <w:basedOn w:val="Normal"/>
    <w:next w:val="Normal"/>
    <w:link w:val="FirstHeadingChar"/>
    <w:rsid w:val="00FB277B"/>
    <w:pPr>
      <w:keepNext/>
      <w:numPr>
        <w:numId w:val="2"/>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FB277B"/>
    <w:rPr>
      <w:b/>
      <w:sz w:val="24"/>
      <w:szCs w:val="24"/>
      <w:lang w:val="es-ES_tradnl"/>
    </w:rPr>
  </w:style>
  <w:style w:type="paragraph" w:customStyle="1" w:styleId="SecHeading">
    <w:name w:val="SecHeading"/>
    <w:basedOn w:val="Normal"/>
    <w:next w:val="Paragraph"/>
    <w:link w:val="SecHeadingChar"/>
    <w:rsid w:val="00FB277B"/>
    <w:pPr>
      <w:keepNext/>
      <w:numPr>
        <w:ilvl w:val="1"/>
        <w:numId w:val="2"/>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FB277B"/>
    <w:rPr>
      <w:b/>
      <w:sz w:val="24"/>
      <w:szCs w:val="24"/>
      <w:lang w:val="es-ES_tradnl"/>
    </w:rPr>
  </w:style>
  <w:style w:type="paragraph" w:customStyle="1" w:styleId="SubHeading1">
    <w:name w:val="SubHeading1"/>
    <w:basedOn w:val="SecHeading"/>
    <w:link w:val="SubHeading1Char"/>
    <w:rsid w:val="00FB277B"/>
    <w:pPr>
      <w:numPr>
        <w:ilvl w:val="2"/>
      </w:numPr>
      <w:tabs>
        <w:tab w:val="clear" w:pos="5976"/>
        <w:tab w:val="num" w:pos="1872"/>
      </w:tabs>
      <w:ind w:left="1872"/>
    </w:pPr>
  </w:style>
  <w:style w:type="character" w:customStyle="1" w:styleId="SubHeading1Char">
    <w:name w:val="SubHeading1 Char"/>
    <w:basedOn w:val="DefaultParagraphFont"/>
    <w:link w:val="SubHeading1"/>
    <w:rsid w:val="00FB277B"/>
    <w:rPr>
      <w:b/>
      <w:sz w:val="24"/>
      <w:szCs w:val="24"/>
      <w:lang w:val="es-ES_tradnl"/>
    </w:rPr>
  </w:style>
  <w:style w:type="paragraph" w:customStyle="1" w:styleId="Subheading2">
    <w:name w:val="Subheading2"/>
    <w:basedOn w:val="SecHeading"/>
    <w:link w:val="Subheading2Char"/>
    <w:rsid w:val="00FB277B"/>
    <w:pPr>
      <w:numPr>
        <w:ilvl w:val="3"/>
      </w:numPr>
      <w:tabs>
        <w:tab w:val="clear" w:pos="6480"/>
        <w:tab w:val="num" w:pos="2376"/>
      </w:tabs>
      <w:ind w:left="2376"/>
    </w:pPr>
  </w:style>
  <w:style w:type="character" w:customStyle="1" w:styleId="Subheading2Char">
    <w:name w:val="Subheading2 Char"/>
    <w:basedOn w:val="DefaultParagraphFont"/>
    <w:link w:val="Subheading2"/>
    <w:rsid w:val="00FB277B"/>
    <w:rPr>
      <w:b/>
      <w:sz w:val="24"/>
      <w:szCs w:val="24"/>
      <w:lang w:val="es-ES_tradnl"/>
    </w:rPr>
  </w:style>
  <w:style w:type="paragraph" w:customStyle="1" w:styleId="Regtable">
    <w:name w:val="Regtable"/>
    <w:basedOn w:val="Normal"/>
    <w:link w:val="RegtableChar"/>
    <w:rsid w:val="00FB277B"/>
    <w:pPr>
      <w:keepLines/>
      <w:framePr w:wrap="around" w:vAnchor="text" w:hAnchor="text" w:y="1"/>
      <w:spacing w:before="20" w:after="20"/>
    </w:pPr>
    <w:rPr>
      <w:sz w:val="20"/>
    </w:rPr>
  </w:style>
  <w:style w:type="character" w:customStyle="1" w:styleId="RegtableChar">
    <w:name w:val="Regtable Char"/>
    <w:basedOn w:val="DefaultParagraphFont"/>
    <w:link w:val="Regtable"/>
    <w:rsid w:val="00FB277B"/>
    <w:rPr>
      <w:szCs w:val="24"/>
      <w:lang w:val="es-ES_tradnl"/>
    </w:rPr>
  </w:style>
  <w:style w:type="paragraph" w:customStyle="1" w:styleId="TableTitle">
    <w:name w:val="TableTitle"/>
    <w:basedOn w:val="Normal"/>
    <w:link w:val="TableTitleChar"/>
    <w:rsid w:val="00FB277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FB277B"/>
    <w:rPr>
      <w:rFonts w:ascii="Times New Roman Bold" w:hAnsi="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 w:type="character" w:styleId="BookTitle">
    <w:name w:val="Book Title"/>
    <w:basedOn w:val="DefaultParagraphFont"/>
    <w:uiPriority w:val="33"/>
    <w:qFormat/>
    <w:rsid w:val="0081466F"/>
    <w:rPr>
      <w:b/>
      <w:bCs/>
      <w:smallCaps/>
      <w:spacing w:val="5"/>
    </w:rPr>
  </w:style>
  <w:style w:type="table" w:styleId="TableGrid">
    <w:name w:val="Table Grid"/>
    <w:basedOn w:val="TableNormal"/>
    <w:rsid w:val="00236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7F49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38896076" TargetMode="External"/><Relationship Id="rId18" Type="http://schemas.openxmlformats.org/officeDocument/2006/relationships/header" Target="header5.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idbdocs.iadb.org/wsdocs/getDocument.aspx?DOCNUM=38896069" TargetMode="External"/><Relationship Id="rId17" Type="http://schemas.openxmlformats.org/officeDocument/2006/relationships/header" Target="header4.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8896064"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idbdocs.iadb.org/wsdocs/getDocument.aspx?DOCNUM=38896058"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http://idbdocs.iadb.org/wsdocs/getDocument.aspx?DOCNUM=38896048" TargetMode="External"/><Relationship Id="rId14" Type="http://schemas.openxmlformats.org/officeDocument/2006/relationships/header" Target="header1.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EB3C46D9DDEC649827EF1F5EAD4DF47" ma:contentTypeVersion="0" ma:contentTypeDescription="A content type to manage public (operations) IDB documents" ma:contentTypeScope="" ma:versionID="6b8b35308f7603af52163d02491ce219">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38896103</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ATN/SS-14646-RG</Approval_x0020_Number>
    <Document_x0020_Author xmlns="9c571b2f-e523-4ab2-ba2e-09e151a03ef4">Eguino, Huascar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RG-T2491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DU-DUR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4F5EFCB-7313-4AF4-BF6B-54F41D19A62B}"/>
</file>

<file path=customXml/itemProps2.xml><?xml version="1.0" encoding="utf-8"?>
<ds:datastoreItem xmlns:ds="http://schemas.openxmlformats.org/officeDocument/2006/customXml" ds:itemID="{A30486F3-C3EA-4AFC-9113-E0729F6D2679}"/>
</file>

<file path=customXml/itemProps3.xml><?xml version="1.0" encoding="utf-8"?>
<ds:datastoreItem xmlns:ds="http://schemas.openxmlformats.org/officeDocument/2006/customXml" ds:itemID="{28979786-9806-4841-8275-4BB26EC227DD}"/>
</file>

<file path=customXml/itemProps4.xml><?xml version="1.0" encoding="utf-8"?>
<ds:datastoreItem xmlns:ds="http://schemas.openxmlformats.org/officeDocument/2006/customXml" ds:itemID="{5EFD3F52-AA06-4ACC-8578-FD7CFB8E60AD}"/>
</file>

<file path=customXml/itemProps5.xml><?xml version="1.0" encoding="utf-8"?>
<ds:datastoreItem xmlns:ds="http://schemas.openxmlformats.org/officeDocument/2006/customXml" ds:itemID="{C8B76F86-B4A3-430A-B6C5-619C83353A5A}"/>
</file>

<file path=customXml/itemProps6.xml><?xml version="1.0" encoding="utf-8"?>
<ds:datastoreItem xmlns:ds="http://schemas.openxmlformats.org/officeDocument/2006/customXml" ds:itemID="{A84EB241-1849-4827-B12D-8C07D94BA1A1}"/>
</file>

<file path=docProps/app.xml><?xml version="1.0" encoding="utf-8"?>
<Properties xmlns="http://schemas.openxmlformats.org/officeDocument/2006/extended-properties" xmlns:vt="http://schemas.openxmlformats.org/officeDocument/2006/docPropsVTypes">
  <Template>Normal.dotm</Template>
  <TotalTime>50</TotalTime>
  <Pages>15</Pages>
  <Words>4325</Words>
  <Characters>24656</Characters>
  <Application>Microsoft Office Word</Application>
  <DocSecurity>0</DocSecurity>
  <Lines>205</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28924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 Terminos de Referencia</dc:title>
  <dc:creator>Regional Departments</dc:creator>
  <cp:lastModifiedBy>Dianela Avila</cp:lastModifiedBy>
  <cp:revision>12</cp:revision>
  <cp:lastPrinted>2014-06-18T21:59:00Z</cp:lastPrinted>
  <dcterms:created xsi:type="dcterms:W3CDTF">2014-06-30T11:18:00Z</dcterms:created>
  <dcterms:modified xsi:type="dcterms:W3CDTF">2014-09-17T22:54:00Z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0x01010046CF21643EE8D14686A648AA6DAD0892006EB3C46D9DDEC649827EF1F5EAD4DF47</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