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C65EE" w14:textId="77777777" w:rsidR="00614BD9" w:rsidRPr="00614BD9" w:rsidRDefault="00614BD9" w:rsidP="00614BD9">
      <w:pPr>
        <w:rPr>
          <w:b/>
          <w:color w:val="005596"/>
          <w:sz w:val="48"/>
          <w:szCs w:val="56"/>
          <w:lang w:val="fr-CA"/>
        </w:rPr>
      </w:pPr>
    </w:p>
    <w:p w14:paraId="551E9E4A" w14:textId="38B0805C" w:rsidR="00437C1F" w:rsidRPr="00614BD9" w:rsidRDefault="00614BD9" w:rsidP="00614BD9">
      <w:pPr>
        <w:spacing w:after="240" w:line="240" w:lineRule="auto"/>
        <w:jc w:val="center"/>
      </w:pPr>
      <w:r w:rsidRPr="00614BD9">
        <w:rPr>
          <w:b/>
          <w:color w:val="005596"/>
          <w:sz w:val="48"/>
          <w:szCs w:val="56"/>
        </w:rPr>
        <w:t xml:space="preserve">Environmental and </w:t>
      </w:r>
      <w:r w:rsidRPr="00614BD9">
        <w:rPr>
          <w:b/>
          <w:color w:val="005596"/>
          <w:sz w:val="48"/>
          <w:szCs w:val="56"/>
        </w:rPr>
        <w:t>S</w:t>
      </w:r>
      <w:r w:rsidRPr="00614BD9">
        <w:rPr>
          <w:b/>
          <w:color w:val="005596"/>
          <w:sz w:val="48"/>
          <w:szCs w:val="56"/>
        </w:rPr>
        <w:t xml:space="preserve">ocial </w:t>
      </w:r>
      <w:r w:rsidRPr="00614BD9">
        <w:rPr>
          <w:b/>
          <w:color w:val="005596"/>
          <w:sz w:val="48"/>
          <w:szCs w:val="56"/>
        </w:rPr>
        <w:t>I</w:t>
      </w:r>
      <w:r w:rsidRPr="00614BD9">
        <w:rPr>
          <w:b/>
          <w:color w:val="005596"/>
          <w:sz w:val="48"/>
          <w:szCs w:val="56"/>
        </w:rPr>
        <w:t xml:space="preserve">mpact </w:t>
      </w:r>
      <w:r w:rsidRPr="00614BD9">
        <w:rPr>
          <w:b/>
          <w:color w:val="005596"/>
          <w:sz w:val="48"/>
          <w:szCs w:val="56"/>
        </w:rPr>
        <w:t>Assessment</w:t>
      </w:r>
      <w:r w:rsidRPr="00614BD9">
        <w:rPr>
          <w:b/>
          <w:color w:val="005596"/>
          <w:sz w:val="48"/>
          <w:szCs w:val="56"/>
        </w:rPr>
        <w:t xml:space="preserve"> </w:t>
      </w:r>
      <w:r w:rsidRPr="00614BD9">
        <w:rPr>
          <w:b/>
          <w:color w:val="005596"/>
          <w:sz w:val="48"/>
          <w:szCs w:val="56"/>
        </w:rPr>
        <w:t xml:space="preserve">– </w:t>
      </w:r>
      <w:r w:rsidRPr="00614BD9">
        <w:rPr>
          <w:b/>
          <w:color w:val="005596"/>
          <w:sz w:val="48"/>
          <w:szCs w:val="56"/>
        </w:rPr>
        <w:t xml:space="preserve">Expansion of the </w:t>
      </w:r>
      <w:proofErr w:type="spellStart"/>
      <w:r w:rsidRPr="00614BD9">
        <w:rPr>
          <w:b/>
          <w:color w:val="005596"/>
          <w:sz w:val="48"/>
          <w:szCs w:val="56"/>
        </w:rPr>
        <w:t>Caracol</w:t>
      </w:r>
      <w:proofErr w:type="spellEnd"/>
      <w:r w:rsidRPr="00614BD9">
        <w:rPr>
          <w:b/>
          <w:color w:val="005596"/>
          <w:sz w:val="48"/>
          <w:szCs w:val="56"/>
        </w:rPr>
        <w:t xml:space="preserve"> Industrial Park </w:t>
      </w:r>
      <w:r w:rsidRPr="00614BD9">
        <w:rPr>
          <w:b/>
          <w:color w:val="005596"/>
          <w:sz w:val="48"/>
          <w:szCs w:val="56"/>
        </w:rPr>
        <w:t xml:space="preserve">– </w:t>
      </w:r>
      <w:r w:rsidRPr="00614BD9">
        <w:rPr>
          <w:b/>
          <w:color w:val="005596"/>
          <w:sz w:val="48"/>
          <w:szCs w:val="56"/>
        </w:rPr>
        <w:t>Haiti (HA-</w:t>
      </w:r>
      <w:proofErr w:type="spellStart"/>
      <w:r w:rsidRPr="00614BD9">
        <w:rPr>
          <w:b/>
          <w:color w:val="005596"/>
          <w:sz w:val="48"/>
          <w:szCs w:val="56"/>
        </w:rPr>
        <w:t>L1143</w:t>
      </w:r>
      <w:proofErr w:type="spellEnd"/>
      <w:r w:rsidRPr="00614BD9">
        <w:rPr>
          <w:b/>
          <w:color w:val="005596"/>
          <w:sz w:val="48"/>
          <w:szCs w:val="56"/>
        </w:rPr>
        <w:t>)</w:t>
      </w:r>
    </w:p>
    <w:p w14:paraId="12AB5CDE" w14:textId="77777777" w:rsidR="00017BCC" w:rsidRPr="00614BD9" w:rsidRDefault="00017BCC"/>
    <w:p w14:paraId="53167E46" w14:textId="77777777" w:rsidR="00017BCC" w:rsidRPr="00614BD9" w:rsidRDefault="00017BCC"/>
    <w:p w14:paraId="20F7242A" w14:textId="52852666" w:rsidR="00017BCC" w:rsidRPr="00614BD9" w:rsidRDefault="00614BD9" w:rsidP="00017BCC">
      <w:pPr>
        <w:pStyle w:val="Heading1"/>
        <w:pBdr>
          <w:top w:val="single" w:sz="36" w:space="1" w:color="005596"/>
        </w:pBdr>
        <w:shd w:val="clear" w:color="auto" w:fill="005596"/>
        <w:spacing w:before="120" w:after="120" w:line="320" w:lineRule="exact"/>
        <w:jc w:val="center"/>
      </w:pPr>
      <w:bookmarkStart w:id="0" w:name="_Toc55307635"/>
      <w:r w:rsidRPr="00614BD9">
        <w:t>EXECUTIVE SUMMARY</w:t>
      </w:r>
      <w:bookmarkEnd w:id="0"/>
    </w:p>
    <w:p w14:paraId="4A25057C" w14:textId="3C3736EF" w:rsidR="00614BD9" w:rsidRPr="00614BD9" w:rsidRDefault="00614BD9" w:rsidP="00017BCC">
      <w:pPr>
        <w:spacing w:before="120" w:line="240" w:lineRule="auto"/>
        <w:jc w:val="both"/>
      </w:pPr>
      <w:r w:rsidRPr="00614BD9">
        <w:t xml:space="preserve">The </w:t>
      </w:r>
      <w:r w:rsidRPr="00614BD9">
        <w:t>HA-</w:t>
      </w:r>
      <w:proofErr w:type="spellStart"/>
      <w:r w:rsidRPr="00614BD9">
        <w:t>L1143</w:t>
      </w:r>
      <w:proofErr w:type="spellEnd"/>
      <w:r w:rsidRPr="00614BD9">
        <w:t xml:space="preserve"> </w:t>
      </w:r>
      <w:r w:rsidRPr="00614BD9">
        <w:t>o</w:t>
      </w:r>
      <w:r w:rsidRPr="00614BD9">
        <w:t xml:space="preserve">peration </w:t>
      </w:r>
      <w:r w:rsidRPr="00614BD9">
        <w:t xml:space="preserve">will finance </w:t>
      </w:r>
      <w:r w:rsidRPr="00614BD9">
        <w:t xml:space="preserve">six (6) </w:t>
      </w:r>
      <w:r w:rsidRPr="00614BD9">
        <w:t xml:space="preserve">additional warehouses </w:t>
      </w:r>
      <w:r w:rsidRPr="00614BD9">
        <w:t xml:space="preserve">of 12,000 to 20,000 </w:t>
      </w:r>
      <w:proofErr w:type="spellStart"/>
      <w:r w:rsidRPr="00614BD9">
        <w:t>m</w:t>
      </w:r>
      <w:r w:rsidRPr="00614BD9">
        <w:rPr>
          <w:vertAlign w:val="superscript"/>
        </w:rPr>
        <w:t>2</w:t>
      </w:r>
      <w:proofErr w:type="spellEnd"/>
      <w:r w:rsidRPr="00614BD9">
        <w:t xml:space="preserve"> each, two (2) industrial buildings of 5,000 </w:t>
      </w:r>
      <w:proofErr w:type="spellStart"/>
      <w:r w:rsidRPr="00614BD9">
        <w:t>m</w:t>
      </w:r>
      <w:r w:rsidRPr="00614BD9">
        <w:rPr>
          <w:vertAlign w:val="superscript"/>
        </w:rPr>
        <w:t>2</w:t>
      </w:r>
      <w:proofErr w:type="spellEnd"/>
      <w:r w:rsidRPr="00614BD9">
        <w:t xml:space="preserve"> each, a boiler room, a </w:t>
      </w:r>
      <w:r w:rsidRPr="00614BD9">
        <w:t xml:space="preserve">facility </w:t>
      </w:r>
      <w:r w:rsidRPr="00614BD9">
        <w:t xml:space="preserve">for sorting of solid waste, a hazardous waste </w:t>
      </w:r>
      <w:r w:rsidRPr="00614BD9">
        <w:t>facility</w:t>
      </w:r>
      <w:r w:rsidRPr="00614BD9">
        <w:t xml:space="preserve">, hangars, a health center, dormitories, toilets and canteens. The operation also </w:t>
      </w:r>
      <w:r w:rsidRPr="00614BD9">
        <w:t xml:space="preserve">will finance </w:t>
      </w:r>
      <w:r w:rsidRPr="00614BD9">
        <w:t xml:space="preserve">the extension of several </w:t>
      </w:r>
      <w:r w:rsidRPr="00614BD9">
        <w:t>associated</w:t>
      </w:r>
      <w:r w:rsidRPr="00614BD9">
        <w:t xml:space="preserve"> facilities (street, </w:t>
      </w:r>
      <w:r w:rsidRPr="00614BD9">
        <w:t>water pipes</w:t>
      </w:r>
      <w:r w:rsidRPr="00614BD9">
        <w:t xml:space="preserve">, sewer, electricity network) as well as work to protect and stabilize the banks of the </w:t>
      </w:r>
      <w:proofErr w:type="spellStart"/>
      <w:r w:rsidRPr="00614BD9">
        <w:t>Trou</w:t>
      </w:r>
      <w:proofErr w:type="spellEnd"/>
      <w:r w:rsidRPr="00614BD9">
        <w:t>-du-Nord river. This expansion would generate 6,000 new jobs, the majority (3,500) of which would be held by women.</w:t>
      </w:r>
    </w:p>
    <w:p w14:paraId="26D7F36A" w14:textId="70C115A5" w:rsidR="00614BD9" w:rsidRPr="00614BD9" w:rsidRDefault="00614BD9" w:rsidP="00614BD9">
      <w:pPr>
        <w:spacing w:before="120" w:line="240" w:lineRule="auto"/>
        <w:jc w:val="both"/>
      </w:pPr>
      <w:r w:rsidRPr="00614BD9">
        <w:t xml:space="preserve">Since the </w:t>
      </w:r>
      <w:r w:rsidRPr="00614BD9">
        <w:t>HA-</w:t>
      </w:r>
      <w:proofErr w:type="spellStart"/>
      <w:r w:rsidRPr="00614BD9">
        <w:t>L1143</w:t>
      </w:r>
      <w:proofErr w:type="spellEnd"/>
      <w:r w:rsidRPr="00614BD9">
        <w:t xml:space="preserve"> </w:t>
      </w:r>
      <w:r w:rsidRPr="00614BD9">
        <w:t>o</w:t>
      </w:r>
      <w:r w:rsidRPr="00614BD9">
        <w:t>peration</w:t>
      </w:r>
      <w:r w:rsidRPr="00614BD9">
        <w:t xml:space="preserve"> has been categorized as </w:t>
      </w:r>
      <w:r w:rsidRPr="00614BD9">
        <w:t xml:space="preserve">A, an environmental and social impact </w:t>
      </w:r>
      <w:r w:rsidRPr="00614BD9">
        <w:t>assessment</w:t>
      </w:r>
      <w:r w:rsidRPr="00614BD9">
        <w:t xml:space="preserve"> is required including two (2) rounds</w:t>
      </w:r>
      <w:r w:rsidRPr="00614BD9">
        <w:t xml:space="preserve"> of </w:t>
      </w:r>
      <w:r w:rsidRPr="00614BD9">
        <w:t xml:space="preserve">public consultation </w:t>
      </w:r>
      <w:r w:rsidRPr="00614BD9">
        <w:t xml:space="preserve">with </w:t>
      </w:r>
      <w:r w:rsidRPr="00614BD9">
        <w:t>stakeholders. T</w:t>
      </w:r>
      <w:r w:rsidRPr="00614BD9">
        <w:t>he assessment</w:t>
      </w:r>
      <w:r w:rsidRPr="00614BD9">
        <w:t xml:space="preserve"> is the preliminary report expected after the first round of public consultation. The final report will be presented following the second round of public consultation.</w:t>
      </w:r>
    </w:p>
    <w:p w14:paraId="1CABE203" w14:textId="4080BB9F" w:rsidR="00614BD9" w:rsidRPr="00614BD9" w:rsidRDefault="00614BD9" w:rsidP="00614BD9">
      <w:pPr>
        <w:spacing w:before="120" w:line="240" w:lineRule="auto"/>
        <w:jc w:val="both"/>
      </w:pPr>
      <w:r w:rsidRPr="00614BD9">
        <w:t>Th</w:t>
      </w:r>
      <w:r w:rsidRPr="00614BD9">
        <w:t xml:space="preserve">e assessment </w:t>
      </w:r>
      <w:r w:rsidRPr="00614BD9">
        <w:t>identified and qualified 145 negative environmental and social impacts and 23 positive environmental and social impacts. Taking into consideration the recommended mitigation measures, 137 of the 145 identified negative impacts have negligible or minor residual effect. Only 8 of the negative impacts have a m</w:t>
      </w:r>
      <w:r w:rsidRPr="00614BD9">
        <w:t>oderate</w:t>
      </w:r>
      <w:r w:rsidRPr="00614BD9">
        <w:t xml:space="preserve"> or major residual effect. In return, 21 of the 23 identified positive impacts can have a </w:t>
      </w:r>
      <w:r w:rsidRPr="00614BD9">
        <w:t>high</w:t>
      </w:r>
      <w:r w:rsidRPr="00614BD9">
        <w:t xml:space="preserve"> or medium residual effect by applying the proposed enhancement measures.</w:t>
      </w:r>
    </w:p>
    <w:p w14:paraId="3ACA17C4" w14:textId="6CEB9E5C" w:rsidR="00614BD9" w:rsidRPr="009353F8" w:rsidRDefault="00614BD9" w:rsidP="00017BCC">
      <w:pPr>
        <w:pStyle w:val="Corpdetexte"/>
        <w:spacing w:before="120" w:after="120" w:line="240" w:lineRule="auto"/>
        <w:jc w:val="both"/>
        <w:rPr>
          <w:lang w:val="en-US"/>
        </w:rPr>
      </w:pPr>
      <w:r w:rsidRPr="009353F8">
        <w:rPr>
          <w:lang w:val="en-US"/>
        </w:rPr>
        <w:t xml:space="preserve">The following table summarizes the minor, </w:t>
      </w:r>
      <w:r w:rsidRPr="009353F8">
        <w:rPr>
          <w:lang w:val="en-US"/>
        </w:rPr>
        <w:t>moderate</w:t>
      </w:r>
      <w:r w:rsidRPr="009353F8">
        <w:rPr>
          <w:lang w:val="en-US"/>
        </w:rPr>
        <w:t xml:space="preserve"> and </w:t>
      </w:r>
      <w:r w:rsidRPr="009353F8">
        <w:rPr>
          <w:lang w:val="en-US"/>
        </w:rPr>
        <w:t>high</w:t>
      </w:r>
      <w:r w:rsidRPr="009353F8">
        <w:rPr>
          <w:lang w:val="en-US"/>
        </w:rPr>
        <w:t xml:space="preserve"> impacts identified according to the environment considered and according to the phase of the project (construction or operation).</w:t>
      </w:r>
    </w:p>
    <w:tbl>
      <w:tblPr>
        <w:tblStyle w:val="GridTable1Light"/>
        <w:tblW w:w="0" w:type="auto"/>
        <w:tblLook w:val="04A0" w:firstRow="1" w:lastRow="0" w:firstColumn="1" w:lastColumn="0" w:noHBand="0" w:noVBand="1"/>
      </w:tblPr>
      <w:tblGrid>
        <w:gridCol w:w="1877"/>
        <w:gridCol w:w="1722"/>
        <w:gridCol w:w="1712"/>
        <w:gridCol w:w="1718"/>
        <w:gridCol w:w="1601"/>
      </w:tblGrid>
      <w:tr w:rsidR="009353F8" w:rsidRPr="009353F8" w14:paraId="3D35A7A6" w14:textId="77777777" w:rsidTr="00614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7" w:type="dxa"/>
            <w:shd w:val="clear" w:color="auto" w:fill="005596"/>
            <w:vAlign w:val="center"/>
          </w:tcPr>
          <w:p w14:paraId="4A46C547" w14:textId="77777777" w:rsidR="00017BCC" w:rsidRPr="009353F8" w:rsidRDefault="00017BCC" w:rsidP="006628BD">
            <w:pPr>
              <w:pStyle w:val="Corpdetexte"/>
              <w:spacing w:before="20" w:after="20"/>
              <w:jc w:val="center"/>
              <w:rPr>
                <w:color w:val="FFFFFF" w:themeColor="background1"/>
                <w:sz w:val="18"/>
                <w:szCs w:val="18"/>
                <w:lang w:val="en-US"/>
              </w:rPr>
            </w:pPr>
            <w:r w:rsidRPr="009353F8">
              <w:rPr>
                <w:color w:val="FFFFFF" w:themeColor="background1"/>
                <w:sz w:val="18"/>
                <w:szCs w:val="18"/>
                <w:lang w:val="en-US"/>
              </w:rPr>
              <w:t>Milieu</w:t>
            </w:r>
          </w:p>
        </w:tc>
        <w:tc>
          <w:tcPr>
            <w:tcW w:w="1722" w:type="dxa"/>
            <w:shd w:val="clear" w:color="auto" w:fill="005596"/>
            <w:vAlign w:val="center"/>
          </w:tcPr>
          <w:p w14:paraId="180B0232" w14:textId="453B8BB1" w:rsidR="00017BCC" w:rsidRPr="009353F8" w:rsidRDefault="00614BD9"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lang w:val="en-US"/>
              </w:rPr>
            </w:pPr>
            <w:r w:rsidRPr="009353F8">
              <w:rPr>
                <w:color w:val="FFFFFF" w:themeColor="background1"/>
                <w:sz w:val="18"/>
                <w:szCs w:val="18"/>
                <w:lang w:val="en-US"/>
              </w:rPr>
              <w:t>Minor impact</w:t>
            </w:r>
          </w:p>
        </w:tc>
        <w:tc>
          <w:tcPr>
            <w:tcW w:w="1712" w:type="dxa"/>
            <w:shd w:val="clear" w:color="auto" w:fill="005596"/>
            <w:vAlign w:val="center"/>
          </w:tcPr>
          <w:p w14:paraId="796003FD" w14:textId="3BA81420" w:rsidR="00017BCC" w:rsidRPr="009353F8" w:rsidRDefault="00614BD9"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lang w:val="en-US"/>
              </w:rPr>
            </w:pPr>
            <w:r w:rsidRPr="009353F8">
              <w:rPr>
                <w:color w:val="FFFFFF" w:themeColor="background1"/>
                <w:sz w:val="18"/>
                <w:szCs w:val="18"/>
                <w:lang w:val="en-US"/>
              </w:rPr>
              <w:t>Moderate i</w:t>
            </w:r>
            <w:r w:rsidR="00017BCC" w:rsidRPr="009353F8">
              <w:rPr>
                <w:color w:val="FFFFFF" w:themeColor="background1"/>
                <w:sz w:val="18"/>
                <w:szCs w:val="18"/>
                <w:lang w:val="en-US"/>
              </w:rPr>
              <w:t>mpact</w:t>
            </w:r>
          </w:p>
        </w:tc>
        <w:tc>
          <w:tcPr>
            <w:tcW w:w="1718" w:type="dxa"/>
            <w:shd w:val="clear" w:color="auto" w:fill="005596"/>
            <w:vAlign w:val="center"/>
          </w:tcPr>
          <w:p w14:paraId="7385FA37" w14:textId="2769CD72" w:rsidR="00017BCC" w:rsidRPr="009353F8" w:rsidRDefault="009353F8"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lang w:val="en-US"/>
              </w:rPr>
            </w:pPr>
            <w:r w:rsidRPr="009353F8">
              <w:rPr>
                <w:color w:val="FFFFFF" w:themeColor="background1"/>
                <w:sz w:val="18"/>
                <w:szCs w:val="18"/>
                <w:lang w:val="en-US"/>
              </w:rPr>
              <w:t>High i</w:t>
            </w:r>
            <w:r w:rsidR="00017BCC" w:rsidRPr="009353F8">
              <w:rPr>
                <w:color w:val="FFFFFF" w:themeColor="background1"/>
                <w:sz w:val="18"/>
                <w:szCs w:val="18"/>
                <w:lang w:val="en-US"/>
              </w:rPr>
              <w:t>mpact</w:t>
            </w:r>
          </w:p>
        </w:tc>
        <w:tc>
          <w:tcPr>
            <w:tcW w:w="1601" w:type="dxa"/>
            <w:shd w:val="clear" w:color="auto" w:fill="005596"/>
          </w:tcPr>
          <w:p w14:paraId="75DD132D" w14:textId="6784B538" w:rsidR="00017BCC" w:rsidRPr="009353F8" w:rsidRDefault="009353F8"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lang w:val="en-US"/>
              </w:rPr>
            </w:pPr>
            <w:r w:rsidRPr="009353F8">
              <w:rPr>
                <w:color w:val="FFFFFF" w:themeColor="background1"/>
                <w:sz w:val="18"/>
                <w:szCs w:val="18"/>
                <w:lang w:val="en-US"/>
              </w:rPr>
              <w:t>Residual i</w:t>
            </w:r>
            <w:r w:rsidR="00017BCC" w:rsidRPr="009353F8">
              <w:rPr>
                <w:color w:val="FFFFFF" w:themeColor="background1"/>
                <w:sz w:val="18"/>
                <w:szCs w:val="18"/>
                <w:lang w:val="en-US"/>
              </w:rPr>
              <w:t xml:space="preserve">mpacts </w:t>
            </w:r>
          </w:p>
        </w:tc>
      </w:tr>
      <w:tr w:rsidR="00017BCC" w:rsidRPr="009353F8" w14:paraId="55161664"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4E6D6059" w14:textId="7F133462" w:rsidR="00017BCC" w:rsidRPr="009353F8" w:rsidRDefault="00017BCC" w:rsidP="006628BD">
            <w:pPr>
              <w:pStyle w:val="Corpdetexte"/>
              <w:spacing w:before="20" w:after="20"/>
              <w:rPr>
                <w:sz w:val="18"/>
                <w:szCs w:val="18"/>
                <w:lang w:val="en-US"/>
              </w:rPr>
            </w:pPr>
            <w:r w:rsidRPr="009353F8">
              <w:rPr>
                <w:sz w:val="18"/>
                <w:szCs w:val="18"/>
                <w:lang w:val="en-US"/>
              </w:rPr>
              <w:t>CONSTRUCTION</w:t>
            </w:r>
            <w:r w:rsidR="00614BD9" w:rsidRPr="009353F8">
              <w:rPr>
                <w:sz w:val="18"/>
                <w:szCs w:val="18"/>
                <w:lang w:val="en-US"/>
              </w:rPr>
              <w:t xml:space="preserve"> PHASE</w:t>
            </w:r>
          </w:p>
        </w:tc>
      </w:tr>
      <w:tr w:rsidR="00017BCC" w:rsidRPr="009353F8" w14:paraId="1BC01059"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4B65CEEC" w14:textId="09D9FB07" w:rsidR="00017BCC" w:rsidRPr="009353F8" w:rsidRDefault="009353F8" w:rsidP="006628BD">
            <w:pPr>
              <w:pStyle w:val="Corpdetexte"/>
              <w:spacing w:before="20" w:after="20"/>
              <w:jc w:val="center"/>
              <w:rPr>
                <w:sz w:val="18"/>
                <w:szCs w:val="18"/>
                <w:lang w:val="en-US"/>
              </w:rPr>
            </w:pPr>
            <w:r w:rsidRPr="009353F8">
              <w:rPr>
                <w:color w:val="FF0000"/>
                <w:sz w:val="18"/>
                <w:szCs w:val="18"/>
                <w:lang w:val="en-US"/>
              </w:rPr>
              <w:t>Negative i</w:t>
            </w:r>
            <w:r w:rsidR="00017BCC" w:rsidRPr="009353F8">
              <w:rPr>
                <w:color w:val="FF0000"/>
                <w:sz w:val="18"/>
                <w:szCs w:val="18"/>
                <w:lang w:val="en-US"/>
              </w:rPr>
              <w:t>mpacts</w:t>
            </w:r>
          </w:p>
        </w:tc>
      </w:tr>
      <w:tr w:rsidR="00017BCC" w:rsidRPr="009353F8" w14:paraId="67FA9150"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323FED4A" w14:textId="5B8A5E51" w:rsidR="00017BCC" w:rsidRPr="009353F8" w:rsidRDefault="009353F8" w:rsidP="006628BD">
            <w:pPr>
              <w:pStyle w:val="Corpdetexte"/>
              <w:spacing w:before="20" w:after="20"/>
              <w:jc w:val="both"/>
              <w:rPr>
                <w:sz w:val="18"/>
                <w:szCs w:val="18"/>
                <w:lang w:val="en-US"/>
              </w:rPr>
            </w:pPr>
            <w:r w:rsidRPr="009353F8">
              <w:rPr>
                <w:sz w:val="18"/>
                <w:szCs w:val="18"/>
                <w:lang w:val="en-US"/>
              </w:rPr>
              <w:t>Physical environment</w:t>
            </w:r>
          </w:p>
        </w:tc>
        <w:tc>
          <w:tcPr>
            <w:tcW w:w="1722" w:type="dxa"/>
            <w:vAlign w:val="center"/>
          </w:tcPr>
          <w:p w14:paraId="597F0A3F"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13</w:t>
            </w:r>
          </w:p>
        </w:tc>
        <w:tc>
          <w:tcPr>
            <w:tcW w:w="1712" w:type="dxa"/>
            <w:vAlign w:val="center"/>
          </w:tcPr>
          <w:p w14:paraId="79B8EEF8"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4</w:t>
            </w:r>
          </w:p>
        </w:tc>
        <w:tc>
          <w:tcPr>
            <w:tcW w:w="1718" w:type="dxa"/>
            <w:vAlign w:val="center"/>
          </w:tcPr>
          <w:p w14:paraId="46B4A95D"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w:t>
            </w:r>
          </w:p>
        </w:tc>
        <w:tc>
          <w:tcPr>
            <w:tcW w:w="1601" w:type="dxa"/>
          </w:tcPr>
          <w:p w14:paraId="1BD225A3" w14:textId="0488128B" w:rsidR="00017BCC" w:rsidRPr="009353F8" w:rsidRDefault="009353F8"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000000" w:themeColor="text1"/>
                <w:sz w:val="18"/>
                <w:szCs w:val="18"/>
                <w:lang w:val="en-US"/>
              </w:rPr>
              <w:t>None</w:t>
            </w:r>
          </w:p>
        </w:tc>
      </w:tr>
      <w:tr w:rsidR="00017BCC" w:rsidRPr="009353F8" w14:paraId="2D819B85"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12A5A59F" w14:textId="566F2288" w:rsidR="00017BCC" w:rsidRPr="009353F8" w:rsidRDefault="009353F8" w:rsidP="006628BD">
            <w:pPr>
              <w:pStyle w:val="Corpdetexte"/>
              <w:spacing w:before="20" w:after="20"/>
              <w:jc w:val="both"/>
              <w:rPr>
                <w:sz w:val="18"/>
                <w:szCs w:val="18"/>
                <w:lang w:val="en-US"/>
              </w:rPr>
            </w:pPr>
            <w:r w:rsidRPr="009353F8">
              <w:rPr>
                <w:sz w:val="18"/>
                <w:szCs w:val="18"/>
                <w:lang w:val="en-US"/>
              </w:rPr>
              <w:t xml:space="preserve">Biological </w:t>
            </w:r>
            <w:r w:rsidRPr="009353F8">
              <w:rPr>
                <w:sz w:val="18"/>
                <w:szCs w:val="18"/>
                <w:lang w:val="en-US"/>
              </w:rPr>
              <w:t>environment</w:t>
            </w:r>
          </w:p>
        </w:tc>
        <w:tc>
          <w:tcPr>
            <w:tcW w:w="1722" w:type="dxa"/>
            <w:vAlign w:val="center"/>
          </w:tcPr>
          <w:p w14:paraId="77CF8C64"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8</w:t>
            </w:r>
          </w:p>
        </w:tc>
        <w:tc>
          <w:tcPr>
            <w:tcW w:w="1712" w:type="dxa"/>
            <w:vAlign w:val="center"/>
          </w:tcPr>
          <w:p w14:paraId="7049CB0A"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2</w:t>
            </w:r>
          </w:p>
        </w:tc>
        <w:tc>
          <w:tcPr>
            <w:tcW w:w="1718" w:type="dxa"/>
            <w:vAlign w:val="center"/>
          </w:tcPr>
          <w:p w14:paraId="59FF426E"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2</w:t>
            </w:r>
          </w:p>
        </w:tc>
        <w:tc>
          <w:tcPr>
            <w:tcW w:w="1601" w:type="dxa"/>
          </w:tcPr>
          <w:p w14:paraId="30A46348" w14:textId="747E4644" w:rsidR="00017BCC" w:rsidRPr="009353F8"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FF0000"/>
                <w:sz w:val="18"/>
                <w:szCs w:val="18"/>
                <w:lang w:val="en-US"/>
              </w:rPr>
              <w:t xml:space="preserve">2 </w:t>
            </w:r>
            <w:r w:rsidR="009353F8" w:rsidRPr="009353F8">
              <w:rPr>
                <w:color w:val="FF0000"/>
                <w:sz w:val="18"/>
                <w:szCs w:val="18"/>
                <w:lang w:val="en-US"/>
              </w:rPr>
              <w:t xml:space="preserve">high </w:t>
            </w:r>
            <w:r w:rsidRPr="009353F8">
              <w:rPr>
                <w:color w:val="FF0000"/>
                <w:sz w:val="18"/>
                <w:szCs w:val="18"/>
                <w:lang w:val="en-US"/>
              </w:rPr>
              <w:t>impacts</w:t>
            </w:r>
            <w:r w:rsidRPr="009353F8">
              <w:rPr>
                <w:color w:val="FF0000"/>
                <w:sz w:val="18"/>
                <w:szCs w:val="18"/>
                <w:lang w:val="en-US"/>
              </w:rPr>
              <w:br/>
              <w:t xml:space="preserve">1 </w:t>
            </w:r>
            <w:r w:rsidR="009353F8" w:rsidRPr="009353F8">
              <w:rPr>
                <w:color w:val="FF0000"/>
                <w:sz w:val="18"/>
                <w:szCs w:val="18"/>
                <w:lang w:val="en-US"/>
              </w:rPr>
              <w:t xml:space="preserve">moderate </w:t>
            </w:r>
            <w:r w:rsidRPr="009353F8">
              <w:rPr>
                <w:color w:val="FF0000"/>
                <w:sz w:val="18"/>
                <w:szCs w:val="18"/>
                <w:lang w:val="en-US"/>
              </w:rPr>
              <w:t>impact</w:t>
            </w:r>
          </w:p>
        </w:tc>
      </w:tr>
      <w:tr w:rsidR="00017BCC" w:rsidRPr="009353F8" w14:paraId="03769C3C"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60381967" w14:textId="3CA1D438" w:rsidR="00017BCC" w:rsidRPr="009353F8" w:rsidRDefault="009353F8" w:rsidP="006628BD">
            <w:pPr>
              <w:pStyle w:val="Corpdetexte"/>
              <w:spacing w:before="20" w:after="20"/>
              <w:jc w:val="both"/>
              <w:rPr>
                <w:sz w:val="18"/>
                <w:szCs w:val="18"/>
                <w:lang w:val="en-US"/>
              </w:rPr>
            </w:pPr>
            <w:r w:rsidRPr="009353F8">
              <w:rPr>
                <w:sz w:val="18"/>
                <w:szCs w:val="18"/>
                <w:lang w:val="en-US"/>
              </w:rPr>
              <w:t xml:space="preserve">Human </w:t>
            </w:r>
            <w:r w:rsidRPr="009353F8">
              <w:rPr>
                <w:sz w:val="18"/>
                <w:szCs w:val="18"/>
                <w:lang w:val="en-US"/>
              </w:rPr>
              <w:t>environment</w:t>
            </w:r>
          </w:p>
        </w:tc>
        <w:tc>
          <w:tcPr>
            <w:tcW w:w="1722" w:type="dxa"/>
            <w:vAlign w:val="center"/>
          </w:tcPr>
          <w:p w14:paraId="63336752"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19</w:t>
            </w:r>
          </w:p>
        </w:tc>
        <w:tc>
          <w:tcPr>
            <w:tcW w:w="1712" w:type="dxa"/>
            <w:vAlign w:val="center"/>
          </w:tcPr>
          <w:p w14:paraId="460FAC00"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10</w:t>
            </w:r>
          </w:p>
        </w:tc>
        <w:tc>
          <w:tcPr>
            <w:tcW w:w="1718" w:type="dxa"/>
            <w:vAlign w:val="center"/>
          </w:tcPr>
          <w:p w14:paraId="62465576"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8</w:t>
            </w:r>
          </w:p>
        </w:tc>
        <w:tc>
          <w:tcPr>
            <w:tcW w:w="1601" w:type="dxa"/>
          </w:tcPr>
          <w:p w14:paraId="3F498B6D" w14:textId="7A3F83DC"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FF0000"/>
                <w:sz w:val="18"/>
                <w:szCs w:val="18"/>
                <w:lang w:val="en-US"/>
              </w:rPr>
              <w:t xml:space="preserve">2 </w:t>
            </w:r>
            <w:r w:rsidR="009353F8" w:rsidRPr="009353F8">
              <w:rPr>
                <w:color w:val="FF0000"/>
                <w:sz w:val="18"/>
                <w:szCs w:val="18"/>
                <w:lang w:val="en-US"/>
              </w:rPr>
              <w:t xml:space="preserve">moderate </w:t>
            </w:r>
            <w:r w:rsidRPr="009353F8">
              <w:rPr>
                <w:color w:val="FF0000"/>
                <w:sz w:val="18"/>
                <w:szCs w:val="18"/>
                <w:lang w:val="en-US"/>
              </w:rPr>
              <w:t>impacts</w:t>
            </w:r>
          </w:p>
        </w:tc>
      </w:tr>
      <w:tr w:rsidR="00017BCC" w:rsidRPr="009353F8" w14:paraId="023B4C22"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78544FC8" w14:textId="77777777" w:rsidR="00017BCC" w:rsidRPr="009353F8" w:rsidRDefault="00017BCC" w:rsidP="006628BD">
            <w:pPr>
              <w:pStyle w:val="Corpdetexte"/>
              <w:spacing w:before="20" w:after="20"/>
              <w:jc w:val="right"/>
              <w:rPr>
                <w:sz w:val="18"/>
                <w:szCs w:val="18"/>
                <w:lang w:val="en-US"/>
              </w:rPr>
            </w:pPr>
            <w:r w:rsidRPr="009353F8">
              <w:rPr>
                <w:sz w:val="18"/>
                <w:szCs w:val="18"/>
                <w:lang w:val="en-US"/>
              </w:rPr>
              <w:t>Total</w:t>
            </w:r>
          </w:p>
        </w:tc>
        <w:tc>
          <w:tcPr>
            <w:tcW w:w="1722" w:type="dxa"/>
            <w:vAlign w:val="center"/>
          </w:tcPr>
          <w:p w14:paraId="5585AF61"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40</w:t>
            </w:r>
          </w:p>
        </w:tc>
        <w:tc>
          <w:tcPr>
            <w:tcW w:w="1712" w:type="dxa"/>
            <w:vAlign w:val="center"/>
          </w:tcPr>
          <w:p w14:paraId="04A602AB"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16</w:t>
            </w:r>
          </w:p>
        </w:tc>
        <w:tc>
          <w:tcPr>
            <w:tcW w:w="1718" w:type="dxa"/>
            <w:vAlign w:val="center"/>
          </w:tcPr>
          <w:p w14:paraId="6FC11935"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11</w:t>
            </w:r>
          </w:p>
        </w:tc>
        <w:tc>
          <w:tcPr>
            <w:tcW w:w="1601" w:type="dxa"/>
          </w:tcPr>
          <w:p w14:paraId="5DF10435"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p>
        </w:tc>
      </w:tr>
      <w:tr w:rsidR="00017BCC" w:rsidRPr="009353F8" w14:paraId="52B1C7B2"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37E476E4" w14:textId="25BB8B9B" w:rsidR="00017BCC" w:rsidRPr="009353F8" w:rsidRDefault="009353F8" w:rsidP="006628BD">
            <w:pPr>
              <w:pStyle w:val="Corpdetexte"/>
              <w:spacing w:before="20" w:after="20"/>
              <w:jc w:val="center"/>
              <w:rPr>
                <w:sz w:val="18"/>
                <w:szCs w:val="18"/>
                <w:lang w:val="en-US"/>
              </w:rPr>
            </w:pPr>
            <w:r w:rsidRPr="009353F8">
              <w:rPr>
                <w:color w:val="0070C0"/>
                <w:sz w:val="18"/>
                <w:szCs w:val="18"/>
                <w:lang w:val="en-US"/>
              </w:rPr>
              <w:t>Positive i</w:t>
            </w:r>
            <w:r w:rsidR="00017BCC" w:rsidRPr="009353F8">
              <w:rPr>
                <w:color w:val="0070C0"/>
                <w:sz w:val="18"/>
                <w:szCs w:val="18"/>
                <w:lang w:val="en-US"/>
              </w:rPr>
              <w:t>mpacts</w:t>
            </w:r>
          </w:p>
        </w:tc>
      </w:tr>
      <w:tr w:rsidR="00017BCC" w:rsidRPr="009353F8" w14:paraId="79EE8981"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0946D15B" w14:textId="2A5A40EF" w:rsidR="00017BCC" w:rsidRPr="009353F8" w:rsidRDefault="009353F8" w:rsidP="006628BD">
            <w:pPr>
              <w:pStyle w:val="Corpdetexte"/>
              <w:spacing w:before="20" w:after="20"/>
              <w:rPr>
                <w:sz w:val="18"/>
                <w:szCs w:val="18"/>
                <w:lang w:val="en-US"/>
              </w:rPr>
            </w:pPr>
            <w:r w:rsidRPr="009353F8">
              <w:rPr>
                <w:sz w:val="18"/>
                <w:szCs w:val="18"/>
                <w:lang w:val="en-US"/>
              </w:rPr>
              <w:lastRenderedPageBreak/>
              <w:t>Physical environment</w:t>
            </w:r>
          </w:p>
        </w:tc>
        <w:tc>
          <w:tcPr>
            <w:tcW w:w="1722" w:type="dxa"/>
            <w:vAlign w:val="center"/>
          </w:tcPr>
          <w:p w14:paraId="7CDA53CA"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2" w:type="dxa"/>
            <w:vAlign w:val="center"/>
          </w:tcPr>
          <w:p w14:paraId="5ECD7460"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w:t>
            </w:r>
          </w:p>
        </w:tc>
        <w:tc>
          <w:tcPr>
            <w:tcW w:w="1718" w:type="dxa"/>
            <w:vAlign w:val="center"/>
          </w:tcPr>
          <w:p w14:paraId="0AF67ACB"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601" w:type="dxa"/>
          </w:tcPr>
          <w:p w14:paraId="2CD17126" w14:textId="4ADA003B" w:rsidR="00017BCC" w:rsidRPr="009353F8" w:rsidRDefault="00017BCC" w:rsidP="006628BD">
            <w:pPr>
              <w:pStyle w:val="Corpdetexte"/>
              <w:spacing w:before="20" w:after="20"/>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 xml:space="preserve">1 </w:t>
            </w:r>
            <w:r w:rsidR="009353F8" w:rsidRPr="009353F8">
              <w:rPr>
                <w:color w:val="0070C0"/>
                <w:sz w:val="18"/>
                <w:szCs w:val="18"/>
                <w:lang w:val="en-US"/>
              </w:rPr>
              <w:t>moderate impact</w:t>
            </w:r>
          </w:p>
        </w:tc>
      </w:tr>
      <w:tr w:rsidR="009353F8" w:rsidRPr="009353F8" w14:paraId="1B7F6129"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4F1E1DBD" w14:textId="067E10CA" w:rsidR="009353F8" w:rsidRPr="009353F8" w:rsidRDefault="009353F8" w:rsidP="009353F8">
            <w:pPr>
              <w:pStyle w:val="Corpdetexte"/>
              <w:spacing w:before="20" w:after="20"/>
              <w:rPr>
                <w:sz w:val="18"/>
                <w:szCs w:val="18"/>
                <w:lang w:val="en-US"/>
              </w:rPr>
            </w:pPr>
            <w:r w:rsidRPr="009353F8">
              <w:rPr>
                <w:sz w:val="18"/>
                <w:szCs w:val="18"/>
                <w:lang w:val="en-US"/>
              </w:rPr>
              <w:t>Biological environment</w:t>
            </w:r>
          </w:p>
        </w:tc>
        <w:tc>
          <w:tcPr>
            <w:tcW w:w="1722" w:type="dxa"/>
            <w:vAlign w:val="center"/>
          </w:tcPr>
          <w:p w14:paraId="5167A983"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2" w:type="dxa"/>
            <w:vAlign w:val="center"/>
          </w:tcPr>
          <w:p w14:paraId="10DED5DE"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8" w:type="dxa"/>
            <w:vAlign w:val="center"/>
          </w:tcPr>
          <w:p w14:paraId="4FBF5FDE"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601" w:type="dxa"/>
          </w:tcPr>
          <w:p w14:paraId="7BCDA6A7" w14:textId="1600FE08"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0000" w:themeColor="text1"/>
                <w:sz w:val="18"/>
                <w:szCs w:val="18"/>
                <w:lang w:val="en-US"/>
              </w:rPr>
              <w:t>None</w:t>
            </w:r>
          </w:p>
        </w:tc>
      </w:tr>
      <w:tr w:rsidR="009353F8" w:rsidRPr="009353F8" w14:paraId="25D92789"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00BF2B8E" w14:textId="07C237B4" w:rsidR="009353F8" w:rsidRPr="009353F8" w:rsidRDefault="009353F8" w:rsidP="009353F8">
            <w:pPr>
              <w:pStyle w:val="Corpdetexte"/>
              <w:spacing w:before="20" w:after="20"/>
              <w:rPr>
                <w:sz w:val="18"/>
                <w:szCs w:val="18"/>
                <w:lang w:val="en-US"/>
              </w:rPr>
            </w:pPr>
            <w:r w:rsidRPr="009353F8">
              <w:rPr>
                <w:sz w:val="18"/>
                <w:szCs w:val="18"/>
                <w:lang w:val="en-US"/>
              </w:rPr>
              <w:t>Human environment</w:t>
            </w:r>
          </w:p>
        </w:tc>
        <w:tc>
          <w:tcPr>
            <w:tcW w:w="1722" w:type="dxa"/>
            <w:vAlign w:val="center"/>
          </w:tcPr>
          <w:p w14:paraId="40F688E7"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7</w:t>
            </w:r>
          </w:p>
        </w:tc>
        <w:tc>
          <w:tcPr>
            <w:tcW w:w="1712" w:type="dxa"/>
            <w:vAlign w:val="center"/>
          </w:tcPr>
          <w:p w14:paraId="4CEEE71A"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8" w:type="dxa"/>
            <w:vAlign w:val="center"/>
          </w:tcPr>
          <w:p w14:paraId="0424A5F1"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601" w:type="dxa"/>
          </w:tcPr>
          <w:p w14:paraId="0CFECBB2" w14:textId="137D7058"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 xml:space="preserve">4 high impacts </w:t>
            </w:r>
          </w:p>
        </w:tc>
      </w:tr>
      <w:tr w:rsidR="00017BCC" w:rsidRPr="009353F8" w14:paraId="7E1F43ED"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16CE6B45" w14:textId="77777777" w:rsidR="00017BCC" w:rsidRPr="009353F8" w:rsidRDefault="00017BCC" w:rsidP="006628BD">
            <w:pPr>
              <w:pStyle w:val="Corpdetexte"/>
              <w:spacing w:before="20" w:after="20"/>
              <w:jc w:val="right"/>
              <w:rPr>
                <w:sz w:val="18"/>
                <w:szCs w:val="18"/>
                <w:lang w:val="en-US"/>
              </w:rPr>
            </w:pPr>
            <w:r w:rsidRPr="009353F8">
              <w:rPr>
                <w:sz w:val="18"/>
                <w:szCs w:val="18"/>
                <w:lang w:val="en-US"/>
              </w:rPr>
              <w:t>Total</w:t>
            </w:r>
          </w:p>
        </w:tc>
        <w:tc>
          <w:tcPr>
            <w:tcW w:w="1722" w:type="dxa"/>
            <w:vAlign w:val="center"/>
          </w:tcPr>
          <w:p w14:paraId="07F5E7E6"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7</w:t>
            </w:r>
          </w:p>
        </w:tc>
        <w:tc>
          <w:tcPr>
            <w:tcW w:w="1712" w:type="dxa"/>
            <w:vAlign w:val="center"/>
          </w:tcPr>
          <w:p w14:paraId="7FCE0E02"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w:t>
            </w:r>
          </w:p>
        </w:tc>
        <w:tc>
          <w:tcPr>
            <w:tcW w:w="1718" w:type="dxa"/>
            <w:vAlign w:val="center"/>
          </w:tcPr>
          <w:p w14:paraId="1EFC706B"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0</w:t>
            </w:r>
          </w:p>
        </w:tc>
        <w:tc>
          <w:tcPr>
            <w:tcW w:w="1601" w:type="dxa"/>
          </w:tcPr>
          <w:p w14:paraId="55717EEE"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p>
        </w:tc>
      </w:tr>
      <w:tr w:rsidR="00017BCC" w:rsidRPr="009353F8" w14:paraId="495293B3"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107DE8A4" w14:textId="35822CD4" w:rsidR="00017BCC" w:rsidRPr="009353F8" w:rsidRDefault="00614BD9" w:rsidP="006628BD">
            <w:pPr>
              <w:pStyle w:val="Corpdetexte"/>
              <w:spacing w:before="20" w:after="20"/>
              <w:rPr>
                <w:sz w:val="18"/>
                <w:szCs w:val="18"/>
                <w:lang w:val="en-US"/>
              </w:rPr>
            </w:pPr>
            <w:r w:rsidRPr="009353F8">
              <w:rPr>
                <w:sz w:val="18"/>
                <w:szCs w:val="18"/>
                <w:lang w:val="en-US"/>
              </w:rPr>
              <w:t xml:space="preserve">OPERATION </w:t>
            </w:r>
            <w:r w:rsidR="00017BCC" w:rsidRPr="009353F8">
              <w:rPr>
                <w:sz w:val="18"/>
                <w:szCs w:val="18"/>
                <w:lang w:val="en-US"/>
              </w:rPr>
              <w:t>PHASE</w:t>
            </w:r>
          </w:p>
        </w:tc>
      </w:tr>
      <w:tr w:rsidR="00017BCC" w:rsidRPr="009353F8" w14:paraId="11C3DA17"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7FF915BC" w14:textId="432D1180" w:rsidR="00017BCC" w:rsidRPr="009353F8" w:rsidRDefault="009353F8" w:rsidP="006628BD">
            <w:pPr>
              <w:pStyle w:val="Corpdetexte"/>
              <w:spacing w:before="20" w:after="20"/>
              <w:jc w:val="center"/>
              <w:rPr>
                <w:sz w:val="18"/>
                <w:szCs w:val="18"/>
                <w:lang w:val="en-US"/>
              </w:rPr>
            </w:pPr>
            <w:r w:rsidRPr="009353F8">
              <w:rPr>
                <w:color w:val="FF0000"/>
                <w:sz w:val="18"/>
                <w:szCs w:val="18"/>
                <w:lang w:val="en-US"/>
              </w:rPr>
              <w:t>Negative i</w:t>
            </w:r>
            <w:r w:rsidR="00017BCC" w:rsidRPr="009353F8">
              <w:rPr>
                <w:color w:val="FF0000"/>
                <w:sz w:val="18"/>
                <w:szCs w:val="18"/>
                <w:lang w:val="en-US"/>
              </w:rPr>
              <w:t>mpacts</w:t>
            </w:r>
          </w:p>
        </w:tc>
      </w:tr>
      <w:tr w:rsidR="009353F8" w:rsidRPr="009353F8" w14:paraId="506E769A"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21926386" w14:textId="3194F441" w:rsidR="009353F8" w:rsidRPr="009353F8" w:rsidRDefault="009353F8" w:rsidP="009353F8">
            <w:pPr>
              <w:pStyle w:val="Corpdetexte"/>
              <w:spacing w:before="20" w:after="20"/>
              <w:jc w:val="both"/>
              <w:rPr>
                <w:sz w:val="18"/>
                <w:szCs w:val="18"/>
                <w:lang w:val="en-US"/>
              </w:rPr>
            </w:pPr>
            <w:r w:rsidRPr="009353F8">
              <w:rPr>
                <w:sz w:val="18"/>
                <w:szCs w:val="18"/>
                <w:lang w:val="en-US"/>
              </w:rPr>
              <w:t>Physical environment</w:t>
            </w:r>
          </w:p>
        </w:tc>
        <w:tc>
          <w:tcPr>
            <w:tcW w:w="1722" w:type="dxa"/>
            <w:vAlign w:val="center"/>
          </w:tcPr>
          <w:p w14:paraId="0800C3E1"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3</w:t>
            </w:r>
          </w:p>
        </w:tc>
        <w:tc>
          <w:tcPr>
            <w:tcW w:w="1712" w:type="dxa"/>
            <w:vAlign w:val="center"/>
          </w:tcPr>
          <w:p w14:paraId="20674B0F"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9</w:t>
            </w:r>
          </w:p>
        </w:tc>
        <w:tc>
          <w:tcPr>
            <w:tcW w:w="1718" w:type="dxa"/>
            <w:vAlign w:val="center"/>
          </w:tcPr>
          <w:p w14:paraId="35B73A65"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9</w:t>
            </w:r>
          </w:p>
        </w:tc>
        <w:tc>
          <w:tcPr>
            <w:tcW w:w="1601" w:type="dxa"/>
          </w:tcPr>
          <w:p w14:paraId="5147F428" w14:textId="4CCC49AE"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FF0000"/>
                <w:sz w:val="18"/>
                <w:szCs w:val="18"/>
                <w:lang w:val="en-US"/>
              </w:rPr>
              <w:t xml:space="preserve">1 moderate impact </w:t>
            </w:r>
          </w:p>
        </w:tc>
      </w:tr>
      <w:tr w:rsidR="009353F8" w:rsidRPr="009353F8" w14:paraId="17C791A2"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38C8C424" w14:textId="3EFFC0DF" w:rsidR="009353F8" w:rsidRPr="009353F8" w:rsidRDefault="009353F8" w:rsidP="009353F8">
            <w:pPr>
              <w:pStyle w:val="Corpdetexte"/>
              <w:spacing w:before="20" w:after="20"/>
              <w:jc w:val="both"/>
              <w:rPr>
                <w:sz w:val="18"/>
                <w:szCs w:val="18"/>
                <w:lang w:val="en-US"/>
              </w:rPr>
            </w:pPr>
            <w:r w:rsidRPr="009353F8">
              <w:rPr>
                <w:sz w:val="18"/>
                <w:szCs w:val="18"/>
                <w:lang w:val="en-US"/>
              </w:rPr>
              <w:t>Biological environment</w:t>
            </w:r>
          </w:p>
        </w:tc>
        <w:tc>
          <w:tcPr>
            <w:tcW w:w="1722" w:type="dxa"/>
            <w:vAlign w:val="center"/>
          </w:tcPr>
          <w:p w14:paraId="09197CE3"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2" w:type="dxa"/>
            <w:vAlign w:val="center"/>
          </w:tcPr>
          <w:p w14:paraId="31D8C1D8"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11</w:t>
            </w:r>
          </w:p>
        </w:tc>
        <w:tc>
          <w:tcPr>
            <w:tcW w:w="1718" w:type="dxa"/>
            <w:vAlign w:val="center"/>
          </w:tcPr>
          <w:p w14:paraId="639149D8"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601" w:type="dxa"/>
          </w:tcPr>
          <w:p w14:paraId="57CABD28" w14:textId="0CDA8381"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000000" w:themeColor="text1"/>
                <w:sz w:val="18"/>
                <w:szCs w:val="18"/>
                <w:lang w:val="en-US"/>
              </w:rPr>
              <w:t>None</w:t>
            </w:r>
          </w:p>
        </w:tc>
      </w:tr>
      <w:tr w:rsidR="009353F8" w:rsidRPr="009353F8" w14:paraId="565DBC0A"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5E2AAF1E" w14:textId="62CCB7E8" w:rsidR="009353F8" w:rsidRPr="009353F8" w:rsidRDefault="009353F8" w:rsidP="009353F8">
            <w:pPr>
              <w:pStyle w:val="Corpdetexte"/>
              <w:spacing w:before="20" w:after="20"/>
              <w:jc w:val="both"/>
              <w:rPr>
                <w:sz w:val="18"/>
                <w:szCs w:val="18"/>
                <w:lang w:val="en-US"/>
              </w:rPr>
            </w:pPr>
            <w:r w:rsidRPr="009353F8">
              <w:rPr>
                <w:sz w:val="18"/>
                <w:szCs w:val="18"/>
                <w:lang w:val="en-US"/>
              </w:rPr>
              <w:t>Human environment</w:t>
            </w:r>
          </w:p>
        </w:tc>
        <w:tc>
          <w:tcPr>
            <w:tcW w:w="1722" w:type="dxa"/>
            <w:vAlign w:val="center"/>
          </w:tcPr>
          <w:p w14:paraId="268D05BD"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16</w:t>
            </w:r>
          </w:p>
        </w:tc>
        <w:tc>
          <w:tcPr>
            <w:tcW w:w="1712" w:type="dxa"/>
            <w:vAlign w:val="center"/>
          </w:tcPr>
          <w:p w14:paraId="0B21F676"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38</w:t>
            </w:r>
          </w:p>
        </w:tc>
        <w:tc>
          <w:tcPr>
            <w:tcW w:w="1718" w:type="dxa"/>
            <w:vAlign w:val="center"/>
          </w:tcPr>
          <w:p w14:paraId="30F8B554"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12</w:t>
            </w:r>
          </w:p>
        </w:tc>
        <w:tc>
          <w:tcPr>
            <w:tcW w:w="1601" w:type="dxa"/>
          </w:tcPr>
          <w:p w14:paraId="505134A7" w14:textId="5F73898D"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lang w:val="en-US"/>
              </w:rPr>
            </w:pPr>
            <w:r w:rsidRPr="009353F8">
              <w:rPr>
                <w:color w:val="FF0000"/>
                <w:sz w:val="18"/>
                <w:szCs w:val="18"/>
                <w:lang w:val="en-US"/>
              </w:rPr>
              <w:t>2 moderate impacts</w:t>
            </w:r>
          </w:p>
        </w:tc>
      </w:tr>
      <w:tr w:rsidR="00017BCC" w:rsidRPr="009353F8" w14:paraId="26060790"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6503AF83" w14:textId="77777777" w:rsidR="00017BCC" w:rsidRPr="009353F8" w:rsidRDefault="00017BCC" w:rsidP="006628BD">
            <w:pPr>
              <w:pStyle w:val="Corpdetexte"/>
              <w:spacing w:before="20" w:after="20"/>
              <w:jc w:val="right"/>
              <w:rPr>
                <w:sz w:val="18"/>
                <w:szCs w:val="18"/>
                <w:lang w:val="en-US"/>
              </w:rPr>
            </w:pPr>
            <w:r w:rsidRPr="009353F8">
              <w:rPr>
                <w:sz w:val="18"/>
                <w:szCs w:val="18"/>
                <w:lang w:val="en-US"/>
              </w:rPr>
              <w:t>Total</w:t>
            </w:r>
          </w:p>
        </w:tc>
        <w:tc>
          <w:tcPr>
            <w:tcW w:w="1722" w:type="dxa"/>
            <w:vAlign w:val="center"/>
          </w:tcPr>
          <w:p w14:paraId="5971134C"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19</w:t>
            </w:r>
          </w:p>
        </w:tc>
        <w:tc>
          <w:tcPr>
            <w:tcW w:w="1712" w:type="dxa"/>
            <w:vAlign w:val="center"/>
          </w:tcPr>
          <w:p w14:paraId="61FE3B3A"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38</w:t>
            </w:r>
          </w:p>
        </w:tc>
        <w:tc>
          <w:tcPr>
            <w:tcW w:w="1718" w:type="dxa"/>
            <w:vAlign w:val="center"/>
          </w:tcPr>
          <w:p w14:paraId="7132FA22"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21</w:t>
            </w:r>
          </w:p>
        </w:tc>
        <w:tc>
          <w:tcPr>
            <w:tcW w:w="1601" w:type="dxa"/>
          </w:tcPr>
          <w:p w14:paraId="4BB2D0EE"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p>
        </w:tc>
      </w:tr>
      <w:tr w:rsidR="009353F8" w:rsidRPr="009353F8" w14:paraId="194804EC" w14:textId="77777777" w:rsidTr="00614BD9">
        <w:tc>
          <w:tcPr>
            <w:cnfStyle w:val="001000000000" w:firstRow="0" w:lastRow="0" w:firstColumn="1" w:lastColumn="0" w:oddVBand="0" w:evenVBand="0" w:oddHBand="0" w:evenHBand="0" w:firstRowFirstColumn="0" w:firstRowLastColumn="0" w:lastRowFirstColumn="0" w:lastRowLastColumn="0"/>
            <w:tcW w:w="8630" w:type="dxa"/>
            <w:gridSpan w:val="5"/>
            <w:shd w:val="clear" w:color="auto" w:fill="EDF2F4"/>
            <w:vAlign w:val="center"/>
          </w:tcPr>
          <w:p w14:paraId="505CF5A1" w14:textId="34673DAF" w:rsidR="009353F8" w:rsidRPr="009353F8" w:rsidRDefault="009353F8" w:rsidP="009353F8">
            <w:pPr>
              <w:pStyle w:val="Corpdetexte"/>
              <w:spacing w:before="20" w:after="20"/>
              <w:jc w:val="center"/>
              <w:rPr>
                <w:sz w:val="18"/>
                <w:szCs w:val="18"/>
                <w:lang w:val="en-US"/>
              </w:rPr>
            </w:pPr>
            <w:r w:rsidRPr="009353F8">
              <w:rPr>
                <w:color w:val="0070C0"/>
                <w:sz w:val="18"/>
                <w:szCs w:val="18"/>
                <w:lang w:val="en-US"/>
              </w:rPr>
              <w:t>Positive impacts</w:t>
            </w:r>
          </w:p>
        </w:tc>
      </w:tr>
      <w:tr w:rsidR="009353F8" w:rsidRPr="009353F8" w14:paraId="305F3780"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7AF186A1" w14:textId="3B0A7A6E" w:rsidR="009353F8" w:rsidRPr="009353F8" w:rsidRDefault="009353F8" w:rsidP="009353F8">
            <w:pPr>
              <w:pStyle w:val="Corpdetexte"/>
              <w:spacing w:before="20" w:after="20"/>
              <w:rPr>
                <w:sz w:val="18"/>
                <w:szCs w:val="18"/>
                <w:lang w:val="en-US"/>
              </w:rPr>
            </w:pPr>
            <w:r w:rsidRPr="009353F8">
              <w:rPr>
                <w:sz w:val="18"/>
                <w:szCs w:val="18"/>
                <w:lang w:val="en-US"/>
              </w:rPr>
              <w:t>Physical environment</w:t>
            </w:r>
          </w:p>
        </w:tc>
        <w:tc>
          <w:tcPr>
            <w:tcW w:w="1722" w:type="dxa"/>
            <w:vAlign w:val="center"/>
          </w:tcPr>
          <w:p w14:paraId="1EC6D7D6"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2" w:type="dxa"/>
            <w:vAlign w:val="center"/>
          </w:tcPr>
          <w:p w14:paraId="4D52DE45"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w:t>
            </w:r>
          </w:p>
        </w:tc>
        <w:tc>
          <w:tcPr>
            <w:tcW w:w="1718" w:type="dxa"/>
            <w:vAlign w:val="center"/>
          </w:tcPr>
          <w:p w14:paraId="7F25D960"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3</w:t>
            </w:r>
          </w:p>
        </w:tc>
        <w:tc>
          <w:tcPr>
            <w:tcW w:w="1601" w:type="dxa"/>
          </w:tcPr>
          <w:p w14:paraId="6A112FAF" w14:textId="6C86E1C4" w:rsidR="009353F8" w:rsidRPr="009353F8" w:rsidRDefault="009353F8" w:rsidP="009353F8">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 xml:space="preserve">3 high impacts </w:t>
            </w:r>
            <w:r w:rsidRPr="009353F8">
              <w:rPr>
                <w:color w:val="0070C0"/>
                <w:sz w:val="18"/>
                <w:szCs w:val="18"/>
                <w:lang w:val="en-US"/>
              </w:rPr>
              <w:br/>
              <w:t xml:space="preserve">1 moderate </w:t>
            </w:r>
            <w:proofErr w:type="gramStart"/>
            <w:r w:rsidRPr="009353F8">
              <w:rPr>
                <w:color w:val="0070C0"/>
                <w:sz w:val="18"/>
                <w:szCs w:val="18"/>
                <w:lang w:val="en-US"/>
              </w:rPr>
              <w:t>impacts</w:t>
            </w:r>
            <w:proofErr w:type="gramEnd"/>
            <w:r w:rsidRPr="009353F8">
              <w:rPr>
                <w:color w:val="0070C0"/>
                <w:sz w:val="18"/>
                <w:szCs w:val="18"/>
                <w:lang w:val="en-US"/>
              </w:rPr>
              <w:t xml:space="preserve"> </w:t>
            </w:r>
          </w:p>
        </w:tc>
      </w:tr>
      <w:tr w:rsidR="009353F8" w:rsidRPr="009353F8" w14:paraId="4353841C"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4FE0E4B1" w14:textId="6BA661B0" w:rsidR="009353F8" w:rsidRPr="009353F8" w:rsidRDefault="009353F8" w:rsidP="009353F8">
            <w:pPr>
              <w:pStyle w:val="Corpdetexte"/>
              <w:spacing w:before="20" w:after="20"/>
              <w:rPr>
                <w:sz w:val="18"/>
                <w:szCs w:val="18"/>
                <w:lang w:val="en-US"/>
              </w:rPr>
            </w:pPr>
            <w:r w:rsidRPr="009353F8">
              <w:rPr>
                <w:sz w:val="18"/>
                <w:szCs w:val="18"/>
                <w:lang w:val="en-US"/>
              </w:rPr>
              <w:t>Biological environment</w:t>
            </w:r>
          </w:p>
        </w:tc>
        <w:tc>
          <w:tcPr>
            <w:tcW w:w="1722" w:type="dxa"/>
            <w:vAlign w:val="center"/>
          </w:tcPr>
          <w:p w14:paraId="01B2472D"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2" w:type="dxa"/>
            <w:vAlign w:val="center"/>
          </w:tcPr>
          <w:p w14:paraId="2F6139E7"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0</w:t>
            </w:r>
          </w:p>
        </w:tc>
        <w:tc>
          <w:tcPr>
            <w:tcW w:w="1718" w:type="dxa"/>
            <w:vAlign w:val="center"/>
          </w:tcPr>
          <w:p w14:paraId="3FF7215F"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2</w:t>
            </w:r>
          </w:p>
        </w:tc>
        <w:tc>
          <w:tcPr>
            <w:tcW w:w="1601" w:type="dxa"/>
          </w:tcPr>
          <w:p w14:paraId="06C80AD0" w14:textId="2AD202A9" w:rsidR="009353F8" w:rsidRPr="009353F8" w:rsidRDefault="009353F8" w:rsidP="009353F8">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 xml:space="preserve">2 high impacts </w:t>
            </w:r>
          </w:p>
        </w:tc>
      </w:tr>
      <w:tr w:rsidR="009353F8" w:rsidRPr="009353F8" w14:paraId="59AC8A03"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76000900" w14:textId="077846F1" w:rsidR="009353F8" w:rsidRPr="009353F8" w:rsidRDefault="009353F8" w:rsidP="009353F8">
            <w:pPr>
              <w:pStyle w:val="Corpdetexte"/>
              <w:spacing w:before="20" w:after="20"/>
              <w:rPr>
                <w:sz w:val="18"/>
                <w:szCs w:val="18"/>
                <w:lang w:val="en-US"/>
              </w:rPr>
            </w:pPr>
            <w:r w:rsidRPr="009353F8">
              <w:rPr>
                <w:sz w:val="18"/>
                <w:szCs w:val="18"/>
                <w:lang w:val="en-US"/>
              </w:rPr>
              <w:t>Human environment</w:t>
            </w:r>
          </w:p>
        </w:tc>
        <w:tc>
          <w:tcPr>
            <w:tcW w:w="1722" w:type="dxa"/>
            <w:vAlign w:val="center"/>
          </w:tcPr>
          <w:p w14:paraId="7A66353D"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w:t>
            </w:r>
          </w:p>
        </w:tc>
        <w:tc>
          <w:tcPr>
            <w:tcW w:w="1712" w:type="dxa"/>
            <w:vAlign w:val="center"/>
          </w:tcPr>
          <w:p w14:paraId="3E156942"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1</w:t>
            </w:r>
          </w:p>
        </w:tc>
        <w:tc>
          <w:tcPr>
            <w:tcW w:w="1718" w:type="dxa"/>
            <w:vAlign w:val="center"/>
          </w:tcPr>
          <w:p w14:paraId="5673EBCE" w14:textId="77777777" w:rsidR="009353F8" w:rsidRPr="009353F8" w:rsidRDefault="009353F8" w:rsidP="009353F8">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9353F8">
              <w:rPr>
                <w:sz w:val="18"/>
                <w:szCs w:val="18"/>
                <w:lang w:val="en-US"/>
              </w:rPr>
              <w:t>7</w:t>
            </w:r>
          </w:p>
        </w:tc>
        <w:tc>
          <w:tcPr>
            <w:tcW w:w="1601" w:type="dxa"/>
          </w:tcPr>
          <w:p w14:paraId="382A2E14" w14:textId="756188B3" w:rsidR="009353F8" w:rsidRPr="009353F8" w:rsidRDefault="009353F8" w:rsidP="009353F8">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 xml:space="preserve">8 high impacts </w:t>
            </w:r>
          </w:p>
          <w:p w14:paraId="453692DA" w14:textId="1D6501F2" w:rsidR="009353F8" w:rsidRPr="009353F8" w:rsidRDefault="009353F8" w:rsidP="009353F8">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lang w:val="en-US"/>
              </w:rPr>
            </w:pPr>
            <w:r w:rsidRPr="009353F8">
              <w:rPr>
                <w:color w:val="0070C0"/>
                <w:sz w:val="18"/>
                <w:szCs w:val="18"/>
                <w:lang w:val="en-US"/>
              </w:rPr>
              <w:t>1 moderate impact</w:t>
            </w:r>
          </w:p>
        </w:tc>
      </w:tr>
      <w:tr w:rsidR="00017BCC" w:rsidRPr="009353F8" w14:paraId="672305C6" w14:textId="77777777" w:rsidTr="00614BD9">
        <w:tc>
          <w:tcPr>
            <w:cnfStyle w:val="001000000000" w:firstRow="0" w:lastRow="0" w:firstColumn="1" w:lastColumn="0" w:oddVBand="0" w:evenVBand="0" w:oddHBand="0" w:evenHBand="0" w:firstRowFirstColumn="0" w:firstRowLastColumn="0" w:lastRowFirstColumn="0" w:lastRowLastColumn="0"/>
            <w:tcW w:w="1877" w:type="dxa"/>
            <w:vAlign w:val="center"/>
          </w:tcPr>
          <w:p w14:paraId="4B37869B" w14:textId="77777777" w:rsidR="00017BCC" w:rsidRPr="009353F8" w:rsidRDefault="00017BCC" w:rsidP="006628BD">
            <w:pPr>
              <w:pStyle w:val="Corpdetexte"/>
              <w:spacing w:before="20" w:after="20"/>
              <w:jc w:val="right"/>
              <w:rPr>
                <w:sz w:val="18"/>
                <w:szCs w:val="18"/>
                <w:lang w:val="en-US"/>
              </w:rPr>
            </w:pPr>
            <w:r w:rsidRPr="009353F8">
              <w:rPr>
                <w:sz w:val="18"/>
                <w:szCs w:val="18"/>
                <w:lang w:val="en-US"/>
              </w:rPr>
              <w:t>Total</w:t>
            </w:r>
          </w:p>
        </w:tc>
        <w:tc>
          <w:tcPr>
            <w:tcW w:w="1722" w:type="dxa"/>
            <w:vAlign w:val="center"/>
          </w:tcPr>
          <w:p w14:paraId="2C33C944"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w:t>
            </w:r>
          </w:p>
        </w:tc>
        <w:tc>
          <w:tcPr>
            <w:tcW w:w="1712" w:type="dxa"/>
            <w:vAlign w:val="center"/>
          </w:tcPr>
          <w:p w14:paraId="59BD1130"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2</w:t>
            </w:r>
          </w:p>
        </w:tc>
        <w:tc>
          <w:tcPr>
            <w:tcW w:w="1718" w:type="dxa"/>
            <w:vAlign w:val="center"/>
          </w:tcPr>
          <w:p w14:paraId="45495653"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r w:rsidRPr="009353F8">
              <w:rPr>
                <w:b/>
                <w:bCs/>
                <w:sz w:val="18"/>
                <w:szCs w:val="18"/>
                <w:lang w:val="en-US"/>
              </w:rPr>
              <w:t>12</w:t>
            </w:r>
          </w:p>
        </w:tc>
        <w:tc>
          <w:tcPr>
            <w:tcW w:w="1601" w:type="dxa"/>
          </w:tcPr>
          <w:p w14:paraId="2981799B" w14:textId="77777777" w:rsidR="00017BCC" w:rsidRPr="009353F8"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lang w:val="en-US"/>
              </w:rPr>
            </w:pPr>
          </w:p>
        </w:tc>
      </w:tr>
    </w:tbl>
    <w:p w14:paraId="0C8CA62B" w14:textId="77777777" w:rsidR="009353F8" w:rsidRPr="003D6F71" w:rsidRDefault="009353F8" w:rsidP="009353F8">
      <w:pPr>
        <w:pStyle w:val="Corpdetexte"/>
        <w:jc w:val="both"/>
        <w:rPr>
          <w:lang w:val="en-US"/>
        </w:rPr>
      </w:pPr>
    </w:p>
    <w:p w14:paraId="32C29E2E" w14:textId="60EA0347" w:rsidR="009353F8" w:rsidRPr="003D6F71" w:rsidRDefault="009353F8" w:rsidP="009353F8">
      <w:pPr>
        <w:pStyle w:val="Corpdetexte"/>
        <w:jc w:val="both"/>
        <w:rPr>
          <w:lang w:val="en-US"/>
        </w:rPr>
      </w:pPr>
      <w:r w:rsidRPr="003D6F71">
        <w:rPr>
          <w:lang w:val="en-US"/>
        </w:rPr>
        <w:t>The table above reveals a higher number of negative impacts in operation (78) than in construction (67), as well as a higher number of positive impacts in operation (15) than in construction (8).</w:t>
      </w:r>
    </w:p>
    <w:p w14:paraId="1FD91B82" w14:textId="4EA6B389" w:rsidR="009353F8" w:rsidRPr="003D6F71" w:rsidRDefault="009353F8" w:rsidP="009353F8">
      <w:pPr>
        <w:pStyle w:val="Corpdetexte"/>
        <w:jc w:val="both"/>
        <w:rPr>
          <w:lang w:val="en-US"/>
        </w:rPr>
      </w:pPr>
      <w:r w:rsidRPr="003D6F71">
        <w:rPr>
          <w:lang w:val="en-US"/>
        </w:rPr>
        <w:t xml:space="preserve">The </w:t>
      </w:r>
      <w:r w:rsidRPr="003D6F71">
        <w:rPr>
          <w:lang w:val="en-US"/>
        </w:rPr>
        <w:t>main</w:t>
      </w:r>
      <w:r w:rsidRPr="003D6F71">
        <w:rPr>
          <w:lang w:val="en-US"/>
        </w:rPr>
        <w:t xml:space="preserve"> residual negative impacts </w:t>
      </w:r>
      <w:proofErr w:type="gramStart"/>
      <w:r w:rsidRPr="003D6F71">
        <w:rPr>
          <w:lang w:val="en-US"/>
        </w:rPr>
        <w:t>concern</w:t>
      </w:r>
      <w:r w:rsidRPr="003D6F71">
        <w:rPr>
          <w:lang w:val="en-US"/>
        </w:rPr>
        <w:t>s</w:t>
      </w:r>
      <w:proofErr w:type="gramEnd"/>
      <w:r w:rsidRPr="003D6F71">
        <w:rPr>
          <w:lang w:val="en-US"/>
        </w:rPr>
        <w:t xml:space="preserve"> the loss of flora and fauna habitats caused by the deforestation required on the territory of the PIC for the construction of new infrastructure. No mitigation measure is possible on the PIC territory. Although some reforestation is possible in the landscaping of the project, the net balance will remain negative. The IDB and UTE are therefore encouraged to support reforestation or sustainable forestry initiatives in the immediate region of the PIC to reduce this localized loss of biodiversity.</w:t>
      </w:r>
    </w:p>
    <w:p w14:paraId="19956DDC" w14:textId="77777777" w:rsidR="009353F8" w:rsidRPr="003D6F71" w:rsidRDefault="009353F8" w:rsidP="009353F8">
      <w:pPr>
        <w:pStyle w:val="Corpdetexte"/>
        <w:spacing w:before="120"/>
        <w:jc w:val="both"/>
        <w:rPr>
          <w:lang w:val="en-US"/>
        </w:rPr>
      </w:pPr>
      <w:r w:rsidRPr="003D6F71">
        <w:rPr>
          <w:lang w:val="en-US"/>
        </w:rPr>
        <w:t>Average residual impacts relate to a wider variety of topics.</w:t>
      </w:r>
    </w:p>
    <w:p w14:paraId="14A451E3" w14:textId="1638D7FC" w:rsidR="009353F8" w:rsidRPr="003D6F71" w:rsidRDefault="009353F8" w:rsidP="009353F8">
      <w:pPr>
        <w:pStyle w:val="Corpdetexte"/>
        <w:spacing w:before="120"/>
        <w:jc w:val="both"/>
        <w:rPr>
          <w:lang w:val="en-US"/>
        </w:rPr>
      </w:pPr>
      <w:r w:rsidRPr="003D6F71">
        <w:rPr>
          <w:lang w:val="en-US"/>
        </w:rPr>
        <w:t xml:space="preserve">The first is the risk of soil contamination by the temporary storage of ordinary waste at the </w:t>
      </w:r>
      <w:proofErr w:type="spellStart"/>
      <w:r w:rsidRPr="003D6F71">
        <w:rPr>
          <w:lang w:val="en-US"/>
        </w:rPr>
        <w:t>Madras</w:t>
      </w:r>
      <w:r w:rsidRPr="003D6F71">
        <w:rPr>
          <w:lang w:val="en-US"/>
        </w:rPr>
        <w:t>s</w:t>
      </w:r>
      <w:proofErr w:type="spellEnd"/>
      <w:r w:rsidRPr="003D6F71">
        <w:rPr>
          <w:lang w:val="en-US"/>
        </w:rPr>
        <w:t xml:space="preserve"> site. The delay in offering a definitive solid waste management solution at the </w:t>
      </w:r>
      <w:proofErr w:type="spellStart"/>
      <w:r w:rsidRPr="003D6F71">
        <w:rPr>
          <w:lang w:val="en-US"/>
        </w:rPr>
        <w:t>Mouchinette</w:t>
      </w:r>
      <w:proofErr w:type="spellEnd"/>
      <w:r w:rsidRPr="003D6F71">
        <w:rPr>
          <w:lang w:val="en-US"/>
        </w:rPr>
        <w:t xml:space="preserve"> site perpetuates the situation in </w:t>
      </w:r>
      <w:proofErr w:type="spellStart"/>
      <w:r w:rsidRPr="003D6F71">
        <w:rPr>
          <w:lang w:val="en-US"/>
        </w:rPr>
        <w:t>Madras</w:t>
      </w:r>
      <w:r w:rsidRPr="003D6F71">
        <w:rPr>
          <w:lang w:val="en-US"/>
        </w:rPr>
        <w:t>s</w:t>
      </w:r>
      <w:proofErr w:type="spellEnd"/>
      <w:r w:rsidRPr="003D6F71">
        <w:rPr>
          <w:lang w:val="en-US"/>
        </w:rPr>
        <w:t xml:space="preserve"> which took on a new dimension with the fire that broke out there on June 18, 2020. The prospect of the site opening de </w:t>
      </w:r>
      <w:proofErr w:type="spellStart"/>
      <w:r w:rsidRPr="003D6F71">
        <w:rPr>
          <w:lang w:val="en-US"/>
        </w:rPr>
        <w:t>Mouchinette</w:t>
      </w:r>
      <w:proofErr w:type="spellEnd"/>
      <w:r w:rsidRPr="003D6F71">
        <w:rPr>
          <w:lang w:val="en-US"/>
        </w:rPr>
        <w:t xml:space="preserve"> objectively leads us to minimize the level of impact, but the delays to materialize justify that the residual impact is considered </w:t>
      </w:r>
      <w:r w:rsidR="003D6F71" w:rsidRPr="003D6F71">
        <w:rPr>
          <w:lang w:val="en-US"/>
        </w:rPr>
        <w:t>moderate</w:t>
      </w:r>
      <w:r w:rsidRPr="003D6F71">
        <w:rPr>
          <w:lang w:val="en-US"/>
        </w:rPr>
        <w:t xml:space="preserve">. Any initiative to speed up the construction of the solid waste management site in </w:t>
      </w:r>
      <w:proofErr w:type="spellStart"/>
      <w:r w:rsidRPr="003D6F71">
        <w:rPr>
          <w:lang w:val="en-US"/>
        </w:rPr>
        <w:t>Mouchinette</w:t>
      </w:r>
      <w:proofErr w:type="spellEnd"/>
      <w:r w:rsidRPr="003D6F71">
        <w:rPr>
          <w:lang w:val="en-US"/>
        </w:rPr>
        <w:t xml:space="preserve"> must be encouraged.</w:t>
      </w:r>
    </w:p>
    <w:p w14:paraId="01E635F5" w14:textId="7EE63772" w:rsidR="009353F8" w:rsidRPr="003D6F71" w:rsidRDefault="009353F8" w:rsidP="009353F8">
      <w:pPr>
        <w:pStyle w:val="Corpdetexte"/>
        <w:spacing w:before="120" w:after="120"/>
        <w:jc w:val="both"/>
        <w:rPr>
          <w:lang w:val="en-US"/>
        </w:rPr>
      </w:pPr>
      <w:r w:rsidRPr="003D6F71">
        <w:rPr>
          <w:lang w:val="en-US"/>
        </w:rPr>
        <w:lastRenderedPageBreak/>
        <w:t>The second average residual impact is the speculation induced in the neighboring municipalities, pushing the prices of rents and land upwards. Although apparently positive for owners and landlords, this phenomenon can be very harmful for a part of the population whose income does not keep pace with the prosperity induced by the salaries offered to the PIC. Mitigation measures exist to limit this phenomenon, but many require regulatory interventions that may take a few years to produce the desired results.</w:t>
      </w:r>
    </w:p>
    <w:p w14:paraId="59DF2F86" w14:textId="45370DDD" w:rsidR="003D6F71" w:rsidRPr="003D6F71" w:rsidRDefault="003D6F71" w:rsidP="003D6F71">
      <w:pPr>
        <w:pStyle w:val="Corpdetexte"/>
        <w:spacing w:before="120"/>
        <w:jc w:val="both"/>
        <w:rPr>
          <w:lang w:val="en-US"/>
        </w:rPr>
      </w:pPr>
      <w:r w:rsidRPr="003D6F71">
        <w:rPr>
          <w:lang w:val="en-US"/>
        </w:rPr>
        <w:t xml:space="preserve">The last average residual impact relates to the sustainability of urban development induced by the increasing activities of the </w:t>
      </w:r>
      <w:r w:rsidRPr="003D6F71">
        <w:rPr>
          <w:lang w:val="en-US"/>
        </w:rPr>
        <w:t>PIC</w:t>
      </w:r>
      <w:r w:rsidRPr="003D6F71">
        <w:rPr>
          <w:lang w:val="en-US"/>
        </w:rPr>
        <w:t>. Although several efforts have been made by various municipalities and government agencies to develop development frameworks (urbanization plan, construction standard, etc.), development needs often exceed the capacity of local stakeholders to control the pace of development</w:t>
      </w:r>
      <w:r w:rsidRPr="003D6F71">
        <w:rPr>
          <w:lang w:val="en-US"/>
        </w:rPr>
        <w:t>,</w:t>
      </w:r>
      <w:r w:rsidRPr="003D6F71">
        <w:rPr>
          <w:lang w:val="en-US"/>
        </w:rPr>
        <w:t xml:space="preserve"> urbanization and its sustainability.</w:t>
      </w:r>
    </w:p>
    <w:p w14:paraId="622F1E37" w14:textId="1487D5D1" w:rsidR="003D6F71" w:rsidRPr="003D6F71" w:rsidRDefault="003D6F71" w:rsidP="003D6F71">
      <w:pPr>
        <w:pStyle w:val="Corpdetexte"/>
        <w:spacing w:before="120"/>
        <w:jc w:val="both"/>
        <w:rPr>
          <w:lang w:val="en-US"/>
        </w:rPr>
      </w:pPr>
      <w:r w:rsidRPr="003D6F71">
        <w:rPr>
          <w:lang w:val="en-US"/>
        </w:rPr>
        <w:t>Despite the above, the fact that the expansion of the PIC planned in operation HA-</w:t>
      </w:r>
      <w:proofErr w:type="spellStart"/>
      <w:r w:rsidRPr="003D6F71">
        <w:rPr>
          <w:lang w:val="en-US"/>
        </w:rPr>
        <w:t>L1143</w:t>
      </w:r>
      <w:proofErr w:type="spellEnd"/>
      <w:r w:rsidRPr="003D6F71">
        <w:rPr>
          <w:lang w:val="en-US"/>
        </w:rPr>
        <w:t xml:space="preserve"> is carried out within the existing perimeter of the PIC limits the negative impacts. In addition, the integration into the project of a health clinic, a hazardous waste storage area, additional </w:t>
      </w:r>
      <w:proofErr w:type="gramStart"/>
      <w:r w:rsidRPr="003D6F71">
        <w:rPr>
          <w:lang w:val="en-US"/>
        </w:rPr>
        <w:t>canteens</w:t>
      </w:r>
      <w:proofErr w:type="gramEnd"/>
      <w:r w:rsidRPr="003D6F71">
        <w:rPr>
          <w:lang w:val="en-US"/>
        </w:rPr>
        <w:t xml:space="preserve"> and stabilization of the banks of the </w:t>
      </w:r>
      <w:proofErr w:type="spellStart"/>
      <w:r w:rsidRPr="003D6F71">
        <w:rPr>
          <w:lang w:val="en-US"/>
        </w:rPr>
        <w:t>Trou</w:t>
      </w:r>
      <w:proofErr w:type="spellEnd"/>
      <w:r w:rsidRPr="003D6F71">
        <w:rPr>
          <w:lang w:val="en-US"/>
        </w:rPr>
        <w:t xml:space="preserve">-du-Nord river corrects certain </w:t>
      </w:r>
      <w:r w:rsidRPr="003D6F71">
        <w:rPr>
          <w:lang w:val="en-US"/>
        </w:rPr>
        <w:t>issues</w:t>
      </w:r>
      <w:r w:rsidRPr="003D6F71">
        <w:rPr>
          <w:lang w:val="en-US"/>
        </w:rPr>
        <w:t xml:space="preserve"> observed since the opening of the PIC.</w:t>
      </w:r>
    </w:p>
    <w:p w14:paraId="5FBA7645" w14:textId="07F91B49" w:rsidR="003D6F71" w:rsidRPr="003D6F71" w:rsidRDefault="003D6F71" w:rsidP="003D6F71">
      <w:pPr>
        <w:pStyle w:val="Corpdetexte"/>
        <w:spacing w:before="120" w:after="120"/>
        <w:jc w:val="both"/>
        <w:rPr>
          <w:lang w:val="en-US"/>
        </w:rPr>
      </w:pPr>
      <w:r w:rsidRPr="003D6F71">
        <w:rPr>
          <w:lang w:val="en-US"/>
        </w:rPr>
        <w:t xml:space="preserve">These initiatives combined with the integration of the proposed mitigation measures mean that the </w:t>
      </w:r>
      <w:r w:rsidRPr="003D6F71">
        <w:rPr>
          <w:lang w:val="en-US"/>
        </w:rPr>
        <w:t>PIC</w:t>
      </w:r>
      <w:r w:rsidRPr="003D6F71">
        <w:rPr>
          <w:lang w:val="en-US"/>
        </w:rPr>
        <w:t xml:space="preserve"> expansion project will not have significant negative effects.</w:t>
      </w:r>
    </w:p>
    <w:p w14:paraId="14B0EA47" w14:textId="7A49E926" w:rsidR="003D6F71" w:rsidRPr="003D6F71" w:rsidRDefault="003D6F71" w:rsidP="00017BCC">
      <w:pPr>
        <w:pStyle w:val="Corpdetexte"/>
        <w:jc w:val="both"/>
        <w:rPr>
          <w:lang w:val="en-US"/>
        </w:rPr>
      </w:pPr>
      <w:r w:rsidRPr="003D6F71">
        <w:rPr>
          <w:lang w:val="en-US"/>
        </w:rPr>
        <w:t xml:space="preserve">This conclusion </w:t>
      </w:r>
      <w:r w:rsidRPr="003D6F71">
        <w:rPr>
          <w:lang w:val="en-US"/>
        </w:rPr>
        <w:t>should</w:t>
      </w:r>
      <w:r w:rsidRPr="003D6F71">
        <w:rPr>
          <w:lang w:val="en-US"/>
        </w:rPr>
        <w:t xml:space="preserve"> however be </w:t>
      </w:r>
      <w:r w:rsidRPr="003D6F71">
        <w:rPr>
          <w:lang w:val="en-US"/>
        </w:rPr>
        <w:t>considered as</w:t>
      </w:r>
      <w:r w:rsidRPr="003D6F71">
        <w:rPr>
          <w:lang w:val="en-US"/>
        </w:rPr>
        <w:t xml:space="preserve"> an important warning. The majority of the mitigation and monitoring measures during the construction phase can be met from the construction costs and the costs of control and </w:t>
      </w:r>
      <w:r w:rsidRPr="003D6F71">
        <w:rPr>
          <w:lang w:val="en-US"/>
        </w:rPr>
        <w:t>supervision</w:t>
      </w:r>
      <w:r w:rsidRPr="003D6F71">
        <w:rPr>
          <w:lang w:val="en-US"/>
        </w:rPr>
        <w:t xml:space="preserve"> missions which will be financed by operation HA-</w:t>
      </w:r>
      <w:proofErr w:type="spellStart"/>
      <w:r w:rsidRPr="003D6F71">
        <w:rPr>
          <w:lang w:val="en-US"/>
        </w:rPr>
        <w:t>L1143</w:t>
      </w:r>
      <w:proofErr w:type="spellEnd"/>
      <w:r w:rsidRPr="003D6F71">
        <w:rPr>
          <w:lang w:val="en-US"/>
        </w:rPr>
        <w:t>. On the other hand, many of the mitigation and monitoring measures in the operational phase will depend on government investments outside of Operation HA-</w:t>
      </w:r>
      <w:proofErr w:type="spellStart"/>
      <w:r w:rsidRPr="003D6F71">
        <w:rPr>
          <w:lang w:val="en-US"/>
        </w:rPr>
        <w:t>L1143</w:t>
      </w:r>
      <w:proofErr w:type="spellEnd"/>
      <w:r w:rsidRPr="003D6F71">
        <w:rPr>
          <w:lang w:val="en-US"/>
        </w:rPr>
        <w:t xml:space="preserve"> and on recurring operational funds from UTE and other government agencies. A concerted effort by the various stakeholders is expected to ensure the successful deployment of mitigation and monitoring measures during the operational phase.</w:t>
      </w:r>
    </w:p>
    <w:p w14:paraId="74498CDF" w14:textId="4DAA6335" w:rsidR="00017BCC" w:rsidRPr="003D6F71" w:rsidRDefault="003D6F71" w:rsidP="00017BCC">
      <w:pPr>
        <w:pStyle w:val="Corpdetexte"/>
        <w:spacing w:before="120" w:after="120"/>
        <w:rPr>
          <w:u w:val="single"/>
          <w:lang w:val="en-US"/>
        </w:rPr>
      </w:pPr>
      <w:r w:rsidRPr="003D6F71">
        <w:rPr>
          <w:u w:val="single"/>
          <w:lang w:val="en-US"/>
        </w:rPr>
        <w:t>Stakeholder concerns</w:t>
      </w:r>
    </w:p>
    <w:p w14:paraId="51D0F3C7" w14:textId="7B89BDBC" w:rsidR="003D6F71" w:rsidRPr="003D6F71" w:rsidRDefault="003D6F71" w:rsidP="003D6F71">
      <w:pPr>
        <w:pStyle w:val="Corpdetexte"/>
        <w:spacing w:before="120"/>
        <w:jc w:val="both"/>
        <w:rPr>
          <w:lang w:val="en-US"/>
        </w:rPr>
      </w:pPr>
      <w:r w:rsidRPr="003D6F71">
        <w:rPr>
          <w:lang w:val="en-US"/>
        </w:rPr>
        <w:t>At the time of producing th</w:t>
      </w:r>
      <w:r w:rsidRPr="003D6F71">
        <w:rPr>
          <w:lang w:val="en-US"/>
        </w:rPr>
        <w:t>e fit-for-disclosure</w:t>
      </w:r>
      <w:r w:rsidRPr="003D6F71">
        <w:rPr>
          <w:lang w:val="en-US"/>
        </w:rPr>
        <w:t xml:space="preserve"> </w:t>
      </w:r>
      <w:r w:rsidRPr="003D6F71">
        <w:rPr>
          <w:lang w:val="en-US"/>
        </w:rPr>
        <w:t>assessment</w:t>
      </w:r>
      <w:r w:rsidRPr="003D6F71">
        <w:rPr>
          <w:lang w:val="en-US"/>
        </w:rPr>
        <w:t xml:space="preserve">, a first public consultation was held to present the </w:t>
      </w:r>
      <w:r w:rsidRPr="003D6F71">
        <w:rPr>
          <w:lang w:val="en-US"/>
        </w:rPr>
        <w:t>PIC</w:t>
      </w:r>
      <w:r w:rsidRPr="003D6F71">
        <w:rPr>
          <w:lang w:val="en-US"/>
        </w:rPr>
        <w:t xml:space="preserve"> expansion project and the </w:t>
      </w:r>
      <w:r w:rsidRPr="003D6F71">
        <w:rPr>
          <w:lang w:val="en-US"/>
        </w:rPr>
        <w:t xml:space="preserve">potential </w:t>
      </w:r>
      <w:r w:rsidRPr="003D6F71">
        <w:rPr>
          <w:lang w:val="en-US"/>
        </w:rPr>
        <w:t>issues.</w:t>
      </w:r>
    </w:p>
    <w:p w14:paraId="5824F30E" w14:textId="26506712" w:rsidR="003D6F71" w:rsidRPr="003D6F71" w:rsidRDefault="003D6F71" w:rsidP="003D6F71">
      <w:pPr>
        <w:pStyle w:val="Corpdetexte"/>
        <w:spacing w:before="120"/>
        <w:jc w:val="both"/>
        <w:rPr>
          <w:lang w:val="en-US"/>
        </w:rPr>
      </w:pPr>
      <w:r w:rsidRPr="003D6F71">
        <w:rPr>
          <w:lang w:val="en-US"/>
        </w:rPr>
        <w:t xml:space="preserve">The main environmental concerns expressed during this consultation </w:t>
      </w:r>
      <w:r w:rsidRPr="003D6F71">
        <w:rPr>
          <w:lang w:val="en-US"/>
        </w:rPr>
        <w:t xml:space="preserve">were </w:t>
      </w:r>
      <w:r w:rsidRPr="003D6F71">
        <w:rPr>
          <w:lang w:val="en-US"/>
        </w:rPr>
        <w:t>relate</w:t>
      </w:r>
      <w:r w:rsidRPr="003D6F71">
        <w:rPr>
          <w:lang w:val="en-US"/>
        </w:rPr>
        <w:t>d</w:t>
      </w:r>
      <w:r w:rsidRPr="003D6F71">
        <w:rPr>
          <w:lang w:val="en-US"/>
        </w:rPr>
        <w:t xml:space="preserve"> to waste management, the water quality of the </w:t>
      </w:r>
      <w:proofErr w:type="spellStart"/>
      <w:r w:rsidRPr="003D6F71">
        <w:rPr>
          <w:lang w:val="en-US"/>
        </w:rPr>
        <w:t>Trou</w:t>
      </w:r>
      <w:proofErr w:type="spellEnd"/>
      <w:r w:rsidRPr="003D6F71">
        <w:rPr>
          <w:lang w:val="en-US"/>
        </w:rPr>
        <w:t>-du-Nord river and the increased pumping of groundwater.</w:t>
      </w:r>
    </w:p>
    <w:p w14:paraId="1C8D5128" w14:textId="77777777" w:rsidR="003D6F71" w:rsidRPr="003D6F71" w:rsidRDefault="003D6F71" w:rsidP="003D6F71">
      <w:pPr>
        <w:pStyle w:val="Corpdetexte"/>
        <w:spacing w:before="120"/>
        <w:jc w:val="both"/>
        <w:rPr>
          <w:lang w:val="en-US"/>
        </w:rPr>
      </w:pPr>
      <w:r w:rsidRPr="003D6F71">
        <w:rPr>
          <w:lang w:val="en-US"/>
        </w:rPr>
        <w:t>At the social level, concerns have focused on the safety of workers in transport as well as the safety of workers on the site. Aspects of access to work and dropping out of schooling for young people who prefer to go to work at the PIC were also discussed.</w:t>
      </w:r>
    </w:p>
    <w:p w14:paraId="3BBC05F8" w14:textId="36D79876" w:rsidR="003D6F71" w:rsidRPr="003D6F71" w:rsidRDefault="003D6F71" w:rsidP="003D6F71">
      <w:pPr>
        <w:pStyle w:val="Corpdetexte"/>
        <w:spacing w:before="120" w:after="120"/>
        <w:jc w:val="both"/>
        <w:rPr>
          <w:lang w:val="en-US"/>
        </w:rPr>
      </w:pPr>
      <w:r w:rsidRPr="003D6F71">
        <w:rPr>
          <w:lang w:val="en-US"/>
        </w:rPr>
        <w:t>These concerns have been considered in th</w:t>
      </w:r>
      <w:r w:rsidRPr="003D6F71">
        <w:rPr>
          <w:lang w:val="en-US"/>
        </w:rPr>
        <w:t xml:space="preserve">e </w:t>
      </w:r>
      <w:r w:rsidRPr="003D6F71">
        <w:rPr>
          <w:lang w:val="en-US"/>
        </w:rPr>
        <w:t xml:space="preserve">environmental and social impact </w:t>
      </w:r>
      <w:r w:rsidRPr="003D6F71">
        <w:rPr>
          <w:lang w:val="en-US"/>
        </w:rPr>
        <w:t>assessment</w:t>
      </w:r>
      <w:r w:rsidRPr="003D6F71">
        <w:rPr>
          <w:lang w:val="en-US"/>
        </w:rPr>
        <w:t xml:space="preserve"> and mitigation measures are included to limit the anticipated negative consequences.</w:t>
      </w:r>
    </w:p>
    <w:p w14:paraId="225AE95B" w14:textId="1C45C286" w:rsidR="00017BCC" w:rsidRPr="003D6F71" w:rsidRDefault="003D6F71" w:rsidP="00017BCC">
      <w:pPr>
        <w:pStyle w:val="Corpdetexte"/>
        <w:spacing w:before="120" w:after="120"/>
        <w:rPr>
          <w:u w:val="single"/>
          <w:lang w:val="en-US"/>
        </w:rPr>
      </w:pPr>
      <w:r w:rsidRPr="003D6F71">
        <w:rPr>
          <w:u w:val="single"/>
          <w:lang w:val="en-US"/>
        </w:rPr>
        <w:t>Project related issues</w:t>
      </w:r>
    </w:p>
    <w:p w14:paraId="14B70714" w14:textId="089BBC89" w:rsidR="00017BCC" w:rsidRPr="003D6F71" w:rsidRDefault="003D6F71" w:rsidP="00017BCC">
      <w:pPr>
        <w:pStyle w:val="Corpdetexte"/>
        <w:spacing w:before="120" w:after="120"/>
        <w:jc w:val="both"/>
        <w:rPr>
          <w:lang w:val="en-US"/>
        </w:rPr>
      </w:pPr>
      <w:r w:rsidRPr="003D6F71">
        <w:rPr>
          <w:lang w:val="en-US"/>
        </w:rPr>
        <w:t>However, the conclusions of the recently conducted Environmental, Social and Health and Safety Compliance Audit argue</w:t>
      </w:r>
      <w:r w:rsidRPr="003D6F71">
        <w:rPr>
          <w:lang w:val="en-US"/>
        </w:rPr>
        <w:t>s</w:t>
      </w:r>
      <w:r w:rsidRPr="003D6F71">
        <w:rPr>
          <w:lang w:val="en-US"/>
        </w:rPr>
        <w:t xml:space="preserve"> for the inclusion of certain additional considerations in the planning of the project targeted by operation HA-</w:t>
      </w:r>
      <w:proofErr w:type="spellStart"/>
      <w:r w:rsidRPr="003D6F71">
        <w:rPr>
          <w:lang w:val="en-US"/>
        </w:rPr>
        <w:t>L1143</w:t>
      </w:r>
      <w:proofErr w:type="spellEnd"/>
      <w:r w:rsidRPr="003D6F71">
        <w:rPr>
          <w:lang w:val="en-US"/>
        </w:rPr>
        <w:t>:</w:t>
      </w:r>
    </w:p>
    <w:p w14:paraId="6433DD5F" w14:textId="1899B444" w:rsidR="003D6F71" w:rsidRPr="003D6F71" w:rsidRDefault="003D6F71" w:rsidP="003D6F71">
      <w:pPr>
        <w:pStyle w:val="ListParagraph"/>
        <w:numPr>
          <w:ilvl w:val="0"/>
          <w:numId w:val="1"/>
        </w:numPr>
        <w:spacing w:before="120" w:line="240" w:lineRule="auto"/>
        <w:jc w:val="both"/>
      </w:pPr>
      <w:r w:rsidRPr="003D6F71">
        <w:lastRenderedPageBreak/>
        <w:t xml:space="preserve">Water distribution system: a difference of nearly 50% between the water withdrawn and the water consumed at the </w:t>
      </w:r>
      <w:r>
        <w:t>PIC</w:t>
      </w:r>
      <w:r w:rsidRPr="003D6F71">
        <w:t xml:space="preserve"> is observed. This indicates either a malfunction of the measuring instruments, or a significant water leak. This situation must be investigated in detail and measures planned in the project to avoid the repetition of this problem (if applicable</w:t>
      </w:r>
      <w:proofErr w:type="gramStart"/>
      <w:r w:rsidRPr="003D6F71">
        <w:t>);</w:t>
      </w:r>
      <w:proofErr w:type="gramEnd"/>
    </w:p>
    <w:p w14:paraId="34C0747B" w14:textId="71F69A0A" w:rsidR="003D6F71" w:rsidRPr="003D6F71" w:rsidRDefault="003D6F71" w:rsidP="003D6F71">
      <w:pPr>
        <w:pStyle w:val="ListParagraph"/>
        <w:numPr>
          <w:ilvl w:val="0"/>
          <w:numId w:val="1"/>
        </w:numPr>
        <w:spacing w:before="120" w:line="240" w:lineRule="auto"/>
        <w:jc w:val="both"/>
      </w:pPr>
      <w:r w:rsidRPr="003D6F71">
        <w:t xml:space="preserve">State of the banks of the </w:t>
      </w:r>
      <w:proofErr w:type="spellStart"/>
      <w:r w:rsidRPr="003D6F71">
        <w:t>Trou</w:t>
      </w:r>
      <w:proofErr w:type="spellEnd"/>
      <w:r w:rsidRPr="003D6F71">
        <w:t xml:space="preserve">-du-Nord river: if the phenomenon of erosion is already known, the audit also reveals that certain portions of the banks have been cultivated and that sand has been collected there. These prohibited uses amplify the problem of erosion. The project should also be planned with a view to limiting these prohibited accesses and </w:t>
      </w:r>
      <w:proofErr w:type="gramStart"/>
      <w:r w:rsidRPr="003D6F71">
        <w:t>uses;</w:t>
      </w:r>
      <w:proofErr w:type="gramEnd"/>
    </w:p>
    <w:p w14:paraId="56416CE5" w14:textId="05799DA1" w:rsidR="003D6F71" w:rsidRPr="003D6F71" w:rsidRDefault="003D6F71" w:rsidP="003D6F71">
      <w:pPr>
        <w:pStyle w:val="ListParagraph"/>
        <w:numPr>
          <w:ilvl w:val="0"/>
          <w:numId w:val="1"/>
        </w:numPr>
        <w:spacing w:before="120" w:line="240" w:lineRule="auto"/>
        <w:jc w:val="both"/>
      </w:pPr>
      <w:r w:rsidRPr="003D6F71">
        <w:t>Transport of workers: the current networks do not reach Cap-</w:t>
      </w:r>
      <w:proofErr w:type="spellStart"/>
      <w:r w:rsidRPr="003D6F71">
        <w:t>Haitien</w:t>
      </w:r>
      <w:proofErr w:type="spellEnd"/>
      <w:r w:rsidRPr="003D6F71">
        <w:t xml:space="preserve">, where 25% of the workforce comes from, which contravenes Haitian </w:t>
      </w:r>
      <w:proofErr w:type="gramStart"/>
      <w:r w:rsidRPr="003D6F71">
        <w:t>law;</w:t>
      </w:r>
      <w:proofErr w:type="gramEnd"/>
    </w:p>
    <w:p w14:paraId="26FB81B5" w14:textId="2871D415" w:rsidR="003D6F71" w:rsidRPr="003D6F71" w:rsidRDefault="003D6F71" w:rsidP="003D6F71">
      <w:pPr>
        <w:pStyle w:val="ListParagraph"/>
        <w:numPr>
          <w:ilvl w:val="0"/>
          <w:numId w:val="1"/>
        </w:numPr>
        <w:spacing w:before="120" w:line="240" w:lineRule="auto"/>
        <w:jc w:val="both"/>
      </w:pPr>
      <w:r w:rsidRPr="003D6F71">
        <w:t xml:space="preserve">Regional social development: the social investment plan planned following previous operations has not been </w:t>
      </w:r>
      <w:proofErr w:type="gramStart"/>
      <w:r w:rsidRPr="003D6F71">
        <w:t>implemented;</w:t>
      </w:r>
      <w:proofErr w:type="gramEnd"/>
    </w:p>
    <w:p w14:paraId="19ABC18A" w14:textId="463BC94F" w:rsidR="003D6F71" w:rsidRPr="003D6F71" w:rsidRDefault="003D6F71" w:rsidP="003D6F71">
      <w:pPr>
        <w:pStyle w:val="ListParagraph"/>
        <w:numPr>
          <w:ilvl w:val="0"/>
          <w:numId w:val="1"/>
        </w:numPr>
        <w:spacing w:before="120" w:line="240" w:lineRule="auto"/>
        <w:jc w:val="both"/>
      </w:pPr>
      <w:r w:rsidRPr="003D6F71">
        <w:t xml:space="preserve">Training and working conditions: positions have been vacant for many months within the </w:t>
      </w:r>
      <w:proofErr w:type="spellStart"/>
      <w:r w:rsidRPr="003D6F71">
        <w:t>EHS</w:t>
      </w:r>
      <w:proofErr w:type="spellEnd"/>
      <w:r w:rsidRPr="003D6F71">
        <w:t xml:space="preserve"> (Environment-Health-Social) team of the UTE dedicated to the management of the PIC, which reduces its capacity to provide training and to inspect the working conditions of workers;</w:t>
      </w:r>
    </w:p>
    <w:p w14:paraId="76B32397" w14:textId="5D94D509" w:rsidR="003D6F71" w:rsidRPr="003D6F71" w:rsidRDefault="003D6F71" w:rsidP="003D6F71">
      <w:pPr>
        <w:pStyle w:val="ListParagraph"/>
        <w:numPr>
          <w:ilvl w:val="0"/>
          <w:numId w:val="1"/>
        </w:numPr>
        <w:spacing w:before="120" w:line="240" w:lineRule="auto"/>
        <w:jc w:val="both"/>
      </w:pPr>
      <w:r w:rsidRPr="003D6F71">
        <w:t xml:space="preserve">Access to PIC jobs: the difficulty in identifying and training vulnerable populations reduces their ability to obtain PIC jobs. This issue is also linked to the issue of vacant positions within the </w:t>
      </w:r>
      <w:proofErr w:type="spellStart"/>
      <w:r w:rsidRPr="003D6F71">
        <w:t>EHS</w:t>
      </w:r>
      <w:proofErr w:type="spellEnd"/>
      <w:r w:rsidRPr="003D6F71">
        <w:t xml:space="preserve"> team of the PIC.</w:t>
      </w:r>
    </w:p>
    <w:p w14:paraId="4FC686B1" w14:textId="77777777" w:rsidR="00017BCC" w:rsidRDefault="00017BCC" w:rsidP="00017BCC">
      <w:pPr>
        <w:pStyle w:val="Corpdetexte"/>
        <w:spacing w:before="120" w:after="120"/>
        <w:rPr>
          <w:u w:val="single"/>
        </w:rPr>
      </w:pPr>
    </w:p>
    <w:p w14:paraId="0E2A1AA8" w14:textId="18082ED1" w:rsidR="00017BCC" w:rsidRPr="003D6F71" w:rsidRDefault="003D6F71" w:rsidP="00017BCC">
      <w:pPr>
        <w:pStyle w:val="Corpdetexte"/>
        <w:spacing w:before="120" w:after="120"/>
        <w:rPr>
          <w:u w:val="single"/>
          <w:lang w:val="en-US"/>
        </w:rPr>
      </w:pPr>
      <w:r w:rsidRPr="003D6F71">
        <w:rPr>
          <w:u w:val="single"/>
          <w:lang w:val="en-US"/>
        </w:rPr>
        <w:t>Cumulative i</w:t>
      </w:r>
      <w:r w:rsidR="00017BCC" w:rsidRPr="003D6F71">
        <w:rPr>
          <w:u w:val="single"/>
          <w:lang w:val="en-US"/>
        </w:rPr>
        <w:t>mpacts</w:t>
      </w:r>
    </w:p>
    <w:p w14:paraId="492C02D5" w14:textId="27F85237" w:rsidR="003D6F71" w:rsidRPr="003D6F71" w:rsidRDefault="003D6F71" w:rsidP="00017BCC">
      <w:pPr>
        <w:pStyle w:val="Corpdetexte"/>
        <w:spacing w:before="120" w:after="120"/>
        <w:jc w:val="both"/>
        <w:rPr>
          <w:lang w:val="en-US"/>
        </w:rPr>
      </w:pPr>
      <w:r w:rsidRPr="003D6F71">
        <w:rPr>
          <w:lang w:val="en-US"/>
        </w:rPr>
        <w:t xml:space="preserve">The PIC expansion project is part of a set of around 13 projects recently completed or in planning in the North and North-East departments. The </w:t>
      </w:r>
      <w:r>
        <w:rPr>
          <w:lang w:val="en-US"/>
        </w:rPr>
        <w:t>PIC</w:t>
      </w:r>
      <w:r w:rsidRPr="003D6F71">
        <w:rPr>
          <w:lang w:val="en-US"/>
        </w:rPr>
        <w:t xml:space="preserve"> and nine of these projects have already been subject to cumulative </w:t>
      </w:r>
      <w:r w:rsidR="00F16873">
        <w:rPr>
          <w:lang w:val="en-US"/>
        </w:rPr>
        <w:t>impact assessments</w:t>
      </w:r>
      <w:r w:rsidRPr="003D6F71">
        <w:rPr>
          <w:lang w:val="en-US"/>
        </w:rPr>
        <w:t xml:space="preserve"> in 2015 and 2018 for which several of the 83 mitigation measures targeted impacts identified in </w:t>
      </w:r>
      <w:r>
        <w:rPr>
          <w:lang w:val="en-US"/>
        </w:rPr>
        <w:t>the</w:t>
      </w:r>
      <w:r w:rsidRPr="003D6F71">
        <w:rPr>
          <w:lang w:val="en-US"/>
        </w:rPr>
        <w:t xml:space="preserve"> environmental and social impact </w:t>
      </w:r>
      <w:r>
        <w:rPr>
          <w:lang w:val="en-US"/>
        </w:rPr>
        <w:t>assessment</w:t>
      </w:r>
      <w:r w:rsidRPr="003D6F71">
        <w:rPr>
          <w:lang w:val="en-US"/>
        </w:rPr>
        <w:t xml:space="preserve">. These 83 mitigation measures could be adapted to the new pressures resulting from the expansion of the </w:t>
      </w:r>
      <w:r w:rsidR="00F16873">
        <w:rPr>
          <w:lang w:val="en-US"/>
        </w:rPr>
        <w:t>PIC</w:t>
      </w:r>
      <w:r w:rsidRPr="003D6F71">
        <w:rPr>
          <w:lang w:val="en-US"/>
        </w:rPr>
        <w:t xml:space="preserve"> to avoid or reduce cumulative impacts. However, the same conclusions as in 2018 should be formulated here as to the need for a concerted effort by investors, donors and government agencies of Haiti to pilot this cumulative impact mitigation program, in particular to control the urbanization of municipalities underpinned by the arrival of a large number of new workers and their families. In the absence of specific support for this program, some of the cumulative effects could materialize to the detriment of the physical, </w:t>
      </w:r>
      <w:proofErr w:type="gramStart"/>
      <w:r w:rsidRPr="003D6F71">
        <w:rPr>
          <w:lang w:val="en-US"/>
        </w:rPr>
        <w:t>natural</w:t>
      </w:r>
      <w:proofErr w:type="gramEnd"/>
      <w:r w:rsidRPr="003D6F71">
        <w:rPr>
          <w:lang w:val="en-US"/>
        </w:rPr>
        <w:t xml:space="preserve"> and human environments.</w:t>
      </w:r>
    </w:p>
    <w:sectPr w:rsidR="003D6F71" w:rsidRPr="003D6F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6436F"/>
    <w:multiLevelType w:val="hybridMultilevel"/>
    <w:tmpl w:val="7E6C87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BCC"/>
    <w:rsid w:val="00017BCC"/>
    <w:rsid w:val="003C0BF4"/>
    <w:rsid w:val="003D6F71"/>
    <w:rsid w:val="004D39B2"/>
    <w:rsid w:val="00614BD9"/>
    <w:rsid w:val="006623AC"/>
    <w:rsid w:val="009353F8"/>
    <w:rsid w:val="00F1687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6E319"/>
  <w15:chartTrackingRefBased/>
  <w15:docId w15:val="{025ADFE2-DCFF-4312-97D3-4D0C5B79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17BCC"/>
    <w:pPr>
      <w:spacing w:after="120" w:line="260" w:lineRule="exact"/>
    </w:pPr>
    <w:rPr>
      <w:rFonts w:ascii="Arial" w:eastAsiaTheme="minorEastAsia" w:hAnsi="Arial"/>
      <w:sz w:val="20"/>
      <w:szCs w:val="24"/>
      <w:lang w:val="en-US"/>
    </w:rPr>
  </w:style>
  <w:style w:type="paragraph" w:styleId="Heading1">
    <w:name w:val="heading 1"/>
    <w:basedOn w:val="Normal"/>
    <w:next w:val="Normal"/>
    <w:link w:val="Heading1Char"/>
    <w:uiPriority w:val="1"/>
    <w:qFormat/>
    <w:rsid w:val="00017BCC"/>
    <w:pPr>
      <w:keepNext/>
      <w:keepLines/>
      <w:pBdr>
        <w:top w:val="single" w:sz="36" w:space="1" w:color="003478"/>
        <w:left w:val="single" w:sz="12" w:space="4" w:color="005596"/>
        <w:bottom w:val="single" w:sz="18" w:space="5" w:color="C4BC96"/>
        <w:right w:val="single" w:sz="12" w:space="4" w:color="005596"/>
      </w:pBdr>
      <w:shd w:val="clear" w:color="auto" w:fill="003478"/>
      <w:spacing w:before="240" w:after="200" w:line="280" w:lineRule="exact"/>
      <w:outlineLvl w:val="0"/>
    </w:pPr>
    <w:rPr>
      <w:rFonts w:eastAsiaTheme="majorEastAsia" w:cstheme="majorBidi"/>
      <w:b/>
      <w:bCs/>
      <w:caps/>
      <w:color w:val="FFFFFF" w:themeColor="background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17BCC"/>
    <w:rPr>
      <w:rFonts w:ascii="Arial" w:eastAsiaTheme="majorEastAsia" w:hAnsi="Arial" w:cstheme="majorBidi"/>
      <w:b/>
      <w:bCs/>
      <w:caps/>
      <w:color w:val="FFFFFF" w:themeColor="background1"/>
      <w:sz w:val="28"/>
      <w:szCs w:val="32"/>
      <w:shd w:val="clear" w:color="auto" w:fill="003478"/>
      <w:lang w:val="en-US"/>
    </w:rPr>
  </w:style>
  <w:style w:type="paragraph" w:styleId="ListParagraph">
    <w:name w:val="List Paragraph"/>
    <w:aliases w:val="Bullet list first level,Bullet Points,titulo 5"/>
    <w:basedOn w:val="Normal"/>
    <w:link w:val="ListParagraphChar"/>
    <w:uiPriority w:val="34"/>
    <w:qFormat/>
    <w:rsid w:val="00017BCC"/>
    <w:pPr>
      <w:ind w:left="720"/>
      <w:contextualSpacing/>
    </w:pPr>
  </w:style>
  <w:style w:type="character" w:customStyle="1" w:styleId="CorpdetexteCar">
    <w:name w:val="Corp de texte Car"/>
    <w:link w:val="Corpdetexte"/>
    <w:locked/>
    <w:rsid w:val="00017BCC"/>
    <w:rPr>
      <w:rFonts w:ascii="Arial" w:hAnsi="Arial"/>
      <w:sz w:val="20"/>
    </w:rPr>
  </w:style>
  <w:style w:type="paragraph" w:customStyle="1" w:styleId="Corpdetexte">
    <w:name w:val="Corp de texte"/>
    <w:basedOn w:val="Normal"/>
    <w:link w:val="CorpdetexteCar"/>
    <w:qFormat/>
    <w:rsid w:val="00017BCC"/>
    <w:pPr>
      <w:spacing w:after="200"/>
    </w:pPr>
    <w:rPr>
      <w:rFonts w:eastAsiaTheme="minorHAnsi"/>
      <w:szCs w:val="22"/>
      <w:lang w:val="fr-CA"/>
    </w:rPr>
  </w:style>
  <w:style w:type="character" w:customStyle="1" w:styleId="ListParagraphChar">
    <w:name w:val="List Paragraph Char"/>
    <w:aliases w:val="Bullet list first level Char,Bullet Points Char,titulo 5 Char"/>
    <w:link w:val="ListParagraph"/>
    <w:uiPriority w:val="34"/>
    <w:locked/>
    <w:rsid w:val="00017BCC"/>
    <w:rPr>
      <w:rFonts w:ascii="Arial" w:eastAsiaTheme="minorEastAsia" w:hAnsi="Arial"/>
      <w:sz w:val="20"/>
      <w:szCs w:val="24"/>
      <w:lang w:val="en-US"/>
    </w:rPr>
  </w:style>
  <w:style w:type="table" w:styleId="GridTable1Light">
    <w:name w:val="Grid Table 1 Light"/>
    <w:basedOn w:val="TableNormal"/>
    <w:uiPriority w:val="46"/>
    <w:rsid w:val="00017BCC"/>
    <w:pPr>
      <w:spacing w:after="0" w:line="240" w:lineRule="auto"/>
    </w:pPr>
    <w:rPr>
      <w:rFonts w:eastAsiaTheme="minorEastAsia"/>
      <w:sz w:val="24"/>
      <w:szCs w:val="24"/>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verSheetTitle">
    <w:name w:val="Cover Sheet Title"/>
    <w:basedOn w:val="Normal"/>
    <w:qFormat/>
    <w:rsid w:val="00017BCC"/>
    <w:pPr>
      <w:spacing w:line="240" w:lineRule="auto"/>
    </w:pPr>
    <w:rPr>
      <w:b/>
      <w:color w:val="003478"/>
      <w:sz w:val="4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341896">
      <w:bodyDiv w:val="1"/>
      <w:marLeft w:val="0"/>
      <w:marRight w:val="0"/>
      <w:marTop w:val="0"/>
      <w:marBottom w:val="0"/>
      <w:divBdr>
        <w:top w:val="none" w:sz="0" w:space="0" w:color="auto"/>
        <w:left w:val="none" w:sz="0" w:space="0" w:color="auto"/>
        <w:bottom w:val="none" w:sz="0" w:space="0" w:color="auto"/>
        <w:right w:val="none" w:sz="0" w:space="0" w:color="auto"/>
      </w:divBdr>
      <w:divsChild>
        <w:div w:id="623385637">
          <w:marLeft w:val="0"/>
          <w:marRight w:val="0"/>
          <w:marTop w:val="0"/>
          <w:marBottom w:val="0"/>
          <w:divBdr>
            <w:top w:val="none" w:sz="0" w:space="0" w:color="auto"/>
            <w:left w:val="none" w:sz="0" w:space="0" w:color="auto"/>
            <w:bottom w:val="none" w:sz="0" w:space="0" w:color="auto"/>
            <w:right w:val="none" w:sz="0" w:space="0" w:color="auto"/>
          </w:divBdr>
        </w:div>
        <w:div w:id="582879458">
          <w:marLeft w:val="-240"/>
          <w:marRight w:val="-240"/>
          <w:marTop w:val="0"/>
          <w:marBottom w:val="0"/>
          <w:divBdr>
            <w:top w:val="none" w:sz="0" w:space="0" w:color="auto"/>
            <w:left w:val="none" w:sz="0" w:space="0" w:color="auto"/>
            <w:bottom w:val="none" w:sz="0" w:space="0" w:color="auto"/>
            <w:right w:val="none" w:sz="0" w:space="0" w:color="auto"/>
          </w:divBdr>
          <w:divsChild>
            <w:div w:id="389116026">
              <w:marLeft w:val="0"/>
              <w:marRight w:val="0"/>
              <w:marTop w:val="0"/>
              <w:marBottom w:val="0"/>
              <w:divBdr>
                <w:top w:val="none" w:sz="0" w:space="0" w:color="auto"/>
                <w:left w:val="none" w:sz="0" w:space="0" w:color="auto"/>
                <w:bottom w:val="none" w:sz="0" w:space="0" w:color="auto"/>
                <w:right w:val="none" w:sz="0" w:space="0" w:color="auto"/>
              </w:divBdr>
              <w:divsChild>
                <w:div w:id="9351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8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923D2E0DE9ED488C5861F81C32C66A" ma:contentTypeVersion="7614" ma:contentTypeDescription="A content type to manage public (operations) IDB documents" ma:contentTypeScope="" ma:versionID="2a94df8847ceb9f518d62db67f937738">
  <xsd:schema xmlns:xsd="http://www.w3.org/2001/XMLSchema" xmlns:xs="http://www.w3.org/2001/XMLSchema" xmlns:p="http://schemas.microsoft.com/office/2006/metadata/properties" xmlns:ns2="cdc7663a-08f0-4737-9e8c-148ce897a09c" targetNamespace="http://schemas.microsoft.com/office/2006/metadata/properties" ma:root="true" ma:fieldsID="a0feb6e6113dc31c87141f4f1836f7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Matthieussent Romain Sarah C.</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Related_x0020_SisCor_x0020_Number xmlns="cdc7663a-08f0-4737-9e8c-148ce897a09c" xsi:nil="true"/>
    <TaxCatchAll xmlns="cdc7663a-08f0-4737-9e8c-148ce897a09c">
      <Value>6</Value>
      <Value>40</Value>
      <Value>60</Value>
      <Value>42</Value>
    </TaxCatchAll>
    <Operation_x0020_Type xmlns="cdc7663a-08f0-4737-9e8c-148ce897a09c">GRF</Operation_x0020_Type>
    <Package_x0020_Code xmlns="cdc7663a-08f0-4737-9e8c-148ce897a09c" xsi:nil="true"/>
    <Identifier xmlns="cdc7663a-08f0-4737-9e8c-148ce897a09c" xsi:nil="true"/>
    <Project_x0020_Number xmlns="cdc7663a-08f0-4737-9e8c-148ce897a09c">HA-L1143</Project_x0020_Number>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EZSHARE-18496771-10</_dlc_DocId>
    <_dlc_DocIdUrl xmlns="cdc7663a-08f0-4737-9e8c-148ce897a09c">
      <Url>https://idbg.sharepoint.com/teams/EZ-HA-LON/HA-L1143/_layouts/15/DocIdRedir.aspx?ID=EZSHARE-18496771-10</Url>
      <Description>EZSHARE-18496771-10</Description>
    </_dlc_DocIdUrl>
    <Disclosure_x0020_Activity xmlns="cdc7663a-08f0-4737-9e8c-148ce897a09c">Environmental Impact Assessments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C3B5DB7-549E-429C-BB8D-BD9D0BCD8B4B}"/>
</file>

<file path=customXml/itemProps2.xml><?xml version="1.0" encoding="utf-8"?>
<ds:datastoreItem xmlns:ds="http://schemas.openxmlformats.org/officeDocument/2006/customXml" ds:itemID="{35E32A2A-B644-4DDB-A3C1-96B9BEE9465A}"/>
</file>

<file path=customXml/itemProps3.xml><?xml version="1.0" encoding="utf-8"?>
<ds:datastoreItem xmlns:ds="http://schemas.openxmlformats.org/officeDocument/2006/customXml" ds:itemID="{9B29B1C4-F94C-4319-9532-B31A97598075}"/>
</file>

<file path=customXml/itemProps4.xml><?xml version="1.0" encoding="utf-8"?>
<ds:datastoreItem xmlns:ds="http://schemas.openxmlformats.org/officeDocument/2006/customXml" ds:itemID="{2CBA7034-AC10-459E-89AA-7E063C974055}"/>
</file>

<file path=customXml/itemProps5.xml><?xml version="1.0" encoding="utf-8"?>
<ds:datastoreItem xmlns:ds="http://schemas.openxmlformats.org/officeDocument/2006/customXml" ds:itemID="{E566679C-5B3F-425D-9022-DA1F1ADBD9AB}"/>
</file>

<file path=customXml/itemProps6.xml><?xml version="1.0" encoding="utf-8"?>
<ds:datastoreItem xmlns:ds="http://schemas.openxmlformats.org/officeDocument/2006/customXml" ds:itemID="{739A74A7-E276-4996-89B0-44CF6A7815F8}"/>
</file>

<file path=docProps/app.xml><?xml version="1.0" encoding="utf-8"?>
<Properties xmlns="http://schemas.openxmlformats.org/officeDocument/2006/extended-properties" xmlns:vt="http://schemas.openxmlformats.org/officeDocument/2006/docPropsVTypes">
  <Template>Normal.dotm</Template>
  <TotalTime>156</TotalTime>
  <Pages>4</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Dorais, Martin</dc:creator>
  <cp:keywords/>
  <dc:description/>
  <cp:lastModifiedBy>Troch, Serge-Henri L.M.</cp:lastModifiedBy>
  <cp:revision>2</cp:revision>
  <dcterms:created xsi:type="dcterms:W3CDTF">2020-11-04T19:21:00Z</dcterms:created>
  <dcterms:modified xsi:type="dcterms:W3CDTF">2020-11-04T22:49:00Z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42;#Haiti|77a11ace-c854-4e9c-9e19-c924bca0dd43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6;#Environmental and Social Risk Management|24bef61f-13fe-49fb-8944-c01660937ef9</vt:lpwstr>
  </property>
  <property fmtid="{D5CDD505-2E9C-101B-9397-08002B2CF9AE}" pid="10" name="Sector_x0020_IDB">
    <vt:lpwstr/>
  </property>
  <property fmtid="{D5CDD505-2E9C-101B-9397-08002B2CF9AE}" pid="11" name="Sub-Sector">
    <vt:lpwstr>60;#WATER AND SANITATION|58dede58-0f72-4d2f-8205-0b2af4d108e7</vt:lpwstr>
  </property>
  <property fmtid="{D5CDD505-2E9C-101B-9397-08002B2CF9AE}" pid="13" name="Fund IDB">
    <vt:lpwstr>40;#GRF|91c131c5-8288-4ee4-8c9c-34395b8e8fd9</vt:lpwstr>
  </property>
  <property fmtid="{D5CDD505-2E9C-101B-9397-08002B2CF9AE}" pid="14" name="Sector IDB">
    <vt:lpwstr/>
  </property>
  <property fmtid="{D5CDD505-2E9C-101B-9397-08002B2CF9AE}" pid="15" name="_dlc_DocIdItemGuid">
    <vt:lpwstr>5f3ee1d2-1a6b-40bf-bd7a-51f502e057bd</vt:lpwstr>
  </property>
  <property fmtid="{D5CDD505-2E9C-101B-9397-08002B2CF9AE}" pid="16" name="Disclosure Activity">
    <vt:lpwstr>Environmental Impact Assessments</vt:lpwstr>
  </property>
  <property fmtid="{D5CDD505-2E9C-101B-9397-08002B2CF9AE}" pid="17" name="ContentTypeId">
    <vt:lpwstr>0x0101001A458A224826124E8B45B1D613300CFC009A923D2E0DE9ED488C5861F81C32C66A</vt:lpwstr>
  </property>
  <property fmtid="{D5CDD505-2E9C-101B-9397-08002B2CF9AE}" pid="18" name="Series Operations IDB">
    <vt:lpwstr/>
  </property>
</Properties>
</file>