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20E" w:rsidRPr="005E655B" w:rsidRDefault="00C6020E" w:rsidP="000032C5">
      <w:pPr>
        <w:autoSpaceDE w:val="0"/>
        <w:autoSpaceDN w:val="0"/>
        <w:adjustRightInd w:val="0"/>
        <w:spacing w:before="120" w:after="120" w:line="240" w:lineRule="auto"/>
        <w:rPr>
          <w:rFonts w:ascii="Times New Roman" w:hAnsi="Times New Roman" w:cs="Times New Roman"/>
          <w:b/>
          <w:bCs/>
          <w:smallCaps/>
          <w:sz w:val="24"/>
          <w:szCs w:val="24"/>
        </w:rPr>
      </w:pPr>
      <w:bookmarkStart w:id="0" w:name="_GoBack"/>
      <w:bookmarkEnd w:id="0"/>
    </w:p>
    <w:p w:rsidR="00810F8D" w:rsidRPr="005E655B" w:rsidRDefault="00124405" w:rsidP="000032C5">
      <w:pPr>
        <w:autoSpaceDE w:val="0"/>
        <w:autoSpaceDN w:val="0"/>
        <w:adjustRightInd w:val="0"/>
        <w:spacing w:before="120" w:after="120" w:line="240" w:lineRule="auto"/>
        <w:rPr>
          <w:rFonts w:ascii="Times New Roman" w:hAnsi="Times New Roman" w:cs="Times New Roman"/>
          <w:b/>
          <w:bCs/>
          <w:smallCaps/>
          <w:sz w:val="24"/>
          <w:szCs w:val="24"/>
        </w:rPr>
      </w:pPr>
      <w:r w:rsidRPr="005E655B">
        <w:rPr>
          <w:rFonts w:ascii="Times New Roman" w:hAnsi="Times New Roman" w:cs="Times New Roman"/>
          <w:b/>
          <w:bCs/>
          <w:smallCaps/>
          <w:noProof/>
          <w:sz w:val="24"/>
          <w:szCs w:val="24"/>
          <w:lang w:val="en-US"/>
        </w:rPr>
        <mc:AlternateContent>
          <mc:Choice Requires="wps">
            <w:drawing>
              <wp:anchor distT="0" distB="0" distL="114300" distR="114300" simplePos="0" relativeHeight="251659264" behindDoc="0" locked="0" layoutInCell="1" allowOverlap="1" wp14:anchorId="550272F9" wp14:editId="5A019352">
                <wp:simplePos x="0" y="0"/>
                <wp:positionH relativeFrom="column">
                  <wp:posOffset>1384935</wp:posOffset>
                </wp:positionH>
                <wp:positionV relativeFrom="paragraph">
                  <wp:posOffset>-948690</wp:posOffset>
                </wp:positionV>
                <wp:extent cx="4543425" cy="923925"/>
                <wp:effectExtent l="3810" t="3810" r="0" b="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09.05pt;margin-top:-74.7pt;width:357.7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" stroked="f"/>
            </w:pict>
          </mc:Fallback>
        </mc:AlternateContent>
      </w:r>
      <w:r w:rsidR="00810F8D" w:rsidRPr="005E655B">
        <w:rPr>
          <w:rFonts w:ascii="Times New Roman" w:hAnsi="Times New Roman" w:cs="Times New Roman"/>
          <w:b/>
          <w:bCs/>
          <w:smallCaps/>
          <w:sz w:val="24"/>
          <w:szCs w:val="24"/>
        </w:rPr>
        <w:t xml:space="preserve"> Ecuador</w:t>
      </w: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mallCaps/>
          <w:sz w:val="24"/>
          <w:szCs w:val="24"/>
        </w:rPr>
      </w:pPr>
      <w:r w:rsidRPr="005E655B">
        <w:rPr>
          <w:rFonts w:ascii="Times New Roman" w:hAnsi="Times New Roman" w:cs="Times New Roman"/>
          <w:b/>
          <w:bCs/>
          <w:smallCaps/>
          <w:sz w:val="24"/>
          <w:szCs w:val="24"/>
        </w:rPr>
        <w:t>Banco Interamericano de Desarrollo</w:t>
      </w: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0032C5" w:rsidRPr="005E655B" w:rsidRDefault="000032C5" w:rsidP="000032C5">
      <w:pPr>
        <w:autoSpaceDE w:val="0"/>
        <w:autoSpaceDN w:val="0"/>
        <w:adjustRightInd w:val="0"/>
        <w:spacing w:before="120" w:after="120" w:line="240" w:lineRule="auto"/>
        <w:rPr>
          <w:rFonts w:ascii="Times New Roman" w:hAnsi="Times New Roman" w:cs="Times New Roman"/>
          <w:smallCaps/>
          <w:snapToGrid w:val="0"/>
          <w:sz w:val="24"/>
          <w:szCs w:val="24"/>
        </w:rPr>
      </w:pPr>
    </w:p>
    <w:p w:rsidR="000032C5" w:rsidRPr="005E655B" w:rsidRDefault="000032C5" w:rsidP="000032C5">
      <w:pPr>
        <w:autoSpaceDE w:val="0"/>
        <w:autoSpaceDN w:val="0"/>
        <w:adjustRightInd w:val="0"/>
        <w:spacing w:before="120" w:after="120" w:line="240" w:lineRule="auto"/>
        <w:rPr>
          <w:rFonts w:ascii="Times New Roman" w:hAnsi="Times New Roman" w:cs="Times New Roman"/>
          <w:smallCaps/>
          <w:snapToGrid w:val="0"/>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Cs/>
          <w:sz w:val="24"/>
          <w:szCs w:val="24"/>
        </w:rPr>
      </w:pPr>
      <w:r w:rsidRPr="005E655B">
        <w:rPr>
          <w:rFonts w:ascii="Times New Roman" w:hAnsi="Times New Roman" w:cs="Times New Roman"/>
          <w:smallCaps/>
          <w:snapToGrid w:val="0"/>
          <w:sz w:val="24"/>
          <w:szCs w:val="24"/>
        </w:rPr>
        <w:t>Programa de Reforzamiento del Sistema Nacional de Distribución Eléctrica del Ecuador II</w:t>
      </w: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r w:rsidRPr="005E655B">
        <w:rPr>
          <w:rFonts w:ascii="Times New Roman" w:hAnsi="Times New Roman" w:cs="Times New Roman"/>
          <w:b/>
          <w:bCs/>
          <w:sz w:val="24"/>
          <w:szCs w:val="24"/>
        </w:rPr>
        <w:t>(</w:t>
      </w:r>
      <w:r w:rsidRPr="005E655B">
        <w:rPr>
          <w:rFonts w:ascii="Times New Roman" w:hAnsi="Times New Roman" w:cs="Times New Roman"/>
          <w:b/>
          <w:sz w:val="24"/>
          <w:szCs w:val="24"/>
        </w:rPr>
        <w:t>EC-L1147</w:t>
      </w:r>
      <w:r w:rsidRPr="005E655B">
        <w:rPr>
          <w:rFonts w:ascii="Times New Roman" w:hAnsi="Times New Roman" w:cs="Times New Roman"/>
          <w:b/>
          <w:bCs/>
          <w:sz w:val="24"/>
          <w:szCs w:val="24"/>
        </w:rPr>
        <w:t>)</w:t>
      </w: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rPr>
      </w:pPr>
      <w:r w:rsidRPr="005E655B">
        <w:rPr>
          <w:rFonts w:ascii="Times New Roman" w:hAnsi="Times New Roman" w:cs="Times New Roman"/>
          <w:b/>
          <w:bCs/>
          <w:sz w:val="24"/>
          <w:szCs w:val="24"/>
        </w:rPr>
        <w:t>Consultoría para la Evaluación Económica Ex-Ante</w:t>
      </w:r>
    </w:p>
    <w:p w:rsidR="00810F8D" w:rsidRPr="005E655B" w:rsidRDefault="00810F8D" w:rsidP="000032C5">
      <w:pPr>
        <w:autoSpaceDE w:val="0"/>
        <w:autoSpaceDN w:val="0"/>
        <w:adjustRightInd w:val="0"/>
        <w:spacing w:before="120" w:after="120" w:line="240" w:lineRule="auto"/>
        <w:rPr>
          <w:rFonts w:ascii="Times New Roman" w:hAnsi="Times New Roman" w:cs="Times New Roman"/>
          <w:bCs/>
          <w:smallCaps/>
          <w:sz w:val="24"/>
          <w:szCs w:val="24"/>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Cs/>
          <w:smallCaps/>
          <w:sz w:val="24"/>
          <w:szCs w:val="24"/>
          <w:lang w:val="pt-BR"/>
        </w:rPr>
      </w:pPr>
      <w:r w:rsidRPr="005E655B">
        <w:rPr>
          <w:rFonts w:ascii="Times New Roman" w:hAnsi="Times New Roman" w:cs="Times New Roman"/>
          <w:bCs/>
          <w:smallCaps/>
          <w:sz w:val="24"/>
          <w:szCs w:val="24"/>
          <w:lang w:val="pt-BR"/>
        </w:rPr>
        <w:t xml:space="preserve">Informe </w:t>
      </w:r>
      <w:r w:rsidR="00D1184A" w:rsidRPr="005E655B">
        <w:rPr>
          <w:rFonts w:ascii="Times New Roman" w:hAnsi="Times New Roman" w:cs="Times New Roman"/>
          <w:bCs/>
          <w:smallCaps/>
          <w:sz w:val="24"/>
          <w:szCs w:val="24"/>
          <w:lang w:val="pt-BR"/>
        </w:rPr>
        <w:t>Final</w:t>
      </w:r>
    </w:p>
    <w:p w:rsidR="00D1184A" w:rsidRPr="005E655B" w:rsidRDefault="00D1184A" w:rsidP="000032C5">
      <w:pPr>
        <w:autoSpaceDE w:val="0"/>
        <w:autoSpaceDN w:val="0"/>
        <w:adjustRightInd w:val="0"/>
        <w:spacing w:before="120" w:after="120" w:line="240" w:lineRule="auto"/>
        <w:rPr>
          <w:rFonts w:ascii="Times New Roman" w:hAnsi="Times New Roman" w:cs="Times New Roman"/>
          <w:bCs/>
          <w:smallCaps/>
          <w:sz w:val="24"/>
          <w:szCs w:val="24"/>
          <w:lang w:val="pt-BR"/>
        </w:rPr>
      </w:pPr>
    </w:p>
    <w:p w:rsidR="00D1184A" w:rsidRPr="005E655B" w:rsidRDefault="00D1184A" w:rsidP="000032C5">
      <w:pPr>
        <w:autoSpaceDE w:val="0"/>
        <w:autoSpaceDN w:val="0"/>
        <w:adjustRightInd w:val="0"/>
        <w:spacing w:before="120" w:after="120" w:line="240" w:lineRule="auto"/>
        <w:rPr>
          <w:rFonts w:ascii="Times New Roman" w:hAnsi="Times New Roman" w:cs="Times New Roman"/>
          <w:bCs/>
          <w:smallCaps/>
          <w:color w:val="FF0000"/>
          <w:sz w:val="24"/>
          <w:szCs w:val="24"/>
          <w:lang w:val="pt-BR"/>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b/>
          <w:bCs/>
          <w:sz w:val="24"/>
          <w:szCs w:val="24"/>
          <w:lang w:val="pt-BR"/>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sz w:val="24"/>
          <w:szCs w:val="24"/>
          <w:lang w:val="pt-BR"/>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sz w:val="24"/>
          <w:szCs w:val="24"/>
          <w:lang w:val="pt-BR"/>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sz w:val="24"/>
          <w:szCs w:val="24"/>
          <w:lang w:val="pt-BR"/>
        </w:rPr>
      </w:pPr>
    </w:p>
    <w:p w:rsidR="00810F8D" w:rsidRPr="005E655B" w:rsidRDefault="00810F8D" w:rsidP="000032C5">
      <w:pPr>
        <w:autoSpaceDE w:val="0"/>
        <w:autoSpaceDN w:val="0"/>
        <w:adjustRightInd w:val="0"/>
        <w:spacing w:before="120" w:after="120" w:line="240" w:lineRule="auto"/>
        <w:rPr>
          <w:rFonts w:ascii="Times New Roman" w:hAnsi="Times New Roman" w:cs="Times New Roman"/>
          <w:sz w:val="24"/>
          <w:szCs w:val="24"/>
          <w:lang w:val="pt-BR"/>
        </w:rPr>
      </w:pPr>
      <w:r w:rsidRPr="005E655B">
        <w:rPr>
          <w:rFonts w:ascii="Times New Roman" w:hAnsi="Times New Roman" w:cs="Times New Roman"/>
          <w:sz w:val="24"/>
          <w:szCs w:val="24"/>
          <w:lang w:val="pt-BR"/>
        </w:rPr>
        <w:t>ALEXIS DE AGUEDA CORNELOUP</w:t>
      </w:r>
    </w:p>
    <w:p w:rsidR="00810F8D" w:rsidRPr="005E655B" w:rsidRDefault="00810F8D" w:rsidP="000032C5">
      <w:pPr>
        <w:autoSpaceDE w:val="0"/>
        <w:autoSpaceDN w:val="0"/>
        <w:adjustRightInd w:val="0"/>
        <w:spacing w:before="120" w:after="120" w:line="240" w:lineRule="auto"/>
        <w:rPr>
          <w:rFonts w:ascii="Times New Roman" w:hAnsi="Times New Roman" w:cs="Times New Roman"/>
          <w:sz w:val="24"/>
          <w:szCs w:val="24"/>
          <w:lang w:val="pt-BR"/>
        </w:rPr>
      </w:pPr>
    </w:p>
    <w:p w:rsidR="00810F8D" w:rsidRPr="00D84F40" w:rsidRDefault="00810F8D" w:rsidP="000032C5">
      <w:pPr>
        <w:autoSpaceDE w:val="0"/>
        <w:autoSpaceDN w:val="0"/>
        <w:adjustRightInd w:val="0"/>
        <w:spacing w:before="120" w:after="120" w:line="240" w:lineRule="auto"/>
        <w:rPr>
          <w:rFonts w:ascii="Times New Roman" w:hAnsi="Times New Roman" w:cs="Times New Roman"/>
          <w:sz w:val="24"/>
          <w:szCs w:val="24"/>
        </w:rPr>
      </w:pPr>
      <w:r w:rsidRPr="00D84F40">
        <w:rPr>
          <w:rFonts w:ascii="Times New Roman" w:hAnsi="Times New Roman" w:cs="Times New Roman"/>
          <w:sz w:val="24"/>
          <w:szCs w:val="24"/>
        </w:rPr>
        <w:t>Marzo 2015</w:t>
      </w:r>
    </w:p>
    <w:p w:rsidR="00E138EE" w:rsidRPr="005E655B" w:rsidRDefault="00BC5D9A" w:rsidP="005E655B">
      <w:pPr>
        <w:autoSpaceDE w:val="0"/>
        <w:autoSpaceDN w:val="0"/>
        <w:adjustRightInd w:val="0"/>
        <w:spacing w:before="120" w:after="120" w:line="240" w:lineRule="auto"/>
        <w:rPr>
          <w:rFonts w:ascii="Times New Roman" w:hAnsi="Times New Roman" w:cs="Times New Roman"/>
          <w:b/>
          <w:bCs/>
          <w:sz w:val="24"/>
          <w:szCs w:val="24"/>
        </w:rPr>
      </w:pPr>
      <w:r w:rsidRPr="005E655B">
        <w:rPr>
          <w:rFonts w:ascii="Times New Roman" w:hAnsi="Times New Roman" w:cs="Times New Roman"/>
          <w:b/>
          <w:bCs/>
          <w:noProof/>
          <w:sz w:val="24"/>
          <w:szCs w:val="24"/>
          <w:lang w:val="en-US"/>
        </w:rPr>
        <w:lastRenderedPageBreak/>
        <mc:AlternateContent>
          <mc:Choice Requires="wps">
            <w:drawing>
              <wp:anchor distT="0" distB="0" distL="114300" distR="114300" simplePos="0" relativeHeight="251666432" behindDoc="0" locked="0" layoutInCell="1" allowOverlap="1" wp14:anchorId="4CC5EBAE" wp14:editId="5FEF5B55">
                <wp:simplePos x="0" y="0"/>
                <wp:positionH relativeFrom="column">
                  <wp:posOffset>1794510</wp:posOffset>
                </wp:positionH>
                <wp:positionV relativeFrom="paragraph">
                  <wp:posOffset>186690</wp:posOffset>
                </wp:positionV>
                <wp:extent cx="4543425" cy="923925"/>
                <wp:effectExtent l="0" t="0" r="9525" b="9525"/>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41.3pt;margin-top:14.7pt;width:357.75pt;height:7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" stroked="f"/>
            </w:pict>
          </mc:Fallback>
        </mc:AlternateContent>
      </w:r>
    </w:p>
    <w:sdt>
      <w:sdtPr>
        <w:rPr>
          <w:rFonts w:ascii="Times New Roman" w:eastAsiaTheme="minorHAnsi" w:hAnsi="Times New Roman" w:cs="Times New Roman"/>
          <w:b w:val="0"/>
          <w:bCs w:val="0"/>
          <w:color w:val="auto"/>
          <w:sz w:val="24"/>
          <w:szCs w:val="24"/>
        </w:rPr>
        <w:id w:val="963220062"/>
        <w:docPartObj>
          <w:docPartGallery w:val="Table of Contents"/>
          <w:docPartUnique/>
        </w:docPartObj>
      </w:sdtPr>
      <w:sdtEndPr/>
      <w:sdtContent>
        <w:bookmarkStart w:id="1" w:name="_Toc318222690" w:displacedByCustomXml="prev"/>
        <w:p w:rsidR="00E138EE" w:rsidRPr="005E655B" w:rsidRDefault="00C97AF6" w:rsidP="000032C5">
          <w:pPr>
            <w:pStyle w:val="TOCHeading"/>
            <w:spacing w:before="120" w:after="120" w:line="240" w:lineRule="auto"/>
            <w:jc w:val="both"/>
            <w:rPr>
              <w:rFonts w:ascii="Times New Roman" w:hAnsi="Times New Roman" w:cs="Times New Roman"/>
              <w:color w:val="auto"/>
              <w:sz w:val="24"/>
              <w:szCs w:val="24"/>
            </w:rPr>
          </w:pPr>
          <w:r w:rsidRPr="005E655B">
            <w:rPr>
              <w:rFonts w:ascii="Times New Roman" w:hAnsi="Times New Roman" w:cs="Times New Roman"/>
              <w:color w:val="auto"/>
              <w:sz w:val="24"/>
              <w:szCs w:val="24"/>
            </w:rPr>
            <w:t>ÍNDICE DE CONTENIDO</w:t>
          </w:r>
          <w:bookmarkEnd w:id="1"/>
        </w:p>
        <w:p w:rsidR="00E138EE" w:rsidRPr="005E655B" w:rsidRDefault="00E138EE" w:rsidP="000032C5">
          <w:pPr>
            <w:spacing w:before="120" w:after="120" w:line="240" w:lineRule="auto"/>
            <w:jc w:val="both"/>
            <w:rPr>
              <w:rFonts w:ascii="Times New Roman" w:hAnsi="Times New Roman" w:cs="Times New Roman"/>
              <w:sz w:val="24"/>
              <w:szCs w:val="24"/>
            </w:rPr>
          </w:pPr>
        </w:p>
        <w:p w:rsidR="00E138EE" w:rsidRPr="005E655B" w:rsidRDefault="00E138EE" w:rsidP="000032C5">
          <w:pPr>
            <w:spacing w:before="120" w:after="120" w:line="240" w:lineRule="auto"/>
            <w:jc w:val="both"/>
            <w:rPr>
              <w:rFonts w:ascii="Times New Roman" w:hAnsi="Times New Roman" w:cs="Times New Roman"/>
              <w:sz w:val="24"/>
              <w:szCs w:val="24"/>
            </w:rPr>
          </w:pPr>
        </w:p>
        <w:p w:rsidR="00EB2C8B" w:rsidRDefault="00547C88">
          <w:pPr>
            <w:pStyle w:val="TOC1"/>
            <w:rPr>
              <w:rFonts w:eastAsiaTheme="minorEastAsia"/>
              <w:noProof/>
              <w:lang w:val="en-US"/>
            </w:rPr>
          </w:pPr>
          <w:r w:rsidRPr="005E655B">
            <w:rPr>
              <w:rFonts w:ascii="Times New Roman" w:hAnsi="Times New Roman" w:cs="Times New Roman"/>
              <w:sz w:val="24"/>
              <w:szCs w:val="24"/>
            </w:rPr>
            <w:fldChar w:fldCharType="begin"/>
          </w:r>
          <w:r w:rsidR="00A54D75" w:rsidRPr="005E655B">
            <w:rPr>
              <w:rFonts w:ascii="Times New Roman" w:hAnsi="Times New Roman" w:cs="Times New Roman"/>
              <w:sz w:val="24"/>
              <w:szCs w:val="24"/>
            </w:rPr>
            <w:instrText xml:space="preserve"> TOC \o "1-3" \h \z \u </w:instrText>
          </w:r>
          <w:r w:rsidRPr="005E655B">
            <w:rPr>
              <w:rFonts w:ascii="Times New Roman" w:hAnsi="Times New Roman" w:cs="Times New Roman"/>
              <w:sz w:val="24"/>
              <w:szCs w:val="24"/>
            </w:rPr>
            <w:fldChar w:fldCharType="separate"/>
          </w:r>
          <w:hyperlink w:anchor="_Toc415751471" w:history="1">
            <w:r w:rsidR="00EB2C8B" w:rsidRPr="00211B4E">
              <w:rPr>
                <w:rStyle w:val="Hyperlink"/>
                <w:rFonts w:ascii="Times New Roman" w:hAnsi="Times New Roman" w:cs="Times New Roman"/>
                <w:noProof/>
              </w:rPr>
              <w:t>SIGLAS Y ABREVIATURAS</w:t>
            </w:r>
            <w:r w:rsidR="00EB2C8B">
              <w:rPr>
                <w:noProof/>
                <w:webHidden/>
              </w:rPr>
              <w:tab/>
            </w:r>
            <w:r w:rsidR="00EB2C8B">
              <w:rPr>
                <w:noProof/>
                <w:webHidden/>
              </w:rPr>
              <w:fldChar w:fldCharType="begin"/>
            </w:r>
            <w:r w:rsidR="00EB2C8B">
              <w:rPr>
                <w:noProof/>
                <w:webHidden/>
              </w:rPr>
              <w:instrText xml:space="preserve"> PAGEREF _Toc415751471 \h </w:instrText>
            </w:r>
            <w:r w:rsidR="00EB2C8B">
              <w:rPr>
                <w:noProof/>
                <w:webHidden/>
              </w:rPr>
            </w:r>
            <w:r w:rsidR="00EB2C8B">
              <w:rPr>
                <w:noProof/>
                <w:webHidden/>
              </w:rPr>
              <w:fldChar w:fldCharType="separate"/>
            </w:r>
            <w:r w:rsidR="00596A07">
              <w:rPr>
                <w:noProof/>
                <w:webHidden/>
              </w:rPr>
              <w:t>3</w:t>
            </w:r>
            <w:r w:rsidR="00EB2C8B">
              <w:rPr>
                <w:noProof/>
                <w:webHidden/>
              </w:rPr>
              <w:fldChar w:fldCharType="end"/>
            </w:r>
          </w:hyperlink>
        </w:p>
        <w:p w:rsidR="00EB2C8B" w:rsidRDefault="00111B63">
          <w:pPr>
            <w:pStyle w:val="TOC1"/>
            <w:rPr>
              <w:rFonts w:eastAsiaTheme="minorEastAsia"/>
              <w:noProof/>
              <w:lang w:val="en-US"/>
            </w:rPr>
          </w:pPr>
          <w:hyperlink w:anchor="_Toc415751472" w:history="1">
            <w:r w:rsidR="00EB2C8B" w:rsidRPr="00211B4E">
              <w:rPr>
                <w:rStyle w:val="Hyperlink"/>
                <w:rFonts w:ascii="Times New Roman" w:hAnsi="Times New Roman" w:cs="Times New Roman"/>
                <w:noProof/>
              </w:rPr>
              <w:t>I.</w:t>
            </w:r>
            <w:r w:rsidR="00EB2C8B">
              <w:rPr>
                <w:rFonts w:eastAsiaTheme="minorEastAsia"/>
                <w:noProof/>
                <w:lang w:val="en-US"/>
              </w:rPr>
              <w:tab/>
            </w:r>
            <w:r w:rsidR="00EB2C8B" w:rsidRPr="00211B4E">
              <w:rPr>
                <w:rStyle w:val="Hyperlink"/>
                <w:rFonts w:ascii="Times New Roman" w:hAnsi="Times New Roman" w:cs="Times New Roman"/>
                <w:noProof/>
              </w:rPr>
              <w:t>INTRODUCCIÓN</w:t>
            </w:r>
            <w:r w:rsidR="00EB2C8B">
              <w:rPr>
                <w:noProof/>
                <w:webHidden/>
              </w:rPr>
              <w:tab/>
            </w:r>
            <w:r w:rsidR="00EB2C8B">
              <w:rPr>
                <w:noProof/>
                <w:webHidden/>
              </w:rPr>
              <w:fldChar w:fldCharType="begin"/>
            </w:r>
            <w:r w:rsidR="00EB2C8B">
              <w:rPr>
                <w:noProof/>
                <w:webHidden/>
              </w:rPr>
              <w:instrText xml:space="preserve"> PAGEREF _Toc415751472 \h </w:instrText>
            </w:r>
            <w:r w:rsidR="00EB2C8B">
              <w:rPr>
                <w:noProof/>
                <w:webHidden/>
              </w:rPr>
            </w:r>
            <w:r w:rsidR="00EB2C8B">
              <w:rPr>
                <w:noProof/>
                <w:webHidden/>
              </w:rPr>
              <w:fldChar w:fldCharType="separate"/>
            </w:r>
            <w:r w:rsidR="00596A07">
              <w:rPr>
                <w:noProof/>
                <w:webHidden/>
              </w:rPr>
              <w:t>4</w:t>
            </w:r>
            <w:r w:rsidR="00EB2C8B">
              <w:rPr>
                <w:noProof/>
                <w:webHidden/>
              </w:rPr>
              <w:fldChar w:fldCharType="end"/>
            </w:r>
          </w:hyperlink>
        </w:p>
        <w:p w:rsidR="00EB2C8B" w:rsidRDefault="00111B63">
          <w:pPr>
            <w:pStyle w:val="TOC2"/>
            <w:rPr>
              <w:rFonts w:eastAsiaTheme="minorEastAsia"/>
              <w:noProof/>
              <w:lang w:val="en-US"/>
            </w:rPr>
          </w:pPr>
          <w:hyperlink w:anchor="_Toc415751473" w:history="1">
            <w:r w:rsidR="00EB2C8B" w:rsidRPr="00211B4E">
              <w:rPr>
                <w:rStyle w:val="Hyperlink"/>
                <w:rFonts w:ascii="Times New Roman" w:hAnsi="Times New Roman" w:cs="Times New Roman"/>
                <w:noProof/>
              </w:rPr>
              <w:t>Antecedentes de la Operación</w:t>
            </w:r>
            <w:r w:rsidR="00EB2C8B">
              <w:rPr>
                <w:noProof/>
                <w:webHidden/>
              </w:rPr>
              <w:tab/>
            </w:r>
            <w:r w:rsidR="00EB2C8B">
              <w:rPr>
                <w:noProof/>
                <w:webHidden/>
              </w:rPr>
              <w:fldChar w:fldCharType="begin"/>
            </w:r>
            <w:r w:rsidR="00EB2C8B">
              <w:rPr>
                <w:noProof/>
                <w:webHidden/>
              </w:rPr>
              <w:instrText xml:space="preserve"> PAGEREF _Toc415751473 \h </w:instrText>
            </w:r>
            <w:r w:rsidR="00EB2C8B">
              <w:rPr>
                <w:noProof/>
                <w:webHidden/>
              </w:rPr>
            </w:r>
            <w:r w:rsidR="00EB2C8B">
              <w:rPr>
                <w:noProof/>
                <w:webHidden/>
              </w:rPr>
              <w:fldChar w:fldCharType="separate"/>
            </w:r>
            <w:r w:rsidR="00596A07">
              <w:rPr>
                <w:noProof/>
                <w:webHidden/>
              </w:rPr>
              <w:t>5</w:t>
            </w:r>
            <w:r w:rsidR="00EB2C8B">
              <w:rPr>
                <w:noProof/>
                <w:webHidden/>
              </w:rPr>
              <w:fldChar w:fldCharType="end"/>
            </w:r>
          </w:hyperlink>
        </w:p>
        <w:p w:rsidR="00EB2C8B" w:rsidRDefault="00111B63">
          <w:pPr>
            <w:pStyle w:val="TOC2"/>
            <w:rPr>
              <w:rFonts w:eastAsiaTheme="minorEastAsia"/>
              <w:noProof/>
              <w:lang w:val="en-US"/>
            </w:rPr>
          </w:pPr>
          <w:hyperlink w:anchor="_Toc415751474" w:history="1">
            <w:r w:rsidR="00EB2C8B" w:rsidRPr="00211B4E">
              <w:rPr>
                <w:rStyle w:val="Hyperlink"/>
                <w:rFonts w:ascii="Times New Roman" w:hAnsi="Times New Roman" w:cs="Times New Roman"/>
                <w:noProof/>
              </w:rPr>
              <w:t>El Sistema Nacional de Distribución</w:t>
            </w:r>
            <w:r w:rsidR="00EB2C8B">
              <w:rPr>
                <w:noProof/>
                <w:webHidden/>
              </w:rPr>
              <w:tab/>
            </w:r>
            <w:r w:rsidR="00EB2C8B">
              <w:rPr>
                <w:noProof/>
                <w:webHidden/>
              </w:rPr>
              <w:fldChar w:fldCharType="begin"/>
            </w:r>
            <w:r w:rsidR="00EB2C8B">
              <w:rPr>
                <w:noProof/>
                <w:webHidden/>
              </w:rPr>
              <w:instrText xml:space="preserve"> PAGEREF _Toc415751474 \h </w:instrText>
            </w:r>
            <w:r w:rsidR="00EB2C8B">
              <w:rPr>
                <w:noProof/>
                <w:webHidden/>
              </w:rPr>
            </w:r>
            <w:r w:rsidR="00EB2C8B">
              <w:rPr>
                <w:noProof/>
                <w:webHidden/>
              </w:rPr>
              <w:fldChar w:fldCharType="separate"/>
            </w:r>
            <w:r w:rsidR="00596A07">
              <w:rPr>
                <w:noProof/>
                <w:webHidden/>
              </w:rPr>
              <w:t>6</w:t>
            </w:r>
            <w:r w:rsidR="00EB2C8B">
              <w:rPr>
                <w:noProof/>
                <w:webHidden/>
              </w:rPr>
              <w:fldChar w:fldCharType="end"/>
            </w:r>
          </w:hyperlink>
        </w:p>
        <w:p w:rsidR="00EB2C8B" w:rsidRDefault="00111B63">
          <w:pPr>
            <w:pStyle w:val="TOC2"/>
            <w:rPr>
              <w:rFonts w:eastAsiaTheme="minorEastAsia"/>
              <w:noProof/>
              <w:lang w:val="en-US"/>
            </w:rPr>
          </w:pPr>
          <w:hyperlink w:anchor="_Toc415751475" w:history="1">
            <w:r w:rsidR="00EB2C8B" w:rsidRPr="00211B4E">
              <w:rPr>
                <w:rStyle w:val="Hyperlink"/>
                <w:rFonts w:ascii="Times New Roman" w:hAnsi="Times New Roman" w:cs="Times New Roman"/>
                <w:noProof/>
              </w:rPr>
              <w:t>Justificación del aporte de fondos públicos</w:t>
            </w:r>
            <w:r w:rsidR="00EB2C8B">
              <w:rPr>
                <w:noProof/>
                <w:webHidden/>
              </w:rPr>
              <w:tab/>
            </w:r>
            <w:r w:rsidR="00EB2C8B">
              <w:rPr>
                <w:noProof/>
                <w:webHidden/>
              </w:rPr>
              <w:fldChar w:fldCharType="begin"/>
            </w:r>
            <w:r w:rsidR="00EB2C8B">
              <w:rPr>
                <w:noProof/>
                <w:webHidden/>
              </w:rPr>
              <w:instrText xml:space="preserve"> PAGEREF _Toc415751475 \h </w:instrText>
            </w:r>
            <w:r w:rsidR="00EB2C8B">
              <w:rPr>
                <w:noProof/>
                <w:webHidden/>
              </w:rPr>
            </w:r>
            <w:r w:rsidR="00EB2C8B">
              <w:rPr>
                <w:noProof/>
                <w:webHidden/>
              </w:rPr>
              <w:fldChar w:fldCharType="separate"/>
            </w:r>
            <w:r w:rsidR="00596A07">
              <w:rPr>
                <w:noProof/>
                <w:webHidden/>
              </w:rPr>
              <w:t>6</w:t>
            </w:r>
            <w:r w:rsidR="00EB2C8B">
              <w:rPr>
                <w:noProof/>
                <w:webHidden/>
              </w:rPr>
              <w:fldChar w:fldCharType="end"/>
            </w:r>
          </w:hyperlink>
        </w:p>
        <w:p w:rsidR="00EB2C8B" w:rsidRDefault="00111B63">
          <w:pPr>
            <w:pStyle w:val="TOC2"/>
            <w:rPr>
              <w:rFonts w:eastAsiaTheme="minorEastAsia"/>
              <w:noProof/>
              <w:lang w:val="en-US"/>
            </w:rPr>
          </w:pPr>
          <w:hyperlink w:anchor="_Toc415751476" w:history="1">
            <w:r w:rsidR="00EB2C8B" w:rsidRPr="00211B4E">
              <w:rPr>
                <w:rStyle w:val="Hyperlink"/>
                <w:rFonts w:ascii="Times New Roman" w:hAnsi="Times New Roman" w:cs="Times New Roman"/>
                <w:noProof/>
              </w:rPr>
              <w:t>Viabilidad financiera del Programa</w:t>
            </w:r>
            <w:r w:rsidR="00EB2C8B">
              <w:rPr>
                <w:noProof/>
                <w:webHidden/>
              </w:rPr>
              <w:tab/>
            </w:r>
            <w:r w:rsidR="00EB2C8B">
              <w:rPr>
                <w:noProof/>
                <w:webHidden/>
              </w:rPr>
              <w:fldChar w:fldCharType="begin"/>
            </w:r>
            <w:r w:rsidR="00EB2C8B">
              <w:rPr>
                <w:noProof/>
                <w:webHidden/>
              </w:rPr>
              <w:instrText xml:space="preserve"> PAGEREF _Toc415751476 \h </w:instrText>
            </w:r>
            <w:r w:rsidR="00EB2C8B">
              <w:rPr>
                <w:noProof/>
                <w:webHidden/>
              </w:rPr>
            </w:r>
            <w:r w:rsidR="00EB2C8B">
              <w:rPr>
                <w:noProof/>
                <w:webHidden/>
              </w:rPr>
              <w:fldChar w:fldCharType="separate"/>
            </w:r>
            <w:r w:rsidR="00596A07">
              <w:rPr>
                <w:noProof/>
                <w:webHidden/>
              </w:rPr>
              <w:t>7</w:t>
            </w:r>
            <w:r w:rsidR="00EB2C8B">
              <w:rPr>
                <w:noProof/>
                <w:webHidden/>
              </w:rPr>
              <w:fldChar w:fldCharType="end"/>
            </w:r>
          </w:hyperlink>
        </w:p>
        <w:p w:rsidR="00EB2C8B" w:rsidRDefault="00111B63">
          <w:pPr>
            <w:pStyle w:val="TOC2"/>
            <w:rPr>
              <w:rFonts w:eastAsiaTheme="minorEastAsia"/>
              <w:noProof/>
              <w:lang w:val="en-US"/>
            </w:rPr>
          </w:pPr>
          <w:hyperlink w:anchor="_Toc415751477" w:history="1">
            <w:r w:rsidR="00EB2C8B" w:rsidRPr="00211B4E">
              <w:rPr>
                <w:rStyle w:val="Hyperlink"/>
                <w:rFonts w:ascii="Times New Roman" w:hAnsi="Times New Roman" w:cs="Times New Roman"/>
                <w:noProof/>
              </w:rPr>
              <w:t>Planteamiento metodológico general</w:t>
            </w:r>
            <w:r w:rsidR="00EB2C8B">
              <w:rPr>
                <w:noProof/>
                <w:webHidden/>
              </w:rPr>
              <w:tab/>
            </w:r>
            <w:r w:rsidR="00EB2C8B">
              <w:rPr>
                <w:noProof/>
                <w:webHidden/>
              </w:rPr>
              <w:fldChar w:fldCharType="begin"/>
            </w:r>
            <w:r w:rsidR="00EB2C8B">
              <w:rPr>
                <w:noProof/>
                <w:webHidden/>
              </w:rPr>
              <w:instrText xml:space="preserve"> PAGEREF _Toc415751477 \h </w:instrText>
            </w:r>
            <w:r w:rsidR="00EB2C8B">
              <w:rPr>
                <w:noProof/>
                <w:webHidden/>
              </w:rPr>
            </w:r>
            <w:r w:rsidR="00EB2C8B">
              <w:rPr>
                <w:noProof/>
                <w:webHidden/>
              </w:rPr>
              <w:fldChar w:fldCharType="separate"/>
            </w:r>
            <w:r w:rsidR="00596A07">
              <w:rPr>
                <w:noProof/>
                <w:webHidden/>
              </w:rPr>
              <w:t>8</w:t>
            </w:r>
            <w:r w:rsidR="00EB2C8B">
              <w:rPr>
                <w:noProof/>
                <w:webHidden/>
              </w:rPr>
              <w:fldChar w:fldCharType="end"/>
            </w:r>
          </w:hyperlink>
        </w:p>
        <w:p w:rsidR="00EB2C8B" w:rsidRDefault="00111B63">
          <w:pPr>
            <w:pStyle w:val="TOC1"/>
            <w:rPr>
              <w:rFonts w:eastAsiaTheme="minorEastAsia"/>
              <w:noProof/>
              <w:lang w:val="en-US"/>
            </w:rPr>
          </w:pPr>
          <w:hyperlink w:anchor="_Toc415751478" w:history="1">
            <w:r w:rsidR="00EB2C8B" w:rsidRPr="00211B4E">
              <w:rPr>
                <w:rStyle w:val="Hyperlink"/>
                <w:rFonts w:ascii="Times New Roman" w:hAnsi="Times New Roman" w:cs="Times New Roman"/>
                <w:noProof/>
              </w:rPr>
              <w:t>II.</w:t>
            </w:r>
            <w:r w:rsidR="00EB2C8B">
              <w:rPr>
                <w:rFonts w:eastAsiaTheme="minorEastAsia"/>
                <w:noProof/>
                <w:lang w:val="en-US"/>
              </w:rPr>
              <w:tab/>
            </w:r>
            <w:r w:rsidR="00EB2C8B" w:rsidRPr="00211B4E">
              <w:rPr>
                <w:rStyle w:val="Hyperlink"/>
                <w:rFonts w:ascii="Times New Roman" w:hAnsi="Times New Roman" w:cs="Times New Roman"/>
                <w:noProof/>
              </w:rPr>
              <w:t>SUPUESTOS Y METODOLOGÍA</w:t>
            </w:r>
            <w:r w:rsidR="00EB2C8B">
              <w:rPr>
                <w:noProof/>
                <w:webHidden/>
              </w:rPr>
              <w:tab/>
            </w:r>
            <w:r w:rsidR="00EB2C8B">
              <w:rPr>
                <w:noProof/>
                <w:webHidden/>
              </w:rPr>
              <w:fldChar w:fldCharType="begin"/>
            </w:r>
            <w:r w:rsidR="00EB2C8B">
              <w:rPr>
                <w:noProof/>
                <w:webHidden/>
              </w:rPr>
              <w:instrText xml:space="preserve"> PAGEREF _Toc415751478 \h </w:instrText>
            </w:r>
            <w:r w:rsidR="00EB2C8B">
              <w:rPr>
                <w:noProof/>
                <w:webHidden/>
              </w:rPr>
            </w:r>
            <w:r w:rsidR="00EB2C8B">
              <w:rPr>
                <w:noProof/>
                <w:webHidden/>
              </w:rPr>
              <w:fldChar w:fldCharType="separate"/>
            </w:r>
            <w:r w:rsidR="00596A07">
              <w:rPr>
                <w:noProof/>
                <w:webHidden/>
              </w:rPr>
              <w:t>9</w:t>
            </w:r>
            <w:r w:rsidR="00EB2C8B">
              <w:rPr>
                <w:noProof/>
                <w:webHidden/>
              </w:rPr>
              <w:fldChar w:fldCharType="end"/>
            </w:r>
          </w:hyperlink>
        </w:p>
        <w:p w:rsidR="00EB2C8B" w:rsidRDefault="00111B63">
          <w:pPr>
            <w:pStyle w:val="TOC2"/>
            <w:rPr>
              <w:rFonts w:eastAsiaTheme="minorEastAsia"/>
              <w:noProof/>
              <w:lang w:val="en-US"/>
            </w:rPr>
          </w:pPr>
          <w:hyperlink w:anchor="_Toc415751479" w:history="1">
            <w:r w:rsidR="00EB2C8B" w:rsidRPr="00211B4E">
              <w:rPr>
                <w:rStyle w:val="Hyperlink"/>
                <w:rFonts w:ascii="Times New Roman" w:hAnsi="Times New Roman" w:cs="Times New Roman"/>
                <w:noProof/>
              </w:rPr>
              <w:t>Horizonte temporal del ACB</w:t>
            </w:r>
            <w:r w:rsidR="00EB2C8B">
              <w:rPr>
                <w:noProof/>
                <w:webHidden/>
              </w:rPr>
              <w:tab/>
            </w:r>
            <w:r w:rsidR="00EB2C8B">
              <w:rPr>
                <w:noProof/>
                <w:webHidden/>
              </w:rPr>
              <w:fldChar w:fldCharType="begin"/>
            </w:r>
            <w:r w:rsidR="00EB2C8B">
              <w:rPr>
                <w:noProof/>
                <w:webHidden/>
              </w:rPr>
              <w:instrText xml:space="preserve"> PAGEREF _Toc415751479 \h </w:instrText>
            </w:r>
            <w:r w:rsidR="00EB2C8B">
              <w:rPr>
                <w:noProof/>
                <w:webHidden/>
              </w:rPr>
            </w:r>
            <w:r w:rsidR="00EB2C8B">
              <w:rPr>
                <w:noProof/>
                <w:webHidden/>
              </w:rPr>
              <w:fldChar w:fldCharType="separate"/>
            </w:r>
            <w:r w:rsidR="00596A07">
              <w:rPr>
                <w:noProof/>
                <w:webHidden/>
              </w:rPr>
              <w:t>9</w:t>
            </w:r>
            <w:r w:rsidR="00EB2C8B">
              <w:rPr>
                <w:noProof/>
                <w:webHidden/>
              </w:rPr>
              <w:fldChar w:fldCharType="end"/>
            </w:r>
          </w:hyperlink>
        </w:p>
        <w:p w:rsidR="00EB2C8B" w:rsidRDefault="00111B63">
          <w:pPr>
            <w:pStyle w:val="TOC2"/>
            <w:rPr>
              <w:rFonts w:eastAsiaTheme="minorEastAsia"/>
              <w:noProof/>
              <w:lang w:val="en-US"/>
            </w:rPr>
          </w:pPr>
          <w:hyperlink w:anchor="_Toc415751480" w:history="1">
            <w:r w:rsidR="00EB2C8B" w:rsidRPr="00211B4E">
              <w:rPr>
                <w:rStyle w:val="Hyperlink"/>
                <w:rFonts w:ascii="Times New Roman" w:hAnsi="Times New Roman" w:cs="Times New Roman"/>
                <w:noProof/>
              </w:rPr>
              <w:t>Unidad Monetaria.</w:t>
            </w:r>
            <w:r w:rsidR="00EB2C8B">
              <w:rPr>
                <w:noProof/>
                <w:webHidden/>
              </w:rPr>
              <w:tab/>
            </w:r>
            <w:r w:rsidR="00EB2C8B">
              <w:rPr>
                <w:noProof/>
                <w:webHidden/>
              </w:rPr>
              <w:fldChar w:fldCharType="begin"/>
            </w:r>
            <w:r w:rsidR="00EB2C8B">
              <w:rPr>
                <w:noProof/>
                <w:webHidden/>
              </w:rPr>
              <w:instrText xml:space="preserve"> PAGEREF _Toc415751480 \h </w:instrText>
            </w:r>
            <w:r w:rsidR="00EB2C8B">
              <w:rPr>
                <w:noProof/>
                <w:webHidden/>
              </w:rPr>
            </w:r>
            <w:r w:rsidR="00EB2C8B">
              <w:rPr>
                <w:noProof/>
                <w:webHidden/>
              </w:rPr>
              <w:fldChar w:fldCharType="separate"/>
            </w:r>
            <w:r w:rsidR="00596A07">
              <w:rPr>
                <w:noProof/>
                <w:webHidden/>
              </w:rPr>
              <w:t>9</w:t>
            </w:r>
            <w:r w:rsidR="00EB2C8B">
              <w:rPr>
                <w:noProof/>
                <w:webHidden/>
              </w:rPr>
              <w:fldChar w:fldCharType="end"/>
            </w:r>
          </w:hyperlink>
        </w:p>
        <w:p w:rsidR="00EB2C8B" w:rsidRDefault="00111B63">
          <w:pPr>
            <w:pStyle w:val="TOC2"/>
            <w:rPr>
              <w:rFonts w:eastAsiaTheme="minorEastAsia"/>
              <w:noProof/>
              <w:lang w:val="en-US"/>
            </w:rPr>
          </w:pPr>
          <w:hyperlink w:anchor="_Toc415751481" w:history="1">
            <w:r w:rsidR="00EB2C8B" w:rsidRPr="00211B4E">
              <w:rPr>
                <w:rStyle w:val="Hyperlink"/>
                <w:rFonts w:ascii="Times New Roman" w:hAnsi="Times New Roman" w:cs="Times New Roman"/>
                <w:noProof/>
              </w:rPr>
              <w:t>Limitaciones metodológicas.</w:t>
            </w:r>
            <w:r w:rsidR="00EB2C8B">
              <w:rPr>
                <w:noProof/>
                <w:webHidden/>
              </w:rPr>
              <w:tab/>
            </w:r>
            <w:r w:rsidR="00EB2C8B">
              <w:rPr>
                <w:noProof/>
                <w:webHidden/>
              </w:rPr>
              <w:fldChar w:fldCharType="begin"/>
            </w:r>
            <w:r w:rsidR="00EB2C8B">
              <w:rPr>
                <w:noProof/>
                <w:webHidden/>
              </w:rPr>
              <w:instrText xml:space="preserve"> PAGEREF _Toc415751481 \h </w:instrText>
            </w:r>
            <w:r w:rsidR="00EB2C8B">
              <w:rPr>
                <w:noProof/>
                <w:webHidden/>
              </w:rPr>
            </w:r>
            <w:r w:rsidR="00EB2C8B">
              <w:rPr>
                <w:noProof/>
                <w:webHidden/>
              </w:rPr>
              <w:fldChar w:fldCharType="separate"/>
            </w:r>
            <w:r w:rsidR="00596A07">
              <w:rPr>
                <w:noProof/>
                <w:webHidden/>
              </w:rPr>
              <w:t>9</w:t>
            </w:r>
            <w:r w:rsidR="00EB2C8B">
              <w:rPr>
                <w:noProof/>
                <w:webHidden/>
              </w:rPr>
              <w:fldChar w:fldCharType="end"/>
            </w:r>
          </w:hyperlink>
        </w:p>
        <w:p w:rsidR="00EB2C8B" w:rsidRDefault="00111B63">
          <w:pPr>
            <w:pStyle w:val="TOC2"/>
            <w:rPr>
              <w:rFonts w:eastAsiaTheme="minorEastAsia"/>
              <w:noProof/>
              <w:lang w:val="en-US"/>
            </w:rPr>
          </w:pPr>
          <w:hyperlink w:anchor="_Toc415751482" w:history="1">
            <w:r w:rsidR="00EB2C8B" w:rsidRPr="00211B4E">
              <w:rPr>
                <w:rStyle w:val="Hyperlink"/>
                <w:rFonts w:ascii="Times New Roman" w:hAnsi="Times New Roman" w:cs="Times New Roman"/>
                <w:noProof/>
              </w:rPr>
              <w:t>Uso de Factores de Conversión</w:t>
            </w:r>
            <w:r w:rsidR="00EB2C8B">
              <w:rPr>
                <w:noProof/>
                <w:webHidden/>
              </w:rPr>
              <w:tab/>
            </w:r>
            <w:r w:rsidR="00EB2C8B">
              <w:rPr>
                <w:noProof/>
                <w:webHidden/>
              </w:rPr>
              <w:fldChar w:fldCharType="begin"/>
            </w:r>
            <w:r w:rsidR="00EB2C8B">
              <w:rPr>
                <w:noProof/>
                <w:webHidden/>
              </w:rPr>
              <w:instrText xml:space="preserve"> PAGEREF _Toc415751482 \h </w:instrText>
            </w:r>
            <w:r w:rsidR="00EB2C8B">
              <w:rPr>
                <w:noProof/>
                <w:webHidden/>
              </w:rPr>
            </w:r>
            <w:r w:rsidR="00EB2C8B">
              <w:rPr>
                <w:noProof/>
                <w:webHidden/>
              </w:rPr>
              <w:fldChar w:fldCharType="separate"/>
            </w:r>
            <w:r w:rsidR="00596A07">
              <w:rPr>
                <w:noProof/>
                <w:webHidden/>
              </w:rPr>
              <w:t>9</w:t>
            </w:r>
            <w:r w:rsidR="00EB2C8B">
              <w:rPr>
                <w:noProof/>
                <w:webHidden/>
              </w:rPr>
              <w:fldChar w:fldCharType="end"/>
            </w:r>
          </w:hyperlink>
        </w:p>
        <w:p w:rsidR="00EB2C8B" w:rsidRDefault="00111B63">
          <w:pPr>
            <w:pStyle w:val="TOC2"/>
            <w:rPr>
              <w:rFonts w:eastAsiaTheme="minorEastAsia"/>
              <w:noProof/>
              <w:lang w:val="en-US"/>
            </w:rPr>
          </w:pPr>
          <w:hyperlink w:anchor="_Toc415751483" w:history="1">
            <w:r w:rsidR="00EB2C8B" w:rsidRPr="00211B4E">
              <w:rPr>
                <w:rStyle w:val="Hyperlink"/>
                <w:rFonts w:ascii="Times New Roman" w:hAnsi="Times New Roman" w:cs="Times New Roman"/>
                <w:noProof/>
              </w:rPr>
              <w:t>Modelización de cálculo del ACB</w:t>
            </w:r>
            <w:r w:rsidR="00EB2C8B">
              <w:rPr>
                <w:noProof/>
                <w:webHidden/>
              </w:rPr>
              <w:tab/>
            </w:r>
            <w:r w:rsidR="00EB2C8B">
              <w:rPr>
                <w:noProof/>
                <w:webHidden/>
              </w:rPr>
              <w:fldChar w:fldCharType="begin"/>
            </w:r>
            <w:r w:rsidR="00EB2C8B">
              <w:rPr>
                <w:noProof/>
                <w:webHidden/>
              </w:rPr>
              <w:instrText xml:space="preserve"> PAGEREF _Toc415751483 \h </w:instrText>
            </w:r>
            <w:r w:rsidR="00EB2C8B">
              <w:rPr>
                <w:noProof/>
                <w:webHidden/>
              </w:rPr>
            </w:r>
            <w:r w:rsidR="00EB2C8B">
              <w:rPr>
                <w:noProof/>
                <w:webHidden/>
              </w:rPr>
              <w:fldChar w:fldCharType="separate"/>
            </w:r>
            <w:r w:rsidR="00596A07">
              <w:rPr>
                <w:noProof/>
                <w:webHidden/>
              </w:rPr>
              <w:t>10</w:t>
            </w:r>
            <w:r w:rsidR="00EB2C8B">
              <w:rPr>
                <w:noProof/>
                <w:webHidden/>
              </w:rPr>
              <w:fldChar w:fldCharType="end"/>
            </w:r>
          </w:hyperlink>
        </w:p>
        <w:p w:rsidR="00EB2C8B" w:rsidRDefault="00111B63">
          <w:pPr>
            <w:pStyle w:val="TOC2"/>
            <w:rPr>
              <w:rFonts w:eastAsiaTheme="minorEastAsia"/>
              <w:noProof/>
              <w:lang w:val="en-US"/>
            </w:rPr>
          </w:pPr>
          <w:hyperlink w:anchor="_Toc415751484" w:history="1">
            <w:r w:rsidR="00EB2C8B" w:rsidRPr="00211B4E">
              <w:rPr>
                <w:rStyle w:val="Hyperlink"/>
                <w:rFonts w:ascii="Times New Roman" w:hAnsi="Times New Roman" w:cs="Times New Roman"/>
                <w:noProof/>
              </w:rPr>
              <w:t>Outputs de la evaluación o parámetros de rentabilidad económica</w:t>
            </w:r>
            <w:r w:rsidR="00EB2C8B">
              <w:rPr>
                <w:noProof/>
                <w:webHidden/>
              </w:rPr>
              <w:tab/>
            </w:r>
            <w:r w:rsidR="00EB2C8B">
              <w:rPr>
                <w:noProof/>
                <w:webHidden/>
              </w:rPr>
              <w:fldChar w:fldCharType="begin"/>
            </w:r>
            <w:r w:rsidR="00EB2C8B">
              <w:rPr>
                <w:noProof/>
                <w:webHidden/>
              </w:rPr>
              <w:instrText xml:space="preserve"> PAGEREF _Toc415751484 \h </w:instrText>
            </w:r>
            <w:r w:rsidR="00EB2C8B">
              <w:rPr>
                <w:noProof/>
                <w:webHidden/>
              </w:rPr>
            </w:r>
            <w:r w:rsidR="00EB2C8B">
              <w:rPr>
                <w:noProof/>
                <w:webHidden/>
              </w:rPr>
              <w:fldChar w:fldCharType="separate"/>
            </w:r>
            <w:r w:rsidR="00596A07">
              <w:rPr>
                <w:noProof/>
                <w:webHidden/>
              </w:rPr>
              <w:t>11</w:t>
            </w:r>
            <w:r w:rsidR="00EB2C8B">
              <w:rPr>
                <w:noProof/>
                <w:webHidden/>
              </w:rPr>
              <w:fldChar w:fldCharType="end"/>
            </w:r>
          </w:hyperlink>
        </w:p>
        <w:p w:rsidR="00EB2C8B" w:rsidRDefault="00111B63">
          <w:pPr>
            <w:pStyle w:val="TOC1"/>
            <w:rPr>
              <w:rFonts w:eastAsiaTheme="minorEastAsia"/>
              <w:noProof/>
              <w:lang w:val="en-US"/>
            </w:rPr>
          </w:pPr>
          <w:hyperlink w:anchor="_Toc415751485" w:history="1">
            <w:r w:rsidR="00EB2C8B" w:rsidRPr="00211B4E">
              <w:rPr>
                <w:rStyle w:val="Hyperlink"/>
                <w:rFonts w:ascii="Times New Roman" w:hAnsi="Times New Roman" w:cs="Times New Roman"/>
                <w:noProof/>
                <w:lang w:val="en-US"/>
              </w:rPr>
              <w:t>III.</w:t>
            </w:r>
            <w:r w:rsidR="00EB2C8B">
              <w:rPr>
                <w:rFonts w:eastAsiaTheme="minorEastAsia"/>
                <w:noProof/>
                <w:lang w:val="en-US"/>
              </w:rPr>
              <w:tab/>
            </w:r>
            <w:r w:rsidR="00EB2C8B" w:rsidRPr="00211B4E">
              <w:rPr>
                <w:rStyle w:val="Hyperlink"/>
                <w:rFonts w:ascii="Times New Roman" w:hAnsi="Times New Roman" w:cs="Times New Roman"/>
                <w:noProof/>
                <w:lang w:val="en-US"/>
              </w:rPr>
              <w:t>BENEFICIOS ECONÓMICOS</w:t>
            </w:r>
            <w:r w:rsidR="00EB2C8B">
              <w:rPr>
                <w:noProof/>
                <w:webHidden/>
              </w:rPr>
              <w:tab/>
            </w:r>
            <w:r w:rsidR="00EB2C8B">
              <w:rPr>
                <w:noProof/>
                <w:webHidden/>
              </w:rPr>
              <w:fldChar w:fldCharType="begin"/>
            </w:r>
            <w:r w:rsidR="00EB2C8B">
              <w:rPr>
                <w:noProof/>
                <w:webHidden/>
              </w:rPr>
              <w:instrText xml:space="preserve"> PAGEREF _Toc415751485 \h </w:instrText>
            </w:r>
            <w:r w:rsidR="00EB2C8B">
              <w:rPr>
                <w:noProof/>
                <w:webHidden/>
              </w:rPr>
            </w:r>
            <w:r w:rsidR="00EB2C8B">
              <w:rPr>
                <w:noProof/>
                <w:webHidden/>
              </w:rPr>
              <w:fldChar w:fldCharType="separate"/>
            </w:r>
            <w:r w:rsidR="00596A07">
              <w:rPr>
                <w:noProof/>
                <w:webHidden/>
              </w:rPr>
              <w:t>12</w:t>
            </w:r>
            <w:r w:rsidR="00EB2C8B">
              <w:rPr>
                <w:noProof/>
                <w:webHidden/>
              </w:rPr>
              <w:fldChar w:fldCharType="end"/>
            </w:r>
          </w:hyperlink>
        </w:p>
        <w:p w:rsidR="00EB2C8B" w:rsidRDefault="00111B63">
          <w:pPr>
            <w:pStyle w:val="TOC2"/>
            <w:rPr>
              <w:rFonts w:eastAsiaTheme="minorEastAsia"/>
              <w:noProof/>
              <w:lang w:val="en-US"/>
            </w:rPr>
          </w:pPr>
          <w:hyperlink w:anchor="_Toc415751486" w:history="1">
            <w:r w:rsidR="00EB2C8B" w:rsidRPr="00211B4E">
              <w:rPr>
                <w:rStyle w:val="Hyperlink"/>
                <w:rFonts w:ascii="Times New Roman" w:hAnsi="Times New Roman" w:cs="Times New Roman"/>
                <w:noProof/>
              </w:rPr>
              <w:t>Beneficios económicos cuantificados</w:t>
            </w:r>
            <w:r w:rsidR="00EB2C8B">
              <w:rPr>
                <w:noProof/>
                <w:webHidden/>
              </w:rPr>
              <w:tab/>
            </w:r>
            <w:r w:rsidR="00EB2C8B">
              <w:rPr>
                <w:noProof/>
                <w:webHidden/>
              </w:rPr>
              <w:fldChar w:fldCharType="begin"/>
            </w:r>
            <w:r w:rsidR="00EB2C8B">
              <w:rPr>
                <w:noProof/>
                <w:webHidden/>
              </w:rPr>
              <w:instrText xml:space="preserve"> PAGEREF _Toc415751486 \h </w:instrText>
            </w:r>
            <w:r w:rsidR="00EB2C8B">
              <w:rPr>
                <w:noProof/>
                <w:webHidden/>
              </w:rPr>
            </w:r>
            <w:r w:rsidR="00EB2C8B">
              <w:rPr>
                <w:noProof/>
                <w:webHidden/>
              </w:rPr>
              <w:fldChar w:fldCharType="separate"/>
            </w:r>
            <w:r w:rsidR="00596A07">
              <w:rPr>
                <w:noProof/>
                <w:webHidden/>
              </w:rPr>
              <w:t>12</w:t>
            </w:r>
            <w:r w:rsidR="00EB2C8B">
              <w:rPr>
                <w:noProof/>
                <w:webHidden/>
              </w:rPr>
              <w:fldChar w:fldCharType="end"/>
            </w:r>
          </w:hyperlink>
        </w:p>
        <w:p w:rsidR="00EB2C8B" w:rsidRDefault="00111B63">
          <w:pPr>
            <w:pStyle w:val="TOC2"/>
            <w:rPr>
              <w:rFonts w:eastAsiaTheme="minorEastAsia"/>
              <w:noProof/>
              <w:lang w:val="en-US"/>
            </w:rPr>
          </w:pPr>
          <w:hyperlink w:anchor="_Toc415751487" w:history="1">
            <w:r w:rsidR="00EB2C8B" w:rsidRPr="00211B4E">
              <w:rPr>
                <w:rStyle w:val="Hyperlink"/>
                <w:rFonts w:ascii="Times New Roman" w:hAnsi="Times New Roman" w:cs="Times New Roman"/>
                <w:noProof/>
              </w:rPr>
              <w:t>Excedentes de los consumidores de electricidad</w:t>
            </w:r>
            <w:r w:rsidR="00EB2C8B">
              <w:rPr>
                <w:noProof/>
                <w:webHidden/>
              </w:rPr>
              <w:tab/>
            </w:r>
            <w:r w:rsidR="00EB2C8B">
              <w:rPr>
                <w:noProof/>
                <w:webHidden/>
              </w:rPr>
              <w:fldChar w:fldCharType="begin"/>
            </w:r>
            <w:r w:rsidR="00EB2C8B">
              <w:rPr>
                <w:noProof/>
                <w:webHidden/>
              </w:rPr>
              <w:instrText xml:space="preserve"> PAGEREF _Toc415751487 \h </w:instrText>
            </w:r>
            <w:r w:rsidR="00EB2C8B">
              <w:rPr>
                <w:noProof/>
                <w:webHidden/>
              </w:rPr>
            </w:r>
            <w:r w:rsidR="00EB2C8B">
              <w:rPr>
                <w:noProof/>
                <w:webHidden/>
              </w:rPr>
              <w:fldChar w:fldCharType="separate"/>
            </w:r>
            <w:r w:rsidR="00596A07">
              <w:rPr>
                <w:noProof/>
                <w:webHidden/>
              </w:rPr>
              <w:t>12</w:t>
            </w:r>
            <w:r w:rsidR="00EB2C8B">
              <w:rPr>
                <w:noProof/>
                <w:webHidden/>
              </w:rPr>
              <w:fldChar w:fldCharType="end"/>
            </w:r>
          </w:hyperlink>
        </w:p>
        <w:p w:rsidR="00EB2C8B" w:rsidRDefault="00111B63">
          <w:pPr>
            <w:pStyle w:val="TOC2"/>
            <w:rPr>
              <w:rFonts w:eastAsiaTheme="minorEastAsia"/>
              <w:noProof/>
              <w:lang w:val="en-US"/>
            </w:rPr>
          </w:pPr>
          <w:hyperlink w:anchor="_Toc415751488" w:history="1">
            <w:r w:rsidR="00EB2C8B" w:rsidRPr="00211B4E">
              <w:rPr>
                <w:rStyle w:val="Hyperlink"/>
                <w:rFonts w:ascii="Times New Roman" w:hAnsi="Times New Roman" w:cs="Times New Roman"/>
                <w:noProof/>
              </w:rPr>
              <w:t>Disminución de los cortes de energía</w:t>
            </w:r>
            <w:r w:rsidR="00EB2C8B">
              <w:rPr>
                <w:noProof/>
                <w:webHidden/>
              </w:rPr>
              <w:tab/>
            </w:r>
            <w:r w:rsidR="00EB2C8B">
              <w:rPr>
                <w:noProof/>
                <w:webHidden/>
              </w:rPr>
              <w:fldChar w:fldCharType="begin"/>
            </w:r>
            <w:r w:rsidR="00EB2C8B">
              <w:rPr>
                <w:noProof/>
                <w:webHidden/>
              </w:rPr>
              <w:instrText xml:space="preserve"> PAGEREF _Toc415751488 \h </w:instrText>
            </w:r>
            <w:r w:rsidR="00EB2C8B">
              <w:rPr>
                <w:noProof/>
                <w:webHidden/>
              </w:rPr>
            </w:r>
            <w:r w:rsidR="00EB2C8B">
              <w:rPr>
                <w:noProof/>
                <w:webHidden/>
              </w:rPr>
              <w:fldChar w:fldCharType="separate"/>
            </w:r>
            <w:r w:rsidR="00596A07">
              <w:rPr>
                <w:noProof/>
                <w:webHidden/>
              </w:rPr>
              <w:t>14</w:t>
            </w:r>
            <w:r w:rsidR="00EB2C8B">
              <w:rPr>
                <w:noProof/>
                <w:webHidden/>
              </w:rPr>
              <w:fldChar w:fldCharType="end"/>
            </w:r>
          </w:hyperlink>
        </w:p>
        <w:p w:rsidR="00EB2C8B" w:rsidRDefault="00111B63">
          <w:pPr>
            <w:pStyle w:val="TOC1"/>
            <w:rPr>
              <w:rFonts w:eastAsiaTheme="minorEastAsia"/>
              <w:noProof/>
              <w:lang w:val="en-US"/>
            </w:rPr>
          </w:pPr>
          <w:hyperlink w:anchor="_Toc415751489" w:history="1">
            <w:r w:rsidR="00EB2C8B" w:rsidRPr="00211B4E">
              <w:rPr>
                <w:rStyle w:val="Hyperlink"/>
                <w:rFonts w:ascii="Times New Roman" w:hAnsi="Times New Roman" w:cs="Times New Roman"/>
                <w:noProof/>
                <w:lang w:val="en-US"/>
              </w:rPr>
              <w:t>IV.</w:t>
            </w:r>
            <w:r w:rsidR="00EB2C8B">
              <w:rPr>
                <w:rFonts w:eastAsiaTheme="minorEastAsia"/>
                <w:noProof/>
                <w:lang w:val="en-US"/>
              </w:rPr>
              <w:tab/>
            </w:r>
            <w:r w:rsidR="00EB2C8B" w:rsidRPr="00211B4E">
              <w:rPr>
                <w:rStyle w:val="Hyperlink"/>
                <w:rFonts w:ascii="Times New Roman" w:hAnsi="Times New Roman" w:cs="Times New Roman"/>
                <w:noProof/>
                <w:lang w:val="en-US"/>
              </w:rPr>
              <w:t>COSTOS ECONÓMICOS</w:t>
            </w:r>
            <w:r w:rsidR="00EB2C8B">
              <w:rPr>
                <w:noProof/>
                <w:webHidden/>
              </w:rPr>
              <w:tab/>
            </w:r>
            <w:r w:rsidR="00EB2C8B">
              <w:rPr>
                <w:noProof/>
                <w:webHidden/>
              </w:rPr>
              <w:fldChar w:fldCharType="begin"/>
            </w:r>
            <w:r w:rsidR="00EB2C8B">
              <w:rPr>
                <w:noProof/>
                <w:webHidden/>
              </w:rPr>
              <w:instrText xml:space="preserve"> PAGEREF _Toc415751489 \h </w:instrText>
            </w:r>
            <w:r w:rsidR="00EB2C8B">
              <w:rPr>
                <w:noProof/>
                <w:webHidden/>
              </w:rPr>
            </w:r>
            <w:r w:rsidR="00EB2C8B">
              <w:rPr>
                <w:noProof/>
                <w:webHidden/>
              </w:rPr>
              <w:fldChar w:fldCharType="separate"/>
            </w:r>
            <w:r w:rsidR="00596A07">
              <w:rPr>
                <w:noProof/>
                <w:webHidden/>
              </w:rPr>
              <w:t>15</w:t>
            </w:r>
            <w:r w:rsidR="00EB2C8B">
              <w:rPr>
                <w:noProof/>
                <w:webHidden/>
              </w:rPr>
              <w:fldChar w:fldCharType="end"/>
            </w:r>
          </w:hyperlink>
        </w:p>
        <w:p w:rsidR="00EB2C8B" w:rsidRDefault="00111B63">
          <w:pPr>
            <w:pStyle w:val="TOC1"/>
            <w:rPr>
              <w:rFonts w:eastAsiaTheme="minorEastAsia"/>
              <w:noProof/>
              <w:lang w:val="en-US"/>
            </w:rPr>
          </w:pPr>
          <w:hyperlink w:anchor="_Toc415751490" w:history="1">
            <w:r w:rsidR="00EB2C8B" w:rsidRPr="00211B4E">
              <w:rPr>
                <w:rStyle w:val="Hyperlink"/>
                <w:rFonts w:ascii="Times New Roman" w:hAnsi="Times New Roman" w:cs="Times New Roman"/>
                <w:noProof/>
              </w:rPr>
              <w:t>V.</w:t>
            </w:r>
            <w:r w:rsidR="00EB2C8B">
              <w:rPr>
                <w:rFonts w:eastAsiaTheme="minorEastAsia"/>
                <w:noProof/>
                <w:lang w:val="en-US"/>
              </w:rPr>
              <w:tab/>
            </w:r>
            <w:r w:rsidR="00EB2C8B" w:rsidRPr="00211B4E">
              <w:rPr>
                <w:rStyle w:val="Hyperlink"/>
                <w:rFonts w:ascii="Times New Roman" w:hAnsi="Times New Roman" w:cs="Times New Roman"/>
                <w:noProof/>
              </w:rPr>
              <w:t>RESULTADOS Y RENTABILIDAD ECONÓMICA DEL PROGRAMA</w:t>
            </w:r>
            <w:r w:rsidR="00EB2C8B">
              <w:rPr>
                <w:noProof/>
                <w:webHidden/>
              </w:rPr>
              <w:tab/>
            </w:r>
            <w:r w:rsidR="00EB2C8B">
              <w:rPr>
                <w:noProof/>
                <w:webHidden/>
              </w:rPr>
              <w:fldChar w:fldCharType="begin"/>
            </w:r>
            <w:r w:rsidR="00EB2C8B">
              <w:rPr>
                <w:noProof/>
                <w:webHidden/>
              </w:rPr>
              <w:instrText xml:space="preserve"> PAGEREF _Toc415751490 \h </w:instrText>
            </w:r>
            <w:r w:rsidR="00EB2C8B">
              <w:rPr>
                <w:noProof/>
                <w:webHidden/>
              </w:rPr>
            </w:r>
            <w:r w:rsidR="00EB2C8B">
              <w:rPr>
                <w:noProof/>
                <w:webHidden/>
              </w:rPr>
              <w:fldChar w:fldCharType="separate"/>
            </w:r>
            <w:r w:rsidR="00596A07">
              <w:rPr>
                <w:noProof/>
                <w:webHidden/>
              </w:rPr>
              <w:t>17</w:t>
            </w:r>
            <w:r w:rsidR="00EB2C8B">
              <w:rPr>
                <w:noProof/>
                <w:webHidden/>
              </w:rPr>
              <w:fldChar w:fldCharType="end"/>
            </w:r>
          </w:hyperlink>
        </w:p>
        <w:p w:rsidR="00EB2C8B" w:rsidRDefault="00111B63">
          <w:pPr>
            <w:pStyle w:val="TOC1"/>
            <w:rPr>
              <w:rFonts w:eastAsiaTheme="minorEastAsia"/>
              <w:noProof/>
              <w:lang w:val="en-US"/>
            </w:rPr>
          </w:pPr>
          <w:hyperlink w:anchor="_Toc415751491" w:history="1">
            <w:r w:rsidR="00EB2C8B" w:rsidRPr="00211B4E">
              <w:rPr>
                <w:rStyle w:val="Hyperlink"/>
                <w:rFonts w:ascii="Times New Roman" w:hAnsi="Times New Roman" w:cs="Times New Roman"/>
                <w:noProof/>
              </w:rPr>
              <w:t>VI.</w:t>
            </w:r>
            <w:r w:rsidR="00EB2C8B">
              <w:rPr>
                <w:rFonts w:eastAsiaTheme="minorEastAsia"/>
                <w:noProof/>
                <w:lang w:val="en-US"/>
              </w:rPr>
              <w:tab/>
            </w:r>
            <w:r w:rsidR="00EB2C8B" w:rsidRPr="00211B4E">
              <w:rPr>
                <w:rStyle w:val="Hyperlink"/>
                <w:rFonts w:ascii="Times New Roman" w:hAnsi="Times New Roman" w:cs="Times New Roman"/>
                <w:noProof/>
              </w:rPr>
              <w:t>ANÁLISIS DE SENSIBILIDAD</w:t>
            </w:r>
            <w:r w:rsidR="00EB2C8B">
              <w:rPr>
                <w:noProof/>
                <w:webHidden/>
              </w:rPr>
              <w:tab/>
            </w:r>
            <w:r w:rsidR="00EB2C8B">
              <w:rPr>
                <w:noProof/>
                <w:webHidden/>
              </w:rPr>
              <w:fldChar w:fldCharType="begin"/>
            </w:r>
            <w:r w:rsidR="00EB2C8B">
              <w:rPr>
                <w:noProof/>
                <w:webHidden/>
              </w:rPr>
              <w:instrText xml:space="preserve"> PAGEREF _Toc415751491 \h </w:instrText>
            </w:r>
            <w:r w:rsidR="00EB2C8B">
              <w:rPr>
                <w:noProof/>
                <w:webHidden/>
              </w:rPr>
            </w:r>
            <w:r w:rsidR="00EB2C8B">
              <w:rPr>
                <w:noProof/>
                <w:webHidden/>
              </w:rPr>
              <w:fldChar w:fldCharType="separate"/>
            </w:r>
            <w:r w:rsidR="00596A07">
              <w:rPr>
                <w:noProof/>
                <w:webHidden/>
              </w:rPr>
              <w:t>19</w:t>
            </w:r>
            <w:r w:rsidR="00EB2C8B">
              <w:rPr>
                <w:noProof/>
                <w:webHidden/>
              </w:rPr>
              <w:fldChar w:fldCharType="end"/>
            </w:r>
          </w:hyperlink>
        </w:p>
        <w:p w:rsidR="00EB2C8B" w:rsidRDefault="00111B63">
          <w:pPr>
            <w:pStyle w:val="TOC2"/>
            <w:rPr>
              <w:rFonts w:eastAsiaTheme="minorEastAsia"/>
              <w:noProof/>
              <w:lang w:val="en-US"/>
            </w:rPr>
          </w:pPr>
          <w:hyperlink w:anchor="_Toc415751492" w:history="1">
            <w:r w:rsidR="00EB2C8B" w:rsidRPr="00EB2C8B">
              <w:rPr>
                <w:rStyle w:val="Hyperlink"/>
                <w:rFonts w:ascii="Times New Roman" w:hAnsi="Times New Roman" w:cs="Times New Roman"/>
                <w:noProof/>
                <w:sz w:val="24"/>
                <w:szCs w:val="24"/>
              </w:rPr>
              <w:t>Escenario PNCE</w:t>
            </w:r>
            <w:r w:rsidR="00EB2C8B">
              <w:rPr>
                <w:noProof/>
                <w:webHidden/>
              </w:rPr>
              <w:tab/>
            </w:r>
            <w:r w:rsidR="00EB2C8B">
              <w:rPr>
                <w:noProof/>
                <w:webHidden/>
              </w:rPr>
              <w:fldChar w:fldCharType="begin"/>
            </w:r>
            <w:r w:rsidR="00EB2C8B">
              <w:rPr>
                <w:noProof/>
                <w:webHidden/>
              </w:rPr>
              <w:instrText xml:space="preserve"> PAGEREF _Toc415751492 \h </w:instrText>
            </w:r>
            <w:r w:rsidR="00EB2C8B">
              <w:rPr>
                <w:noProof/>
                <w:webHidden/>
              </w:rPr>
            </w:r>
            <w:r w:rsidR="00EB2C8B">
              <w:rPr>
                <w:noProof/>
                <w:webHidden/>
              </w:rPr>
              <w:fldChar w:fldCharType="separate"/>
            </w:r>
            <w:r w:rsidR="00596A07">
              <w:rPr>
                <w:noProof/>
                <w:webHidden/>
              </w:rPr>
              <w:t>20</w:t>
            </w:r>
            <w:r w:rsidR="00EB2C8B">
              <w:rPr>
                <w:noProof/>
                <w:webHidden/>
              </w:rPr>
              <w:fldChar w:fldCharType="end"/>
            </w:r>
          </w:hyperlink>
        </w:p>
        <w:p w:rsidR="00EB2C8B" w:rsidRDefault="00111B63">
          <w:pPr>
            <w:pStyle w:val="TOC1"/>
            <w:rPr>
              <w:rFonts w:eastAsiaTheme="minorEastAsia"/>
              <w:noProof/>
              <w:lang w:val="en-US"/>
            </w:rPr>
          </w:pPr>
          <w:hyperlink w:anchor="_Toc415751493" w:history="1">
            <w:r w:rsidR="00EB2C8B" w:rsidRPr="00211B4E">
              <w:rPr>
                <w:rStyle w:val="Hyperlink"/>
                <w:rFonts w:ascii="Times New Roman" w:hAnsi="Times New Roman" w:cs="Times New Roman"/>
                <w:noProof/>
              </w:rPr>
              <w:t>DOCUMENTACIÓN Y FUENTES DE INFORMACIÓN UTILIZADAS</w:t>
            </w:r>
            <w:r w:rsidR="00EB2C8B">
              <w:rPr>
                <w:noProof/>
                <w:webHidden/>
              </w:rPr>
              <w:tab/>
            </w:r>
            <w:r w:rsidR="00EB2C8B">
              <w:rPr>
                <w:noProof/>
                <w:webHidden/>
              </w:rPr>
              <w:fldChar w:fldCharType="begin"/>
            </w:r>
            <w:r w:rsidR="00EB2C8B">
              <w:rPr>
                <w:noProof/>
                <w:webHidden/>
              </w:rPr>
              <w:instrText xml:space="preserve"> PAGEREF _Toc415751493 \h </w:instrText>
            </w:r>
            <w:r w:rsidR="00EB2C8B">
              <w:rPr>
                <w:noProof/>
                <w:webHidden/>
              </w:rPr>
            </w:r>
            <w:r w:rsidR="00EB2C8B">
              <w:rPr>
                <w:noProof/>
                <w:webHidden/>
              </w:rPr>
              <w:fldChar w:fldCharType="separate"/>
            </w:r>
            <w:r w:rsidR="00596A07">
              <w:rPr>
                <w:noProof/>
                <w:webHidden/>
              </w:rPr>
              <w:t>22</w:t>
            </w:r>
            <w:r w:rsidR="00EB2C8B">
              <w:rPr>
                <w:noProof/>
                <w:webHidden/>
              </w:rPr>
              <w:fldChar w:fldCharType="end"/>
            </w:r>
          </w:hyperlink>
        </w:p>
        <w:p w:rsidR="00EB2C8B" w:rsidRDefault="00111B63">
          <w:pPr>
            <w:pStyle w:val="TOC1"/>
            <w:rPr>
              <w:rFonts w:eastAsiaTheme="minorEastAsia"/>
              <w:noProof/>
              <w:lang w:val="en-US"/>
            </w:rPr>
          </w:pPr>
          <w:hyperlink w:anchor="_Toc415751494" w:history="1">
            <w:r w:rsidR="00EB2C8B" w:rsidRPr="00211B4E">
              <w:rPr>
                <w:rStyle w:val="Hyperlink"/>
                <w:rFonts w:ascii="Times New Roman" w:hAnsi="Times New Roman" w:cs="Times New Roman"/>
                <w:noProof/>
              </w:rPr>
              <w:t>ANEXO I: CUADRO RESUMEN DE FLUJOS ECONÓMICOS DEL ACB</w:t>
            </w:r>
            <w:r w:rsidR="00EB2C8B">
              <w:rPr>
                <w:noProof/>
                <w:webHidden/>
              </w:rPr>
              <w:tab/>
            </w:r>
            <w:r w:rsidR="00EB2C8B">
              <w:rPr>
                <w:noProof/>
                <w:webHidden/>
              </w:rPr>
              <w:fldChar w:fldCharType="begin"/>
            </w:r>
            <w:r w:rsidR="00EB2C8B">
              <w:rPr>
                <w:noProof/>
                <w:webHidden/>
              </w:rPr>
              <w:instrText xml:space="preserve"> PAGEREF _Toc415751494 \h </w:instrText>
            </w:r>
            <w:r w:rsidR="00EB2C8B">
              <w:rPr>
                <w:noProof/>
                <w:webHidden/>
              </w:rPr>
            </w:r>
            <w:r w:rsidR="00EB2C8B">
              <w:rPr>
                <w:noProof/>
                <w:webHidden/>
              </w:rPr>
              <w:fldChar w:fldCharType="separate"/>
            </w:r>
            <w:r w:rsidR="00596A07">
              <w:rPr>
                <w:noProof/>
                <w:webHidden/>
              </w:rPr>
              <w:t>23</w:t>
            </w:r>
            <w:r w:rsidR="00EB2C8B">
              <w:rPr>
                <w:noProof/>
                <w:webHidden/>
              </w:rPr>
              <w:fldChar w:fldCharType="end"/>
            </w:r>
          </w:hyperlink>
        </w:p>
        <w:p w:rsidR="00274282" w:rsidRPr="005E655B" w:rsidRDefault="00547C88" w:rsidP="000032C5">
          <w:p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fldChar w:fldCharType="end"/>
          </w:r>
        </w:p>
      </w:sdtContent>
    </w:sdt>
    <w:p w:rsidR="00EB2C8B" w:rsidRDefault="00EB2C8B" w:rsidP="00EB2C8B">
      <w:pPr>
        <w:tabs>
          <w:tab w:val="center" w:pos="4320"/>
          <w:tab w:val="right" w:pos="8640"/>
        </w:tabs>
        <w:spacing w:before="120" w:after="120" w:line="240" w:lineRule="auto"/>
        <w:jc w:val="left"/>
        <w:rPr>
          <w:rFonts w:ascii="Times New Roman" w:hAnsi="Times New Roman" w:cs="Times New Roman"/>
          <w:sz w:val="24"/>
          <w:szCs w:val="24"/>
        </w:rPr>
      </w:pPr>
      <w:bookmarkStart w:id="2" w:name="_Toc352446311"/>
      <w:r>
        <w:rPr>
          <w:rFonts w:ascii="Times New Roman" w:hAnsi="Times New Roman" w:cs="Times New Roman"/>
          <w:sz w:val="24"/>
          <w:szCs w:val="24"/>
        </w:rPr>
        <w:tab/>
      </w:r>
      <w:r>
        <w:rPr>
          <w:rFonts w:ascii="Times New Roman" w:hAnsi="Times New Roman" w:cs="Times New Roman"/>
          <w:sz w:val="24"/>
          <w:szCs w:val="24"/>
        </w:rPr>
        <w:tab/>
      </w:r>
    </w:p>
    <w:p w:rsidR="00BC279D" w:rsidRPr="005E655B" w:rsidRDefault="00BC279D" w:rsidP="00EB2C8B">
      <w:pPr>
        <w:tabs>
          <w:tab w:val="center" w:pos="4320"/>
          <w:tab w:val="right" w:pos="8640"/>
        </w:tabs>
        <w:spacing w:before="120" w:after="120" w:line="240" w:lineRule="auto"/>
        <w:jc w:val="left"/>
        <w:rPr>
          <w:rFonts w:ascii="Times New Roman" w:eastAsiaTheme="majorEastAsia" w:hAnsi="Times New Roman" w:cs="Times New Roman"/>
          <w:b/>
          <w:bCs/>
          <w:sz w:val="24"/>
          <w:szCs w:val="24"/>
        </w:rPr>
      </w:pPr>
      <w:r w:rsidRPr="00EB2C8B">
        <w:rPr>
          <w:rFonts w:ascii="Times New Roman" w:hAnsi="Times New Roman" w:cs="Times New Roman"/>
          <w:sz w:val="24"/>
          <w:szCs w:val="24"/>
        </w:rPr>
        <w:br w:type="page"/>
      </w:r>
      <w:r w:rsidR="00EB2C8B">
        <w:rPr>
          <w:rFonts w:ascii="Times New Roman" w:hAnsi="Times New Roman" w:cs="Times New Roman"/>
          <w:sz w:val="24"/>
          <w:szCs w:val="24"/>
        </w:rPr>
        <w:lastRenderedPageBreak/>
        <w:tab/>
      </w:r>
    </w:p>
    <w:p w:rsidR="00470C8D" w:rsidRPr="005E655B" w:rsidRDefault="00470C8D" w:rsidP="000032C5">
      <w:pPr>
        <w:pStyle w:val="Heading1"/>
        <w:spacing w:before="120" w:after="120" w:line="240" w:lineRule="auto"/>
        <w:jc w:val="both"/>
        <w:rPr>
          <w:rFonts w:ascii="Times New Roman" w:hAnsi="Times New Roman" w:cs="Times New Roman"/>
          <w:color w:val="auto"/>
          <w:sz w:val="24"/>
          <w:szCs w:val="24"/>
        </w:rPr>
      </w:pPr>
      <w:bookmarkStart w:id="3" w:name="_Toc415751471"/>
      <w:r w:rsidRPr="005E655B">
        <w:rPr>
          <w:rFonts w:ascii="Times New Roman" w:hAnsi="Times New Roman" w:cs="Times New Roman"/>
          <w:color w:val="auto"/>
          <w:sz w:val="24"/>
          <w:szCs w:val="24"/>
        </w:rPr>
        <w:t>SIGLAS Y ABREVIATURAS</w:t>
      </w:r>
      <w:bookmarkEnd w:id="2"/>
      <w:bookmarkEnd w:id="3"/>
    </w:p>
    <w:p w:rsidR="00BC279D" w:rsidRPr="005E655B" w:rsidRDefault="00BC279D" w:rsidP="000032C5">
      <w:pPr>
        <w:spacing w:before="120" w:after="120" w:line="240" w:lineRule="auto"/>
        <w:rPr>
          <w:rFonts w:ascii="Times New Roman" w:hAnsi="Times New Roman" w:cs="Times New Roman"/>
          <w:sz w:val="24"/>
          <w:szCs w:val="24"/>
        </w:rPr>
      </w:pPr>
    </w:p>
    <w:p w:rsidR="00BC279D" w:rsidRPr="005E655B" w:rsidRDefault="00BC279D" w:rsidP="000032C5">
      <w:pPr>
        <w:spacing w:before="120" w:after="120" w:line="240" w:lineRule="auto"/>
        <w:rPr>
          <w:rFonts w:ascii="Times New Roman" w:hAnsi="Times New Roman" w:cs="Times New Roman"/>
          <w:sz w:val="24"/>
          <w:szCs w:val="24"/>
        </w:rPr>
      </w:pPr>
    </w:p>
    <w:p w:rsidR="00470C8D" w:rsidRPr="005E655B" w:rsidRDefault="00470C8D" w:rsidP="000032C5">
      <w:pPr>
        <w:autoSpaceDE w:val="0"/>
        <w:autoSpaceDN w:val="0"/>
        <w:adjustRightInd w:val="0"/>
        <w:spacing w:before="120" w:after="120" w:line="240" w:lineRule="auto"/>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6237"/>
      </w:tblGrid>
      <w:tr w:rsidR="00096D87" w:rsidRPr="005E655B" w:rsidTr="00F17041">
        <w:trPr>
          <w:trHeight w:val="454"/>
        </w:trPr>
        <w:tc>
          <w:tcPr>
            <w:tcW w:w="1809" w:type="dxa"/>
            <w:vAlign w:val="center"/>
          </w:tcPr>
          <w:p w:rsidR="00096D87" w:rsidRPr="005E655B" w:rsidRDefault="00096D87"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ACB</w:t>
            </w:r>
          </w:p>
        </w:tc>
        <w:tc>
          <w:tcPr>
            <w:tcW w:w="6237" w:type="dxa"/>
            <w:vAlign w:val="center"/>
          </w:tcPr>
          <w:p w:rsidR="00096D87" w:rsidRPr="005E655B" w:rsidRDefault="00096D87"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Análisis Costo-Beneficio</w:t>
            </w:r>
          </w:p>
        </w:tc>
      </w:tr>
      <w:tr w:rsidR="00096D87" w:rsidRPr="005E655B" w:rsidTr="00F17041">
        <w:trPr>
          <w:trHeight w:val="454"/>
        </w:trPr>
        <w:tc>
          <w:tcPr>
            <w:tcW w:w="1809" w:type="dxa"/>
            <w:vAlign w:val="center"/>
          </w:tcPr>
          <w:p w:rsidR="00096D87" w:rsidRPr="005E655B" w:rsidRDefault="00E95CBB"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CME</w:t>
            </w:r>
          </w:p>
        </w:tc>
        <w:tc>
          <w:tcPr>
            <w:tcW w:w="6237" w:type="dxa"/>
            <w:vAlign w:val="center"/>
          </w:tcPr>
          <w:p w:rsidR="00096D87" w:rsidRPr="005E655B" w:rsidRDefault="00E95CBB"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sz w:val="24"/>
                <w:szCs w:val="24"/>
                <w:lang w:val="es-CO"/>
              </w:rPr>
              <w:t>Cambio de la Matriz Energética</w:t>
            </w:r>
          </w:p>
        </w:tc>
      </w:tr>
      <w:tr w:rsidR="00096D87" w:rsidRPr="005E655B" w:rsidTr="00F17041">
        <w:trPr>
          <w:trHeight w:val="454"/>
        </w:trPr>
        <w:tc>
          <w:tcPr>
            <w:tcW w:w="1809" w:type="dxa"/>
            <w:vAlign w:val="center"/>
          </w:tcPr>
          <w:p w:rsidR="00096D87" w:rsidRPr="005E655B" w:rsidRDefault="00E95CBB"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EED</w:t>
            </w:r>
          </w:p>
        </w:tc>
        <w:tc>
          <w:tcPr>
            <w:tcW w:w="6237" w:type="dxa"/>
            <w:vAlign w:val="center"/>
          </w:tcPr>
          <w:p w:rsidR="00096D87" w:rsidRPr="005E655B" w:rsidRDefault="00E95CBB"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sz w:val="24"/>
                <w:szCs w:val="24"/>
              </w:rPr>
              <w:t>Empresa Eléctrica de Distribución</w:t>
            </w:r>
          </w:p>
        </w:tc>
      </w:tr>
      <w:tr w:rsidR="00734BF4" w:rsidRPr="005E655B" w:rsidTr="00F17041">
        <w:trPr>
          <w:trHeight w:val="454"/>
        </w:trPr>
        <w:tc>
          <w:tcPr>
            <w:tcW w:w="1809" w:type="dxa"/>
            <w:vAlign w:val="center"/>
          </w:tcPr>
          <w:p w:rsidR="00734BF4" w:rsidRPr="005E655B" w:rsidRDefault="00734BF4"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GLP</w:t>
            </w:r>
          </w:p>
        </w:tc>
        <w:tc>
          <w:tcPr>
            <w:tcW w:w="6237" w:type="dxa"/>
            <w:vAlign w:val="center"/>
          </w:tcPr>
          <w:p w:rsidR="00734BF4" w:rsidRPr="005E655B" w:rsidRDefault="00734BF4" w:rsidP="000032C5">
            <w:pPr>
              <w:spacing w:before="120" w:after="120"/>
              <w:jc w:val="both"/>
              <w:rPr>
                <w:rFonts w:ascii="Times New Roman" w:hAnsi="Times New Roman" w:cs="Times New Roman"/>
                <w:sz w:val="24"/>
                <w:szCs w:val="24"/>
                <w:lang w:val="es-CO"/>
              </w:rPr>
            </w:pPr>
            <w:r w:rsidRPr="005E655B">
              <w:rPr>
                <w:rFonts w:ascii="Times New Roman" w:hAnsi="Times New Roman" w:cs="Times New Roman"/>
                <w:sz w:val="24"/>
                <w:szCs w:val="24"/>
                <w:lang w:val="es-CO"/>
              </w:rPr>
              <w:t>Gas Licuado del Petróleo</w:t>
            </w:r>
          </w:p>
        </w:tc>
      </w:tr>
      <w:tr w:rsidR="00096D87" w:rsidRPr="005E655B" w:rsidTr="00F17041">
        <w:trPr>
          <w:trHeight w:val="454"/>
        </w:trPr>
        <w:tc>
          <w:tcPr>
            <w:tcW w:w="1809" w:type="dxa"/>
            <w:vAlign w:val="center"/>
          </w:tcPr>
          <w:p w:rsidR="00096D87" w:rsidRPr="005E655B" w:rsidRDefault="00E95CBB"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PME</w:t>
            </w:r>
          </w:p>
        </w:tc>
        <w:tc>
          <w:tcPr>
            <w:tcW w:w="6237" w:type="dxa"/>
            <w:vAlign w:val="center"/>
          </w:tcPr>
          <w:p w:rsidR="00096D87" w:rsidRPr="005E655B" w:rsidRDefault="00E95CBB"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sz w:val="24"/>
                <w:szCs w:val="24"/>
                <w:lang w:val="es-CO"/>
              </w:rPr>
              <w:t>Plan Maestro de Electrificación 2013-2022</w:t>
            </w:r>
          </w:p>
        </w:tc>
      </w:tr>
      <w:tr w:rsidR="00C43A69" w:rsidRPr="005E655B" w:rsidTr="00F17041">
        <w:trPr>
          <w:trHeight w:val="454"/>
        </w:trPr>
        <w:tc>
          <w:tcPr>
            <w:tcW w:w="1809"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PNCE</w:t>
            </w:r>
          </w:p>
        </w:tc>
        <w:tc>
          <w:tcPr>
            <w:tcW w:w="6237"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sz w:val="24"/>
                <w:szCs w:val="24"/>
              </w:rPr>
              <w:t>Programa Nacional de Cocción Eficiente</w:t>
            </w:r>
          </w:p>
        </w:tc>
      </w:tr>
      <w:tr w:rsidR="00C43A69" w:rsidRPr="005E655B" w:rsidTr="00F17041">
        <w:trPr>
          <w:trHeight w:val="454"/>
        </w:trPr>
        <w:tc>
          <w:tcPr>
            <w:tcW w:w="1809"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sz w:val="24"/>
                <w:szCs w:val="24"/>
              </w:rPr>
              <w:t>PRSND</w:t>
            </w:r>
          </w:p>
        </w:tc>
        <w:tc>
          <w:tcPr>
            <w:tcW w:w="6237"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sz w:val="24"/>
                <w:szCs w:val="24"/>
              </w:rPr>
              <w:t>Programa de Reforzamiento del Sistema Nacional de Distribución Eléctrica del Ecuador</w:t>
            </w:r>
          </w:p>
        </w:tc>
      </w:tr>
      <w:tr w:rsidR="00C43A69" w:rsidRPr="005E655B" w:rsidTr="00F17041">
        <w:trPr>
          <w:trHeight w:val="454"/>
        </w:trPr>
        <w:tc>
          <w:tcPr>
            <w:tcW w:w="1809"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SND</w:t>
            </w:r>
          </w:p>
        </w:tc>
        <w:tc>
          <w:tcPr>
            <w:tcW w:w="6237"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sz w:val="24"/>
                <w:szCs w:val="24"/>
              </w:rPr>
              <w:t>Sistema Nacional de Distribución</w:t>
            </w:r>
          </w:p>
        </w:tc>
      </w:tr>
      <w:tr w:rsidR="00C43A69" w:rsidRPr="005E655B" w:rsidTr="00F17041">
        <w:trPr>
          <w:trHeight w:val="454"/>
        </w:trPr>
        <w:tc>
          <w:tcPr>
            <w:tcW w:w="1809"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TIR</w:t>
            </w:r>
          </w:p>
        </w:tc>
        <w:tc>
          <w:tcPr>
            <w:tcW w:w="6237"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Tasa Interna de Retorno</w:t>
            </w:r>
          </w:p>
        </w:tc>
      </w:tr>
      <w:tr w:rsidR="00C43A69" w:rsidRPr="005E655B" w:rsidTr="00F17041">
        <w:trPr>
          <w:trHeight w:val="454"/>
        </w:trPr>
        <w:tc>
          <w:tcPr>
            <w:tcW w:w="1809"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USD</w:t>
            </w:r>
          </w:p>
        </w:tc>
        <w:tc>
          <w:tcPr>
            <w:tcW w:w="6237"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Dólares Americanos</w:t>
            </w:r>
          </w:p>
        </w:tc>
      </w:tr>
      <w:tr w:rsidR="00C43A69" w:rsidRPr="005E655B" w:rsidTr="00F17041">
        <w:trPr>
          <w:trHeight w:val="454"/>
        </w:trPr>
        <w:tc>
          <w:tcPr>
            <w:tcW w:w="1809"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VAN</w:t>
            </w:r>
          </w:p>
        </w:tc>
        <w:tc>
          <w:tcPr>
            <w:tcW w:w="6237" w:type="dxa"/>
            <w:vAlign w:val="center"/>
          </w:tcPr>
          <w:p w:rsidR="00C43A69" w:rsidRPr="005E655B" w:rsidRDefault="00C43A69" w:rsidP="000032C5">
            <w:pPr>
              <w:spacing w:before="120" w:after="120"/>
              <w:jc w:val="both"/>
              <w:rPr>
                <w:rFonts w:ascii="Times New Roman" w:hAnsi="Times New Roman" w:cs="Times New Roman"/>
                <w:color w:val="000000"/>
                <w:sz w:val="24"/>
                <w:szCs w:val="24"/>
              </w:rPr>
            </w:pPr>
            <w:r w:rsidRPr="005E655B">
              <w:rPr>
                <w:rFonts w:ascii="Times New Roman" w:hAnsi="Times New Roman" w:cs="Times New Roman"/>
                <w:color w:val="000000"/>
                <w:sz w:val="24"/>
                <w:szCs w:val="24"/>
              </w:rPr>
              <w:t>Valor Actual Neto</w:t>
            </w:r>
          </w:p>
        </w:tc>
      </w:tr>
    </w:tbl>
    <w:p w:rsidR="00EC495B" w:rsidRPr="005E655B" w:rsidRDefault="00EC495B" w:rsidP="000032C5">
      <w:pPr>
        <w:spacing w:before="120" w:after="120" w:line="240" w:lineRule="auto"/>
        <w:jc w:val="both"/>
        <w:rPr>
          <w:rFonts w:ascii="Times New Roman" w:eastAsiaTheme="majorEastAsia" w:hAnsi="Times New Roman" w:cs="Times New Roman"/>
          <w:b/>
          <w:bCs/>
          <w:sz w:val="24"/>
          <w:szCs w:val="24"/>
        </w:rPr>
      </w:pPr>
    </w:p>
    <w:p w:rsidR="00046CDF" w:rsidRPr="005E655B" w:rsidRDefault="00046CDF" w:rsidP="000032C5">
      <w:pPr>
        <w:spacing w:before="120" w:after="120" w:line="240" w:lineRule="auto"/>
        <w:rPr>
          <w:rFonts w:ascii="Times New Roman" w:hAnsi="Times New Roman" w:cs="Times New Roman"/>
          <w:sz w:val="24"/>
          <w:szCs w:val="24"/>
          <w:lang w:val="en-US"/>
        </w:rPr>
      </w:pPr>
      <w:r w:rsidRPr="005E655B">
        <w:rPr>
          <w:rFonts w:ascii="Times New Roman" w:hAnsi="Times New Roman" w:cs="Times New Roman"/>
          <w:sz w:val="24"/>
          <w:szCs w:val="24"/>
          <w:lang w:val="en-US"/>
        </w:rPr>
        <w:br w:type="page"/>
      </w:r>
    </w:p>
    <w:p w:rsidR="00D55223" w:rsidRPr="005E655B" w:rsidRDefault="00E138EE" w:rsidP="000032C5">
      <w:pPr>
        <w:pStyle w:val="Heading1"/>
        <w:numPr>
          <w:ilvl w:val="0"/>
          <w:numId w:val="1"/>
        </w:numPr>
        <w:spacing w:before="120" w:after="120" w:line="240" w:lineRule="auto"/>
        <w:jc w:val="both"/>
        <w:rPr>
          <w:rFonts w:ascii="Times New Roman" w:hAnsi="Times New Roman" w:cs="Times New Roman"/>
          <w:color w:val="auto"/>
          <w:sz w:val="24"/>
          <w:szCs w:val="24"/>
        </w:rPr>
      </w:pPr>
      <w:bookmarkStart w:id="4" w:name="_Toc415751472"/>
      <w:r w:rsidRPr="005E655B">
        <w:rPr>
          <w:rFonts w:ascii="Times New Roman" w:hAnsi="Times New Roman" w:cs="Times New Roman"/>
          <w:color w:val="auto"/>
          <w:sz w:val="24"/>
          <w:szCs w:val="24"/>
        </w:rPr>
        <w:t>INTRODUCCIÓN</w:t>
      </w:r>
      <w:bookmarkEnd w:id="4"/>
    </w:p>
    <w:p w:rsidR="006D7F86" w:rsidRPr="005E655B" w:rsidRDefault="00BE3075" w:rsidP="000032C5">
      <w:pPr>
        <w:pStyle w:val="ListParagraph"/>
        <w:numPr>
          <w:ilvl w:val="1"/>
          <w:numId w:val="5"/>
        </w:numPr>
        <w:spacing w:before="120" w:after="120" w:line="240" w:lineRule="auto"/>
        <w:ind w:hanging="578"/>
        <w:jc w:val="both"/>
        <w:rPr>
          <w:rFonts w:ascii="Times New Roman" w:eastAsia="Times New Roman" w:hAnsi="Times New Roman" w:cs="Times New Roman"/>
          <w:sz w:val="24"/>
          <w:szCs w:val="24"/>
        </w:rPr>
      </w:pPr>
      <w:r w:rsidRPr="005E655B">
        <w:rPr>
          <w:rFonts w:ascii="Times New Roman" w:hAnsi="Times New Roman" w:cs="Times New Roman"/>
          <w:sz w:val="24"/>
          <w:szCs w:val="24"/>
        </w:rPr>
        <w:t xml:space="preserve">El presente documento tiene como </w:t>
      </w:r>
      <w:r w:rsidR="005E407F" w:rsidRPr="005E655B">
        <w:rPr>
          <w:rFonts w:ascii="Times New Roman" w:hAnsi="Times New Roman" w:cs="Times New Roman"/>
          <w:sz w:val="24"/>
          <w:szCs w:val="24"/>
        </w:rPr>
        <w:t xml:space="preserve">cometido </w:t>
      </w:r>
      <w:r w:rsidRPr="005E655B">
        <w:rPr>
          <w:rFonts w:ascii="Times New Roman" w:hAnsi="Times New Roman" w:cs="Times New Roman"/>
          <w:sz w:val="24"/>
          <w:szCs w:val="24"/>
        </w:rPr>
        <w:t xml:space="preserve">exponer </w:t>
      </w:r>
      <w:r w:rsidR="0012066B" w:rsidRPr="005E655B">
        <w:rPr>
          <w:rFonts w:ascii="Times New Roman" w:hAnsi="Times New Roman" w:cs="Times New Roman"/>
          <w:sz w:val="24"/>
          <w:szCs w:val="24"/>
        </w:rPr>
        <w:t xml:space="preserve">los </w:t>
      </w:r>
      <w:r w:rsidR="006C47CD" w:rsidRPr="005E655B">
        <w:rPr>
          <w:rFonts w:ascii="Times New Roman" w:hAnsi="Times New Roman" w:cs="Times New Roman"/>
          <w:sz w:val="24"/>
          <w:szCs w:val="24"/>
        </w:rPr>
        <w:t xml:space="preserve">resultados obtenidos </w:t>
      </w:r>
      <w:r w:rsidR="0012066B" w:rsidRPr="005E655B">
        <w:rPr>
          <w:rFonts w:ascii="Times New Roman" w:hAnsi="Times New Roman" w:cs="Times New Roman"/>
          <w:sz w:val="24"/>
          <w:szCs w:val="24"/>
        </w:rPr>
        <w:t xml:space="preserve">en </w:t>
      </w:r>
      <w:r w:rsidR="00F119B8" w:rsidRPr="005E655B">
        <w:rPr>
          <w:rFonts w:ascii="Times New Roman" w:hAnsi="Times New Roman" w:cs="Times New Roman"/>
          <w:sz w:val="24"/>
          <w:szCs w:val="24"/>
        </w:rPr>
        <w:t xml:space="preserve">el desarrollo de </w:t>
      </w:r>
      <w:r w:rsidRPr="005E655B">
        <w:rPr>
          <w:rFonts w:ascii="Times New Roman" w:hAnsi="Times New Roman" w:cs="Times New Roman"/>
          <w:sz w:val="24"/>
          <w:szCs w:val="24"/>
        </w:rPr>
        <w:t xml:space="preserve">la evaluación económica ex-ante </w:t>
      </w:r>
      <w:r w:rsidR="00326925" w:rsidRPr="005E655B">
        <w:rPr>
          <w:rFonts w:ascii="Times New Roman" w:hAnsi="Times New Roman" w:cs="Times New Roman"/>
          <w:sz w:val="24"/>
          <w:szCs w:val="24"/>
        </w:rPr>
        <w:t xml:space="preserve">de la segunda fase del Programa de Reforzamiento del Sistema Nacional de Distribución Eléctrica del Ecuador (el “Programa”), </w:t>
      </w:r>
      <w:r w:rsidR="00DD3F63" w:rsidRPr="005E655B">
        <w:rPr>
          <w:rFonts w:ascii="Times New Roman" w:hAnsi="Times New Roman" w:cs="Times New Roman"/>
          <w:sz w:val="24"/>
          <w:szCs w:val="24"/>
        </w:rPr>
        <w:t>cofinanciado por el Banco Interamericano de Desarrollo (el “Banco”) y el Fondo de Cofinanciación Chino, y cuya</w:t>
      </w:r>
      <w:r w:rsidR="00326925" w:rsidRPr="005E655B">
        <w:rPr>
          <w:rFonts w:ascii="Times New Roman" w:hAnsi="Times New Roman" w:cs="Times New Roman"/>
          <w:sz w:val="24"/>
          <w:szCs w:val="24"/>
        </w:rPr>
        <w:t xml:space="preserve"> </w:t>
      </w:r>
      <w:r w:rsidR="00DD3F63" w:rsidRPr="005E655B">
        <w:rPr>
          <w:rFonts w:ascii="Times New Roman" w:hAnsi="Times New Roman" w:cs="Times New Roman"/>
          <w:sz w:val="24"/>
          <w:szCs w:val="24"/>
        </w:rPr>
        <w:t xml:space="preserve">inversión </w:t>
      </w:r>
      <w:r w:rsidR="00326925" w:rsidRPr="005E655B">
        <w:rPr>
          <w:rFonts w:ascii="Times New Roman" w:hAnsi="Times New Roman" w:cs="Times New Roman"/>
          <w:sz w:val="24"/>
          <w:szCs w:val="24"/>
        </w:rPr>
        <w:t xml:space="preserve">total asciende a </w:t>
      </w:r>
      <w:r w:rsidR="00DD3F63" w:rsidRPr="005E655B">
        <w:rPr>
          <w:rFonts w:ascii="Times New Roman" w:hAnsi="Times New Roman" w:cs="Times New Roman"/>
          <w:sz w:val="24"/>
          <w:szCs w:val="24"/>
        </w:rPr>
        <w:t>9</w:t>
      </w:r>
      <w:r w:rsidR="00326925" w:rsidRPr="005E655B">
        <w:rPr>
          <w:rFonts w:ascii="Times New Roman" w:hAnsi="Times New Roman" w:cs="Times New Roman"/>
          <w:sz w:val="24"/>
          <w:szCs w:val="24"/>
        </w:rPr>
        <w:t>0</w:t>
      </w:r>
      <w:r w:rsidR="00DD3F63" w:rsidRPr="005E655B">
        <w:rPr>
          <w:rFonts w:ascii="Times New Roman" w:hAnsi="Times New Roman" w:cs="Times New Roman"/>
          <w:sz w:val="24"/>
          <w:szCs w:val="24"/>
        </w:rPr>
        <w:t>,6</w:t>
      </w:r>
      <w:r w:rsidR="00326925" w:rsidRPr="005E655B">
        <w:rPr>
          <w:rFonts w:ascii="Times New Roman" w:hAnsi="Times New Roman" w:cs="Times New Roman"/>
          <w:sz w:val="24"/>
          <w:szCs w:val="24"/>
        </w:rPr>
        <w:t xml:space="preserve"> millones de Dólares Americanos (USD)</w:t>
      </w:r>
      <w:r w:rsidR="00EB53DF" w:rsidRPr="005E655B">
        <w:rPr>
          <w:rFonts w:ascii="Times New Roman" w:hAnsi="Times New Roman" w:cs="Times New Roman"/>
          <w:sz w:val="24"/>
          <w:szCs w:val="24"/>
        </w:rPr>
        <w:t>.</w:t>
      </w:r>
    </w:p>
    <w:p w:rsidR="00E85B50" w:rsidRPr="005E655B" w:rsidRDefault="00E85B50" w:rsidP="000032C5">
      <w:pPr>
        <w:pStyle w:val="ListParagraph"/>
        <w:spacing w:before="120" w:after="120" w:line="240" w:lineRule="auto"/>
        <w:jc w:val="both"/>
        <w:rPr>
          <w:rFonts w:ascii="Times New Roman" w:hAnsi="Times New Roman" w:cs="Times New Roman"/>
          <w:sz w:val="24"/>
          <w:szCs w:val="24"/>
        </w:rPr>
      </w:pPr>
    </w:p>
    <w:p w:rsidR="00326925" w:rsidRPr="005E655B" w:rsidRDefault="00326925"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 xml:space="preserve">El Programa, que se encuentra en proceso de preparación, tiene como objetivo principal </w:t>
      </w:r>
      <w:r w:rsidR="00E866B1" w:rsidRPr="005E655B">
        <w:rPr>
          <w:rFonts w:ascii="Times New Roman" w:hAnsi="Times New Roman" w:cs="Times New Roman"/>
          <w:sz w:val="24"/>
          <w:szCs w:val="24"/>
        </w:rPr>
        <w:t>dar continuidad a</w:t>
      </w:r>
      <w:r w:rsidR="00E95CBB" w:rsidRPr="005E655B">
        <w:rPr>
          <w:rFonts w:ascii="Times New Roman" w:hAnsi="Times New Roman" w:cs="Times New Roman"/>
          <w:sz w:val="24"/>
          <w:szCs w:val="24"/>
        </w:rPr>
        <w:t xml:space="preserve"> </w:t>
      </w:r>
      <w:r w:rsidR="00E866B1" w:rsidRPr="005E655B">
        <w:rPr>
          <w:rFonts w:ascii="Times New Roman" w:hAnsi="Times New Roman" w:cs="Times New Roman"/>
          <w:sz w:val="24"/>
          <w:szCs w:val="24"/>
        </w:rPr>
        <w:t>l</w:t>
      </w:r>
      <w:r w:rsidR="00E95CBB" w:rsidRPr="005E655B">
        <w:rPr>
          <w:rFonts w:ascii="Times New Roman" w:hAnsi="Times New Roman" w:cs="Times New Roman"/>
          <w:sz w:val="24"/>
          <w:szCs w:val="24"/>
        </w:rPr>
        <w:t>a primera fase del</w:t>
      </w:r>
      <w:r w:rsidR="00E866B1" w:rsidRPr="005E655B">
        <w:rPr>
          <w:rFonts w:ascii="Times New Roman" w:hAnsi="Times New Roman" w:cs="Times New Roman"/>
          <w:sz w:val="24"/>
          <w:szCs w:val="24"/>
        </w:rPr>
        <w:t xml:space="preserve"> </w:t>
      </w:r>
      <w:r w:rsidR="00E95CBB" w:rsidRPr="005E655B">
        <w:rPr>
          <w:rFonts w:ascii="Times New Roman" w:hAnsi="Times New Roman" w:cs="Times New Roman"/>
          <w:sz w:val="24"/>
          <w:szCs w:val="24"/>
        </w:rPr>
        <w:t>Programa de Reforzamiento del Sistema Nacional de Distribución Eléctrica del Ecuador (</w:t>
      </w:r>
      <w:r w:rsidR="00E866B1" w:rsidRPr="005E655B">
        <w:rPr>
          <w:rFonts w:ascii="Times New Roman" w:hAnsi="Times New Roman" w:cs="Times New Roman"/>
          <w:sz w:val="24"/>
          <w:szCs w:val="24"/>
        </w:rPr>
        <w:t>PRSND</w:t>
      </w:r>
      <w:r w:rsidR="00E95CBB" w:rsidRPr="005E655B">
        <w:rPr>
          <w:rFonts w:ascii="Times New Roman" w:hAnsi="Times New Roman" w:cs="Times New Roman"/>
          <w:sz w:val="24"/>
          <w:szCs w:val="24"/>
        </w:rPr>
        <w:t>)</w:t>
      </w:r>
      <w:r w:rsidR="00E866B1" w:rsidRPr="005E655B">
        <w:rPr>
          <w:rFonts w:ascii="Times New Roman" w:hAnsi="Times New Roman" w:cs="Times New Roman"/>
          <w:sz w:val="24"/>
          <w:szCs w:val="24"/>
        </w:rPr>
        <w:t>, facilitando la transformación de la matriz energética y la provisión de un servicio eléctrico de calidad</w:t>
      </w:r>
      <w:r w:rsidRPr="005E655B">
        <w:rPr>
          <w:rFonts w:ascii="Times New Roman" w:hAnsi="Times New Roman" w:cs="Times New Roman"/>
          <w:sz w:val="24"/>
          <w:szCs w:val="24"/>
        </w:rPr>
        <w:t xml:space="preserve">. A su vez, </w:t>
      </w:r>
      <w:r w:rsidR="00C5355B" w:rsidRPr="005E655B">
        <w:rPr>
          <w:rFonts w:ascii="Times New Roman" w:hAnsi="Times New Roman" w:cs="Times New Roman"/>
          <w:sz w:val="24"/>
          <w:szCs w:val="24"/>
        </w:rPr>
        <w:t>en coherencia con</w:t>
      </w:r>
      <w:r w:rsidRPr="005E655B">
        <w:rPr>
          <w:rFonts w:ascii="Times New Roman" w:hAnsi="Times New Roman" w:cs="Times New Roman"/>
          <w:sz w:val="24"/>
          <w:szCs w:val="24"/>
        </w:rPr>
        <w:t xml:space="preserve"> los lineamientos </w:t>
      </w:r>
      <w:r w:rsidR="006C47CD" w:rsidRPr="005E655B">
        <w:rPr>
          <w:rFonts w:ascii="Times New Roman" w:hAnsi="Times New Roman" w:cs="Times New Roman"/>
          <w:sz w:val="24"/>
          <w:szCs w:val="24"/>
        </w:rPr>
        <w:t xml:space="preserve">generales </w:t>
      </w:r>
      <w:r w:rsidRPr="005E655B">
        <w:rPr>
          <w:rFonts w:ascii="Times New Roman" w:hAnsi="Times New Roman" w:cs="Times New Roman"/>
          <w:sz w:val="24"/>
          <w:szCs w:val="24"/>
        </w:rPr>
        <w:t xml:space="preserve">de la primera fase, sus objetivos específicos son: </w:t>
      </w:r>
      <w:r w:rsidR="00E866B1" w:rsidRPr="005E655B">
        <w:rPr>
          <w:rFonts w:ascii="Times New Roman" w:hAnsi="Times New Roman" w:cs="Times New Roman"/>
          <w:sz w:val="24"/>
          <w:szCs w:val="24"/>
        </w:rPr>
        <w:t>(i) apoyar el reforzamiento y expansión de la infraestructura eléctrica en media y baja tensión; (ii) contribuir a la modernización y eficiencia en la gestión de la demanda en el Sistema Nacional de Distribución</w:t>
      </w:r>
      <w:r w:rsidR="00DD3F63" w:rsidRPr="005E655B">
        <w:rPr>
          <w:rFonts w:ascii="Times New Roman" w:hAnsi="Times New Roman" w:cs="Times New Roman"/>
          <w:sz w:val="24"/>
          <w:szCs w:val="24"/>
        </w:rPr>
        <w:t xml:space="preserve"> (SND)</w:t>
      </w:r>
      <w:r w:rsidR="00E866B1" w:rsidRPr="005E655B">
        <w:rPr>
          <w:rFonts w:ascii="Times New Roman" w:hAnsi="Times New Roman" w:cs="Times New Roman"/>
          <w:sz w:val="24"/>
          <w:szCs w:val="24"/>
        </w:rPr>
        <w:t>; y (iii) mejorar los niveles de confiabilidad del servicio eléctrico</w:t>
      </w:r>
      <w:r w:rsidRPr="005E655B">
        <w:rPr>
          <w:rFonts w:ascii="Times New Roman" w:hAnsi="Times New Roman" w:cs="Times New Roman"/>
          <w:sz w:val="24"/>
          <w:szCs w:val="24"/>
        </w:rPr>
        <w:t>.</w:t>
      </w:r>
    </w:p>
    <w:p w:rsidR="00326925" w:rsidRPr="005E655B" w:rsidRDefault="00326925" w:rsidP="000032C5">
      <w:pPr>
        <w:pStyle w:val="ListParagraph"/>
        <w:spacing w:before="120" w:after="120" w:line="240" w:lineRule="auto"/>
        <w:jc w:val="both"/>
        <w:rPr>
          <w:rFonts w:ascii="Times New Roman" w:eastAsia="Times New Roman" w:hAnsi="Times New Roman" w:cs="Times New Roman"/>
          <w:sz w:val="24"/>
          <w:szCs w:val="24"/>
        </w:rPr>
      </w:pPr>
    </w:p>
    <w:p w:rsidR="00DD3F63" w:rsidRPr="005E655B" w:rsidRDefault="006C47CD"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Bajo estos lineamientos, l</w:t>
      </w:r>
      <w:r w:rsidR="00326925" w:rsidRPr="005E655B">
        <w:rPr>
          <w:rFonts w:ascii="Times New Roman" w:hAnsi="Times New Roman" w:cs="Times New Roman"/>
          <w:sz w:val="24"/>
          <w:szCs w:val="24"/>
        </w:rPr>
        <w:t xml:space="preserve">as intervenciones incluidas en el Programa estarán agrupadas en los 3 componentes siguientes: </w:t>
      </w:r>
    </w:p>
    <w:p w:rsidR="00DD3F63" w:rsidRPr="005E655B" w:rsidRDefault="00326925" w:rsidP="000032C5">
      <w:pPr>
        <w:pStyle w:val="ListParagraph"/>
        <w:numPr>
          <w:ilvl w:val="0"/>
          <w:numId w:val="19"/>
        </w:num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t>reforzamiento del SND</w:t>
      </w:r>
      <w:r w:rsidR="00E866B1" w:rsidRPr="005E655B">
        <w:rPr>
          <w:rFonts w:ascii="Times New Roman" w:hAnsi="Times New Roman" w:cs="Times New Roman"/>
          <w:sz w:val="24"/>
          <w:szCs w:val="24"/>
        </w:rPr>
        <w:t xml:space="preserve"> para mejorar la calidad y continuidad del servicio eléctrico</w:t>
      </w:r>
      <w:r w:rsidRPr="005E655B">
        <w:rPr>
          <w:rFonts w:ascii="Times New Roman" w:hAnsi="Times New Roman" w:cs="Times New Roman"/>
          <w:sz w:val="24"/>
          <w:szCs w:val="24"/>
        </w:rPr>
        <w:t xml:space="preserve">; </w:t>
      </w:r>
    </w:p>
    <w:p w:rsidR="00DD3F63" w:rsidRPr="005E655B" w:rsidRDefault="00E866B1" w:rsidP="000032C5">
      <w:pPr>
        <w:pStyle w:val="ListParagraph"/>
        <w:numPr>
          <w:ilvl w:val="0"/>
          <w:numId w:val="19"/>
        </w:num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t xml:space="preserve">mejoramiento de la eficiencia y confiabilidad del sistema eléctrico siguiendo los estándares de la </w:t>
      </w:r>
      <w:r w:rsidRPr="005E655B">
        <w:rPr>
          <w:rFonts w:ascii="Times New Roman" w:hAnsi="Times New Roman" w:cs="Times New Roman"/>
          <w:i/>
          <w:sz w:val="24"/>
          <w:szCs w:val="24"/>
        </w:rPr>
        <w:t xml:space="preserve">International </w:t>
      </w:r>
      <w:proofErr w:type="spellStart"/>
      <w:r w:rsidRPr="005E655B">
        <w:rPr>
          <w:rFonts w:ascii="Times New Roman" w:hAnsi="Times New Roman" w:cs="Times New Roman"/>
          <w:i/>
          <w:sz w:val="24"/>
          <w:szCs w:val="24"/>
        </w:rPr>
        <w:t>Electrotechnical</w:t>
      </w:r>
      <w:proofErr w:type="spellEnd"/>
      <w:r w:rsidRPr="005E655B">
        <w:rPr>
          <w:rFonts w:ascii="Times New Roman" w:hAnsi="Times New Roman" w:cs="Times New Roman"/>
          <w:i/>
          <w:sz w:val="24"/>
          <w:szCs w:val="24"/>
        </w:rPr>
        <w:t xml:space="preserve"> </w:t>
      </w:r>
      <w:proofErr w:type="spellStart"/>
      <w:r w:rsidRPr="005E655B">
        <w:rPr>
          <w:rFonts w:ascii="Times New Roman" w:hAnsi="Times New Roman" w:cs="Times New Roman"/>
          <w:i/>
          <w:sz w:val="24"/>
          <w:szCs w:val="24"/>
        </w:rPr>
        <w:t>Commission</w:t>
      </w:r>
      <w:proofErr w:type="spellEnd"/>
      <w:r w:rsidRPr="005E655B">
        <w:rPr>
          <w:rFonts w:ascii="Times New Roman" w:hAnsi="Times New Roman" w:cs="Times New Roman"/>
          <w:sz w:val="24"/>
          <w:szCs w:val="24"/>
        </w:rPr>
        <w:t xml:space="preserve"> (IEC)</w:t>
      </w:r>
      <w:r w:rsidR="00326925" w:rsidRPr="005E655B">
        <w:rPr>
          <w:rFonts w:ascii="Times New Roman" w:hAnsi="Times New Roman" w:cs="Times New Roman"/>
          <w:sz w:val="24"/>
          <w:szCs w:val="24"/>
        </w:rPr>
        <w:t xml:space="preserve">; y </w:t>
      </w:r>
    </w:p>
    <w:p w:rsidR="00326925" w:rsidRPr="005E655B" w:rsidRDefault="00326925" w:rsidP="000032C5">
      <w:pPr>
        <w:pStyle w:val="ListParagraph"/>
        <w:numPr>
          <w:ilvl w:val="0"/>
          <w:numId w:val="19"/>
        </w:num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t>fortalecimiento institucional</w:t>
      </w:r>
      <w:r w:rsidR="00E866B1" w:rsidRPr="005E655B">
        <w:rPr>
          <w:rFonts w:ascii="Times New Roman" w:hAnsi="Times New Roman" w:cs="Times New Roman"/>
          <w:sz w:val="24"/>
          <w:szCs w:val="24"/>
        </w:rPr>
        <w:t xml:space="preserve"> a través de la capacitaci</w:t>
      </w:r>
      <w:r w:rsidR="003127D1" w:rsidRPr="005E655B">
        <w:rPr>
          <w:rFonts w:ascii="Times New Roman" w:hAnsi="Times New Roman" w:cs="Times New Roman"/>
          <w:sz w:val="24"/>
          <w:szCs w:val="24"/>
        </w:rPr>
        <w:t xml:space="preserve">ón </w:t>
      </w:r>
      <w:r w:rsidR="006C47CD" w:rsidRPr="005E655B">
        <w:rPr>
          <w:rFonts w:ascii="Times New Roman" w:hAnsi="Times New Roman" w:cs="Times New Roman"/>
          <w:sz w:val="24"/>
          <w:szCs w:val="24"/>
        </w:rPr>
        <w:t xml:space="preserve">y dotación </w:t>
      </w:r>
      <w:r w:rsidR="00C93333" w:rsidRPr="005E655B">
        <w:rPr>
          <w:rFonts w:ascii="Times New Roman" w:hAnsi="Times New Roman" w:cs="Times New Roman"/>
          <w:sz w:val="24"/>
          <w:szCs w:val="24"/>
        </w:rPr>
        <w:t xml:space="preserve">técnica </w:t>
      </w:r>
      <w:r w:rsidR="003127D1" w:rsidRPr="005E655B">
        <w:rPr>
          <w:rFonts w:ascii="Times New Roman" w:hAnsi="Times New Roman" w:cs="Times New Roman"/>
          <w:sz w:val="24"/>
          <w:szCs w:val="24"/>
        </w:rPr>
        <w:t>del personal de las Empresas Eléctricas de Distribución (EED)</w:t>
      </w:r>
      <w:r w:rsidRPr="005E655B">
        <w:rPr>
          <w:rFonts w:ascii="Times New Roman" w:hAnsi="Times New Roman" w:cs="Times New Roman"/>
          <w:sz w:val="24"/>
          <w:szCs w:val="24"/>
        </w:rPr>
        <w:t>.</w:t>
      </w:r>
    </w:p>
    <w:p w:rsidR="00326925" w:rsidRPr="005E655B" w:rsidRDefault="00326925" w:rsidP="000032C5">
      <w:pPr>
        <w:pStyle w:val="ListParagraph"/>
        <w:spacing w:before="120" w:after="120" w:line="240" w:lineRule="auto"/>
        <w:rPr>
          <w:rFonts w:ascii="Times New Roman" w:hAnsi="Times New Roman" w:cs="Times New Roman"/>
          <w:sz w:val="24"/>
          <w:szCs w:val="24"/>
        </w:rPr>
      </w:pPr>
    </w:p>
    <w:p w:rsidR="001D5096" w:rsidRPr="005E655B" w:rsidRDefault="00BE3075"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El objeto del análisis ha consistido en realizar un Análisis Costo-Beneficio (“ACB”) ex-ante del Programa, siendo los objetivos de la evaluación los siguientes</w:t>
      </w:r>
      <w:r w:rsidR="001D5096" w:rsidRPr="005E655B">
        <w:rPr>
          <w:rFonts w:ascii="Times New Roman" w:hAnsi="Times New Roman" w:cs="Times New Roman"/>
          <w:sz w:val="24"/>
          <w:szCs w:val="24"/>
        </w:rPr>
        <w:t>:</w:t>
      </w:r>
    </w:p>
    <w:p w:rsidR="001D5096" w:rsidRPr="005E655B" w:rsidRDefault="001324F1" w:rsidP="000032C5">
      <w:pPr>
        <w:pStyle w:val="Standard"/>
        <w:numPr>
          <w:ilvl w:val="0"/>
          <w:numId w:val="28"/>
        </w:numPr>
        <w:tabs>
          <w:tab w:val="left" w:pos="2340"/>
        </w:tabs>
        <w:spacing w:before="120" w:after="120"/>
        <w:ind w:left="2340" w:hanging="900"/>
        <w:jc w:val="both"/>
        <w:rPr>
          <w:rFonts w:ascii="Times New Roman" w:eastAsia="Times New Roman" w:hAnsi="Times New Roman" w:cs="Times New Roman"/>
          <w:kern w:val="0"/>
          <w:lang w:val="es-ES_tradnl" w:eastAsia="en-US" w:bidi="ar-SA"/>
        </w:rPr>
      </w:pPr>
      <w:r w:rsidRPr="005E655B">
        <w:rPr>
          <w:rFonts w:ascii="Times New Roman" w:eastAsia="Times New Roman" w:hAnsi="Times New Roman" w:cs="Times New Roman"/>
          <w:kern w:val="0"/>
          <w:lang w:val="es-ES_tradnl" w:eastAsia="en-US" w:bidi="ar-SA"/>
        </w:rPr>
        <w:t xml:space="preserve">Configurar un </w:t>
      </w:r>
      <w:r w:rsidR="00BE3075" w:rsidRPr="005E655B">
        <w:rPr>
          <w:rFonts w:ascii="Times New Roman" w:eastAsia="Times New Roman" w:hAnsi="Times New Roman" w:cs="Times New Roman"/>
          <w:kern w:val="0"/>
          <w:lang w:val="es-ES_tradnl" w:eastAsia="en-US" w:bidi="ar-SA"/>
        </w:rPr>
        <w:t xml:space="preserve">perímetro de análisis </w:t>
      </w:r>
      <w:r w:rsidR="006C47CD" w:rsidRPr="005E655B">
        <w:rPr>
          <w:rFonts w:ascii="Times New Roman" w:eastAsia="Times New Roman" w:hAnsi="Times New Roman" w:cs="Times New Roman"/>
          <w:kern w:val="0"/>
          <w:lang w:val="es-ES_tradnl" w:eastAsia="en-US" w:bidi="ar-SA"/>
        </w:rPr>
        <w:t>que sintetice los impacto</w:t>
      </w:r>
      <w:r w:rsidR="001D5096" w:rsidRPr="005E655B">
        <w:rPr>
          <w:rFonts w:ascii="Times New Roman" w:eastAsia="Times New Roman" w:hAnsi="Times New Roman" w:cs="Times New Roman"/>
          <w:kern w:val="0"/>
          <w:lang w:val="es-ES_tradnl" w:eastAsia="en-US" w:bidi="ar-SA"/>
        </w:rPr>
        <w:t>s econó</w:t>
      </w:r>
      <w:r w:rsidR="00492019" w:rsidRPr="005E655B">
        <w:rPr>
          <w:rFonts w:ascii="Times New Roman" w:eastAsia="Times New Roman" w:hAnsi="Times New Roman" w:cs="Times New Roman"/>
          <w:kern w:val="0"/>
          <w:lang w:val="es-ES_tradnl" w:eastAsia="en-US" w:bidi="ar-SA"/>
        </w:rPr>
        <w:t>micos del Programa y que permita</w:t>
      </w:r>
      <w:r w:rsidR="001D5096" w:rsidRPr="005E655B">
        <w:rPr>
          <w:rFonts w:ascii="Times New Roman" w:eastAsia="Times New Roman" w:hAnsi="Times New Roman" w:cs="Times New Roman"/>
          <w:kern w:val="0"/>
          <w:lang w:val="es-ES_tradnl" w:eastAsia="en-US" w:bidi="ar-SA"/>
        </w:rPr>
        <w:t xml:space="preserve"> su evaluación </w:t>
      </w:r>
      <w:r w:rsidR="006C47CD" w:rsidRPr="005E655B">
        <w:rPr>
          <w:rFonts w:ascii="Times New Roman" w:eastAsia="Times New Roman" w:hAnsi="Times New Roman" w:cs="Times New Roman"/>
          <w:kern w:val="0"/>
          <w:lang w:val="es-ES_tradnl" w:eastAsia="en-US" w:bidi="ar-SA"/>
        </w:rPr>
        <w:t>económica</w:t>
      </w:r>
      <w:r w:rsidR="001D5096" w:rsidRPr="005E655B">
        <w:rPr>
          <w:rFonts w:ascii="Times New Roman" w:eastAsia="Times New Roman" w:hAnsi="Times New Roman" w:cs="Times New Roman"/>
          <w:kern w:val="0"/>
          <w:lang w:val="es-ES_tradnl" w:eastAsia="en-US" w:bidi="ar-SA"/>
        </w:rPr>
        <w:t>.</w:t>
      </w:r>
    </w:p>
    <w:p w:rsidR="001D5096" w:rsidRPr="005E655B" w:rsidRDefault="001D5096" w:rsidP="000032C5">
      <w:pPr>
        <w:pStyle w:val="Standard"/>
        <w:numPr>
          <w:ilvl w:val="0"/>
          <w:numId w:val="28"/>
        </w:numPr>
        <w:tabs>
          <w:tab w:val="left" w:pos="2340"/>
        </w:tabs>
        <w:spacing w:before="120" w:after="120"/>
        <w:ind w:left="2340" w:hanging="900"/>
        <w:jc w:val="both"/>
        <w:rPr>
          <w:rFonts w:ascii="Times New Roman" w:eastAsia="Times New Roman" w:hAnsi="Times New Roman" w:cs="Times New Roman"/>
          <w:kern w:val="0"/>
          <w:lang w:val="es-ES_tradnl" w:eastAsia="en-US" w:bidi="ar-SA"/>
        </w:rPr>
      </w:pPr>
      <w:r w:rsidRPr="005E655B">
        <w:rPr>
          <w:rFonts w:ascii="Times New Roman" w:eastAsia="Times New Roman" w:hAnsi="Times New Roman" w:cs="Times New Roman"/>
          <w:kern w:val="0"/>
          <w:lang w:val="es-ES_tradnl" w:eastAsia="en-US" w:bidi="ar-SA"/>
        </w:rPr>
        <w:t xml:space="preserve">Identificar y cuantificar los beneficios </w:t>
      </w:r>
      <w:r w:rsidR="006C47CD" w:rsidRPr="005E655B">
        <w:rPr>
          <w:rFonts w:ascii="Times New Roman" w:eastAsia="Times New Roman" w:hAnsi="Times New Roman" w:cs="Times New Roman"/>
          <w:kern w:val="0"/>
          <w:lang w:val="es-ES_tradnl" w:eastAsia="en-US" w:bidi="ar-SA"/>
        </w:rPr>
        <w:t xml:space="preserve">generados por </w:t>
      </w:r>
      <w:r w:rsidR="004F27E7" w:rsidRPr="005E655B">
        <w:rPr>
          <w:rFonts w:ascii="Times New Roman" w:eastAsia="Times New Roman" w:hAnsi="Times New Roman" w:cs="Times New Roman"/>
          <w:kern w:val="0"/>
          <w:lang w:val="es-ES_tradnl" w:eastAsia="en-US" w:bidi="ar-SA"/>
        </w:rPr>
        <w:t>la implementación del P</w:t>
      </w:r>
      <w:r w:rsidR="00BE3075" w:rsidRPr="005E655B">
        <w:rPr>
          <w:rFonts w:ascii="Times New Roman" w:eastAsia="Times New Roman" w:hAnsi="Times New Roman" w:cs="Times New Roman"/>
          <w:kern w:val="0"/>
          <w:lang w:val="es-ES_tradnl" w:eastAsia="en-US" w:bidi="ar-SA"/>
        </w:rPr>
        <w:t>rograma.</w:t>
      </w:r>
    </w:p>
    <w:p w:rsidR="001D5096" w:rsidRPr="005E655B" w:rsidRDefault="001D5096" w:rsidP="000032C5">
      <w:pPr>
        <w:pStyle w:val="Standard"/>
        <w:numPr>
          <w:ilvl w:val="0"/>
          <w:numId w:val="28"/>
        </w:numPr>
        <w:tabs>
          <w:tab w:val="left" w:pos="2340"/>
        </w:tabs>
        <w:spacing w:before="120" w:after="120"/>
        <w:ind w:left="2340" w:hanging="900"/>
        <w:jc w:val="both"/>
        <w:rPr>
          <w:rFonts w:ascii="Times New Roman" w:eastAsia="Times New Roman" w:hAnsi="Times New Roman" w:cs="Times New Roman"/>
          <w:kern w:val="0"/>
          <w:lang w:val="es-ES_tradnl" w:eastAsia="en-US" w:bidi="ar-SA"/>
        </w:rPr>
      </w:pPr>
      <w:r w:rsidRPr="005E655B">
        <w:rPr>
          <w:rFonts w:ascii="Times New Roman" w:eastAsia="Times New Roman" w:hAnsi="Times New Roman" w:cs="Times New Roman"/>
          <w:kern w:val="0"/>
          <w:lang w:val="es-ES_tradnl" w:eastAsia="en-US" w:bidi="ar-SA"/>
        </w:rPr>
        <w:t>Estimar los costos reales de</w:t>
      </w:r>
      <w:r w:rsidR="00F119B8" w:rsidRPr="005E655B">
        <w:rPr>
          <w:rFonts w:ascii="Times New Roman" w:eastAsia="Times New Roman" w:hAnsi="Times New Roman" w:cs="Times New Roman"/>
          <w:kern w:val="0"/>
          <w:lang w:val="es-ES_tradnl" w:eastAsia="en-US" w:bidi="ar-SA"/>
        </w:rPr>
        <w:t xml:space="preserve"> los</w:t>
      </w:r>
      <w:r w:rsidRPr="005E655B">
        <w:rPr>
          <w:rFonts w:ascii="Times New Roman" w:eastAsia="Times New Roman" w:hAnsi="Times New Roman" w:cs="Times New Roman"/>
          <w:kern w:val="0"/>
          <w:lang w:val="es-ES_tradnl" w:eastAsia="en-US" w:bidi="ar-SA"/>
        </w:rPr>
        <w:t xml:space="preserve"> recursos (inversión, administrativos, operacionales gestión, etc.) </w:t>
      </w:r>
      <w:r w:rsidR="006C47CD" w:rsidRPr="005E655B">
        <w:rPr>
          <w:rFonts w:ascii="Times New Roman" w:eastAsia="Times New Roman" w:hAnsi="Times New Roman" w:cs="Times New Roman"/>
          <w:kern w:val="0"/>
          <w:lang w:val="es-ES_tradnl" w:eastAsia="en-US" w:bidi="ar-SA"/>
        </w:rPr>
        <w:t>empleados</w:t>
      </w:r>
      <w:r w:rsidRPr="005E655B">
        <w:rPr>
          <w:rFonts w:ascii="Times New Roman" w:eastAsia="Times New Roman" w:hAnsi="Times New Roman" w:cs="Times New Roman"/>
          <w:kern w:val="0"/>
          <w:lang w:val="es-ES_tradnl" w:eastAsia="en-US" w:bidi="ar-SA"/>
        </w:rPr>
        <w:t xml:space="preserve"> por el </w:t>
      </w:r>
      <w:r w:rsidR="00493C54" w:rsidRPr="005E655B">
        <w:rPr>
          <w:rFonts w:ascii="Times New Roman" w:eastAsia="Times New Roman" w:hAnsi="Times New Roman" w:cs="Times New Roman"/>
          <w:kern w:val="0"/>
          <w:lang w:val="es-ES_tradnl" w:eastAsia="en-US" w:bidi="ar-SA"/>
        </w:rPr>
        <w:t>Programa</w:t>
      </w:r>
      <w:r w:rsidR="00BE3075" w:rsidRPr="005E655B">
        <w:rPr>
          <w:rFonts w:ascii="Times New Roman" w:eastAsia="Times New Roman" w:hAnsi="Times New Roman" w:cs="Times New Roman"/>
          <w:kern w:val="0"/>
          <w:lang w:val="es-ES_tradnl" w:eastAsia="en-US" w:bidi="ar-SA"/>
        </w:rPr>
        <w:t>.</w:t>
      </w:r>
      <w:r w:rsidRPr="005E655B">
        <w:rPr>
          <w:rFonts w:ascii="Times New Roman" w:eastAsia="Times New Roman" w:hAnsi="Times New Roman" w:cs="Times New Roman"/>
          <w:kern w:val="0"/>
          <w:lang w:val="es-ES_tradnl" w:eastAsia="en-US" w:bidi="ar-SA"/>
        </w:rPr>
        <w:t xml:space="preserve"> </w:t>
      </w:r>
    </w:p>
    <w:p w:rsidR="006C47CD" w:rsidRPr="005E655B" w:rsidRDefault="006C47CD" w:rsidP="000032C5">
      <w:pPr>
        <w:pStyle w:val="Standard"/>
        <w:numPr>
          <w:ilvl w:val="0"/>
          <w:numId w:val="28"/>
        </w:numPr>
        <w:tabs>
          <w:tab w:val="left" w:pos="2340"/>
        </w:tabs>
        <w:spacing w:before="120" w:after="120"/>
        <w:ind w:left="2340" w:hanging="900"/>
        <w:jc w:val="both"/>
        <w:rPr>
          <w:rFonts w:ascii="Times New Roman" w:eastAsia="Times New Roman" w:hAnsi="Times New Roman" w:cs="Times New Roman"/>
          <w:kern w:val="0"/>
          <w:lang w:val="es-ES_tradnl" w:eastAsia="en-US" w:bidi="ar-SA"/>
        </w:rPr>
      </w:pPr>
      <w:r w:rsidRPr="005E655B">
        <w:rPr>
          <w:rFonts w:ascii="Times New Roman" w:eastAsia="Times New Roman" w:hAnsi="Times New Roman" w:cs="Times New Roman"/>
          <w:kern w:val="0"/>
          <w:lang w:val="es-ES_tradnl" w:eastAsia="en-US" w:bidi="ar-SA"/>
        </w:rPr>
        <w:t>Exponer todos los supuestos considerados para llevar a cabo el ACB.</w:t>
      </w:r>
    </w:p>
    <w:p w:rsidR="001D5096" w:rsidRPr="005E655B" w:rsidRDefault="001D5096" w:rsidP="000032C5">
      <w:pPr>
        <w:pStyle w:val="Standard"/>
        <w:numPr>
          <w:ilvl w:val="0"/>
          <w:numId w:val="28"/>
        </w:numPr>
        <w:tabs>
          <w:tab w:val="left" w:pos="2340"/>
        </w:tabs>
        <w:spacing w:before="120" w:after="120"/>
        <w:ind w:left="2340" w:hanging="900"/>
        <w:jc w:val="both"/>
        <w:rPr>
          <w:rFonts w:ascii="Times New Roman" w:eastAsia="Times New Roman" w:hAnsi="Times New Roman" w:cs="Times New Roman"/>
          <w:kern w:val="0"/>
          <w:lang w:val="es-ES_tradnl" w:eastAsia="en-US" w:bidi="ar-SA"/>
        </w:rPr>
      </w:pPr>
      <w:r w:rsidRPr="005E655B">
        <w:rPr>
          <w:rFonts w:ascii="Times New Roman" w:eastAsia="Times New Roman" w:hAnsi="Times New Roman" w:cs="Times New Roman"/>
          <w:kern w:val="0"/>
          <w:lang w:val="es-ES_tradnl" w:eastAsia="en-US" w:bidi="ar-SA"/>
        </w:rPr>
        <w:t>Calcular el valor actual neto (</w:t>
      </w:r>
      <w:r w:rsidR="00161738" w:rsidRPr="005E655B">
        <w:rPr>
          <w:rFonts w:ascii="Times New Roman" w:eastAsia="Times New Roman" w:hAnsi="Times New Roman" w:cs="Times New Roman"/>
          <w:kern w:val="0"/>
          <w:lang w:val="es-ES_tradnl" w:eastAsia="en-US" w:bidi="ar-SA"/>
        </w:rPr>
        <w:t>“</w:t>
      </w:r>
      <w:r w:rsidRPr="005E655B">
        <w:rPr>
          <w:rFonts w:ascii="Times New Roman" w:eastAsia="Times New Roman" w:hAnsi="Times New Roman" w:cs="Times New Roman"/>
          <w:kern w:val="0"/>
          <w:lang w:val="es-ES_tradnl" w:eastAsia="en-US" w:bidi="ar-SA"/>
        </w:rPr>
        <w:t>VAN</w:t>
      </w:r>
      <w:r w:rsidR="00161738" w:rsidRPr="005E655B">
        <w:rPr>
          <w:rFonts w:ascii="Times New Roman" w:eastAsia="Times New Roman" w:hAnsi="Times New Roman" w:cs="Times New Roman"/>
          <w:kern w:val="0"/>
          <w:lang w:val="es-ES_tradnl" w:eastAsia="en-US" w:bidi="ar-SA"/>
        </w:rPr>
        <w:t>”</w:t>
      </w:r>
      <w:r w:rsidRPr="005E655B">
        <w:rPr>
          <w:rFonts w:ascii="Times New Roman" w:eastAsia="Times New Roman" w:hAnsi="Times New Roman" w:cs="Times New Roman"/>
          <w:kern w:val="0"/>
          <w:lang w:val="es-ES_tradnl" w:eastAsia="en-US" w:bidi="ar-SA"/>
        </w:rPr>
        <w:t>) de</w:t>
      </w:r>
      <w:r w:rsidR="00326925" w:rsidRPr="005E655B">
        <w:rPr>
          <w:rFonts w:ascii="Times New Roman" w:eastAsia="Times New Roman" w:hAnsi="Times New Roman" w:cs="Times New Roman"/>
          <w:kern w:val="0"/>
          <w:lang w:val="es-ES_tradnl" w:eastAsia="en-US" w:bidi="ar-SA"/>
        </w:rPr>
        <w:t xml:space="preserve"> </w:t>
      </w:r>
      <w:r w:rsidRPr="005E655B">
        <w:rPr>
          <w:rFonts w:ascii="Times New Roman" w:eastAsia="Times New Roman" w:hAnsi="Times New Roman" w:cs="Times New Roman"/>
          <w:kern w:val="0"/>
          <w:lang w:val="es-ES_tradnl" w:eastAsia="en-US" w:bidi="ar-SA"/>
        </w:rPr>
        <w:t>l</w:t>
      </w:r>
      <w:r w:rsidR="00326925" w:rsidRPr="005E655B">
        <w:rPr>
          <w:rFonts w:ascii="Times New Roman" w:eastAsia="Times New Roman" w:hAnsi="Times New Roman" w:cs="Times New Roman"/>
          <w:kern w:val="0"/>
          <w:lang w:val="es-ES_tradnl" w:eastAsia="en-US" w:bidi="ar-SA"/>
        </w:rPr>
        <w:t>os impactos futuros del</w:t>
      </w:r>
      <w:r w:rsidRPr="005E655B">
        <w:rPr>
          <w:rFonts w:ascii="Times New Roman" w:eastAsia="Times New Roman" w:hAnsi="Times New Roman" w:cs="Times New Roman"/>
          <w:kern w:val="0"/>
          <w:lang w:val="es-ES_tradnl" w:eastAsia="en-US" w:bidi="ar-SA"/>
        </w:rPr>
        <w:t xml:space="preserve"> Programa usando </w:t>
      </w:r>
      <w:r w:rsidR="006C47CD" w:rsidRPr="005E655B">
        <w:rPr>
          <w:rFonts w:ascii="Times New Roman" w:eastAsia="Times New Roman" w:hAnsi="Times New Roman" w:cs="Times New Roman"/>
          <w:kern w:val="0"/>
          <w:lang w:val="es-ES_tradnl" w:eastAsia="en-US" w:bidi="ar-SA"/>
        </w:rPr>
        <w:t>l</w:t>
      </w:r>
      <w:r w:rsidRPr="005E655B">
        <w:rPr>
          <w:rFonts w:ascii="Times New Roman" w:eastAsia="Times New Roman" w:hAnsi="Times New Roman" w:cs="Times New Roman"/>
          <w:kern w:val="0"/>
          <w:lang w:val="es-ES_tradnl" w:eastAsia="en-US" w:bidi="ar-SA"/>
        </w:rPr>
        <w:t xml:space="preserve">a tasa de </w:t>
      </w:r>
      <w:r w:rsidR="00DD3F63" w:rsidRPr="005E655B">
        <w:rPr>
          <w:rFonts w:ascii="Times New Roman" w:eastAsia="Times New Roman" w:hAnsi="Times New Roman" w:cs="Times New Roman"/>
          <w:kern w:val="0"/>
          <w:lang w:val="es-ES_tradnl" w:eastAsia="en-US" w:bidi="ar-SA"/>
        </w:rPr>
        <w:t xml:space="preserve">referencia del Banco </w:t>
      </w:r>
      <w:r w:rsidRPr="005E655B">
        <w:rPr>
          <w:rFonts w:ascii="Times New Roman" w:eastAsia="Times New Roman" w:hAnsi="Times New Roman" w:cs="Times New Roman"/>
          <w:kern w:val="0"/>
          <w:lang w:val="es-ES_tradnl" w:eastAsia="en-US" w:bidi="ar-SA"/>
        </w:rPr>
        <w:t>de 12%, así como la Tasa de Interna de Retorno (</w:t>
      </w:r>
      <w:r w:rsidR="00161738" w:rsidRPr="005E655B">
        <w:rPr>
          <w:rFonts w:ascii="Times New Roman" w:eastAsia="Times New Roman" w:hAnsi="Times New Roman" w:cs="Times New Roman"/>
          <w:kern w:val="0"/>
          <w:lang w:val="es-ES_tradnl" w:eastAsia="en-US" w:bidi="ar-SA"/>
        </w:rPr>
        <w:t>“</w:t>
      </w:r>
      <w:r w:rsidRPr="005E655B">
        <w:rPr>
          <w:rFonts w:ascii="Times New Roman" w:eastAsia="Times New Roman" w:hAnsi="Times New Roman" w:cs="Times New Roman"/>
          <w:kern w:val="0"/>
          <w:lang w:val="es-ES_tradnl" w:eastAsia="en-US" w:bidi="ar-SA"/>
        </w:rPr>
        <w:t>TIR</w:t>
      </w:r>
      <w:r w:rsidR="00161738" w:rsidRPr="005E655B">
        <w:rPr>
          <w:rFonts w:ascii="Times New Roman" w:eastAsia="Times New Roman" w:hAnsi="Times New Roman" w:cs="Times New Roman"/>
          <w:kern w:val="0"/>
          <w:lang w:val="es-ES_tradnl" w:eastAsia="en-US" w:bidi="ar-SA"/>
        </w:rPr>
        <w:t>”</w:t>
      </w:r>
      <w:r w:rsidR="005E407F" w:rsidRPr="005E655B">
        <w:rPr>
          <w:rFonts w:ascii="Times New Roman" w:eastAsia="Times New Roman" w:hAnsi="Times New Roman" w:cs="Times New Roman"/>
          <w:kern w:val="0"/>
          <w:lang w:val="es-ES_tradnl" w:eastAsia="en-US" w:bidi="ar-SA"/>
        </w:rPr>
        <w:t>).</w:t>
      </w:r>
    </w:p>
    <w:p w:rsidR="001D5096" w:rsidRPr="005E655B" w:rsidRDefault="00BE3075" w:rsidP="000032C5">
      <w:pPr>
        <w:pStyle w:val="Standard"/>
        <w:numPr>
          <w:ilvl w:val="0"/>
          <w:numId w:val="28"/>
        </w:numPr>
        <w:tabs>
          <w:tab w:val="left" w:pos="2340"/>
        </w:tabs>
        <w:spacing w:before="120" w:after="120"/>
        <w:ind w:left="2340" w:hanging="900"/>
        <w:jc w:val="both"/>
        <w:rPr>
          <w:rFonts w:ascii="Times New Roman" w:eastAsia="Times New Roman" w:hAnsi="Times New Roman" w:cs="Times New Roman"/>
          <w:kern w:val="0"/>
          <w:lang w:val="es-ES_tradnl" w:eastAsia="en-US" w:bidi="ar-SA"/>
        </w:rPr>
      </w:pPr>
      <w:r w:rsidRPr="005E655B">
        <w:rPr>
          <w:rFonts w:ascii="Times New Roman" w:eastAsia="Times New Roman" w:hAnsi="Times New Roman" w:cs="Times New Roman"/>
          <w:kern w:val="0"/>
          <w:lang w:val="es-ES_tradnl" w:eastAsia="en-US" w:bidi="ar-SA"/>
        </w:rPr>
        <w:t xml:space="preserve">Realizar </w:t>
      </w:r>
      <w:r w:rsidR="001D5096" w:rsidRPr="005E655B">
        <w:rPr>
          <w:rFonts w:ascii="Times New Roman" w:eastAsia="Times New Roman" w:hAnsi="Times New Roman" w:cs="Times New Roman"/>
          <w:kern w:val="0"/>
          <w:lang w:val="es-ES_tradnl" w:eastAsia="en-US" w:bidi="ar-SA"/>
        </w:rPr>
        <w:t xml:space="preserve">un análisis de sensibilidad </w:t>
      </w:r>
      <w:r w:rsidR="00161738" w:rsidRPr="005E655B">
        <w:rPr>
          <w:rFonts w:ascii="Times New Roman" w:eastAsia="Times New Roman" w:hAnsi="Times New Roman" w:cs="Times New Roman"/>
          <w:kern w:val="0"/>
          <w:lang w:val="es-ES_tradnl" w:eastAsia="en-US" w:bidi="ar-SA"/>
        </w:rPr>
        <w:t>de la rentabilidad económica ante cambios en las variables</w:t>
      </w:r>
      <w:r w:rsidR="001D5096" w:rsidRPr="005E655B">
        <w:rPr>
          <w:rFonts w:ascii="Times New Roman" w:eastAsia="Times New Roman" w:hAnsi="Times New Roman" w:cs="Times New Roman"/>
          <w:kern w:val="0"/>
          <w:lang w:val="es-ES_tradnl" w:eastAsia="en-US" w:bidi="ar-SA"/>
        </w:rPr>
        <w:t xml:space="preserve"> </w:t>
      </w:r>
      <w:r w:rsidR="00161738" w:rsidRPr="005E655B">
        <w:rPr>
          <w:rFonts w:ascii="Times New Roman" w:eastAsia="Times New Roman" w:hAnsi="Times New Roman" w:cs="Times New Roman"/>
          <w:kern w:val="0"/>
          <w:lang w:val="es-ES_tradnl" w:eastAsia="en-US" w:bidi="ar-SA"/>
        </w:rPr>
        <w:t>críticas</w:t>
      </w:r>
      <w:r w:rsidR="001D5096" w:rsidRPr="005E655B">
        <w:rPr>
          <w:rFonts w:ascii="Times New Roman" w:eastAsia="Times New Roman" w:hAnsi="Times New Roman" w:cs="Times New Roman"/>
          <w:kern w:val="0"/>
          <w:lang w:val="es-ES_tradnl" w:eastAsia="en-US" w:bidi="ar-SA"/>
        </w:rPr>
        <w:t xml:space="preserve"> del </w:t>
      </w:r>
      <w:r w:rsidR="00161738" w:rsidRPr="005E655B">
        <w:rPr>
          <w:rFonts w:ascii="Times New Roman" w:eastAsia="Times New Roman" w:hAnsi="Times New Roman" w:cs="Times New Roman"/>
          <w:kern w:val="0"/>
          <w:lang w:val="es-ES_tradnl" w:eastAsia="en-US" w:bidi="ar-SA"/>
        </w:rPr>
        <w:t>Programa</w:t>
      </w:r>
      <w:r w:rsidR="00C6020E" w:rsidRPr="005E655B">
        <w:rPr>
          <w:rFonts w:ascii="Times New Roman" w:eastAsia="Times New Roman" w:hAnsi="Times New Roman" w:cs="Times New Roman"/>
          <w:kern w:val="0"/>
          <w:lang w:val="es-ES_tradnl" w:eastAsia="en-US" w:bidi="ar-SA"/>
        </w:rPr>
        <w:t>, de acuerdo con el planteamiento metodológico del ACB.</w:t>
      </w:r>
    </w:p>
    <w:p w:rsidR="00AB1D7D" w:rsidRPr="005E655B" w:rsidRDefault="000032C5"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bookmarkStart w:id="5" w:name="_Toc415751473"/>
      <w:r w:rsidRPr="005E655B">
        <w:rPr>
          <w:rStyle w:val="Heading2Char"/>
          <w:rFonts w:ascii="Times New Roman" w:hAnsi="Times New Roman" w:cs="Times New Roman"/>
          <w:color w:val="auto"/>
          <w:sz w:val="24"/>
          <w:szCs w:val="24"/>
        </w:rPr>
        <w:t>Antecedentes de la Operación</w:t>
      </w:r>
      <w:bookmarkEnd w:id="5"/>
      <w:r w:rsidRPr="005E655B">
        <w:rPr>
          <w:rFonts w:ascii="Times New Roman" w:hAnsi="Times New Roman" w:cs="Times New Roman"/>
          <w:b/>
          <w:sz w:val="24"/>
          <w:szCs w:val="24"/>
        </w:rPr>
        <w:t>.</w:t>
      </w:r>
      <w:r w:rsidRPr="005E655B">
        <w:rPr>
          <w:rFonts w:ascii="Times New Roman" w:hAnsi="Times New Roman" w:cs="Times New Roman"/>
          <w:sz w:val="24"/>
          <w:szCs w:val="24"/>
        </w:rPr>
        <w:t xml:space="preserve"> </w:t>
      </w:r>
      <w:r w:rsidR="00AB1D7D" w:rsidRPr="005E655B">
        <w:rPr>
          <w:rFonts w:ascii="Times New Roman" w:hAnsi="Times New Roman" w:cs="Times New Roman"/>
          <w:sz w:val="24"/>
          <w:szCs w:val="24"/>
        </w:rPr>
        <w:t xml:space="preserve">El </w:t>
      </w:r>
      <w:r w:rsidR="006102F5" w:rsidRPr="005E655B">
        <w:rPr>
          <w:rFonts w:ascii="Times New Roman" w:hAnsi="Times New Roman" w:cs="Times New Roman"/>
          <w:sz w:val="24"/>
          <w:szCs w:val="24"/>
        </w:rPr>
        <w:t>P</w:t>
      </w:r>
      <w:r w:rsidR="00AB1D7D" w:rsidRPr="005E655B">
        <w:rPr>
          <w:rFonts w:ascii="Times New Roman" w:hAnsi="Times New Roman" w:cs="Times New Roman"/>
          <w:sz w:val="24"/>
          <w:szCs w:val="24"/>
        </w:rPr>
        <w:t xml:space="preserve">rograma constituye la segunda fase del PRSND, que el Ministerio de Electricidad y Energía Renovable (MEER) </w:t>
      </w:r>
      <w:r w:rsidR="006102F5" w:rsidRPr="005E655B">
        <w:rPr>
          <w:rFonts w:ascii="Times New Roman" w:hAnsi="Times New Roman" w:cs="Times New Roman"/>
          <w:sz w:val="24"/>
          <w:szCs w:val="24"/>
        </w:rPr>
        <w:t>viene</w:t>
      </w:r>
      <w:r w:rsidR="00AB1D7D" w:rsidRPr="005E655B">
        <w:rPr>
          <w:rFonts w:ascii="Times New Roman" w:hAnsi="Times New Roman" w:cs="Times New Roman"/>
          <w:sz w:val="24"/>
          <w:szCs w:val="24"/>
        </w:rPr>
        <w:t xml:space="preserve"> </w:t>
      </w:r>
      <w:r w:rsidR="006102F5" w:rsidRPr="005E655B">
        <w:rPr>
          <w:rFonts w:ascii="Times New Roman" w:hAnsi="Times New Roman" w:cs="Times New Roman"/>
          <w:sz w:val="24"/>
          <w:szCs w:val="24"/>
        </w:rPr>
        <w:t xml:space="preserve">dirigiendo </w:t>
      </w:r>
      <w:r w:rsidR="00AB1D7D" w:rsidRPr="005E655B">
        <w:rPr>
          <w:rFonts w:ascii="Times New Roman" w:hAnsi="Times New Roman" w:cs="Times New Roman"/>
          <w:sz w:val="24"/>
          <w:szCs w:val="24"/>
        </w:rPr>
        <w:t>desde 2013</w:t>
      </w:r>
      <w:r w:rsidR="006102F5" w:rsidRPr="005E655B">
        <w:rPr>
          <w:rFonts w:ascii="Times New Roman" w:hAnsi="Times New Roman" w:cs="Times New Roman"/>
          <w:sz w:val="24"/>
          <w:szCs w:val="24"/>
        </w:rPr>
        <w:t xml:space="preserve">. El PRSND </w:t>
      </w:r>
      <w:r w:rsidR="00AB1D7D" w:rsidRPr="005E655B">
        <w:rPr>
          <w:rFonts w:ascii="Times New Roman" w:hAnsi="Times New Roman" w:cs="Times New Roman"/>
          <w:sz w:val="24"/>
          <w:szCs w:val="24"/>
        </w:rPr>
        <w:t>prevé ejecutar</w:t>
      </w:r>
      <w:r w:rsidR="006102F5" w:rsidRPr="005E655B">
        <w:rPr>
          <w:rFonts w:ascii="Times New Roman" w:hAnsi="Times New Roman" w:cs="Times New Roman"/>
          <w:sz w:val="24"/>
          <w:szCs w:val="24"/>
        </w:rPr>
        <w:t>se</w:t>
      </w:r>
      <w:r w:rsidR="00AB1D7D" w:rsidRPr="005E655B">
        <w:rPr>
          <w:rFonts w:ascii="Times New Roman" w:hAnsi="Times New Roman" w:cs="Times New Roman"/>
          <w:sz w:val="24"/>
          <w:szCs w:val="24"/>
        </w:rPr>
        <w:t xml:space="preserve"> en 4 etapas</w:t>
      </w:r>
      <w:r w:rsidR="006102F5" w:rsidRPr="005E655B">
        <w:rPr>
          <w:rFonts w:ascii="Times New Roman" w:hAnsi="Times New Roman" w:cs="Times New Roman"/>
          <w:sz w:val="24"/>
          <w:szCs w:val="24"/>
        </w:rPr>
        <w:t>,</w:t>
      </w:r>
      <w:r w:rsidR="00AB1D7D" w:rsidRPr="005E655B">
        <w:rPr>
          <w:rFonts w:ascii="Times New Roman" w:hAnsi="Times New Roman" w:cs="Times New Roman"/>
          <w:sz w:val="24"/>
          <w:szCs w:val="24"/>
        </w:rPr>
        <w:t xml:space="preserve"> a medida que sea oportuna </w:t>
      </w:r>
      <w:r w:rsidR="006102F5" w:rsidRPr="005E655B">
        <w:rPr>
          <w:rFonts w:ascii="Times New Roman" w:hAnsi="Times New Roman" w:cs="Times New Roman"/>
          <w:sz w:val="24"/>
          <w:szCs w:val="24"/>
        </w:rPr>
        <w:t>su</w:t>
      </w:r>
      <w:r w:rsidR="00AB1D7D" w:rsidRPr="005E655B">
        <w:rPr>
          <w:rFonts w:ascii="Times New Roman" w:hAnsi="Times New Roman" w:cs="Times New Roman"/>
          <w:sz w:val="24"/>
          <w:szCs w:val="24"/>
        </w:rPr>
        <w:t xml:space="preserve"> incorporación </w:t>
      </w:r>
      <w:r w:rsidR="006102F5" w:rsidRPr="005E655B">
        <w:rPr>
          <w:rFonts w:ascii="Times New Roman" w:hAnsi="Times New Roman" w:cs="Times New Roman"/>
          <w:sz w:val="24"/>
          <w:szCs w:val="24"/>
        </w:rPr>
        <w:t xml:space="preserve">en función de </w:t>
      </w:r>
      <w:r w:rsidR="00AB1D7D" w:rsidRPr="005E655B">
        <w:rPr>
          <w:rFonts w:ascii="Times New Roman" w:hAnsi="Times New Roman" w:cs="Times New Roman"/>
          <w:sz w:val="24"/>
          <w:szCs w:val="24"/>
        </w:rPr>
        <w:t xml:space="preserve">las nuevas cargas </w:t>
      </w:r>
      <w:r w:rsidR="006102F5" w:rsidRPr="005E655B">
        <w:rPr>
          <w:rFonts w:ascii="Times New Roman" w:hAnsi="Times New Roman" w:cs="Times New Roman"/>
          <w:sz w:val="24"/>
          <w:szCs w:val="24"/>
        </w:rPr>
        <w:t xml:space="preserve">eléctricas </w:t>
      </w:r>
      <w:r w:rsidR="00AB1D7D" w:rsidRPr="005E655B">
        <w:rPr>
          <w:rFonts w:ascii="Times New Roman" w:hAnsi="Times New Roman" w:cs="Times New Roman"/>
          <w:sz w:val="24"/>
          <w:szCs w:val="24"/>
        </w:rPr>
        <w:t>proyectadas</w:t>
      </w:r>
      <w:r w:rsidR="006102F5" w:rsidRPr="005E655B">
        <w:rPr>
          <w:rFonts w:ascii="Times New Roman" w:hAnsi="Times New Roman" w:cs="Times New Roman"/>
          <w:sz w:val="24"/>
          <w:szCs w:val="24"/>
        </w:rPr>
        <w:t xml:space="preserve"> en el sistema eléctrico nacional</w:t>
      </w:r>
      <w:r w:rsidR="00AB1D7D" w:rsidRPr="005E655B">
        <w:rPr>
          <w:rFonts w:ascii="Times New Roman" w:hAnsi="Times New Roman" w:cs="Times New Roman"/>
          <w:sz w:val="24"/>
          <w:szCs w:val="24"/>
        </w:rPr>
        <w:t xml:space="preserve">. </w:t>
      </w:r>
    </w:p>
    <w:p w:rsidR="00AB1D7D" w:rsidRPr="005E655B" w:rsidRDefault="00AB1D7D" w:rsidP="000032C5">
      <w:pPr>
        <w:pStyle w:val="ListParagraph"/>
        <w:spacing w:before="120" w:after="120" w:line="240" w:lineRule="auto"/>
        <w:jc w:val="both"/>
        <w:rPr>
          <w:rFonts w:ascii="Times New Roman" w:hAnsi="Times New Roman" w:cs="Times New Roman"/>
          <w:sz w:val="24"/>
          <w:szCs w:val="24"/>
        </w:rPr>
      </w:pPr>
    </w:p>
    <w:p w:rsidR="00B00043" w:rsidRPr="005E655B" w:rsidRDefault="005B553F"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lang w:val="es-CO"/>
        </w:rPr>
        <w:t xml:space="preserve">El Plan Nacional para el Buen Vivir (PNBV) 2013-2017, como instrumento rector de las políticas, programas y proyectos públicos, así como de la inversión y asignación de recursos, plantea como uno de sus objetivos principales el </w:t>
      </w:r>
      <w:r w:rsidR="002C0BCC" w:rsidRPr="005E655B">
        <w:rPr>
          <w:rFonts w:ascii="Times New Roman" w:hAnsi="Times New Roman" w:cs="Times New Roman"/>
          <w:sz w:val="24"/>
          <w:szCs w:val="24"/>
          <w:lang w:val="es-CO"/>
        </w:rPr>
        <w:t>C</w:t>
      </w:r>
      <w:r w:rsidRPr="005E655B">
        <w:rPr>
          <w:rFonts w:ascii="Times New Roman" w:hAnsi="Times New Roman" w:cs="Times New Roman"/>
          <w:sz w:val="24"/>
          <w:szCs w:val="24"/>
          <w:lang w:val="es-CO"/>
        </w:rPr>
        <w:t xml:space="preserve">ambio de la </w:t>
      </w:r>
      <w:r w:rsidR="002C0BCC" w:rsidRPr="005E655B">
        <w:rPr>
          <w:rFonts w:ascii="Times New Roman" w:hAnsi="Times New Roman" w:cs="Times New Roman"/>
          <w:sz w:val="24"/>
          <w:szCs w:val="24"/>
          <w:lang w:val="es-CO"/>
        </w:rPr>
        <w:t>M</w:t>
      </w:r>
      <w:r w:rsidRPr="005E655B">
        <w:rPr>
          <w:rFonts w:ascii="Times New Roman" w:hAnsi="Times New Roman" w:cs="Times New Roman"/>
          <w:sz w:val="24"/>
          <w:szCs w:val="24"/>
          <w:lang w:val="es-CO"/>
        </w:rPr>
        <w:t xml:space="preserve">atriz </w:t>
      </w:r>
      <w:r w:rsidR="002C0BCC" w:rsidRPr="005E655B">
        <w:rPr>
          <w:rFonts w:ascii="Times New Roman" w:hAnsi="Times New Roman" w:cs="Times New Roman"/>
          <w:sz w:val="24"/>
          <w:szCs w:val="24"/>
          <w:lang w:val="es-CO"/>
        </w:rPr>
        <w:t>Energética (CME). El</w:t>
      </w:r>
      <w:r w:rsidRPr="005E655B">
        <w:rPr>
          <w:rFonts w:ascii="Times New Roman" w:hAnsi="Times New Roman" w:cs="Times New Roman"/>
          <w:sz w:val="24"/>
          <w:szCs w:val="24"/>
          <w:lang w:val="es-CO"/>
        </w:rPr>
        <w:t xml:space="preserve"> </w:t>
      </w:r>
      <w:r w:rsidR="002C0BCC" w:rsidRPr="005E655B">
        <w:rPr>
          <w:rFonts w:ascii="Times New Roman" w:hAnsi="Times New Roman" w:cs="Times New Roman"/>
          <w:sz w:val="24"/>
          <w:szCs w:val="24"/>
          <w:lang w:val="es-CO"/>
        </w:rPr>
        <w:t xml:space="preserve">CME </w:t>
      </w:r>
      <w:r w:rsidRPr="005E655B">
        <w:rPr>
          <w:rFonts w:ascii="Times New Roman" w:hAnsi="Times New Roman" w:cs="Times New Roman"/>
          <w:sz w:val="24"/>
          <w:szCs w:val="24"/>
          <w:lang w:val="es-CO"/>
        </w:rPr>
        <w:t>consiste básicamente en los siguientes componentes: i) incrementar el uso de las fuentes re</w:t>
      </w:r>
      <w:r w:rsidR="00C5355B" w:rsidRPr="005E655B">
        <w:rPr>
          <w:rFonts w:ascii="Times New Roman" w:hAnsi="Times New Roman" w:cs="Times New Roman"/>
          <w:sz w:val="24"/>
          <w:szCs w:val="24"/>
          <w:lang w:val="es-CO"/>
        </w:rPr>
        <w:t>novables de energía</w:t>
      </w:r>
      <w:r w:rsidR="00B00043" w:rsidRPr="005E655B">
        <w:rPr>
          <w:rFonts w:ascii="Times New Roman" w:hAnsi="Times New Roman" w:cs="Times New Roman"/>
          <w:sz w:val="24"/>
          <w:szCs w:val="24"/>
          <w:lang w:val="es-CO"/>
        </w:rPr>
        <w:t xml:space="preserve"> (</w:t>
      </w:r>
      <w:r w:rsidR="006D20CD" w:rsidRPr="005E655B">
        <w:rPr>
          <w:rFonts w:ascii="Times New Roman" w:hAnsi="Times New Roman" w:cs="Times New Roman"/>
          <w:sz w:val="24"/>
          <w:szCs w:val="24"/>
          <w:lang w:val="es-CO"/>
        </w:rPr>
        <w:t xml:space="preserve">principalmente de </w:t>
      </w:r>
      <w:r w:rsidR="00B00043" w:rsidRPr="005E655B">
        <w:rPr>
          <w:rFonts w:ascii="Times New Roman" w:hAnsi="Times New Roman" w:cs="Times New Roman"/>
          <w:sz w:val="24"/>
          <w:szCs w:val="24"/>
          <w:lang w:val="es-CO"/>
        </w:rPr>
        <w:t>generación hidroeléctrica</w:t>
      </w:r>
      <w:r w:rsidR="00C5355B" w:rsidRPr="005E655B">
        <w:rPr>
          <w:rFonts w:ascii="Times New Roman" w:hAnsi="Times New Roman" w:cs="Times New Roman"/>
          <w:sz w:val="24"/>
          <w:szCs w:val="24"/>
          <w:lang w:val="es-CO"/>
        </w:rPr>
        <w:t>)</w:t>
      </w:r>
      <w:r w:rsidR="006D20CD" w:rsidRPr="005E655B">
        <w:rPr>
          <w:rFonts w:ascii="Times New Roman" w:hAnsi="Times New Roman" w:cs="Times New Roman"/>
          <w:sz w:val="24"/>
          <w:szCs w:val="24"/>
          <w:lang w:val="es-CO"/>
        </w:rPr>
        <w:t xml:space="preserve"> </w:t>
      </w:r>
      <w:r w:rsidR="00C5355B" w:rsidRPr="005E655B">
        <w:rPr>
          <w:rFonts w:ascii="Times New Roman" w:hAnsi="Times New Roman" w:cs="Times New Roman"/>
          <w:sz w:val="24"/>
          <w:szCs w:val="24"/>
          <w:lang w:val="es-CO"/>
        </w:rPr>
        <w:t xml:space="preserve">frente a </w:t>
      </w:r>
      <w:r w:rsidR="006D20CD" w:rsidRPr="005E655B">
        <w:rPr>
          <w:rFonts w:ascii="Times New Roman" w:hAnsi="Times New Roman" w:cs="Times New Roman"/>
          <w:sz w:val="24"/>
          <w:szCs w:val="24"/>
          <w:lang w:val="es-CO"/>
        </w:rPr>
        <w:t>la generación térmica</w:t>
      </w:r>
      <w:r w:rsidR="00C5355B" w:rsidRPr="005E655B">
        <w:rPr>
          <w:rFonts w:ascii="Times New Roman" w:hAnsi="Times New Roman" w:cs="Times New Roman"/>
          <w:sz w:val="24"/>
          <w:szCs w:val="24"/>
          <w:lang w:val="es-CO"/>
        </w:rPr>
        <w:t xml:space="preserve"> convencional</w:t>
      </w:r>
      <w:r w:rsidRPr="005E655B">
        <w:rPr>
          <w:rFonts w:ascii="Times New Roman" w:hAnsi="Times New Roman" w:cs="Times New Roman"/>
          <w:sz w:val="24"/>
          <w:szCs w:val="24"/>
          <w:lang w:val="es-CO"/>
        </w:rPr>
        <w:t>; (ii) reducir las importaciones de derivados de petróleo; y (iii) fomentar el uso eficiente de la energía de consumo residencial</w:t>
      </w:r>
      <w:r w:rsidR="005D3925" w:rsidRPr="005E655B">
        <w:rPr>
          <w:rFonts w:ascii="Times New Roman" w:hAnsi="Times New Roman" w:cs="Times New Roman"/>
          <w:sz w:val="24"/>
          <w:szCs w:val="24"/>
          <w:lang w:val="es-CO"/>
        </w:rPr>
        <w:t xml:space="preserve"> </w:t>
      </w:r>
      <w:r w:rsidR="00C5355B" w:rsidRPr="005E655B">
        <w:rPr>
          <w:rFonts w:ascii="Times New Roman" w:hAnsi="Times New Roman" w:cs="Times New Roman"/>
          <w:sz w:val="24"/>
          <w:szCs w:val="24"/>
          <w:lang w:val="es-CO"/>
        </w:rPr>
        <w:t xml:space="preserve">mediante el </w:t>
      </w:r>
      <w:r w:rsidR="005D3925" w:rsidRPr="005E655B">
        <w:rPr>
          <w:rFonts w:ascii="Times New Roman" w:hAnsi="Times New Roman" w:cs="Times New Roman"/>
          <w:sz w:val="24"/>
          <w:szCs w:val="24"/>
          <w:lang w:val="es-CO"/>
        </w:rPr>
        <w:t xml:space="preserve">desplazamiento del uso del </w:t>
      </w:r>
      <w:r w:rsidR="00734BF4" w:rsidRPr="005E655B">
        <w:rPr>
          <w:rFonts w:ascii="Times New Roman" w:hAnsi="Times New Roman" w:cs="Times New Roman"/>
          <w:sz w:val="24"/>
          <w:szCs w:val="24"/>
          <w:lang w:val="es-CO"/>
        </w:rPr>
        <w:t>Gas Licuado del Petróleo (</w:t>
      </w:r>
      <w:r w:rsidR="005D3925" w:rsidRPr="005E655B">
        <w:rPr>
          <w:rFonts w:ascii="Times New Roman" w:hAnsi="Times New Roman" w:cs="Times New Roman"/>
          <w:sz w:val="24"/>
          <w:szCs w:val="24"/>
          <w:lang w:val="es-CO"/>
        </w:rPr>
        <w:t>GLP</w:t>
      </w:r>
      <w:r w:rsidR="00734BF4" w:rsidRPr="005E655B">
        <w:rPr>
          <w:rFonts w:ascii="Times New Roman" w:hAnsi="Times New Roman" w:cs="Times New Roman"/>
          <w:sz w:val="24"/>
          <w:szCs w:val="24"/>
          <w:lang w:val="es-CO"/>
        </w:rPr>
        <w:t>)</w:t>
      </w:r>
      <w:r w:rsidR="005D3925" w:rsidRPr="005E655B">
        <w:rPr>
          <w:rFonts w:ascii="Times New Roman" w:hAnsi="Times New Roman" w:cs="Times New Roman"/>
          <w:sz w:val="24"/>
          <w:szCs w:val="24"/>
          <w:lang w:val="es-CO"/>
        </w:rPr>
        <w:t xml:space="preserve"> por electricidad</w:t>
      </w:r>
      <w:r w:rsidRPr="005E655B">
        <w:rPr>
          <w:rFonts w:ascii="Times New Roman" w:hAnsi="Times New Roman" w:cs="Times New Roman"/>
          <w:sz w:val="24"/>
          <w:szCs w:val="24"/>
          <w:lang w:val="es-CO"/>
        </w:rPr>
        <w:t>.</w:t>
      </w:r>
      <w:r w:rsidRPr="005E655B">
        <w:rPr>
          <w:rFonts w:ascii="Times New Roman" w:hAnsi="Times New Roman" w:cs="Times New Roman"/>
          <w:sz w:val="24"/>
          <w:szCs w:val="24"/>
        </w:rPr>
        <w:t xml:space="preserve"> </w:t>
      </w:r>
    </w:p>
    <w:p w:rsidR="006D20CD" w:rsidRPr="005E655B" w:rsidRDefault="006D20CD" w:rsidP="000032C5">
      <w:pPr>
        <w:pStyle w:val="ListParagraph"/>
        <w:spacing w:before="120" w:after="120" w:line="240" w:lineRule="auto"/>
        <w:jc w:val="both"/>
        <w:rPr>
          <w:rFonts w:ascii="Times New Roman" w:hAnsi="Times New Roman" w:cs="Times New Roman"/>
          <w:sz w:val="24"/>
          <w:szCs w:val="24"/>
        </w:rPr>
      </w:pPr>
    </w:p>
    <w:p w:rsidR="006D20CD" w:rsidRPr="005E655B" w:rsidRDefault="00553C65"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lang w:val="es-CO"/>
        </w:rPr>
        <w:t>En este sentido, b</w:t>
      </w:r>
      <w:r w:rsidR="00C5355B" w:rsidRPr="005E655B">
        <w:rPr>
          <w:rFonts w:ascii="Times New Roman" w:hAnsi="Times New Roman" w:cs="Times New Roman"/>
          <w:sz w:val="24"/>
          <w:szCs w:val="24"/>
          <w:lang w:val="es-CO"/>
        </w:rPr>
        <w:t>asándose</w:t>
      </w:r>
      <w:r w:rsidR="00B00043" w:rsidRPr="005E655B">
        <w:rPr>
          <w:rFonts w:ascii="Times New Roman" w:hAnsi="Times New Roman" w:cs="Times New Roman"/>
          <w:sz w:val="24"/>
          <w:szCs w:val="24"/>
          <w:lang w:val="es-CO"/>
        </w:rPr>
        <w:t xml:space="preserve"> en la soberanía y eficiencia energética como pilares de la política sectorial, </w:t>
      </w:r>
      <w:r w:rsidR="006A0462" w:rsidRPr="005E655B">
        <w:rPr>
          <w:rFonts w:ascii="Times New Roman" w:hAnsi="Times New Roman" w:cs="Times New Roman"/>
          <w:sz w:val="24"/>
          <w:szCs w:val="24"/>
        </w:rPr>
        <w:t xml:space="preserve">el </w:t>
      </w:r>
      <w:r w:rsidR="006A0462" w:rsidRPr="005E655B">
        <w:rPr>
          <w:rFonts w:ascii="Times New Roman" w:hAnsi="Times New Roman" w:cs="Times New Roman"/>
          <w:sz w:val="24"/>
          <w:szCs w:val="24"/>
          <w:lang w:val="es-CO"/>
        </w:rPr>
        <w:t xml:space="preserve">Plan Maestro de Electrificación 2013-2022 (PME), </w:t>
      </w:r>
      <w:r w:rsidR="00B00043" w:rsidRPr="005E655B">
        <w:rPr>
          <w:rFonts w:ascii="Times New Roman" w:hAnsi="Times New Roman" w:cs="Times New Roman"/>
          <w:sz w:val="24"/>
          <w:szCs w:val="24"/>
          <w:lang w:val="es-CO"/>
        </w:rPr>
        <w:t xml:space="preserve">responde a la necesidad de modernizar y expandir el sistema eléctrico </w:t>
      </w:r>
      <w:r w:rsidR="00DD3F63" w:rsidRPr="005E655B">
        <w:rPr>
          <w:rFonts w:ascii="Times New Roman" w:hAnsi="Times New Roman" w:cs="Times New Roman"/>
          <w:sz w:val="24"/>
          <w:szCs w:val="24"/>
          <w:lang w:val="es-CO"/>
        </w:rPr>
        <w:t>teniendo en cuenta e</w:t>
      </w:r>
      <w:r w:rsidR="00B00043" w:rsidRPr="005E655B">
        <w:rPr>
          <w:rFonts w:ascii="Times New Roman" w:hAnsi="Times New Roman" w:cs="Times New Roman"/>
          <w:sz w:val="24"/>
          <w:szCs w:val="24"/>
          <w:lang w:val="es-CO"/>
        </w:rPr>
        <w:t xml:space="preserve">l crecimiento natural de </w:t>
      </w:r>
      <w:r w:rsidR="005D3925" w:rsidRPr="005E655B">
        <w:rPr>
          <w:rFonts w:ascii="Times New Roman" w:hAnsi="Times New Roman" w:cs="Times New Roman"/>
          <w:sz w:val="24"/>
          <w:szCs w:val="24"/>
          <w:lang w:val="es-CO"/>
        </w:rPr>
        <w:t xml:space="preserve">la </w:t>
      </w:r>
      <w:r w:rsidR="00B00043" w:rsidRPr="005E655B">
        <w:rPr>
          <w:rFonts w:ascii="Times New Roman" w:hAnsi="Times New Roman" w:cs="Times New Roman"/>
          <w:sz w:val="24"/>
          <w:szCs w:val="24"/>
          <w:lang w:val="es-CO"/>
        </w:rPr>
        <w:t xml:space="preserve">demanda así como la incorporación de nuevas cargas por </w:t>
      </w:r>
      <w:r w:rsidR="00C5355B" w:rsidRPr="005E655B">
        <w:rPr>
          <w:rFonts w:ascii="Times New Roman" w:hAnsi="Times New Roman" w:cs="Times New Roman"/>
          <w:sz w:val="24"/>
          <w:szCs w:val="24"/>
          <w:lang w:val="es-CO"/>
        </w:rPr>
        <w:t xml:space="preserve">el </w:t>
      </w:r>
      <w:r w:rsidRPr="005E655B">
        <w:rPr>
          <w:rFonts w:ascii="Times New Roman" w:hAnsi="Times New Roman" w:cs="Times New Roman"/>
          <w:sz w:val="24"/>
          <w:szCs w:val="24"/>
          <w:lang w:val="es-CO"/>
        </w:rPr>
        <w:t>CME</w:t>
      </w:r>
      <w:r w:rsidR="00B00043" w:rsidRPr="005E655B">
        <w:rPr>
          <w:rFonts w:ascii="Times New Roman" w:hAnsi="Times New Roman" w:cs="Times New Roman"/>
          <w:sz w:val="24"/>
          <w:szCs w:val="24"/>
          <w:lang w:val="es-CO"/>
        </w:rPr>
        <w:t>.</w:t>
      </w:r>
      <w:r w:rsidR="005B553F" w:rsidRPr="005E655B">
        <w:rPr>
          <w:rFonts w:ascii="Times New Roman" w:hAnsi="Times New Roman" w:cs="Times New Roman"/>
          <w:sz w:val="24"/>
          <w:szCs w:val="24"/>
          <w:lang w:val="es-CO"/>
        </w:rPr>
        <w:t xml:space="preserve"> </w:t>
      </w:r>
    </w:p>
    <w:p w:rsidR="00032A7E" w:rsidRPr="005E655B" w:rsidRDefault="00032A7E" w:rsidP="000032C5">
      <w:pPr>
        <w:pStyle w:val="ListParagraph"/>
        <w:spacing w:before="120" w:after="120" w:line="240" w:lineRule="auto"/>
        <w:rPr>
          <w:rFonts w:ascii="Times New Roman" w:hAnsi="Times New Roman" w:cs="Times New Roman"/>
          <w:sz w:val="24"/>
          <w:szCs w:val="24"/>
        </w:rPr>
      </w:pPr>
    </w:p>
    <w:p w:rsidR="00032A7E" w:rsidRPr="005E655B" w:rsidRDefault="00032A7E"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lang w:val="es-CO"/>
        </w:rPr>
        <w:t>En el marco del PME, el Gobierno de la República del Ecuador (</w:t>
      </w:r>
      <w:proofErr w:type="spellStart"/>
      <w:r w:rsidRPr="005E655B">
        <w:rPr>
          <w:rFonts w:ascii="Times New Roman" w:hAnsi="Times New Roman" w:cs="Times New Roman"/>
          <w:sz w:val="24"/>
          <w:szCs w:val="24"/>
          <w:lang w:val="es-CO"/>
        </w:rPr>
        <w:t>GdE</w:t>
      </w:r>
      <w:proofErr w:type="spellEnd"/>
      <w:r w:rsidRPr="005E655B">
        <w:rPr>
          <w:rFonts w:ascii="Times New Roman" w:hAnsi="Times New Roman" w:cs="Times New Roman"/>
          <w:sz w:val="24"/>
          <w:szCs w:val="24"/>
          <w:lang w:val="es-CO"/>
        </w:rPr>
        <w:t>) diseñó varios planes estratégicos: (i) el Plan de Electrificación Rural y Urbano Marginal (FERUM); (ii) el Plan de Reducción de las Pérdidas Eléctricas (</w:t>
      </w:r>
      <w:proofErr w:type="spellStart"/>
      <w:r w:rsidRPr="005E655B">
        <w:rPr>
          <w:rFonts w:ascii="Times New Roman" w:hAnsi="Times New Roman" w:cs="Times New Roman"/>
          <w:sz w:val="24"/>
          <w:szCs w:val="24"/>
          <w:lang w:val="es-CO"/>
        </w:rPr>
        <w:t>PlanRep</w:t>
      </w:r>
      <w:proofErr w:type="spellEnd"/>
      <w:r w:rsidRPr="005E655B">
        <w:rPr>
          <w:rFonts w:ascii="Times New Roman" w:hAnsi="Times New Roman" w:cs="Times New Roman"/>
          <w:sz w:val="24"/>
          <w:szCs w:val="24"/>
          <w:lang w:val="es-CO"/>
        </w:rPr>
        <w:t>); (iii) y el Plan de Mejoramiento de la Red de Distribución (PMD). Varios de estos planes han contado con recursos de financiamiento del Banco, y desde el año 2015 se integran financiamientos del Banco de Desarrollo de América Latina (CAF) y de la Agencia Francesa de Desarrollo (AFD).</w:t>
      </w:r>
    </w:p>
    <w:p w:rsidR="00553C65" w:rsidRPr="005E655B" w:rsidRDefault="00553C65" w:rsidP="000032C5">
      <w:pPr>
        <w:pStyle w:val="ListParagraph"/>
        <w:spacing w:before="120" w:after="120" w:line="240" w:lineRule="auto"/>
        <w:jc w:val="both"/>
        <w:rPr>
          <w:rFonts w:ascii="Times New Roman" w:hAnsi="Times New Roman" w:cs="Times New Roman"/>
          <w:sz w:val="24"/>
          <w:szCs w:val="24"/>
        </w:rPr>
      </w:pPr>
    </w:p>
    <w:p w:rsidR="005D3925" w:rsidRPr="005E655B" w:rsidRDefault="00032A7E"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 xml:space="preserve">En lo que respecta a </w:t>
      </w:r>
      <w:r w:rsidR="00553C65" w:rsidRPr="005E655B">
        <w:rPr>
          <w:rFonts w:ascii="Times New Roman" w:hAnsi="Times New Roman" w:cs="Times New Roman"/>
          <w:sz w:val="24"/>
          <w:szCs w:val="24"/>
        </w:rPr>
        <w:t>la generación eléctrica renovable, se están ejecutando actualmente</w:t>
      </w:r>
      <w:r w:rsidRPr="005E655B">
        <w:rPr>
          <w:rFonts w:ascii="Times New Roman" w:hAnsi="Times New Roman" w:cs="Times New Roman"/>
          <w:sz w:val="24"/>
          <w:szCs w:val="24"/>
        </w:rPr>
        <w:t xml:space="preserve"> varios proyectos hidroeléctricos</w:t>
      </w:r>
      <w:r w:rsidR="00553C65" w:rsidRPr="005E655B">
        <w:rPr>
          <w:rFonts w:ascii="Times New Roman" w:hAnsi="Times New Roman" w:cs="Times New Roman"/>
          <w:sz w:val="24"/>
          <w:szCs w:val="24"/>
        </w:rPr>
        <w:t xml:space="preserve"> con una potencia instalada total de más de 2.500 MW. </w:t>
      </w:r>
      <w:r w:rsidRPr="005E655B">
        <w:rPr>
          <w:rFonts w:ascii="Times New Roman" w:hAnsi="Times New Roman" w:cs="Times New Roman"/>
          <w:sz w:val="24"/>
          <w:szCs w:val="24"/>
        </w:rPr>
        <w:t xml:space="preserve">Por la parte de la </w:t>
      </w:r>
      <w:r w:rsidR="00553C65" w:rsidRPr="005E655B">
        <w:rPr>
          <w:rFonts w:ascii="Times New Roman" w:hAnsi="Times New Roman" w:cs="Times New Roman"/>
          <w:sz w:val="24"/>
          <w:szCs w:val="24"/>
        </w:rPr>
        <w:t>demanda eléctrica, el CME se está desarrollando, entre otras iniciativas, a través del Programa Nacional de Cocción Eficiente (PNCE). El PNCE contempla tanto el fortalecimiento del SND como la introducción de cocinas de inducción en los hogares.</w:t>
      </w:r>
    </w:p>
    <w:p w:rsidR="002C0BCC" w:rsidRPr="005E655B" w:rsidRDefault="002C0BCC" w:rsidP="000032C5">
      <w:pPr>
        <w:pStyle w:val="ListParagraph"/>
        <w:spacing w:before="120" w:after="120" w:line="240" w:lineRule="auto"/>
        <w:rPr>
          <w:rFonts w:ascii="Times New Roman" w:hAnsi="Times New Roman" w:cs="Times New Roman"/>
          <w:sz w:val="24"/>
          <w:szCs w:val="24"/>
        </w:rPr>
      </w:pPr>
    </w:p>
    <w:p w:rsidR="005D3925" w:rsidRPr="005E655B" w:rsidRDefault="005D3925"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lang w:val="es-CO"/>
        </w:rPr>
        <w:t xml:space="preserve">Por todo lo anterior, se </w:t>
      </w:r>
      <w:r w:rsidR="00DD3F63" w:rsidRPr="005E655B">
        <w:rPr>
          <w:rFonts w:ascii="Times New Roman" w:hAnsi="Times New Roman" w:cs="Times New Roman"/>
          <w:sz w:val="24"/>
          <w:szCs w:val="24"/>
          <w:lang w:val="es-CO"/>
        </w:rPr>
        <w:t xml:space="preserve">hace necesario dotar al sistema eléctrico </w:t>
      </w:r>
      <w:r w:rsidR="002C0BCC" w:rsidRPr="005E655B">
        <w:rPr>
          <w:rFonts w:ascii="Times New Roman" w:hAnsi="Times New Roman" w:cs="Times New Roman"/>
          <w:sz w:val="24"/>
          <w:szCs w:val="24"/>
          <w:lang w:val="es-CO"/>
        </w:rPr>
        <w:t xml:space="preserve">nacional </w:t>
      </w:r>
      <w:r w:rsidR="00DD3F63" w:rsidRPr="005E655B">
        <w:rPr>
          <w:rFonts w:ascii="Times New Roman" w:hAnsi="Times New Roman" w:cs="Times New Roman"/>
          <w:sz w:val="24"/>
          <w:szCs w:val="24"/>
          <w:lang w:val="es-CO"/>
        </w:rPr>
        <w:t>de</w:t>
      </w:r>
      <w:r w:rsidRPr="005E655B">
        <w:rPr>
          <w:rFonts w:ascii="Times New Roman" w:hAnsi="Times New Roman" w:cs="Times New Roman"/>
          <w:sz w:val="24"/>
          <w:szCs w:val="24"/>
          <w:lang w:val="es-CO"/>
        </w:rPr>
        <w:t xml:space="preserve"> un Sistema Nacional de Transmisión (SNT) y un SND acordes con la evolución de la oferta y demanda eléctrica</w:t>
      </w:r>
      <w:r w:rsidR="00553C65" w:rsidRPr="005E655B">
        <w:rPr>
          <w:rFonts w:ascii="Times New Roman" w:hAnsi="Times New Roman" w:cs="Times New Roman"/>
          <w:sz w:val="24"/>
          <w:szCs w:val="24"/>
          <w:lang w:val="es-CO"/>
        </w:rPr>
        <w:t xml:space="preserve"> y con las nuevas cargas derivadas del CME</w:t>
      </w:r>
      <w:r w:rsidR="00C5086F" w:rsidRPr="005E655B">
        <w:rPr>
          <w:rFonts w:ascii="Times New Roman" w:hAnsi="Times New Roman" w:cs="Times New Roman"/>
          <w:sz w:val="24"/>
          <w:szCs w:val="24"/>
          <w:lang w:val="es-CO"/>
        </w:rPr>
        <w:t xml:space="preserve">, </w:t>
      </w:r>
      <w:r w:rsidRPr="005E655B">
        <w:rPr>
          <w:rFonts w:ascii="Times New Roman" w:hAnsi="Times New Roman" w:cs="Times New Roman"/>
          <w:sz w:val="24"/>
          <w:szCs w:val="24"/>
          <w:lang w:val="es-CO"/>
        </w:rPr>
        <w:t>que garanticen un servicio el</w:t>
      </w:r>
      <w:r w:rsidR="009B5B3E" w:rsidRPr="005E655B">
        <w:rPr>
          <w:rFonts w:ascii="Times New Roman" w:hAnsi="Times New Roman" w:cs="Times New Roman"/>
          <w:sz w:val="24"/>
          <w:szCs w:val="24"/>
          <w:lang w:val="es-CO"/>
        </w:rPr>
        <w:t xml:space="preserve">éctrico eficiente, confiable </w:t>
      </w:r>
      <w:r w:rsidRPr="005E655B">
        <w:rPr>
          <w:rFonts w:ascii="Times New Roman" w:hAnsi="Times New Roman" w:cs="Times New Roman"/>
          <w:sz w:val="24"/>
          <w:szCs w:val="24"/>
          <w:lang w:val="es-CO"/>
        </w:rPr>
        <w:t>y de calidad.</w:t>
      </w:r>
    </w:p>
    <w:p w:rsidR="005D3925" w:rsidRPr="005E655B" w:rsidRDefault="005D3925" w:rsidP="000032C5">
      <w:pPr>
        <w:pStyle w:val="ListParagraph"/>
        <w:spacing w:before="120" w:after="120" w:line="240" w:lineRule="auto"/>
        <w:rPr>
          <w:rFonts w:ascii="Times New Roman" w:hAnsi="Times New Roman" w:cs="Times New Roman"/>
          <w:sz w:val="24"/>
          <w:szCs w:val="24"/>
        </w:rPr>
      </w:pPr>
    </w:p>
    <w:p w:rsidR="0039603B" w:rsidRPr="005E655B" w:rsidRDefault="000032C5"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bookmarkStart w:id="6" w:name="_Toc415751474"/>
      <w:r w:rsidRPr="005E655B">
        <w:rPr>
          <w:rStyle w:val="Heading2Char"/>
          <w:rFonts w:ascii="Times New Roman" w:hAnsi="Times New Roman" w:cs="Times New Roman"/>
          <w:color w:val="auto"/>
          <w:sz w:val="24"/>
          <w:szCs w:val="24"/>
        </w:rPr>
        <w:t>El Sistema Nacional de Distribución</w:t>
      </w:r>
      <w:bookmarkEnd w:id="6"/>
      <w:r w:rsidRPr="005E655B">
        <w:rPr>
          <w:rFonts w:ascii="Times New Roman" w:hAnsi="Times New Roman" w:cs="Times New Roman"/>
          <w:sz w:val="24"/>
          <w:szCs w:val="24"/>
          <w:lang w:val="es-CO"/>
        </w:rPr>
        <w:t xml:space="preserve">. </w:t>
      </w:r>
      <w:r w:rsidR="00915370" w:rsidRPr="005E655B">
        <w:rPr>
          <w:rFonts w:ascii="Times New Roman" w:hAnsi="Times New Roman" w:cs="Times New Roman"/>
          <w:sz w:val="24"/>
          <w:szCs w:val="24"/>
          <w:lang w:val="es-CO"/>
        </w:rPr>
        <w:t>E</w:t>
      </w:r>
      <w:r w:rsidR="00032A7E" w:rsidRPr="005E655B">
        <w:rPr>
          <w:rFonts w:ascii="Times New Roman" w:hAnsi="Times New Roman" w:cs="Times New Roman"/>
          <w:sz w:val="24"/>
          <w:szCs w:val="24"/>
          <w:lang w:val="es-CO"/>
        </w:rPr>
        <w:t>l</w:t>
      </w:r>
      <w:r w:rsidR="00915370" w:rsidRPr="005E655B">
        <w:rPr>
          <w:rFonts w:ascii="Times New Roman" w:hAnsi="Times New Roman" w:cs="Times New Roman"/>
          <w:sz w:val="24"/>
          <w:szCs w:val="24"/>
          <w:lang w:val="es-CO"/>
        </w:rPr>
        <w:t xml:space="preserve"> SND debe garantizar un suministro de calidad desde los puntos de entrega del SNT hasta los clientes finales bajo los escenarios de demanda proyectados por el PME.</w:t>
      </w:r>
      <w:r w:rsidR="009B5B3E" w:rsidRPr="005E655B">
        <w:rPr>
          <w:rFonts w:ascii="Times New Roman" w:hAnsi="Times New Roman" w:cs="Times New Roman"/>
          <w:sz w:val="24"/>
          <w:szCs w:val="24"/>
        </w:rPr>
        <w:t xml:space="preserve"> </w:t>
      </w:r>
      <w:r w:rsidR="00553C65" w:rsidRPr="005E655B">
        <w:rPr>
          <w:rFonts w:ascii="Times New Roman" w:hAnsi="Times New Roman" w:cs="Times New Roman"/>
          <w:sz w:val="24"/>
          <w:szCs w:val="24"/>
        </w:rPr>
        <w:t>L</w:t>
      </w:r>
      <w:r w:rsidR="009B5B3E" w:rsidRPr="005E655B">
        <w:rPr>
          <w:rFonts w:ascii="Times New Roman" w:hAnsi="Times New Roman" w:cs="Times New Roman"/>
          <w:sz w:val="24"/>
          <w:szCs w:val="24"/>
        </w:rPr>
        <w:t>a dotación del SND es suficiente para responder a la demanda actual, sin embargo</w:t>
      </w:r>
      <w:r w:rsidR="00553C65" w:rsidRPr="005E655B">
        <w:rPr>
          <w:rFonts w:ascii="Times New Roman" w:hAnsi="Times New Roman" w:cs="Times New Roman"/>
          <w:sz w:val="24"/>
          <w:szCs w:val="24"/>
        </w:rPr>
        <w:t xml:space="preserve">, su dotación actual </w:t>
      </w:r>
      <w:r w:rsidR="009B5B3E" w:rsidRPr="005E655B">
        <w:rPr>
          <w:rFonts w:ascii="Times New Roman" w:hAnsi="Times New Roman" w:cs="Times New Roman"/>
          <w:sz w:val="24"/>
          <w:szCs w:val="24"/>
        </w:rPr>
        <w:t>se</w:t>
      </w:r>
      <w:r w:rsidR="00553C65" w:rsidRPr="005E655B">
        <w:rPr>
          <w:rFonts w:ascii="Times New Roman" w:hAnsi="Times New Roman" w:cs="Times New Roman"/>
          <w:sz w:val="24"/>
          <w:szCs w:val="24"/>
        </w:rPr>
        <w:t xml:space="preserve"> prevé</w:t>
      </w:r>
      <w:r w:rsidR="009B5B3E" w:rsidRPr="005E655B">
        <w:rPr>
          <w:rFonts w:ascii="Times New Roman" w:hAnsi="Times New Roman" w:cs="Times New Roman"/>
          <w:sz w:val="24"/>
          <w:szCs w:val="24"/>
        </w:rPr>
        <w:t xml:space="preserve"> insuficiente para los aumentos </w:t>
      </w:r>
      <w:r w:rsidR="0039603B" w:rsidRPr="005E655B">
        <w:rPr>
          <w:rFonts w:ascii="Times New Roman" w:hAnsi="Times New Roman" w:cs="Times New Roman"/>
          <w:sz w:val="24"/>
          <w:szCs w:val="24"/>
        </w:rPr>
        <w:t>proyectados en la</w:t>
      </w:r>
      <w:r w:rsidR="009B5B3E" w:rsidRPr="005E655B">
        <w:rPr>
          <w:rFonts w:ascii="Times New Roman" w:hAnsi="Times New Roman" w:cs="Times New Roman"/>
          <w:sz w:val="24"/>
          <w:szCs w:val="24"/>
        </w:rPr>
        <w:t xml:space="preserve"> demanda</w:t>
      </w:r>
      <w:r w:rsidR="0039603B" w:rsidRPr="005E655B">
        <w:rPr>
          <w:rFonts w:ascii="Times New Roman" w:hAnsi="Times New Roman" w:cs="Times New Roman"/>
          <w:sz w:val="24"/>
          <w:szCs w:val="24"/>
        </w:rPr>
        <w:t xml:space="preserve"> eléctrica</w:t>
      </w:r>
      <w:r w:rsidR="00032A7E" w:rsidRPr="005E655B">
        <w:rPr>
          <w:rFonts w:ascii="Times New Roman" w:hAnsi="Times New Roman" w:cs="Times New Roman"/>
          <w:sz w:val="24"/>
          <w:szCs w:val="24"/>
        </w:rPr>
        <w:t xml:space="preserve"> y sigue existiendo un potencial de mejora en los índices de calidad del servicio eléctrico</w:t>
      </w:r>
      <w:r w:rsidR="009B5B3E" w:rsidRPr="005E655B">
        <w:rPr>
          <w:rFonts w:ascii="Times New Roman" w:hAnsi="Times New Roman" w:cs="Times New Roman"/>
          <w:sz w:val="24"/>
          <w:szCs w:val="24"/>
        </w:rPr>
        <w:t xml:space="preserve">. </w:t>
      </w:r>
    </w:p>
    <w:p w:rsidR="0039603B" w:rsidRPr="005E655B" w:rsidRDefault="0039603B" w:rsidP="000032C5">
      <w:pPr>
        <w:pStyle w:val="ListParagraph"/>
        <w:spacing w:before="120" w:after="120" w:line="240" w:lineRule="auto"/>
        <w:jc w:val="both"/>
        <w:rPr>
          <w:rFonts w:ascii="Times New Roman" w:hAnsi="Times New Roman" w:cs="Times New Roman"/>
          <w:sz w:val="24"/>
          <w:szCs w:val="24"/>
        </w:rPr>
      </w:pPr>
    </w:p>
    <w:p w:rsidR="005D3925" w:rsidRPr="005E655B" w:rsidRDefault="009B5B3E"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 xml:space="preserve">El </w:t>
      </w:r>
      <w:r w:rsidR="00032A7E" w:rsidRPr="005E655B">
        <w:rPr>
          <w:rFonts w:ascii="Times New Roman" w:hAnsi="Times New Roman" w:cs="Times New Roman"/>
          <w:sz w:val="24"/>
          <w:szCs w:val="24"/>
        </w:rPr>
        <w:t xml:space="preserve">desarrollo del </w:t>
      </w:r>
      <w:r w:rsidRPr="005E655B">
        <w:rPr>
          <w:rFonts w:ascii="Times New Roman" w:hAnsi="Times New Roman" w:cs="Times New Roman"/>
          <w:sz w:val="24"/>
          <w:szCs w:val="24"/>
        </w:rPr>
        <w:t xml:space="preserve">SND requiere inversiones en </w:t>
      </w:r>
      <w:proofErr w:type="spellStart"/>
      <w:r w:rsidR="0039603B" w:rsidRPr="005E655B">
        <w:rPr>
          <w:rFonts w:ascii="Times New Roman" w:hAnsi="Times New Roman" w:cs="Times New Roman"/>
          <w:sz w:val="24"/>
          <w:szCs w:val="24"/>
        </w:rPr>
        <w:t>subtransmisión</w:t>
      </w:r>
      <w:proofErr w:type="spellEnd"/>
      <w:r w:rsidR="0039603B" w:rsidRPr="005E655B">
        <w:rPr>
          <w:rFonts w:ascii="Times New Roman" w:hAnsi="Times New Roman" w:cs="Times New Roman"/>
          <w:sz w:val="24"/>
          <w:szCs w:val="24"/>
        </w:rPr>
        <w:t xml:space="preserve">, distribución que faciliten la interconexión entre líneas y alimentadores, </w:t>
      </w:r>
      <w:r w:rsidR="00032A7E" w:rsidRPr="005E655B">
        <w:rPr>
          <w:rFonts w:ascii="Times New Roman" w:hAnsi="Times New Roman" w:cs="Times New Roman"/>
          <w:sz w:val="24"/>
          <w:szCs w:val="24"/>
        </w:rPr>
        <w:t xml:space="preserve">como </w:t>
      </w:r>
      <w:r w:rsidR="0039603B" w:rsidRPr="005E655B">
        <w:rPr>
          <w:rFonts w:ascii="Times New Roman" w:hAnsi="Times New Roman" w:cs="Times New Roman"/>
          <w:sz w:val="24"/>
          <w:szCs w:val="24"/>
        </w:rPr>
        <w:t xml:space="preserve">la habilitación y rehabilitación de S/E, el reforzamiento de líneas troncales de alimentadores, y la incorporación de equipos de operación y protección en la red de </w:t>
      </w:r>
      <w:r w:rsidR="00EE23C9" w:rsidRPr="005E655B">
        <w:rPr>
          <w:rFonts w:ascii="Times New Roman" w:hAnsi="Times New Roman" w:cs="Times New Roman"/>
          <w:sz w:val="24"/>
          <w:szCs w:val="24"/>
        </w:rPr>
        <w:t>media tensión</w:t>
      </w:r>
      <w:r w:rsidRPr="005E655B">
        <w:rPr>
          <w:rFonts w:ascii="Times New Roman" w:hAnsi="Times New Roman" w:cs="Times New Roman"/>
          <w:sz w:val="24"/>
          <w:szCs w:val="24"/>
        </w:rPr>
        <w:t>.</w:t>
      </w:r>
      <w:r w:rsidR="00EE23C9" w:rsidRPr="005E655B">
        <w:rPr>
          <w:rFonts w:ascii="Times New Roman" w:hAnsi="Times New Roman" w:cs="Times New Roman"/>
          <w:sz w:val="24"/>
          <w:szCs w:val="24"/>
        </w:rPr>
        <w:t xml:space="preserve"> Estas necesidades se seguirán </w:t>
      </w:r>
      <w:r w:rsidR="00032A7E" w:rsidRPr="005E655B">
        <w:rPr>
          <w:rFonts w:ascii="Times New Roman" w:hAnsi="Times New Roman" w:cs="Times New Roman"/>
          <w:sz w:val="24"/>
          <w:szCs w:val="24"/>
        </w:rPr>
        <w:t>atendiendo a través de esta</w:t>
      </w:r>
      <w:r w:rsidR="00EE23C9" w:rsidRPr="005E655B">
        <w:rPr>
          <w:rFonts w:ascii="Times New Roman" w:hAnsi="Times New Roman" w:cs="Times New Roman"/>
          <w:sz w:val="24"/>
          <w:szCs w:val="24"/>
        </w:rPr>
        <w:t xml:space="preserve"> segunda fase </w:t>
      </w:r>
      <w:r w:rsidR="00032A7E" w:rsidRPr="005E655B">
        <w:rPr>
          <w:rFonts w:ascii="Times New Roman" w:hAnsi="Times New Roman" w:cs="Times New Roman"/>
          <w:sz w:val="24"/>
          <w:szCs w:val="24"/>
        </w:rPr>
        <w:t>del PRSND y, más concretamente, a través de</w:t>
      </w:r>
      <w:r w:rsidR="00EE23C9" w:rsidRPr="005E655B">
        <w:rPr>
          <w:rFonts w:ascii="Times New Roman" w:hAnsi="Times New Roman" w:cs="Times New Roman"/>
          <w:sz w:val="24"/>
          <w:szCs w:val="24"/>
        </w:rPr>
        <w:t xml:space="preserve"> los proyectos </w:t>
      </w:r>
      <w:r w:rsidR="00032A7E" w:rsidRPr="005E655B">
        <w:rPr>
          <w:rFonts w:ascii="Times New Roman" w:hAnsi="Times New Roman" w:cs="Times New Roman"/>
          <w:sz w:val="24"/>
          <w:szCs w:val="24"/>
        </w:rPr>
        <w:t xml:space="preserve">recogidos </w:t>
      </w:r>
      <w:r w:rsidR="00EE23C9" w:rsidRPr="005E655B">
        <w:rPr>
          <w:rFonts w:ascii="Times New Roman" w:hAnsi="Times New Roman" w:cs="Times New Roman"/>
          <w:sz w:val="24"/>
          <w:szCs w:val="24"/>
        </w:rPr>
        <w:t>en el Componente 1 del Programa.</w:t>
      </w:r>
    </w:p>
    <w:p w:rsidR="005B553F" w:rsidRPr="005E655B" w:rsidRDefault="005B553F" w:rsidP="000032C5">
      <w:pPr>
        <w:pStyle w:val="ListParagraph"/>
        <w:spacing w:before="120" w:after="120" w:line="240" w:lineRule="auto"/>
        <w:jc w:val="both"/>
        <w:rPr>
          <w:rFonts w:ascii="Times New Roman" w:hAnsi="Times New Roman" w:cs="Times New Roman"/>
          <w:sz w:val="24"/>
          <w:szCs w:val="24"/>
        </w:rPr>
      </w:pPr>
    </w:p>
    <w:p w:rsidR="00EE23C9" w:rsidRPr="005E655B" w:rsidRDefault="00EE23C9"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 xml:space="preserve">Por su parte, el Componente 2, de mejoramiento de la eficiencia y confiabilidad del sistema eléctrico, contempla el manejo en tiempo real del SND en 9 EED, </w:t>
      </w:r>
      <w:r w:rsidR="00032A7E" w:rsidRPr="005E655B">
        <w:rPr>
          <w:rFonts w:ascii="Times New Roman" w:hAnsi="Times New Roman" w:cs="Times New Roman"/>
          <w:sz w:val="24"/>
          <w:szCs w:val="24"/>
        </w:rPr>
        <w:t>que permitirá</w:t>
      </w:r>
      <w:r w:rsidRPr="005E655B">
        <w:rPr>
          <w:rFonts w:ascii="Times New Roman" w:hAnsi="Times New Roman" w:cs="Times New Roman"/>
          <w:sz w:val="24"/>
          <w:szCs w:val="24"/>
        </w:rPr>
        <w:t xml:space="preserve"> operar de manera eficiente los transformadores de distribución, minimizando los efectos por fallas en el suministro del servicio, y reduciendo las pérdidas técnicas. </w:t>
      </w:r>
    </w:p>
    <w:p w:rsidR="006102F5" w:rsidRPr="005E655B" w:rsidRDefault="006102F5" w:rsidP="000032C5">
      <w:pPr>
        <w:pStyle w:val="ListParagraph"/>
        <w:spacing w:before="120" w:after="120" w:line="240" w:lineRule="auto"/>
        <w:ind w:left="709"/>
        <w:jc w:val="both"/>
        <w:rPr>
          <w:rFonts w:ascii="Times New Roman" w:hAnsi="Times New Roman" w:cs="Times New Roman"/>
          <w:sz w:val="24"/>
          <w:szCs w:val="24"/>
          <w:highlight w:val="magenta"/>
        </w:rPr>
      </w:pPr>
    </w:p>
    <w:p w:rsidR="006102F5" w:rsidRPr="005E655B" w:rsidRDefault="000032C5"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bookmarkStart w:id="7" w:name="_Toc415751475"/>
      <w:r w:rsidRPr="005E655B">
        <w:rPr>
          <w:rStyle w:val="Heading2Char"/>
          <w:rFonts w:ascii="Times New Roman" w:hAnsi="Times New Roman" w:cs="Times New Roman"/>
          <w:color w:val="auto"/>
          <w:sz w:val="24"/>
          <w:szCs w:val="24"/>
        </w:rPr>
        <w:t>Justificación del aporte de fondos públicos</w:t>
      </w:r>
      <w:bookmarkEnd w:id="7"/>
      <w:r w:rsidRPr="005E655B">
        <w:rPr>
          <w:rFonts w:ascii="Times New Roman" w:hAnsi="Times New Roman" w:cs="Times New Roman"/>
          <w:b/>
          <w:i/>
          <w:sz w:val="24"/>
          <w:szCs w:val="24"/>
        </w:rPr>
        <w:t>.</w:t>
      </w:r>
      <w:r w:rsidRPr="005E655B">
        <w:rPr>
          <w:rFonts w:ascii="Times New Roman" w:hAnsi="Times New Roman" w:cs="Times New Roman"/>
          <w:sz w:val="24"/>
          <w:szCs w:val="24"/>
        </w:rPr>
        <w:t xml:space="preserve"> </w:t>
      </w:r>
      <w:r w:rsidR="006102F5" w:rsidRPr="005E655B">
        <w:rPr>
          <w:rFonts w:ascii="Times New Roman" w:hAnsi="Times New Roman" w:cs="Times New Roman"/>
          <w:sz w:val="24"/>
          <w:szCs w:val="24"/>
        </w:rPr>
        <w:t xml:space="preserve">El sector eléctrico ecuatoriano se encuentra verticalmente integrado y sus inversiones se financian a través de fondos públicos del Estado. Su condición de monopolio natural le permite producir economías de escala y gestionar el servicio bajo una perspectiva de sostenibilidad social a través del fomento del acceso por parte de toda la población </w:t>
      </w:r>
      <w:r w:rsidR="003209E8" w:rsidRPr="005E655B">
        <w:rPr>
          <w:rFonts w:ascii="Times New Roman" w:hAnsi="Times New Roman" w:cs="Times New Roman"/>
          <w:sz w:val="24"/>
          <w:szCs w:val="24"/>
        </w:rPr>
        <w:t>a</w:t>
      </w:r>
      <w:r w:rsidR="007D11FE" w:rsidRPr="005E655B">
        <w:rPr>
          <w:rFonts w:ascii="Times New Roman" w:hAnsi="Times New Roman" w:cs="Times New Roman"/>
          <w:sz w:val="24"/>
          <w:szCs w:val="24"/>
        </w:rPr>
        <w:t>l</w:t>
      </w:r>
      <w:r w:rsidR="003209E8" w:rsidRPr="005E655B">
        <w:rPr>
          <w:rFonts w:ascii="Times New Roman" w:hAnsi="Times New Roman" w:cs="Times New Roman"/>
          <w:sz w:val="24"/>
          <w:szCs w:val="24"/>
        </w:rPr>
        <w:t xml:space="preserve"> suministro eléctrico</w:t>
      </w:r>
      <w:r w:rsidR="007D11FE" w:rsidRPr="005E655B">
        <w:rPr>
          <w:rFonts w:ascii="Times New Roman" w:hAnsi="Times New Roman" w:cs="Times New Roman"/>
          <w:sz w:val="24"/>
          <w:szCs w:val="24"/>
        </w:rPr>
        <w:t xml:space="preserve"> </w:t>
      </w:r>
      <w:r w:rsidR="003209E8" w:rsidRPr="005E655B">
        <w:rPr>
          <w:rFonts w:ascii="Times New Roman" w:hAnsi="Times New Roman" w:cs="Times New Roman"/>
          <w:sz w:val="24"/>
          <w:szCs w:val="24"/>
        </w:rPr>
        <w:t>como</w:t>
      </w:r>
      <w:r w:rsidR="006102F5" w:rsidRPr="005E655B">
        <w:rPr>
          <w:rFonts w:ascii="Times New Roman" w:hAnsi="Times New Roman" w:cs="Times New Roman"/>
          <w:sz w:val="24"/>
          <w:szCs w:val="24"/>
        </w:rPr>
        <w:t xml:space="preserve"> necesidad básica, incluyendo a los grupos y áreas más desfavorecidos</w:t>
      </w:r>
      <w:r w:rsidR="00514563" w:rsidRPr="005E655B">
        <w:rPr>
          <w:rFonts w:ascii="Times New Roman" w:hAnsi="Times New Roman" w:cs="Times New Roman"/>
          <w:sz w:val="24"/>
          <w:szCs w:val="24"/>
        </w:rPr>
        <w:t>; todo ello</w:t>
      </w:r>
      <w:r w:rsidR="006F4DD4" w:rsidRPr="005E655B">
        <w:rPr>
          <w:rFonts w:ascii="Times New Roman" w:hAnsi="Times New Roman" w:cs="Times New Roman"/>
          <w:sz w:val="24"/>
          <w:szCs w:val="24"/>
        </w:rPr>
        <w:t xml:space="preserve"> siguiendo criterios de eficiencia y </w:t>
      </w:r>
      <w:r w:rsidR="00514563" w:rsidRPr="005E655B">
        <w:rPr>
          <w:rFonts w:ascii="Times New Roman" w:hAnsi="Times New Roman" w:cs="Times New Roman"/>
          <w:sz w:val="24"/>
          <w:szCs w:val="24"/>
        </w:rPr>
        <w:t xml:space="preserve">sostenibilidad financiera y ambiental, </w:t>
      </w:r>
      <w:r w:rsidR="003209E8" w:rsidRPr="005E655B">
        <w:rPr>
          <w:rFonts w:ascii="Times New Roman" w:hAnsi="Times New Roman" w:cs="Times New Roman"/>
          <w:sz w:val="24"/>
          <w:szCs w:val="24"/>
        </w:rPr>
        <w:t xml:space="preserve">y </w:t>
      </w:r>
      <w:r w:rsidR="00514563" w:rsidRPr="005E655B">
        <w:rPr>
          <w:rFonts w:ascii="Times New Roman" w:hAnsi="Times New Roman" w:cs="Times New Roman"/>
          <w:sz w:val="24"/>
          <w:szCs w:val="24"/>
        </w:rPr>
        <w:t>mediante una gestión eficiente y transparente</w:t>
      </w:r>
      <w:r w:rsidR="006102F5" w:rsidRPr="005E655B">
        <w:rPr>
          <w:rFonts w:ascii="Times New Roman" w:hAnsi="Times New Roman" w:cs="Times New Roman"/>
          <w:sz w:val="24"/>
          <w:szCs w:val="24"/>
        </w:rPr>
        <w:t>.</w:t>
      </w:r>
    </w:p>
    <w:p w:rsidR="00850F60" w:rsidRPr="005E655B" w:rsidRDefault="00850F60" w:rsidP="000032C5">
      <w:pPr>
        <w:pStyle w:val="ListParagraph"/>
        <w:spacing w:before="120" w:after="120" w:line="240" w:lineRule="auto"/>
        <w:ind w:left="709"/>
        <w:jc w:val="both"/>
        <w:rPr>
          <w:rFonts w:ascii="Times New Roman" w:hAnsi="Times New Roman" w:cs="Times New Roman"/>
          <w:sz w:val="24"/>
          <w:szCs w:val="24"/>
        </w:rPr>
      </w:pPr>
    </w:p>
    <w:p w:rsidR="00850F60" w:rsidRPr="005E655B" w:rsidRDefault="00850F60"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eastAsia="Times New Roman" w:hAnsi="Times New Roman" w:cs="Times New Roman"/>
          <w:sz w:val="24"/>
          <w:szCs w:val="24"/>
        </w:rPr>
        <w:t xml:space="preserve">El Programa permitirá dotar oportunamente a la sociedad de un servicio público que responda a </w:t>
      </w:r>
      <w:r w:rsidR="007D11FE" w:rsidRPr="005E655B">
        <w:rPr>
          <w:rFonts w:ascii="Times New Roman" w:eastAsia="Times New Roman" w:hAnsi="Times New Roman" w:cs="Times New Roman"/>
          <w:sz w:val="24"/>
          <w:szCs w:val="24"/>
        </w:rPr>
        <w:t xml:space="preserve">las </w:t>
      </w:r>
      <w:r w:rsidRPr="005E655B">
        <w:rPr>
          <w:rFonts w:ascii="Times New Roman" w:eastAsia="Times New Roman" w:hAnsi="Times New Roman" w:cs="Times New Roman"/>
          <w:sz w:val="24"/>
          <w:szCs w:val="24"/>
        </w:rPr>
        <w:t>necesidades de los consumidores de electricidad. Más generalmente, como factor de competitividad, la eficiencia y disponibilidad energética constituye uno de los inputs más importantes de la economía para determinar su capacidad productiva así como su potencial de desarrollo económico y exportador.</w:t>
      </w:r>
    </w:p>
    <w:p w:rsidR="006102F5" w:rsidRPr="005E655B" w:rsidRDefault="006102F5" w:rsidP="000032C5">
      <w:pPr>
        <w:pStyle w:val="ListParagraph"/>
        <w:spacing w:before="120" w:after="120" w:line="240" w:lineRule="auto"/>
        <w:ind w:left="709"/>
        <w:jc w:val="both"/>
        <w:rPr>
          <w:rFonts w:ascii="Times New Roman" w:hAnsi="Times New Roman" w:cs="Times New Roman"/>
          <w:sz w:val="24"/>
          <w:szCs w:val="24"/>
        </w:rPr>
      </w:pPr>
    </w:p>
    <w:p w:rsidR="006102F5" w:rsidRPr="005E655B" w:rsidRDefault="00850F60"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Concretamente, e</w:t>
      </w:r>
      <w:r w:rsidR="006102F5" w:rsidRPr="005E655B">
        <w:rPr>
          <w:rFonts w:ascii="Times New Roman" w:hAnsi="Times New Roman" w:cs="Times New Roman"/>
          <w:sz w:val="24"/>
          <w:szCs w:val="24"/>
        </w:rPr>
        <w:t xml:space="preserve">n lo que atañe el SND, su confiabilidad y </w:t>
      </w:r>
      <w:r w:rsidR="007D11FE" w:rsidRPr="005E655B">
        <w:rPr>
          <w:rFonts w:ascii="Times New Roman" w:hAnsi="Times New Roman" w:cs="Times New Roman"/>
          <w:sz w:val="24"/>
          <w:szCs w:val="24"/>
        </w:rPr>
        <w:t xml:space="preserve">la </w:t>
      </w:r>
      <w:r w:rsidR="006102F5" w:rsidRPr="005E655B">
        <w:rPr>
          <w:rFonts w:ascii="Times New Roman" w:hAnsi="Times New Roman" w:cs="Times New Roman"/>
          <w:sz w:val="24"/>
          <w:szCs w:val="24"/>
        </w:rPr>
        <w:t xml:space="preserve">calidad del servicio eléctrico </w:t>
      </w:r>
      <w:r w:rsidR="007D11FE" w:rsidRPr="005E655B">
        <w:rPr>
          <w:rFonts w:ascii="Times New Roman" w:hAnsi="Times New Roman" w:cs="Times New Roman"/>
          <w:sz w:val="24"/>
          <w:szCs w:val="24"/>
        </w:rPr>
        <w:t xml:space="preserve">prestado </w:t>
      </w:r>
      <w:r w:rsidR="006102F5" w:rsidRPr="005E655B">
        <w:rPr>
          <w:rFonts w:ascii="Times New Roman" w:hAnsi="Times New Roman" w:cs="Times New Roman"/>
          <w:sz w:val="24"/>
          <w:szCs w:val="24"/>
        </w:rPr>
        <w:t xml:space="preserve">se encuentran garantizados por el establecimiento </w:t>
      </w:r>
      <w:r w:rsidR="007D11FE" w:rsidRPr="005E655B">
        <w:rPr>
          <w:rFonts w:ascii="Times New Roman" w:hAnsi="Times New Roman" w:cs="Times New Roman"/>
          <w:sz w:val="24"/>
          <w:szCs w:val="24"/>
        </w:rPr>
        <w:t xml:space="preserve">de objetivos de </w:t>
      </w:r>
      <w:r w:rsidR="006102F5" w:rsidRPr="005E655B">
        <w:rPr>
          <w:rFonts w:ascii="Times New Roman" w:hAnsi="Times New Roman" w:cs="Times New Roman"/>
          <w:sz w:val="24"/>
          <w:szCs w:val="24"/>
        </w:rPr>
        <w:t xml:space="preserve">cumplimiento de determinados niveles de desempeño técnico. En este sentido, además de haberse alcanzado </w:t>
      </w:r>
      <w:r w:rsidR="007D11FE" w:rsidRPr="005E655B">
        <w:rPr>
          <w:rFonts w:ascii="Times New Roman" w:hAnsi="Times New Roman" w:cs="Times New Roman"/>
          <w:sz w:val="24"/>
          <w:szCs w:val="24"/>
        </w:rPr>
        <w:t xml:space="preserve">hasta el momento </w:t>
      </w:r>
      <w:r w:rsidR="00E63C9A" w:rsidRPr="005E655B">
        <w:rPr>
          <w:rFonts w:ascii="Times New Roman" w:hAnsi="Times New Roman" w:cs="Times New Roman"/>
          <w:sz w:val="24"/>
          <w:szCs w:val="24"/>
        </w:rPr>
        <w:t>mejoras</w:t>
      </w:r>
      <w:r w:rsidR="006102F5" w:rsidRPr="005E655B">
        <w:rPr>
          <w:rFonts w:ascii="Times New Roman" w:hAnsi="Times New Roman" w:cs="Times New Roman"/>
          <w:sz w:val="24"/>
          <w:szCs w:val="24"/>
        </w:rPr>
        <w:t xml:space="preserve"> en la cobertura eléctrica y en el nivel de pérdidas técnicas de electricidad</w:t>
      </w:r>
      <w:r w:rsidR="006102F5" w:rsidRPr="005E655B">
        <w:rPr>
          <w:rStyle w:val="FootnoteReference"/>
          <w:rFonts w:ascii="Times New Roman" w:hAnsi="Times New Roman" w:cs="Times New Roman"/>
          <w:sz w:val="24"/>
          <w:szCs w:val="24"/>
        </w:rPr>
        <w:footnoteReference w:id="1"/>
      </w:r>
      <w:r w:rsidR="006102F5" w:rsidRPr="005E655B">
        <w:rPr>
          <w:rFonts w:ascii="Times New Roman" w:hAnsi="Times New Roman" w:cs="Times New Roman"/>
          <w:sz w:val="24"/>
          <w:szCs w:val="24"/>
        </w:rPr>
        <w:t xml:space="preserve">, los índices de calidad del servicio han mejorado </w:t>
      </w:r>
      <w:r w:rsidR="007A2F16" w:rsidRPr="005E655B">
        <w:rPr>
          <w:rFonts w:ascii="Times New Roman" w:hAnsi="Times New Roman" w:cs="Times New Roman"/>
          <w:sz w:val="24"/>
          <w:szCs w:val="24"/>
        </w:rPr>
        <w:t>en los 2 últimos años como sigue</w:t>
      </w:r>
      <w:r w:rsidR="006102F5" w:rsidRPr="005E655B">
        <w:rPr>
          <w:rFonts w:ascii="Times New Roman" w:hAnsi="Times New Roman" w:cs="Times New Roman"/>
          <w:sz w:val="24"/>
          <w:szCs w:val="24"/>
        </w:rPr>
        <w:t>:</w:t>
      </w:r>
      <w:r w:rsidR="000032C5" w:rsidRPr="005E655B">
        <w:rPr>
          <w:rFonts w:ascii="Times New Roman" w:hAnsi="Times New Roman" w:cs="Times New Roman"/>
          <w:sz w:val="24"/>
          <w:szCs w:val="24"/>
        </w:rPr>
        <w:t xml:space="preserve"> (i) </w:t>
      </w:r>
      <w:r w:rsidR="006102F5" w:rsidRPr="005E655B">
        <w:rPr>
          <w:rFonts w:ascii="Times New Roman" w:hAnsi="Times New Roman" w:cs="Times New Roman"/>
          <w:sz w:val="24"/>
          <w:szCs w:val="24"/>
        </w:rPr>
        <w:t>Frecuencia Media de Interrupciones (</w:t>
      </w:r>
      <w:proofErr w:type="spellStart"/>
      <w:r w:rsidR="006102F5" w:rsidRPr="005E655B">
        <w:rPr>
          <w:rFonts w:ascii="Times New Roman" w:hAnsi="Times New Roman" w:cs="Times New Roman"/>
          <w:sz w:val="24"/>
          <w:szCs w:val="24"/>
        </w:rPr>
        <w:t>FMIk</w:t>
      </w:r>
      <w:proofErr w:type="spellEnd"/>
      <w:r w:rsidR="006102F5" w:rsidRPr="005E655B">
        <w:rPr>
          <w:rFonts w:ascii="Times New Roman" w:hAnsi="Times New Roman" w:cs="Times New Roman"/>
          <w:sz w:val="24"/>
          <w:szCs w:val="24"/>
        </w:rPr>
        <w:t xml:space="preserve">) de </w:t>
      </w:r>
      <w:r w:rsidR="00A3575E">
        <w:rPr>
          <w:rFonts w:ascii="Times New Roman" w:hAnsi="Times New Roman" w:cs="Times New Roman"/>
          <w:sz w:val="24"/>
          <w:szCs w:val="24"/>
        </w:rPr>
        <w:t>16,96 veces en junio de 2012</w:t>
      </w:r>
      <w:r w:rsidR="006102F5" w:rsidRPr="005E655B">
        <w:rPr>
          <w:rFonts w:ascii="Times New Roman" w:hAnsi="Times New Roman" w:cs="Times New Roman"/>
          <w:sz w:val="24"/>
          <w:szCs w:val="24"/>
        </w:rPr>
        <w:t xml:space="preserve"> a </w:t>
      </w:r>
      <w:r w:rsidR="00A3575E">
        <w:rPr>
          <w:rFonts w:ascii="Times New Roman" w:hAnsi="Times New Roman" w:cs="Times New Roman"/>
          <w:sz w:val="24"/>
          <w:szCs w:val="24"/>
        </w:rPr>
        <w:t>12,77</w:t>
      </w:r>
      <w:r w:rsidR="006102F5" w:rsidRPr="005E655B">
        <w:rPr>
          <w:rFonts w:ascii="Times New Roman" w:hAnsi="Times New Roman" w:cs="Times New Roman"/>
          <w:sz w:val="24"/>
          <w:szCs w:val="24"/>
        </w:rPr>
        <w:t xml:space="preserve"> veces</w:t>
      </w:r>
      <w:r w:rsidR="00A3575E">
        <w:rPr>
          <w:rFonts w:ascii="Times New Roman" w:hAnsi="Times New Roman" w:cs="Times New Roman"/>
          <w:sz w:val="24"/>
          <w:szCs w:val="24"/>
        </w:rPr>
        <w:t xml:space="preserve"> a diciembre de 2014</w:t>
      </w:r>
      <w:r w:rsidR="006102F5" w:rsidRPr="005E655B">
        <w:rPr>
          <w:rFonts w:ascii="Times New Roman" w:hAnsi="Times New Roman" w:cs="Times New Roman"/>
          <w:sz w:val="24"/>
          <w:szCs w:val="24"/>
        </w:rPr>
        <w:t xml:space="preserve"> por EED</w:t>
      </w:r>
      <w:r w:rsidR="000032C5" w:rsidRPr="005E655B">
        <w:rPr>
          <w:rFonts w:ascii="Times New Roman" w:hAnsi="Times New Roman" w:cs="Times New Roman"/>
          <w:sz w:val="24"/>
          <w:szCs w:val="24"/>
        </w:rPr>
        <w:t xml:space="preserve">;  (ii) </w:t>
      </w:r>
      <w:r w:rsidR="006102F5" w:rsidRPr="005E655B">
        <w:rPr>
          <w:rFonts w:ascii="Times New Roman" w:hAnsi="Times New Roman" w:cs="Times New Roman"/>
          <w:sz w:val="24"/>
          <w:szCs w:val="24"/>
        </w:rPr>
        <w:t xml:space="preserve">Tiempo </w:t>
      </w:r>
      <w:r w:rsidR="00A3575E">
        <w:rPr>
          <w:rFonts w:ascii="Times New Roman" w:hAnsi="Times New Roman" w:cs="Times New Roman"/>
          <w:sz w:val="24"/>
          <w:szCs w:val="24"/>
        </w:rPr>
        <w:t>Total</w:t>
      </w:r>
      <w:r w:rsidR="00A3575E" w:rsidRPr="005E655B">
        <w:rPr>
          <w:rFonts w:ascii="Times New Roman" w:hAnsi="Times New Roman" w:cs="Times New Roman"/>
          <w:sz w:val="24"/>
          <w:szCs w:val="24"/>
        </w:rPr>
        <w:t xml:space="preserve"> </w:t>
      </w:r>
      <w:r w:rsidR="006102F5" w:rsidRPr="005E655B">
        <w:rPr>
          <w:rFonts w:ascii="Times New Roman" w:hAnsi="Times New Roman" w:cs="Times New Roman"/>
          <w:sz w:val="24"/>
          <w:szCs w:val="24"/>
        </w:rPr>
        <w:t>de Interrupciones (</w:t>
      </w:r>
      <w:proofErr w:type="spellStart"/>
      <w:r w:rsidR="006102F5" w:rsidRPr="005E655B">
        <w:rPr>
          <w:rFonts w:ascii="Times New Roman" w:hAnsi="Times New Roman" w:cs="Times New Roman"/>
          <w:sz w:val="24"/>
          <w:szCs w:val="24"/>
        </w:rPr>
        <w:t>T</w:t>
      </w:r>
      <w:r w:rsidR="00A3575E">
        <w:rPr>
          <w:rFonts w:ascii="Times New Roman" w:hAnsi="Times New Roman" w:cs="Times New Roman"/>
          <w:sz w:val="24"/>
          <w:szCs w:val="24"/>
        </w:rPr>
        <w:t>T</w:t>
      </w:r>
      <w:r w:rsidR="006102F5" w:rsidRPr="005E655B">
        <w:rPr>
          <w:rFonts w:ascii="Times New Roman" w:hAnsi="Times New Roman" w:cs="Times New Roman"/>
          <w:sz w:val="24"/>
          <w:szCs w:val="24"/>
        </w:rPr>
        <w:t>Ik</w:t>
      </w:r>
      <w:proofErr w:type="spellEnd"/>
      <w:r w:rsidR="006102F5" w:rsidRPr="005E655B">
        <w:rPr>
          <w:rFonts w:ascii="Times New Roman" w:hAnsi="Times New Roman" w:cs="Times New Roman"/>
          <w:sz w:val="24"/>
          <w:szCs w:val="24"/>
        </w:rPr>
        <w:t>) de 19,</w:t>
      </w:r>
      <w:r w:rsidR="00A3575E">
        <w:rPr>
          <w:rFonts w:ascii="Times New Roman" w:hAnsi="Times New Roman" w:cs="Times New Roman"/>
          <w:sz w:val="24"/>
          <w:szCs w:val="24"/>
        </w:rPr>
        <w:t>13 horas en junio de 2012 a 12,45 horas en diciembre de 2014</w:t>
      </w:r>
      <w:r w:rsidR="006102F5" w:rsidRPr="005E655B">
        <w:rPr>
          <w:rFonts w:ascii="Times New Roman" w:hAnsi="Times New Roman" w:cs="Times New Roman"/>
          <w:sz w:val="24"/>
          <w:szCs w:val="24"/>
        </w:rPr>
        <w:t>.</w:t>
      </w:r>
    </w:p>
    <w:p w:rsidR="000032C5" w:rsidRPr="005E655B" w:rsidRDefault="000032C5" w:rsidP="000032C5">
      <w:pPr>
        <w:pStyle w:val="ListParagraph"/>
        <w:spacing w:before="120" w:after="120" w:line="240" w:lineRule="auto"/>
        <w:rPr>
          <w:rFonts w:ascii="Times New Roman" w:hAnsi="Times New Roman" w:cs="Times New Roman"/>
          <w:sz w:val="24"/>
          <w:szCs w:val="24"/>
        </w:rPr>
      </w:pPr>
    </w:p>
    <w:p w:rsidR="006102F5" w:rsidRPr="005E655B" w:rsidRDefault="000032C5"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bookmarkStart w:id="8" w:name="_Toc415751476"/>
      <w:r w:rsidRPr="005E655B">
        <w:rPr>
          <w:rStyle w:val="Heading2Char"/>
          <w:rFonts w:ascii="Times New Roman" w:hAnsi="Times New Roman" w:cs="Times New Roman"/>
          <w:color w:val="auto"/>
          <w:sz w:val="24"/>
          <w:szCs w:val="24"/>
        </w:rPr>
        <w:t>Viabilidad financiera del Programa</w:t>
      </w:r>
      <w:bookmarkEnd w:id="8"/>
      <w:r w:rsidRPr="005E655B">
        <w:rPr>
          <w:rFonts w:ascii="Times New Roman" w:hAnsi="Times New Roman" w:cs="Times New Roman"/>
          <w:b/>
          <w:i/>
          <w:sz w:val="24"/>
          <w:szCs w:val="24"/>
        </w:rPr>
        <w:t>.</w:t>
      </w:r>
      <w:r w:rsidRPr="005E655B">
        <w:rPr>
          <w:rFonts w:ascii="Times New Roman" w:hAnsi="Times New Roman" w:cs="Times New Roman"/>
          <w:i/>
          <w:sz w:val="24"/>
          <w:szCs w:val="24"/>
        </w:rPr>
        <w:t xml:space="preserve"> </w:t>
      </w:r>
      <w:r w:rsidR="006102F5" w:rsidRPr="005E655B">
        <w:rPr>
          <w:rFonts w:ascii="Times New Roman" w:hAnsi="Times New Roman" w:cs="Times New Roman"/>
          <w:sz w:val="24"/>
          <w:szCs w:val="24"/>
        </w:rPr>
        <w:t xml:space="preserve">La sostenibilidad financiera del sector se basa en el cobro por parte de las EED de una tarifa única a cada tipo de consumidor, que cubre los costos de operación y mantenimiento y los costos ambientales; mientras que las nuevas inversiones son financiadas con aportes directos del </w:t>
      </w:r>
      <w:proofErr w:type="spellStart"/>
      <w:r w:rsidR="006102F5" w:rsidRPr="005E655B">
        <w:rPr>
          <w:rFonts w:ascii="Times New Roman" w:hAnsi="Times New Roman" w:cs="Times New Roman"/>
          <w:sz w:val="24"/>
          <w:szCs w:val="24"/>
        </w:rPr>
        <w:t>GdE</w:t>
      </w:r>
      <w:proofErr w:type="spellEnd"/>
      <w:r w:rsidR="006102F5" w:rsidRPr="005E655B">
        <w:rPr>
          <w:rFonts w:ascii="Times New Roman" w:hAnsi="Times New Roman" w:cs="Times New Roman"/>
          <w:sz w:val="24"/>
          <w:szCs w:val="24"/>
        </w:rPr>
        <w:t>, definidas bajo criterios de eficiencia presupuestaria realizando una selección costo-efectiva de los proyectos</w:t>
      </w:r>
      <w:r w:rsidR="006102F5" w:rsidRPr="005E655B">
        <w:rPr>
          <w:rStyle w:val="FootnoteReference"/>
          <w:rFonts w:ascii="Times New Roman" w:hAnsi="Times New Roman" w:cs="Times New Roman"/>
          <w:sz w:val="24"/>
          <w:szCs w:val="24"/>
        </w:rPr>
        <w:footnoteReference w:id="2"/>
      </w:r>
      <w:r w:rsidR="006102F5" w:rsidRPr="005E655B">
        <w:rPr>
          <w:rFonts w:ascii="Times New Roman" w:hAnsi="Times New Roman" w:cs="Times New Roman"/>
          <w:sz w:val="24"/>
          <w:szCs w:val="24"/>
        </w:rPr>
        <w:t>.</w:t>
      </w:r>
    </w:p>
    <w:p w:rsidR="006102F5" w:rsidRPr="005E655B" w:rsidRDefault="006102F5" w:rsidP="000032C5">
      <w:pPr>
        <w:pStyle w:val="ListParagraph"/>
        <w:spacing w:before="120" w:after="120" w:line="240" w:lineRule="auto"/>
        <w:jc w:val="both"/>
        <w:rPr>
          <w:rFonts w:ascii="Times New Roman" w:hAnsi="Times New Roman" w:cs="Times New Roman"/>
          <w:sz w:val="24"/>
          <w:szCs w:val="24"/>
        </w:rPr>
      </w:pPr>
    </w:p>
    <w:p w:rsidR="00C533F7" w:rsidRPr="005E655B" w:rsidRDefault="00DA35CA" w:rsidP="000032C5">
      <w:pPr>
        <w:pStyle w:val="ListParagraph"/>
        <w:numPr>
          <w:ilvl w:val="1"/>
          <w:numId w:val="5"/>
        </w:numPr>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En este sentido, p</w:t>
      </w:r>
      <w:r w:rsidR="00137CAB" w:rsidRPr="005E655B">
        <w:rPr>
          <w:rFonts w:ascii="Times New Roman" w:hAnsi="Times New Roman" w:cs="Times New Roman"/>
          <w:sz w:val="24"/>
          <w:szCs w:val="24"/>
        </w:rPr>
        <w:t>reviamente a la realización del ACB, se ha</w:t>
      </w:r>
      <w:r w:rsidR="006102F5" w:rsidRPr="005E655B">
        <w:rPr>
          <w:rFonts w:ascii="Times New Roman" w:hAnsi="Times New Roman" w:cs="Times New Roman"/>
          <w:sz w:val="24"/>
          <w:szCs w:val="24"/>
        </w:rPr>
        <w:t>n</w:t>
      </w:r>
      <w:r w:rsidR="00137CAB" w:rsidRPr="005E655B">
        <w:rPr>
          <w:rFonts w:ascii="Times New Roman" w:hAnsi="Times New Roman" w:cs="Times New Roman"/>
          <w:sz w:val="24"/>
          <w:szCs w:val="24"/>
        </w:rPr>
        <w:t xml:space="preserve"> realizado </w:t>
      </w:r>
      <w:r w:rsidR="006102F5" w:rsidRPr="005E655B">
        <w:rPr>
          <w:rFonts w:ascii="Times New Roman" w:hAnsi="Times New Roman" w:cs="Times New Roman"/>
          <w:sz w:val="24"/>
          <w:szCs w:val="24"/>
        </w:rPr>
        <w:t xml:space="preserve">los </w:t>
      </w:r>
      <w:r w:rsidR="00137CAB" w:rsidRPr="005E655B">
        <w:rPr>
          <w:rFonts w:ascii="Times New Roman" w:hAnsi="Times New Roman" w:cs="Times New Roman"/>
          <w:sz w:val="24"/>
          <w:szCs w:val="24"/>
        </w:rPr>
        <w:t xml:space="preserve">análisis de viabilidad financiera individual de cada una de las </w:t>
      </w:r>
      <w:r w:rsidR="006102F5" w:rsidRPr="005E655B">
        <w:rPr>
          <w:rFonts w:ascii="Times New Roman" w:hAnsi="Times New Roman" w:cs="Times New Roman"/>
          <w:sz w:val="24"/>
          <w:szCs w:val="24"/>
        </w:rPr>
        <w:t>EED</w:t>
      </w:r>
      <w:r w:rsidRPr="005E655B">
        <w:rPr>
          <w:rFonts w:ascii="Times New Roman" w:hAnsi="Times New Roman" w:cs="Times New Roman"/>
          <w:sz w:val="24"/>
          <w:szCs w:val="24"/>
        </w:rPr>
        <w:t>, que ha</w:t>
      </w:r>
      <w:r w:rsidR="007A2F16" w:rsidRPr="005E655B">
        <w:rPr>
          <w:rFonts w:ascii="Times New Roman" w:hAnsi="Times New Roman" w:cs="Times New Roman"/>
          <w:sz w:val="24"/>
          <w:szCs w:val="24"/>
        </w:rPr>
        <w:t>n</w:t>
      </w:r>
      <w:r w:rsidRPr="005E655B">
        <w:rPr>
          <w:rFonts w:ascii="Times New Roman" w:hAnsi="Times New Roman" w:cs="Times New Roman"/>
          <w:sz w:val="24"/>
          <w:szCs w:val="24"/>
        </w:rPr>
        <w:t xml:space="preserve"> verificado la viabilidad financiera de la cartera </w:t>
      </w:r>
      <w:r w:rsidR="007A2F16" w:rsidRPr="005E655B">
        <w:rPr>
          <w:rFonts w:ascii="Times New Roman" w:hAnsi="Times New Roman" w:cs="Times New Roman"/>
          <w:sz w:val="24"/>
          <w:szCs w:val="24"/>
        </w:rPr>
        <w:t xml:space="preserve">actual </w:t>
      </w:r>
      <w:r w:rsidRPr="005E655B">
        <w:rPr>
          <w:rFonts w:ascii="Times New Roman" w:hAnsi="Times New Roman" w:cs="Times New Roman"/>
          <w:sz w:val="24"/>
          <w:szCs w:val="24"/>
        </w:rPr>
        <w:t xml:space="preserve">de proyectos </w:t>
      </w:r>
      <w:r w:rsidR="007A2F16" w:rsidRPr="005E655B">
        <w:rPr>
          <w:rFonts w:ascii="Times New Roman" w:hAnsi="Times New Roman" w:cs="Times New Roman"/>
          <w:sz w:val="24"/>
          <w:szCs w:val="24"/>
        </w:rPr>
        <w:t>del Programa</w:t>
      </w:r>
      <w:r w:rsidR="00137CAB" w:rsidRPr="005E655B">
        <w:rPr>
          <w:rFonts w:ascii="Times New Roman" w:hAnsi="Times New Roman" w:cs="Times New Roman"/>
          <w:sz w:val="24"/>
          <w:szCs w:val="24"/>
        </w:rPr>
        <w:t xml:space="preserve">. </w:t>
      </w:r>
      <w:r w:rsidR="008A17B6" w:rsidRPr="005E655B">
        <w:rPr>
          <w:rFonts w:ascii="Times New Roman" w:hAnsi="Times New Roman" w:cs="Times New Roman"/>
          <w:sz w:val="24"/>
          <w:szCs w:val="24"/>
        </w:rPr>
        <w:t>Con base en lo anterior</w:t>
      </w:r>
      <w:r w:rsidR="00137CAB" w:rsidRPr="005E655B">
        <w:rPr>
          <w:rFonts w:ascii="Times New Roman" w:hAnsi="Times New Roman" w:cs="Times New Roman"/>
          <w:sz w:val="24"/>
          <w:szCs w:val="24"/>
        </w:rPr>
        <w:t xml:space="preserve">, </w:t>
      </w:r>
      <w:r w:rsidR="008A17B6" w:rsidRPr="005E655B">
        <w:rPr>
          <w:rFonts w:ascii="Times New Roman" w:hAnsi="Times New Roman" w:cs="Times New Roman"/>
          <w:sz w:val="24"/>
          <w:szCs w:val="24"/>
        </w:rPr>
        <w:t xml:space="preserve">los resultados de los análisis individuales indican </w:t>
      </w:r>
      <w:r w:rsidR="00137CAB" w:rsidRPr="005E655B">
        <w:rPr>
          <w:rFonts w:ascii="Times New Roman" w:hAnsi="Times New Roman" w:cs="Times New Roman"/>
          <w:sz w:val="24"/>
          <w:szCs w:val="24"/>
        </w:rPr>
        <w:t xml:space="preserve">que el reforzamiento del SND no </w:t>
      </w:r>
      <w:r w:rsidR="007A2F16" w:rsidRPr="005E655B">
        <w:rPr>
          <w:rFonts w:ascii="Times New Roman" w:hAnsi="Times New Roman" w:cs="Times New Roman"/>
          <w:sz w:val="24"/>
          <w:szCs w:val="24"/>
        </w:rPr>
        <w:t>afectará a</w:t>
      </w:r>
      <w:r w:rsidR="00137CAB" w:rsidRPr="005E655B">
        <w:rPr>
          <w:rFonts w:ascii="Times New Roman" w:hAnsi="Times New Roman" w:cs="Times New Roman"/>
          <w:sz w:val="24"/>
          <w:szCs w:val="24"/>
        </w:rPr>
        <w:t xml:space="preserve"> la sostenibilidad financiera del </w:t>
      </w:r>
      <w:r w:rsidR="00E95CBB" w:rsidRPr="005E655B">
        <w:rPr>
          <w:rFonts w:ascii="Times New Roman" w:hAnsi="Times New Roman" w:cs="Times New Roman"/>
          <w:sz w:val="24"/>
          <w:szCs w:val="24"/>
        </w:rPr>
        <w:t>sistema eléctrico</w:t>
      </w:r>
      <w:r w:rsidR="00C533F7" w:rsidRPr="005E655B">
        <w:rPr>
          <w:rFonts w:ascii="Times New Roman" w:hAnsi="Times New Roman" w:cs="Times New Roman"/>
          <w:sz w:val="24"/>
          <w:szCs w:val="24"/>
        </w:rPr>
        <w:t>.</w:t>
      </w:r>
      <w:r w:rsidR="005E655B" w:rsidRPr="005E655B">
        <w:rPr>
          <w:rFonts w:ascii="Times New Roman" w:hAnsi="Times New Roman" w:cs="Times New Roman"/>
          <w:sz w:val="24"/>
          <w:szCs w:val="24"/>
        </w:rPr>
        <w:t xml:space="preserve"> </w:t>
      </w:r>
      <w:r w:rsidR="00C533F7" w:rsidRPr="005E655B">
        <w:rPr>
          <w:rFonts w:ascii="Times New Roman" w:hAnsi="Times New Roman" w:cs="Times New Roman"/>
          <w:sz w:val="24"/>
          <w:szCs w:val="24"/>
        </w:rPr>
        <w:t>Los resultados de viabilidad financiera se muestran en el cuadro siguiente.</w:t>
      </w:r>
    </w:p>
    <w:p w:rsidR="00C533F7" w:rsidRPr="005E655B" w:rsidRDefault="00C533F7" w:rsidP="000032C5">
      <w:pPr>
        <w:pStyle w:val="Caption"/>
        <w:spacing w:before="120" w:after="120"/>
        <w:ind w:left="288"/>
        <w:rPr>
          <w:sz w:val="24"/>
          <w:szCs w:val="24"/>
          <w:lang w:val="es-ES"/>
        </w:rPr>
      </w:pPr>
      <w:r w:rsidRPr="005E655B">
        <w:rPr>
          <w:sz w:val="24"/>
          <w:szCs w:val="24"/>
          <w:lang w:val="es-ES"/>
        </w:rPr>
        <w:t xml:space="preserve">Cuadro </w:t>
      </w:r>
      <w:r w:rsidRPr="005E655B">
        <w:rPr>
          <w:sz w:val="24"/>
          <w:szCs w:val="24"/>
          <w:lang w:val="es-ES"/>
        </w:rPr>
        <w:fldChar w:fldCharType="begin"/>
      </w:r>
      <w:r w:rsidRPr="005E655B">
        <w:rPr>
          <w:sz w:val="24"/>
          <w:szCs w:val="24"/>
          <w:lang w:val="es-ES"/>
        </w:rPr>
        <w:instrText xml:space="preserve"> SEQ Tableau \* ARABIC </w:instrText>
      </w:r>
      <w:r w:rsidRPr="005E655B">
        <w:rPr>
          <w:sz w:val="24"/>
          <w:szCs w:val="24"/>
          <w:lang w:val="es-ES"/>
        </w:rPr>
        <w:fldChar w:fldCharType="separate"/>
      </w:r>
      <w:r w:rsidR="00596A07">
        <w:rPr>
          <w:noProof/>
          <w:sz w:val="24"/>
          <w:szCs w:val="24"/>
          <w:lang w:val="es-ES"/>
        </w:rPr>
        <w:t>1</w:t>
      </w:r>
      <w:r w:rsidRPr="005E655B">
        <w:rPr>
          <w:sz w:val="24"/>
          <w:szCs w:val="24"/>
          <w:lang w:val="es-ES"/>
        </w:rPr>
        <w:fldChar w:fldCharType="end"/>
      </w:r>
      <w:r w:rsidRPr="005E655B">
        <w:rPr>
          <w:sz w:val="24"/>
          <w:szCs w:val="24"/>
          <w:lang w:val="es-ES"/>
        </w:rPr>
        <w:t>. Resultados de los análisis de viabilidad financiera de las EED</w:t>
      </w:r>
    </w:p>
    <w:p w:rsidR="00423BBE" w:rsidRPr="005E655B" w:rsidRDefault="00423BBE" w:rsidP="000032C5">
      <w:pPr>
        <w:spacing w:before="120" w:after="120" w:line="240" w:lineRule="auto"/>
        <w:rPr>
          <w:rFonts w:ascii="Times New Roman" w:hAnsi="Times New Roman" w:cs="Times New Roman"/>
          <w:sz w:val="24"/>
          <w:szCs w:val="24"/>
          <w:lang w:eastAsia="es-ES_tradnl"/>
        </w:rPr>
      </w:pPr>
      <w:r w:rsidRPr="005E655B">
        <w:rPr>
          <w:rFonts w:ascii="Times New Roman" w:hAnsi="Times New Roman" w:cs="Times New Roman"/>
          <w:noProof/>
          <w:sz w:val="24"/>
          <w:szCs w:val="24"/>
          <w:lang w:val="en-US"/>
        </w:rPr>
        <w:drawing>
          <wp:inline distT="0" distB="0" distL="0" distR="0" wp14:anchorId="70807CD3" wp14:editId="0C41B0DA">
            <wp:extent cx="3289465" cy="3678393"/>
            <wp:effectExtent l="0" t="0" r="635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3087" cy="3682443"/>
                    </a:xfrm>
                    <a:prstGeom prst="rect">
                      <a:avLst/>
                    </a:prstGeom>
                    <a:noFill/>
                    <a:ln>
                      <a:noFill/>
                    </a:ln>
                  </pic:spPr>
                </pic:pic>
              </a:graphicData>
            </a:graphic>
          </wp:inline>
        </w:drawing>
      </w:r>
    </w:p>
    <w:p w:rsidR="0008696F" w:rsidRPr="00111B63" w:rsidRDefault="008A17B6" w:rsidP="000032C5">
      <w:pPr>
        <w:spacing w:before="120" w:after="120" w:line="240" w:lineRule="auto"/>
        <w:jc w:val="both"/>
        <w:rPr>
          <w:rFonts w:ascii="Times New Roman" w:hAnsi="Times New Roman" w:cs="Times New Roman"/>
          <w:i/>
          <w:sz w:val="20"/>
          <w:szCs w:val="20"/>
          <w:lang w:val="es-ES_tradnl"/>
        </w:rPr>
      </w:pPr>
      <w:r w:rsidRPr="00111B63">
        <w:rPr>
          <w:rFonts w:ascii="Times New Roman" w:hAnsi="Times New Roman" w:cs="Times New Roman"/>
          <w:i/>
          <w:sz w:val="20"/>
          <w:szCs w:val="20"/>
          <w:lang w:val="es-ES_tradnl"/>
        </w:rPr>
        <w:t>Fuente: planillas de análisis económico-financieros individuales de las EED, 2015.</w:t>
      </w:r>
    </w:p>
    <w:p w:rsidR="00A44551" w:rsidRPr="005E655B" w:rsidRDefault="000032C5" w:rsidP="000032C5">
      <w:pPr>
        <w:pStyle w:val="ListParagraph"/>
        <w:numPr>
          <w:ilvl w:val="1"/>
          <w:numId w:val="5"/>
        </w:numPr>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b/>
          <w:sz w:val="24"/>
          <w:szCs w:val="24"/>
        </w:rPr>
        <w:t>Beneficiarios y beneficios del Programa</w:t>
      </w:r>
      <w:r w:rsidRPr="005E655B">
        <w:rPr>
          <w:rFonts w:ascii="Times New Roman" w:eastAsia="Times New Roman" w:hAnsi="Times New Roman" w:cs="Times New Roman"/>
          <w:sz w:val="24"/>
          <w:szCs w:val="24"/>
        </w:rPr>
        <w:t xml:space="preserve">. </w:t>
      </w:r>
      <w:r w:rsidR="00D350E0" w:rsidRPr="005E655B">
        <w:rPr>
          <w:rFonts w:ascii="Times New Roman" w:eastAsia="Times New Roman" w:hAnsi="Times New Roman" w:cs="Times New Roman"/>
          <w:sz w:val="24"/>
          <w:szCs w:val="24"/>
        </w:rPr>
        <w:t xml:space="preserve">Los beneficiarios del </w:t>
      </w:r>
      <w:r w:rsidR="005867F9" w:rsidRPr="005E655B">
        <w:rPr>
          <w:rFonts w:ascii="Times New Roman" w:eastAsia="Times New Roman" w:hAnsi="Times New Roman" w:cs="Times New Roman"/>
          <w:sz w:val="24"/>
          <w:szCs w:val="24"/>
        </w:rPr>
        <w:t xml:space="preserve">desarrollo del </w:t>
      </w:r>
      <w:r w:rsidR="004B67B5" w:rsidRPr="005E655B">
        <w:rPr>
          <w:rFonts w:ascii="Times New Roman" w:eastAsia="Times New Roman" w:hAnsi="Times New Roman" w:cs="Times New Roman"/>
          <w:sz w:val="24"/>
          <w:szCs w:val="24"/>
        </w:rPr>
        <w:t>Programa</w:t>
      </w:r>
      <w:r w:rsidR="007B6525" w:rsidRPr="005E655B">
        <w:rPr>
          <w:rFonts w:ascii="Times New Roman" w:eastAsia="Times New Roman" w:hAnsi="Times New Roman" w:cs="Times New Roman"/>
          <w:sz w:val="24"/>
          <w:szCs w:val="24"/>
        </w:rPr>
        <w:t xml:space="preserve"> serán </w:t>
      </w:r>
      <w:r w:rsidR="00850F60" w:rsidRPr="005E655B">
        <w:rPr>
          <w:rFonts w:ascii="Times New Roman" w:eastAsia="Times New Roman" w:hAnsi="Times New Roman" w:cs="Times New Roman"/>
          <w:sz w:val="24"/>
          <w:szCs w:val="24"/>
        </w:rPr>
        <w:t xml:space="preserve">los usuarios y consumidores del sistema eléctrico, y más concretamente los hogares beneficiarios de manera directa de los proyectos </w:t>
      </w:r>
      <w:r w:rsidR="00A15238" w:rsidRPr="005E655B">
        <w:rPr>
          <w:rFonts w:ascii="Times New Roman" w:eastAsia="Times New Roman" w:hAnsi="Times New Roman" w:cs="Times New Roman"/>
          <w:sz w:val="24"/>
          <w:szCs w:val="24"/>
        </w:rPr>
        <w:t xml:space="preserve">actualmente </w:t>
      </w:r>
      <w:r w:rsidR="00850F60" w:rsidRPr="005E655B">
        <w:rPr>
          <w:rFonts w:ascii="Times New Roman" w:eastAsia="Times New Roman" w:hAnsi="Times New Roman" w:cs="Times New Roman"/>
          <w:sz w:val="24"/>
          <w:szCs w:val="24"/>
        </w:rPr>
        <w:t>previstos</w:t>
      </w:r>
      <w:r w:rsidR="00F63DD4" w:rsidRPr="005E655B">
        <w:rPr>
          <w:rFonts w:ascii="Times New Roman" w:eastAsia="Times New Roman" w:hAnsi="Times New Roman" w:cs="Times New Roman"/>
          <w:sz w:val="24"/>
          <w:szCs w:val="24"/>
        </w:rPr>
        <w:t>.</w:t>
      </w:r>
      <w:r w:rsidR="00850F60" w:rsidRPr="005E655B">
        <w:rPr>
          <w:rFonts w:ascii="Times New Roman" w:eastAsia="Times New Roman" w:hAnsi="Times New Roman" w:cs="Times New Roman"/>
          <w:sz w:val="24"/>
          <w:szCs w:val="24"/>
        </w:rPr>
        <w:t xml:space="preserve"> Siendo la muestra de proyectos </w:t>
      </w:r>
      <w:r w:rsidR="00A3575E">
        <w:rPr>
          <w:rFonts w:ascii="Times New Roman" w:eastAsia="Times New Roman" w:hAnsi="Times New Roman" w:cs="Times New Roman"/>
          <w:sz w:val="24"/>
          <w:szCs w:val="24"/>
        </w:rPr>
        <w:t>e</w:t>
      </w:r>
      <w:r w:rsidR="00A3575E" w:rsidRPr="00A3575E">
        <w:rPr>
          <w:rFonts w:ascii="Times New Roman" w:eastAsia="Times New Roman" w:hAnsi="Times New Roman" w:cs="Times New Roman"/>
          <w:sz w:val="24"/>
          <w:szCs w:val="24"/>
        </w:rPr>
        <w:t>quivalente a 64% de los rec</w:t>
      </w:r>
      <w:r w:rsidR="00A3575E">
        <w:rPr>
          <w:rFonts w:ascii="Times New Roman" w:eastAsia="Times New Roman" w:hAnsi="Times New Roman" w:cs="Times New Roman"/>
          <w:sz w:val="24"/>
          <w:szCs w:val="24"/>
        </w:rPr>
        <w:t>ursos de financiamiento del BID</w:t>
      </w:r>
      <w:r w:rsidR="00850F60" w:rsidRPr="005E655B">
        <w:rPr>
          <w:rFonts w:ascii="Times New Roman" w:eastAsia="Times New Roman" w:hAnsi="Times New Roman" w:cs="Times New Roman"/>
          <w:sz w:val="24"/>
          <w:szCs w:val="24"/>
        </w:rPr>
        <w:t xml:space="preserve"> del total del presupuesto asignado al Programa, el número total de hogares beneficiarios asciende a </w:t>
      </w:r>
      <w:r w:rsidR="009D77A9" w:rsidRPr="005E655B">
        <w:rPr>
          <w:rFonts w:ascii="Times New Roman" w:eastAsia="Times New Roman" w:hAnsi="Times New Roman" w:cs="Times New Roman"/>
          <w:sz w:val="24"/>
          <w:szCs w:val="24"/>
        </w:rPr>
        <w:t>1.429.891</w:t>
      </w:r>
      <w:r w:rsidR="00850F60" w:rsidRPr="005E655B">
        <w:rPr>
          <w:rFonts w:ascii="Times New Roman" w:eastAsia="Times New Roman" w:hAnsi="Times New Roman" w:cs="Times New Roman"/>
          <w:sz w:val="24"/>
          <w:szCs w:val="24"/>
        </w:rPr>
        <w:t>, de acuerdo con el desglose que se muestra en el cuadro siguiente.</w:t>
      </w:r>
    </w:p>
    <w:p w:rsidR="00850F60" w:rsidRPr="005E655B" w:rsidRDefault="00850F60"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0032C5" w:rsidRPr="005E655B" w:rsidRDefault="000032C5" w:rsidP="000032C5">
      <w:pPr>
        <w:pStyle w:val="ListParagraph"/>
        <w:autoSpaceDE w:val="0"/>
        <w:autoSpaceDN w:val="0"/>
        <w:adjustRightInd w:val="0"/>
        <w:spacing w:before="120" w:after="120" w:line="240" w:lineRule="auto"/>
        <w:rPr>
          <w:rFonts w:ascii="Times New Roman" w:eastAsia="Times New Roman" w:hAnsi="Times New Roman" w:cs="Times New Roman"/>
          <w:b/>
          <w:sz w:val="24"/>
          <w:szCs w:val="24"/>
        </w:rPr>
      </w:pPr>
      <w:r w:rsidRPr="005E655B">
        <w:rPr>
          <w:rFonts w:ascii="Times New Roman" w:hAnsi="Times New Roman" w:cs="Times New Roman"/>
          <w:b/>
          <w:sz w:val="24"/>
          <w:szCs w:val="24"/>
        </w:rPr>
        <w:t xml:space="preserve">Cuadro </w:t>
      </w:r>
      <w:r w:rsidRPr="005E655B">
        <w:rPr>
          <w:rFonts w:ascii="Times New Roman" w:hAnsi="Times New Roman" w:cs="Times New Roman"/>
          <w:b/>
          <w:sz w:val="24"/>
          <w:szCs w:val="24"/>
        </w:rPr>
        <w:fldChar w:fldCharType="begin"/>
      </w:r>
      <w:r w:rsidRPr="005E655B">
        <w:rPr>
          <w:rFonts w:ascii="Times New Roman" w:hAnsi="Times New Roman" w:cs="Times New Roman"/>
          <w:b/>
          <w:sz w:val="24"/>
          <w:szCs w:val="24"/>
        </w:rPr>
        <w:instrText xml:space="preserve"> SEQ Tableau \* ARABIC </w:instrText>
      </w:r>
      <w:r w:rsidRPr="005E655B">
        <w:rPr>
          <w:rFonts w:ascii="Times New Roman" w:hAnsi="Times New Roman" w:cs="Times New Roman"/>
          <w:b/>
          <w:sz w:val="24"/>
          <w:szCs w:val="24"/>
        </w:rPr>
        <w:fldChar w:fldCharType="separate"/>
      </w:r>
      <w:r w:rsidR="00596A07">
        <w:rPr>
          <w:rFonts w:ascii="Times New Roman" w:hAnsi="Times New Roman" w:cs="Times New Roman"/>
          <w:b/>
          <w:noProof/>
          <w:sz w:val="24"/>
          <w:szCs w:val="24"/>
        </w:rPr>
        <w:t>2</w:t>
      </w:r>
      <w:r w:rsidRPr="005E655B">
        <w:rPr>
          <w:rFonts w:ascii="Times New Roman" w:hAnsi="Times New Roman" w:cs="Times New Roman"/>
          <w:b/>
          <w:sz w:val="24"/>
          <w:szCs w:val="24"/>
        </w:rPr>
        <w:fldChar w:fldCharType="end"/>
      </w:r>
      <w:r w:rsidRPr="005E655B">
        <w:rPr>
          <w:rFonts w:ascii="Times New Roman" w:hAnsi="Times New Roman" w:cs="Times New Roman"/>
          <w:b/>
          <w:sz w:val="24"/>
          <w:szCs w:val="24"/>
        </w:rPr>
        <w:t>. Hogares Beneficiarios Directos del Programa</w:t>
      </w:r>
    </w:p>
    <w:p w:rsidR="00850F60" w:rsidRPr="00111B63" w:rsidRDefault="009D77A9" w:rsidP="000032C5">
      <w:pPr>
        <w:pStyle w:val="Caption"/>
        <w:spacing w:before="120" w:after="120"/>
        <w:ind w:left="288"/>
        <w:jc w:val="left"/>
        <w:rPr>
          <w:b w:val="0"/>
          <w:i/>
        </w:rPr>
      </w:pPr>
      <w:r w:rsidRPr="005E655B">
        <w:rPr>
          <w:noProof/>
          <w:sz w:val="24"/>
          <w:szCs w:val="24"/>
          <w:lang w:val="en-US" w:eastAsia="en-US"/>
        </w:rPr>
        <w:drawing>
          <wp:anchor distT="0" distB="0" distL="114300" distR="114300" simplePos="0" relativeHeight="251672576" behindDoc="0" locked="0" layoutInCell="1" allowOverlap="1" wp14:anchorId="4D00E6CB" wp14:editId="36A2E5A5">
            <wp:simplePos x="0" y="0"/>
            <wp:positionH relativeFrom="column">
              <wp:posOffset>1716405</wp:posOffset>
            </wp:positionH>
            <wp:positionV relativeFrom="paragraph">
              <wp:posOffset>152400</wp:posOffset>
            </wp:positionV>
            <wp:extent cx="2353945" cy="3040380"/>
            <wp:effectExtent l="0" t="0" r="8255" b="7620"/>
            <wp:wrapTopAndBottom/>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3945" cy="30403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655B">
        <w:rPr>
          <w:sz w:val="24"/>
          <w:szCs w:val="24"/>
        </w:rPr>
        <w:t xml:space="preserve"> </w:t>
      </w:r>
      <w:r w:rsidR="00CB01F3">
        <w:rPr>
          <w:sz w:val="24"/>
          <w:szCs w:val="24"/>
        </w:rPr>
        <w:tab/>
      </w:r>
      <w:r w:rsidR="00CB01F3">
        <w:rPr>
          <w:sz w:val="24"/>
          <w:szCs w:val="24"/>
        </w:rPr>
        <w:tab/>
      </w:r>
      <w:r w:rsidRPr="00111B63">
        <w:rPr>
          <w:b w:val="0"/>
          <w:i/>
        </w:rPr>
        <w:t xml:space="preserve">Fuente: </w:t>
      </w:r>
      <w:proofErr w:type="spellStart"/>
      <w:r w:rsidRPr="00111B63">
        <w:rPr>
          <w:b w:val="0"/>
          <w:i/>
        </w:rPr>
        <w:t>Ibid</w:t>
      </w:r>
      <w:proofErr w:type="spellEnd"/>
      <w:r w:rsidRPr="00111B63">
        <w:rPr>
          <w:b w:val="0"/>
          <w:i/>
        </w:rPr>
        <w:t>., 2015.</w:t>
      </w:r>
    </w:p>
    <w:p w:rsidR="00026B8A" w:rsidRPr="005E655B" w:rsidRDefault="00026B8A" w:rsidP="000032C5">
      <w:pPr>
        <w:pStyle w:val="ListParagraph"/>
        <w:numPr>
          <w:ilvl w:val="1"/>
          <w:numId w:val="5"/>
        </w:numPr>
        <w:spacing w:before="120" w:after="120" w:line="240" w:lineRule="auto"/>
        <w:ind w:left="709" w:hanging="567"/>
        <w:jc w:val="both"/>
        <w:rPr>
          <w:rFonts w:ascii="Times New Roman" w:hAnsi="Times New Roman" w:cs="Times New Roman"/>
          <w:sz w:val="24"/>
          <w:szCs w:val="24"/>
        </w:rPr>
      </w:pPr>
      <w:r w:rsidRPr="005E655B">
        <w:rPr>
          <w:rFonts w:ascii="Times New Roman" w:hAnsi="Times New Roman" w:cs="Times New Roman"/>
          <w:sz w:val="24"/>
          <w:szCs w:val="24"/>
        </w:rPr>
        <w:t xml:space="preserve">Los beneficios </w:t>
      </w:r>
      <w:r w:rsidR="00A37B31" w:rsidRPr="005E655B">
        <w:rPr>
          <w:rFonts w:ascii="Times New Roman" w:hAnsi="Times New Roman" w:cs="Times New Roman"/>
          <w:sz w:val="24"/>
          <w:szCs w:val="24"/>
        </w:rPr>
        <w:t xml:space="preserve">económicos </w:t>
      </w:r>
      <w:r w:rsidRPr="005E655B">
        <w:rPr>
          <w:rFonts w:ascii="Times New Roman" w:hAnsi="Times New Roman" w:cs="Times New Roman"/>
          <w:sz w:val="24"/>
          <w:szCs w:val="24"/>
        </w:rPr>
        <w:t xml:space="preserve">cuantificados han sido los siguientes: </w:t>
      </w:r>
    </w:p>
    <w:p w:rsidR="00026B8A" w:rsidRPr="005E655B" w:rsidRDefault="00026B8A" w:rsidP="000032C5">
      <w:pPr>
        <w:pStyle w:val="ListParagraph"/>
        <w:numPr>
          <w:ilvl w:val="0"/>
          <w:numId w:val="23"/>
        </w:num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t>los excedentes del consumidor generados por el aumento de cobertura y calidad del servicio</w:t>
      </w:r>
      <w:r w:rsidR="00A37B31" w:rsidRPr="005E655B">
        <w:rPr>
          <w:rFonts w:ascii="Times New Roman" w:hAnsi="Times New Roman" w:cs="Times New Roman"/>
          <w:sz w:val="24"/>
          <w:szCs w:val="24"/>
        </w:rPr>
        <w:t>,</w:t>
      </w:r>
      <w:r w:rsidRPr="005E655B">
        <w:rPr>
          <w:rFonts w:ascii="Times New Roman" w:hAnsi="Times New Roman" w:cs="Times New Roman"/>
          <w:sz w:val="24"/>
          <w:szCs w:val="24"/>
        </w:rPr>
        <w:t xml:space="preserve"> </w:t>
      </w:r>
      <w:r w:rsidR="00A37B31" w:rsidRPr="005E655B">
        <w:rPr>
          <w:rFonts w:ascii="Times New Roman" w:hAnsi="Times New Roman" w:cs="Times New Roman"/>
          <w:sz w:val="24"/>
          <w:szCs w:val="24"/>
        </w:rPr>
        <w:t xml:space="preserve">fruto de </w:t>
      </w:r>
      <w:r w:rsidRPr="005E655B">
        <w:rPr>
          <w:rFonts w:ascii="Times New Roman" w:hAnsi="Times New Roman" w:cs="Times New Roman"/>
          <w:sz w:val="24"/>
          <w:szCs w:val="24"/>
        </w:rPr>
        <w:t xml:space="preserve">la mejora del sistema de distribución y de gestión de la demanda; </w:t>
      </w:r>
    </w:p>
    <w:p w:rsidR="00026B8A" w:rsidRPr="005E655B" w:rsidRDefault="00026B8A" w:rsidP="000032C5">
      <w:pPr>
        <w:pStyle w:val="ListParagraph"/>
        <w:numPr>
          <w:ilvl w:val="0"/>
          <w:numId w:val="23"/>
        </w:num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t xml:space="preserve">la disminución de pérdidas técnicas en los sistemas mejorados de sub-transmisión y distribución de la red eléctrica nacional; y </w:t>
      </w:r>
    </w:p>
    <w:p w:rsidR="00026B8A" w:rsidRDefault="00E81E1F" w:rsidP="000032C5">
      <w:pPr>
        <w:pStyle w:val="ListParagraph"/>
        <w:numPr>
          <w:ilvl w:val="0"/>
          <w:numId w:val="23"/>
        </w:num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t xml:space="preserve">la </w:t>
      </w:r>
      <w:r w:rsidR="00026B8A" w:rsidRPr="005E655B">
        <w:rPr>
          <w:rFonts w:ascii="Times New Roman" w:hAnsi="Times New Roman" w:cs="Times New Roman"/>
          <w:sz w:val="24"/>
          <w:szCs w:val="24"/>
        </w:rPr>
        <w:t>disminución de los cortes de energía.</w:t>
      </w:r>
    </w:p>
    <w:p w:rsidR="00CB01F3" w:rsidRPr="005E655B" w:rsidRDefault="00CB01F3" w:rsidP="00111B63">
      <w:pPr>
        <w:pStyle w:val="ListParagraph"/>
        <w:spacing w:before="120" w:after="120" w:line="240" w:lineRule="auto"/>
        <w:ind w:left="1440"/>
        <w:jc w:val="both"/>
        <w:rPr>
          <w:rFonts w:ascii="Times New Roman" w:hAnsi="Times New Roman" w:cs="Times New Roman"/>
          <w:sz w:val="24"/>
          <w:szCs w:val="24"/>
        </w:rPr>
      </w:pPr>
    </w:p>
    <w:p w:rsidR="00FC462B" w:rsidRPr="005E655B" w:rsidRDefault="000032C5" w:rsidP="000032C5">
      <w:pPr>
        <w:pStyle w:val="ListParagraph"/>
        <w:numPr>
          <w:ilvl w:val="1"/>
          <w:numId w:val="5"/>
        </w:numPr>
        <w:spacing w:before="120" w:after="120" w:line="240" w:lineRule="auto"/>
        <w:ind w:left="709" w:hanging="567"/>
        <w:jc w:val="both"/>
        <w:rPr>
          <w:rFonts w:ascii="Times New Roman" w:hAnsi="Times New Roman" w:cs="Times New Roman"/>
          <w:i/>
          <w:sz w:val="24"/>
          <w:szCs w:val="24"/>
        </w:rPr>
      </w:pPr>
      <w:bookmarkStart w:id="9" w:name="_Toc352780901"/>
      <w:bookmarkStart w:id="10" w:name="_Toc352781190"/>
      <w:bookmarkStart w:id="11" w:name="_Toc352781259"/>
      <w:bookmarkStart w:id="12" w:name="_Toc352832524"/>
      <w:bookmarkStart w:id="13" w:name="_Toc352839707"/>
      <w:bookmarkStart w:id="14" w:name="_Toc353793048"/>
      <w:bookmarkStart w:id="15" w:name="_Toc353793928"/>
      <w:bookmarkStart w:id="16" w:name="_Toc415751477"/>
      <w:r w:rsidRPr="005E655B">
        <w:rPr>
          <w:rStyle w:val="Heading2Char"/>
          <w:rFonts w:ascii="Times New Roman" w:hAnsi="Times New Roman" w:cs="Times New Roman"/>
          <w:color w:val="auto"/>
          <w:sz w:val="24"/>
          <w:szCs w:val="24"/>
        </w:rPr>
        <w:t>Planteamiento metodológico general</w:t>
      </w:r>
      <w:bookmarkEnd w:id="9"/>
      <w:bookmarkEnd w:id="10"/>
      <w:bookmarkEnd w:id="11"/>
      <w:bookmarkEnd w:id="12"/>
      <w:bookmarkEnd w:id="13"/>
      <w:bookmarkEnd w:id="14"/>
      <w:bookmarkEnd w:id="15"/>
      <w:bookmarkEnd w:id="16"/>
      <w:r w:rsidRPr="005E655B">
        <w:rPr>
          <w:rFonts w:ascii="Times New Roman" w:hAnsi="Times New Roman" w:cs="Times New Roman"/>
          <w:i/>
          <w:sz w:val="24"/>
          <w:szCs w:val="24"/>
        </w:rPr>
        <w:t xml:space="preserve">. </w:t>
      </w:r>
      <w:r w:rsidRPr="005E655B">
        <w:rPr>
          <w:rFonts w:ascii="Times New Roman" w:hAnsi="Times New Roman" w:cs="Times New Roman"/>
          <w:sz w:val="24"/>
          <w:szCs w:val="24"/>
        </w:rPr>
        <w:t xml:space="preserve">La </w:t>
      </w:r>
      <w:r w:rsidR="00FC462B" w:rsidRPr="005E655B">
        <w:rPr>
          <w:rFonts w:ascii="Times New Roman" w:hAnsi="Times New Roman" w:cs="Times New Roman"/>
          <w:sz w:val="24"/>
          <w:szCs w:val="24"/>
        </w:rPr>
        <w:t>evaluación económica se ha concentrado en aquellos componentes cuyos impactos económicos diferenciales han sido identificados como directamente atribuibles al Programa, mediante relaciones causa-efecto suficientemente claras para definir el perímetro objeto del análisis.</w:t>
      </w:r>
    </w:p>
    <w:p w:rsidR="00FC462B" w:rsidRPr="005E655B" w:rsidRDefault="00FC462B" w:rsidP="000032C5">
      <w:pPr>
        <w:pStyle w:val="ListParagraph"/>
        <w:spacing w:before="120" w:after="120" w:line="240" w:lineRule="auto"/>
        <w:jc w:val="both"/>
        <w:rPr>
          <w:rFonts w:ascii="Times New Roman" w:hAnsi="Times New Roman" w:cs="Times New Roman"/>
          <w:sz w:val="24"/>
          <w:szCs w:val="24"/>
        </w:rPr>
      </w:pPr>
    </w:p>
    <w:p w:rsidR="00FC462B" w:rsidRPr="005E655B" w:rsidRDefault="00FC462B" w:rsidP="000032C5">
      <w:pPr>
        <w:pStyle w:val="ListParagraph"/>
        <w:numPr>
          <w:ilvl w:val="1"/>
          <w:numId w:val="5"/>
        </w:numPr>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hAnsi="Times New Roman" w:cs="Times New Roman"/>
          <w:sz w:val="24"/>
          <w:szCs w:val="24"/>
        </w:rPr>
        <w:t>Con el propósito de determinar la viabilidad del Programa en términos económicos, se ha realizado una evaluación de los impactos económicos que resultarán de su puesta en marcha e implementación, siguiendo el planteamiento metodológico descrito a continuación en el apartado II.</w:t>
      </w:r>
    </w:p>
    <w:p w:rsidR="005E655B" w:rsidRPr="005E655B" w:rsidRDefault="005E655B" w:rsidP="005E655B">
      <w:pPr>
        <w:pStyle w:val="ListParagraph"/>
        <w:spacing w:before="120" w:after="120" w:line="240" w:lineRule="auto"/>
        <w:ind w:left="709"/>
        <w:jc w:val="both"/>
        <w:rPr>
          <w:rFonts w:ascii="Times New Roman" w:hAnsi="Times New Roman" w:cs="Times New Roman"/>
          <w:sz w:val="24"/>
          <w:szCs w:val="24"/>
        </w:rPr>
      </w:pPr>
    </w:p>
    <w:p w:rsidR="00FC462B" w:rsidRPr="005E655B" w:rsidRDefault="00FC462B" w:rsidP="000032C5">
      <w:pPr>
        <w:pStyle w:val="ListParagraph"/>
        <w:numPr>
          <w:ilvl w:val="1"/>
          <w:numId w:val="5"/>
        </w:numPr>
        <w:spacing w:before="120" w:after="120" w:line="240" w:lineRule="auto"/>
        <w:ind w:left="709" w:hanging="567"/>
        <w:jc w:val="both"/>
        <w:rPr>
          <w:rFonts w:ascii="Times New Roman" w:hAnsi="Times New Roman" w:cs="Times New Roman"/>
          <w:sz w:val="24"/>
          <w:szCs w:val="24"/>
        </w:rPr>
      </w:pPr>
      <w:r w:rsidRPr="005E655B">
        <w:rPr>
          <w:rFonts w:ascii="Times New Roman" w:hAnsi="Times New Roman" w:cs="Times New Roman"/>
          <w:sz w:val="24"/>
          <w:szCs w:val="24"/>
        </w:rPr>
        <w:t>Cabe señalar que el ACB ha partido de las proyecciones individuales realizadas previamente para cada una de EED. Por tanto el ACB se ha basado en los mismos supuestos e hipótesis de carácter técnico-económico que los contemplados en dichos análisis individuales.</w:t>
      </w:r>
    </w:p>
    <w:p w:rsidR="00FC462B" w:rsidRPr="005E655B" w:rsidRDefault="00FC462B" w:rsidP="000032C5">
      <w:pPr>
        <w:pStyle w:val="ListParagraph"/>
        <w:spacing w:before="120" w:after="120" w:line="240" w:lineRule="auto"/>
        <w:jc w:val="both"/>
        <w:rPr>
          <w:rFonts w:ascii="Times New Roman" w:eastAsia="Times New Roman" w:hAnsi="Times New Roman" w:cs="Times New Roman"/>
          <w:sz w:val="24"/>
          <w:szCs w:val="24"/>
        </w:rPr>
      </w:pPr>
    </w:p>
    <w:p w:rsidR="00E12F59" w:rsidRPr="005E655B" w:rsidRDefault="00270087" w:rsidP="000032C5">
      <w:pPr>
        <w:pStyle w:val="ListParagraph"/>
        <w:numPr>
          <w:ilvl w:val="1"/>
          <w:numId w:val="5"/>
        </w:numPr>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A continuación, se describen la metodología </w:t>
      </w:r>
      <w:r w:rsidR="00A70BE0" w:rsidRPr="005E655B">
        <w:rPr>
          <w:rFonts w:ascii="Times New Roman" w:eastAsia="Times New Roman" w:hAnsi="Times New Roman" w:cs="Times New Roman"/>
          <w:sz w:val="24"/>
          <w:szCs w:val="24"/>
        </w:rPr>
        <w:t xml:space="preserve">utilizada en </w:t>
      </w:r>
      <w:r w:rsidR="00390450" w:rsidRPr="005E655B">
        <w:rPr>
          <w:rFonts w:ascii="Times New Roman" w:eastAsia="Times New Roman" w:hAnsi="Times New Roman" w:cs="Times New Roman"/>
          <w:sz w:val="24"/>
          <w:szCs w:val="24"/>
        </w:rPr>
        <w:t>la realización d</w:t>
      </w:r>
      <w:r w:rsidRPr="005E655B">
        <w:rPr>
          <w:rFonts w:ascii="Times New Roman" w:eastAsia="Times New Roman" w:hAnsi="Times New Roman" w:cs="Times New Roman"/>
          <w:sz w:val="24"/>
          <w:szCs w:val="24"/>
        </w:rPr>
        <w:t>el ACB</w:t>
      </w:r>
      <w:r w:rsidR="00A70BE0" w:rsidRPr="005E655B">
        <w:rPr>
          <w:rFonts w:ascii="Times New Roman" w:eastAsia="Times New Roman" w:hAnsi="Times New Roman" w:cs="Times New Roman"/>
          <w:sz w:val="24"/>
          <w:szCs w:val="24"/>
        </w:rPr>
        <w:t>,</w:t>
      </w:r>
      <w:r w:rsidRPr="005E655B">
        <w:rPr>
          <w:rFonts w:ascii="Times New Roman" w:eastAsia="Times New Roman" w:hAnsi="Times New Roman" w:cs="Times New Roman"/>
          <w:sz w:val="24"/>
          <w:szCs w:val="24"/>
        </w:rPr>
        <w:t xml:space="preserve"> </w:t>
      </w:r>
      <w:r w:rsidR="00517E8E" w:rsidRPr="005E655B">
        <w:rPr>
          <w:rFonts w:ascii="Times New Roman" w:eastAsia="Times New Roman" w:hAnsi="Times New Roman" w:cs="Times New Roman"/>
          <w:sz w:val="24"/>
          <w:szCs w:val="24"/>
        </w:rPr>
        <w:t xml:space="preserve">las hipótesis </w:t>
      </w:r>
      <w:r w:rsidR="00FC462B" w:rsidRPr="005E655B">
        <w:rPr>
          <w:rFonts w:ascii="Times New Roman" w:eastAsia="Times New Roman" w:hAnsi="Times New Roman" w:cs="Times New Roman"/>
          <w:sz w:val="24"/>
          <w:szCs w:val="24"/>
        </w:rPr>
        <w:t>considerad</w:t>
      </w:r>
      <w:r w:rsidR="00517E8E" w:rsidRPr="005E655B">
        <w:rPr>
          <w:rFonts w:ascii="Times New Roman" w:eastAsia="Times New Roman" w:hAnsi="Times New Roman" w:cs="Times New Roman"/>
          <w:sz w:val="24"/>
          <w:szCs w:val="24"/>
        </w:rPr>
        <w:t xml:space="preserve">as, </w:t>
      </w:r>
      <w:r w:rsidRPr="005E655B">
        <w:rPr>
          <w:rFonts w:ascii="Times New Roman" w:eastAsia="Times New Roman" w:hAnsi="Times New Roman" w:cs="Times New Roman"/>
          <w:sz w:val="24"/>
          <w:szCs w:val="24"/>
        </w:rPr>
        <w:t xml:space="preserve">los parámetros de rentabilidad </w:t>
      </w:r>
      <w:r w:rsidR="009C51D5" w:rsidRPr="005E655B">
        <w:rPr>
          <w:rFonts w:ascii="Times New Roman" w:eastAsia="Times New Roman" w:hAnsi="Times New Roman" w:cs="Times New Roman"/>
          <w:sz w:val="24"/>
          <w:szCs w:val="24"/>
        </w:rPr>
        <w:t>contemplad</w:t>
      </w:r>
      <w:r w:rsidRPr="005E655B">
        <w:rPr>
          <w:rFonts w:ascii="Times New Roman" w:eastAsia="Times New Roman" w:hAnsi="Times New Roman" w:cs="Times New Roman"/>
          <w:sz w:val="24"/>
          <w:szCs w:val="24"/>
        </w:rPr>
        <w:t xml:space="preserve">os, así como las limitaciones metodológicas encontradas </w:t>
      </w:r>
      <w:r w:rsidR="00A70BE0" w:rsidRPr="005E655B">
        <w:rPr>
          <w:rFonts w:ascii="Times New Roman" w:eastAsia="Times New Roman" w:hAnsi="Times New Roman" w:cs="Times New Roman"/>
          <w:sz w:val="24"/>
          <w:szCs w:val="24"/>
        </w:rPr>
        <w:t>en</w:t>
      </w:r>
      <w:r w:rsidRPr="005E655B">
        <w:rPr>
          <w:rFonts w:ascii="Times New Roman" w:eastAsia="Times New Roman" w:hAnsi="Times New Roman" w:cs="Times New Roman"/>
          <w:sz w:val="24"/>
          <w:szCs w:val="24"/>
        </w:rPr>
        <w:t xml:space="preserve"> su realización.</w:t>
      </w:r>
    </w:p>
    <w:p w:rsidR="005842DF" w:rsidRPr="005E655B" w:rsidRDefault="005842DF" w:rsidP="000032C5">
      <w:pPr>
        <w:spacing w:before="120" w:after="120" w:line="240" w:lineRule="auto"/>
        <w:jc w:val="both"/>
        <w:rPr>
          <w:rFonts w:ascii="Times New Roman" w:eastAsia="Times New Roman" w:hAnsi="Times New Roman" w:cs="Times New Roman"/>
          <w:sz w:val="24"/>
          <w:szCs w:val="24"/>
        </w:rPr>
      </w:pPr>
    </w:p>
    <w:p w:rsidR="00D55223" w:rsidRPr="005E655B" w:rsidRDefault="00E138EE" w:rsidP="000032C5">
      <w:pPr>
        <w:pStyle w:val="Heading1"/>
        <w:numPr>
          <w:ilvl w:val="0"/>
          <w:numId w:val="1"/>
        </w:numPr>
        <w:spacing w:before="120" w:after="120" w:line="240" w:lineRule="auto"/>
        <w:jc w:val="both"/>
        <w:rPr>
          <w:rFonts w:ascii="Times New Roman" w:hAnsi="Times New Roman" w:cs="Times New Roman"/>
          <w:color w:val="auto"/>
          <w:sz w:val="24"/>
          <w:szCs w:val="24"/>
        </w:rPr>
      </w:pPr>
      <w:bookmarkStart w:id="17" w:name="_Ref318656484"/>
      <w:bookmarkStart w:id="18" w:name="_Toc415751478"/>
      <w:r w:rsidRPr="005E655B">
        <w:rPr>
          <w:rFonts w:ascii="Times New Roman" w:hAnsi="Times New Roman" w:cs="Times New Roman"/>
          <w:color w:val="auto"/>
          <w:sz w:val="24"/>
          <w:szCs w:val="24"/>
        </w:rPr>
        <w:t>SUPUESTOS Y METODOLOGÍA</w:t>
      </w:r>
      <w:bookmarkEnd w:id="17"/>
      <w:bookmarkEnd w:id="18"/>
    </w:p>
    <w:p w:rsidR="00356888" w:rsidRPr="005E655B" w:rsidRDefault="00356888" w:rsidP="000032C5">
      <w:pPr>
        <w:pStyle w:val="ListParagraph"/>
        <w:numPr>
          <w:ilvl w:val="1"/>
          <w:numId w:val="26"/>
        </w:numPr>
        <w:tabs>
          <w:tab w:val="clear" w:pos="720"/>
          <w:tab w:val="num" w:pos="709"/>
        </w:tabs>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Para la evaluación de la viabilidad económica </w:t>
      </w:r>
      <w:r w:rsidR="007A3E35" w:rsidRPr="005E655B">
        <w:rPr>
          <w:rFonts w:ascii="Times New Roman" w:eastAsia="Times New Roman" w:hAnsi="Times New Roman" w:cs="Times New Roman"/>
          <w:sz w:val="24"/>
          <w:szCs w:val="24"/>
        </w:rPr>
        <w:t xml:space="preserve">ex-ante </w:t>
      </w:r>
      <w:r w:rsidRPr="005E655B">
        <w:rPr>
          <w:rFonts w:ascii="Times New Roman" w:eastAsia="Times New Roman" w:hAnsi="Times New Roman" w:cs="Times New Roman"/>
          <w:sz w:val="24"/>
          <w:szCs w:val="24"/>
        </w:rPr>
        <w:t xml:space="preserve">del Programa, se ha utilizado la metodología del Análisis Costo-Beneficio (ACB), que cuantifica la rentabilidad de las intervenciones previstas en el Programa. </w:t>
      </w:r>
    </w:p>
    <w:p w:rsidR="00356888" w:rsidRPr="005E655B" w:rsidRDefault="00356888" w:rsidP="000032C5">
      <w:pPr>
        <w:pStyle w:val="ListParagraph"/>
        <w:spacing w:before="120" w:after="120" w:line="240" w:lineRule="auto"/>
        <w:ind w:hanging="578"/>
        <w:jc w:val="both"/>
        <w:rPr>
          <w:rFonts w:ascii="Times New Roman" w:eastAsia="Times New Roman" w:hAnsi="Times New Roman" w:cs="Times New Roman"/>
          <w:sz w:val="24"/>
          <w:szCs w:val="24"/>
        </w:rPr>
      </w:pPr>
    </w:p>
    <w:p w:rsidR="00356888" w:rsidRPr="005E655B" w:rsidRDefault="00356888"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La metodología del ACB se ha adaptado a cado uno de los componentes evaluados, en función de los factores siguientes: (i) la información primaria y se</w:t>
      </w:r>
      <w:r w:rsidR="003D6068">
        <w:rPr>
          <w:rFonts w:ascii="Times New Roman" w:eastAsia="Times New Roman" w:hAnsi="Times New Roman" w:cs="Times New Roman"/>
          <w:sz w:val="24"/>
          <w:szCs w:val="24"/>
        </w:rPr>
        <w:t>c</w:t>
      </w:r>
      <w:r w:rsidRPr="005E655B">
        <w:rPr>
          <w:rFonts w:ascii="Times New Roman" w:eastAsia="Times New Roman" w:hAnsi="Times New Roman" w:cs="Times New Roman"/>
          <w:sz w:val="24"/>
          <w:szCs w:val="24"/>
        </w:rPr>
        <w:t>undaria disponible al respecto y (ii) los análisis previamente realizados a nivel individual de cada una de las EED.</w:t>
      </w:r>
    </w:p>
    <w:p w:rsidR="00356888" w:rsidRPr="005E655B" w:rsidRDefault="00356888" w:rsidP="000032C5">
      <w:pPr>
        <w:pStyle w:val="ListParagraph"/>
        <w:spacing w:before="120" w:after="120" w:line="240" w:lineRule="auto"/>
        <w:ind w:hanging="578"/>
        <w:jc w:val="both"/>
        <w:rPr>
          <w:rFonts w:ascii="Times New Roman" w:eastAsia="Times New Roman" w:hAnsi="Times New Roman" w:cs="Times New Roman"/>
          <w:sz w:val="24"/>
          <w:szCs w:val="24"/>
        </w:rPr>
      </w:pPr>
    </w:p>
    <w:p w:rsidR="00D55223" w:rsidRPr="005E655B" w:rsidRDefault="00D55223" w:rsidP="005E655B">
      <w:pPr>
        <w:pStyle w:val="ListParagraph"/>
        <w:numPr>
          <w:ilvl w:val="1"/>
          <w:numId w:val="26"/>
        </w:numPr>
        <w:spacing w:before="120" w:after="120" w:line="240" w:lineRule="auto"/>
        <w:ind w:left="709" w:hanging="567"/>
        <w:jc w:val="both"/>
        <w:rPr>
          <w:rFonts w:ascii="Times New Roman" w:hAnsi="Times New Roman" w:cs="Times New Roman"/>
          <w:b/>
          <w:sz w:val="24"/>
          <w:szCs w:val="24"/>
        </w:rPr>
      </w:pPr>
      <w:bookmarkStart w:id="19" w:name="_Toc352780908"/>
      <w:bookmarkStart w:id="20" w:name="_Toc352781197"/>
      <w:bookmarkStart w:id="21" w:name="_Toc352781266"/>
      <w:bookmarkStart w:id="22" w:name="_Toc352832531"/>
      <w:bookmarkStart w:id="23" w:name="_Toc352839714"/>
      <w:bookmarkStart w:id="24" w:name="_Toc353793055"/>
      <w:bookmarkStart w:id="25" w:name="_Toc353793935"/>
      <w:bookmarkStart w:id="26" w:name="_Toc415751479"/>
      <w:r w:rsidRPr="005E655B">
        <w:rPr>
          <w:rStyle w:val="Heading2Char"/>
          <w:rFonts w:ascii="Times New Roman" w:hAnsi="Times New Roman" w:cs="Times New Roman"/>
          <w:color w:val="auto"/>
          <w:sz w:val="24"/>
          <w:szCs w:val="24"/>
        </w:rPr>
        <w:t xml:space="preserve">Horizonte </w:t>
      </w:r>
      <w:r w:rsidR="00903D82" w:rsidRPr="005E655B">
        <w:rPr>
          <w:rStyle w:val="Heading2Char"/>
          <w:rFonts w:ascii="Times New Roman" w:hAnsi="Times New Roman" w:cs="Times New Roman"/>
          <w:color w:val="auto"/>
          <w:sz w:val="24"/>
          <w:szCs w:val="24"/>
        </w:rPr>
        <w:t>t</w:t>
      </w:r>
      <w:r w:rsidRPr="005E655B">
        <w:rPr>
          <w:rStyle w:val="Heading2Char"/>
          <w:rFonts w:ascii="Times New Roman" w:hAnsi="Times New Roman" w:cs="Times New Roman"/>
          <w:color w:val="auto"/>
          <w:sz w:val="24"/>
          <w:szCs w:val="24"/>
        </w:rPr>
        <w:t>emporal del ACB</w:t>
      </w:r>
      <w:bookmarkEnd w:id="19"/>
      <w:bookmarkEnd w:id="20"/>
      <w:bookmarkEnd w:id="21"/>
      <w:bookmarkEnd w:id="22"/>
      <w:bookmarkEnd w:id="23"/>
      <w:bookmarkEnd w:id="24"/>
      <w:bookmarkEnd w:id="25"/>
      <w:bookmarkEnd w:id="26"/>
      <w:r w:rsidR="005E655B" w:rsidRPr="005E655B">
        <w:rPr>
          <w:rFonts w:ascii="Times New Roman" w:hAnsi="Times New Roman" w:cs="Times New Roman"/>
          <w:b/>
          <w:sz w:val="24"/>
          <w:szCs w:val="24"/>
        </w:rPr>
        <w:t xml:space="preserve">. </w:t>
      </w:r>
      <w:r w:rsidRPr="005E655B">
        <w:rPr>
          <w:rFonts w:ascii="Times New Roman" w:eastAsia="Times New Roman" w:hAnsi="Times New Roman" w:cs="Times New Roman"/>
          <w:sz w:val="24"/>
          <w:szCs w:val="24"/>
        </w:rPr>
        <w:t xml:space="preserve">Se </w:t>
      </w:r>
      <w:r w:rsidR="00BF1081" w:rsidRPr="005E655B">
        <w:rPr>
          <w:rFonts w:ascii="Times New Roman" w:eastAsia="Times New Roman" w:hAnsi="Times New Roman" w:cs="Times New Roman"/>
          <w:sz w:val="24"/>
          <w:szCs w:val="24"/>
        </w:rPr>
        <w:t xml:space="preserve">ha </w:t>
      </w:r>
      <w:r w:rsidR="00F67935" w:rsidRPr="005E655B">
        <w:rPr>
          <w:rFonts w:ascii="Times New Roman" w:eastAsia="Times New Roman" w:hAnsi="Times New Roman" w:cs="Times New Roman"/>
          <w:sz w:val="24"/>
          <w:szCs w:val="24"/>
        </w:rPr>
        <w:t>contemplado</w:t>
      </w:r>
      <w:r w:rsidRPr="005E655B">
        <w:rPr>
          <w:rFonts w:ascii="Times New Roman" w:eastAsia="Times New Roman" w:hAnsi="Times New Roman" w:cs="Times New Roman"/>
          <w:sz w:val="24"/>
          <w:szCs w:val="24"/>
        </w:rPr>
        <w:t xml:space="preserve"> un </w:t>
      </w:r>
      <w:r w:rsidR="00511F4D" w:rsidRPr="005E655B">
        <w:rPr>
          <w:rFonts w:ascii="Times New Roman" w:eastAsia="Times New Roman" w:hAnsi="Times New Roman" w:cs="Times New Roman"/>
          <w:sz w:val="24"/>
          <w:szCs w:val="24"/>
        </w:rPr>
        <w:t xml:space="preserve">horizonte temporal de </w:t>
      </w:r>
      <w:r w:rsidR="00573825" w:rsidRPr="005E655B">
        <w:rPr>
          <w:rFonts w:ascii="Times New Roman" w:eastAsia="Times New Roman" w:hAnsi="Times New Roman" w:cs="Times New Roman"/>
          <w:sz w:val="24"/>
          <w:szCs w:val="24"/>
        </w:rPr>
        <w:t>32</w:t>
      </w:r>
      <w:r w:rsidRPr="005E655B">
        <w:rPr>
          <w:rFonts w:ascii="Times New Roman" w:eastAsia="Times New Roman" w:hAnsi="Times New Roman" w:cs="Times New Roman"/>
          <w:sz w:val="24"/>
          <w:szCs w:val="24"/>
        </w:rPr>
        <w:t xml:space="preserve"> años</w:t>
      </w:r>
      <w:r w:rsidR="00F67935" w:rsidRPr="005E655B">
        <w:rPr>
          <w:rFonts w:ascii="Times New Roman" w:eastAsia="Times New Roman" w:hAnsi="Times New Roman" w:cs="Times New Roman"/>
          <w:sz w:val="24"/>
          <w:szCs w:val="24"/>
        </w:rPr>
        <w:t>,</w:t>
      </w:r>
      <w:r w:rsidR="00573825" w:rsidRPr="005E655B">
        <w:rPr>
          <w:rFonts w:ascii="Times New Roman" w:eastAsia="Times New Roman" w:hAnsi="Times New Roman" w:cs="Times New Roman"/>
          <w:sz w:val="24"/>
          <w:szCs w:val="24"/>
        </w:rPr>
        <w:t xml:space="preserve"> de acuerdo con el </w:t>
      </w:r>
      <w:r w:rsidR="00167B83" w:rsidRPr="005E655B">
        <w:rPr>
          <w:rFonts w:ascii="Times New Roman" w:eastAsia="Times New Roman" w:hAnsi="Times New Roman" w:cs="Times New Roman"/>
          <w:sz w:val="24"/>
          <w:szCs w:val="24"/>
        </w:rPr>
        <w:t xml:space="preserve">periodo </w:t>
      </w:r>
      <w:r w:rsidR="00573825" w:rsidRPr="005E655B">
        <w:rPr>
          <w:rFonts w:ascii="Times New Roman" w:eastAsia="Times New Roman" w:hAnsi="Times New Roman" w:cs="Times New Roman"/>
          <w:sz w:val="24"/>
          <w:szCs w:val="24"/>
        </w:rPr>
        <w:t>utilizado en los análisis individuales de cada una de las EED</w:t>
      </w:r>
      <w:r w:rsidRPr="005E655B">
        <w:rPr>
          <w:rFonts w:ascii="Times New Roman" w:eastAsia="Times New Roman" w:hAnsi="Times New Roman" w:cs="Times New Roman"/>
          <w:sz w:val="24"/>
          <w:szCs w:val="24"/>
        </w:rPr>
        <w:t>.</w:t>
      </w:r>
      <w:r w:rsidR="007A3E35" w:rsidRPr="005E655B">
        <w:rPr>
          <w:rFonts w:ascii="Times New Roman" w:eastAsia="Times New Roman" w:hAnsi="Times New Roman" w:cs="Times New Roman"/>
          <w:sz w:val="24"/>
          <w:szCs w:val="24"/>
        </w:rPr>
        <w:t xml:space="preserve"> Este periodo corresponde con el periodo de vida útil promedio de los activos contemplados en los proyectos de inversión del Programa.</w:t>
      </w:r>
    </w:p>
    <w:p w:rsidR="005E655B" w:rsidRPr="005E655B" w:rsidRDefault="005E655B" w:rsidP="005E655B">
      <w:pPr>
        <w:pStyle w:val="ListParagraph"/>
        <w:spacing w:before="120" w:after="120" w:line="240" w:lineRule="auto"/>
        <w:ind w:left="709"/>
        <w:jc w:val="both"/>
        <w:rPr>
          <w:rStyle w:val="Heading2Char"/>
          <w:rFonts w:ascii="Times New Roman" w:eastAsia="Times New Roman" w:hAnsi="Times New Roman" w:cs="Times New Roman"/>
          <w:b w:val="0"/>
          <w:bCs w:val="0"/>
          <w:color w:val="auto"/>
          <w:sz w:val="24"/>
          <w:szCs w:val="24"/>
        </w:rPr>
      </w:pPr>
    </w:p>
    <w:p w:rsidR="00167B83" w:rsidRPr="005E655B" w:rsidRDefault="005E655B"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bookmarkStart w:id="27" w:name="_Toc415751480"/>
      <w:r w:rsidRPr="005E655B">
        <w:rPr>
          <w:rStyle w:val="Heading2Char"/>
          <w:rFonts w:ascii="Times New Roman" w:hAnsi="Times New Roman" w:cs="Times New Roman"/>
          <w:color w:val="auto"/>
          <w:sz w:val="24"/>
          <w:szCs w:val="24"/>
        </w:rPr>
        <w:t>Unidad Monetaria.</w:t>
      </w:r>
      <w:bookmarkEnd w:id="27"/>
      <w:r w:rsidRPr="005E655B">
        <w:rPr>
          <w:rFonts w:ascii="Times New Roman" w:eastAsia="Times New Roman" w:hAnsi="Times New Roman" w:cs="Times New Roman"/>
          <w:sz w:val="24"/>
          <w:szCs w:val="24"/>
        </w:rPr>
        <w:t xml:space="preserve"> </w:t>
      </w:r>
      <w:r w:rsidR="00781A4E" w:rsidRPr="005E655B">
        <w:rPr>
          <w:rFonts w:ascii="Times New Roman" w:eastAsia="Times New Roman" w:hAnsi="Times New Roman" w:cs="Times New Roman"/>
          <w:sz w:val="24"/>
          <w:szCs w:val="24"/>
        </w:rPr>
        <w:t xml:space="preserve">Para la cuantificación de los </w:t>
      </w:r>
      <w:r w:rsidR="008A5650" w:rsidRPr="005E655B">
        <w:rPr>
          <w:rFonts w:ascii="Times New Roman" w:eastAsia="Times New Roman" w:hAnsi="Times New Roman" w:cs="Times New Roman"/>
          <w:sz w:val="24"/>
          <w:szCs w:val="24"/>
        </w:rPr>
        <w:t>flujos económicos</w:t>
      </w:r>
      <w:r w:rsidR="00781A4E" w:rsidRPr="005E655B">
        <w:rPr>
          <w:rFonts w:ascii="Times New Roman" w:eastAsia="Times New Roman" w:hAnsi="Times New Roman" w:cs="Times New Roman"/>
          <w:sz w:val="24"/>
          <w:szCs w:val="24"/>
        </w:rPr>
        <w:t xml:space="preserve">, la unidad de medida </w:t>
      </w:r>
      <w:r w:rsidR="00112226" w:rsidRPr="005E655B">
        <w:rPr>
          <w:rFonts w:ascii="Times New Roman" w:eastAsia="Times New Roman" w:hAnsi="Times New Roman" w:cs="Times New Roman"/>
          <w:sz w:val="24"/>
          <w:szCs w:val="24"/>
        </w:rPr>
        <w:t xml:space="preserve">utilizada </w:t>
      </w:r>
      <w:r w:rsidR="008A5650" w:rsidRPr="005E655B">
        <w:rPr>
          <w:rFonts w:ascii="Times New Roman" w:eastAsia="Times New Roman" w:hAnsi="Times New Roman" w:cs="Times New Roman"/>
          <w:sz w:val="24"/>
          <w:szCs w:val="24"/>
        </w:rPr>
        <w:t>ha sido</w:t>
      </w:r>
      <w:r w:rsidR="00781A4E" w:rsidRPr="005E655B">
        <w:rPr>
          <w:rFonts w:ascii="Times New Roman" w:eastAsia="Times New Roman" w:hAnsi="Times New Roman" w:cs="Times New Roman"/>
          <w:sz w:val="24"/>
          <w:szCs w:val="24"/>
        </w:rPr>
        <w:t xml:space="preserve"> </w:t>
      </w:r>
      <w:r w:rsidR="00264D9B" w:rsidRPr="005E655B">
        <w:rPr>
          <w:rFonts w:ascii="Times New Roman" w:eastAsia="Times New Roman" w:hAnsi="Times New Roman" w:cs="Times New Roman"/>
          <w:sz w:val="24"/>
          <w:szCs w:val="24"/>
        </w:rPr>
        <w:t>e</w:t>
      </w:r>
      <w:r w:rsidR="00863EA4" w:rsidRPr="005E655B">
        <w:rPr>
          <w:rFonts w:ascii="Times New Roman" w:eastAsia="Times New Roman" w:hAnsi="Times New Roman" w:cs="Times New Roman"/>
          <w:sz w:val="24"/>
          <w:szCs w:val="24"/>
        </w:rPr>
        <w:t>l Dólar Estadounidense</w:t>
      </w:r>
      <w:r w:rsidR="00DC26FC" w:rsidRPr="005E655B">
        <w:rPr>
          <w:rFonts w:ascii="Times New Roman" w:eastAsia="Times New Roman" w:hAnsi="Times New Roman" w:cs="Times New Roman"/>
          <w:sz w:val="24"/>
          <w:szCs w:val="24"/>
        </w:rPr>
        <w:t xml:space="preserve"> en términos contantes de 2015</w:t>
      </w:r>
      <w:r w:rsidR="00167B83" w:rsidRPr="005E655B">
        <w:rPr>
          <w:rFonts w:ascii="Times New Roman" w:eastAsia="Times New Roman" w:hAnsi="Times New Roman" w:cs="Times New Roman"/>
          <w:sz w:val="24"/>
          <w:szCs w:val="24"/>
        </w:rPr>
        <w:t>,</w:t>
      </w:r>
      <w:r w:rsidR="00167B83" w:rsidRPr="005E655B">
        <w:rPr>
          <w:rFonts w:ascii="Times New Roman" w:hAnsi="Times New Roman" w:cs="Times New Roman"/>
          <w:sz w:val="24"/>
          <w:szCs w:val="24"/>
        </w:rPr>
        <w:t xml:space="preserve"> </w:t>
      </w:r>
      <w:r w:rsidR="00167B83" w:rsidRPr="005E655B">
        <w:rPr>
          <w:rFonts w:ascii="Times New Roman" w:eastAsia="Times New Roman" w:hAnsi="Times New Roman" w:cs="Times New Roman"/>
          <w:sz w:val="24"/>
          <w:szCs w:val="24"/>
        </w:rPr>
        <w:t>es decir, descartando cualquier efecto relativo de la evolución futura de los precios nominales.</w:t>
      </w:r>
    </w:p>
    <w:p w:rsidR="00D55223" w:rsidRPr="005E655B" w:rsidRDefault="00D55223"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D55223" w:rsidRPr="005E655B" w:rsidRDefault="005E655B"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bookmarkStart w:id="28" w:name="_Toc415751481"/>
      <w:r w:rsidRPr="005E655B">
        <w:rPr>
          <w:rStyle w:val="Heading2Char"/>
          <w:rFonts w:ascii="Times New Roman" w:hAnsi="Times New Roman" w:cs="Times New Roman"/>
          <w:color w:val="auto"/>
          <w:sz w:val="24"/>
          <w:szCs w:val="24"/>
        </w:rPr>
        <w:t>Limitaciones metodológicas.</w:t>
      </w:r>
      <w:bookmarkEnd w:id="28"/>
      <w:r w:rsidRPr="005E655B">
        <w:rPr>
          <w:rFonts w:ascii="Times New Roman" w:eastAsia="Times New Roman" w:hAnsi="Times New Roman" w:cs="Times New Roman"/>
          <w:sz w:val="24"/>
          <w:szCs w:val="24"/>
        </w:rPr>
        <w:t xml:space="preserve"> </w:t>
      </w:r>
      <w:r w:rsidR="00B15B1F" w:rsidRPr="005E655B">
        <w:rPr>
          <w:rFonts w:ascii="Times New Roman" w:eastAsia="Times New Roman" w:hAnsi="Times New Roman" w:cs="Times New Roman"/>
          <w:sz w:val="24"/>
          <w:szCs w:val="24"/>
        </w:rPr>
        <w:t xml:space="preserve">La realización del ACB se ha basado en las proyecciones </w:t>
      </w:r>
      <w:r w:rsidR="00207A89" w:rsidRPr="005E655B">
        <w:rPr>
          <w:rFonts w:ascii="Times New Roman" w:eastAsia="Times New Roman" w:hAnsi="Times New Roman" w:cs="Times New Roman"/>
          <w:sz w:val="24"/>
          <w:szCs w:val="24"/>
        </w:rPr>
        <w:t xml:space="preserve">de carácter </w:t>
      </w:r>
      <w:r w:rsidR="00B15B1F" w:rsidRPr="005E655B">
        <w:rPr>
          <w:rFonts w:ascii="Times New Roman" w:eastAsia="Times New Roman" w:hAnsi="Times New Roman" w:cs="Times New Roman"/>
          <w:sz w:val="24"/>
          <w:szCs w:val="24"/>
        </w:rPr>
        <w:t xml:space="preserve">individual </w:t>
      </w:r>
      <w:r w:rsidR="00207A89" w:rsidRPr="005E655B">
        <w:rPr>
          <w:rFonts w:ascii="Times New Roman" w:eastAsia="Times New Roman" w:hAnsi="Times New Roman" w:cs="Times New Roman"/>
          <w:sz w:val="24"/>
          <w:szCs w:val="24"/>
        </w:rPr>
        <w:t xml:space="preserve">realizadas </w:t>
      </w:r>
      <w:r w:rsidR="00B15B1F" w:rsidRPr="005E655B">
        <w:rPr>
          <w:rFonts w:ascii="Times New Roman" w:eastAsia="Times New Roman" w:hAnsi="Times New Roman" w:cs="Times New Roman"/>
          <w:sz w:val="24"/>
          <w:szCs w:val="24"/>
        </w:rPr>
        <w:t>para cada una de las EED. En este sentido, la revisión de dichas proyecciones excede del alcance de los tr</w:t>
      </w:r>
      <w:r w:rsidR="007A3E35" w:rsidRPr="005E655B">
        <w:rPr>
          <w:rFonts w:ascii="Times New Roman" w:eastAsia="Times New Roman" w:hAnsi="Times New Roman" w:cs="Times New Roman"/>
          <w:sz w:val="24"/>
          <w:szCs w:val="24"/>
        </w:rPr>
        <w:t xml:space="preserve">abajos del ACB, </w:t>
      </w:r>
      <w:r w:rsidR="00B15B1F" w:rsidRPr="005E655B">
        <w:rPr>
          <w:rFonts w:ascii="Times New Roman" w:eastAsia="Times New Roman" w:hAnsi="Times New Roman" w:cs="Times New Roman"/>
          <w:sz w:val="24"/>
          <w:szCs w:val="24"/>
        </w:rPr>
        <w:t xml:space="preserve">en lo que respecta </w:t>
      </w:r>
      <w:r w:rsidR="007A3E35" w:rsidRPr="005E655B">
        <w:rPr>
          <w:rFonts w:ascii="Times New Roman" w:eastAsia="Times New Roman" w:hAnsi="Times New Roman" w:cs="Times New Roman"/>
          <w:sz w:val="24"/>
          <w:szCs w:val="24"/>
        </w:rPr>
        <w:t xml:space="preserve">tanto a </w:t>
      </w:r>
      <w:r w:rsidR="00B15B1F" w:rsidRPr="005E655B">
        <w:rPr>
          <w:rFonts w:ascii="Times New Roman" w:eastAsia="Times New Roman" w:hAnsi="Times New Roman" w:cs="Times New Roman"/>
          <w:sz w:val="24"/>
          <w:szCs w:val="24"/>
        </w:rPr>
        <w:t xml:space="preserve">los supuestos técnicos como las hipótesis generales </w:t>
      </w:r>
      <w:r w:rsidR="007A3E35" w:rsidRPr="005E655B">
        <w:rPr>
          <w:rFonts w:ascii="Times New Roman" w:eastAsia="Times New Roman" w:hAnsi="Times New Roman" w:cs="Times New Roman"/>
          <w:sz w:val="24"/>
          <w:szCs w:val="24"/>
        </w:rPr>
        <w:t>utilizadas para el cálculo de</w:t>
      </w:r>
      <w:r w:rsidR="00B15B1F" w:rsidRPr="005E655B">
        <w:rPr>
          <w:rFonts w:ascii="Times New Roman" w:eastAsia="Times New Roman" w:hAnsi="Times New Roman" w:cs="Times New Roman"/>
          <w:sz w:val="24"/>
          <w:szCs w:val="24"/>
        </w:rPr>
        <w:t xml:space="preserve"> dichas proyecciones</w:t>
      </w:r>
      <w:r w:rsidR="00613D2E" w:rsidRPr="005E655B">
        <w:rPr>
          <w:rFonts w:ascii="Times New Roman" w:eastAsia="Times New Roman" w:hAnsi="Times New Roman" w:cs="Times New Roman"/>
          <w:sz w:val="24"/>
          <w:szCs w:val="24"/>
        </w:rPr>
        <w:t>.</w:t>
      </w:r>
    </w:p>
    <w:p w:rsidR="00F15FAC" w:rsidRPr="005E655B" w:rsidRDefault="00F15FAC"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BF154B" w:rsidRPr="005E655B" w:rsidRDefault="00B15B1F"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En </w:t>
      </w:r>
      <w:r w:rsidR="007A3E35" w:rsidRPr="005E655B">
        <w:rPr>
          <w:rFonts w:ascii="Times New Roman" w:eastAsia="Times New Roman" w:hAnsi="Times New Roman" w:cs="Times New Roman"/>
          <w:sz w:val="24"/>
          <w:szCs w:val="24"/>
        </w:rPr>
        <w:t xml:space="preserve">el mismo </w:t>
      </w:r>
      <w:r w:rsidRPr="005E655B">
        <w:rPr>
          <w:rFonts w:ascii="Times New Roman" w:eastAsia="Times New Roman" w:hAnsi="Times New Roman" w:cs="Times New Roman"/>
          <w:sz w:val="24"/>
          <w:szCs w:val="24"/>
        </w:rPr>
        <w:t>sentido, no ha sido objeto de la presente evaluación económica ex-ante la revisión de los cálculos realizados en el ACB de la primera fase del Programa</w:t>
      </w:r>
      <w:r w:rsidR="00BF154B" w:rsidRPr="005E655B">
        <w:rPr>
          <w:rFonts w:ascii="Times New Roman" w:eastAsia="Times New Roman" w:hAnsi="Times New Roman" w:cs="Times New Roman"/>
          <w:sz w:val="24"/>
          <w:szCs w:val="24"/>
        </w:rPr>
        <w:t>.</w:t>
      </w:r>
    </w:p>
    <w:p w:rsidR="005E655B" w:rsidRPr="005E655B" w:rsidRDefault="005E655B" w:rsidP="005E655B">
      <w:pPr>
        <w:pStyle w:val="ListParagraph"/>
        <w:spacing w:before="120" w:after="120" w:line="240" w:lineRule="auto"/>
        <w:ind w:left="709"/>
        <w:jc w:val="both"/>
        <w:rPr>
          <w:rStyle w:val="Heading2Char"/>
          <w:rFonts w:ascii="Times New Roman" w:eastAsia="Times New Roman" w:hAnsi="Times New Roman" w:cs="Times New Roman"/>
          <w:b w:val="0"/>
          <w:bCs w:val="0"/>
          <w:color w:val="auto"/>
          <w:sz w:val="24"/>
          <w:szCs w:val="24"/>
        </w:rPr>
      </w:pPr>
    </w:p>
    <w:p w:rsidR="00041BC5" w:rsidRPr="005E655B" w:rsidRDefault="005E655B"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bookmarkStart w:id="29" w:name="_Toc415751482"/>
      <w:r w:rsidRPr="005E655B">
        <w:rPr>
          <w:rStyle w:val="Heading2Char"/>
          <w:rFonts w:ascii="Times New Roman" w:hAnsi="Times New Roman" w:cs="Times New Roman"/>
          <w:color w:val="auto"/>
          <w:sz w:val="24"/>
          <w:szCs w:val="24"/>
        </w:rPr>
        <w:t>Uso de Factores de Conversión</w:t>
      </w:r>
      <w:bookmarkEnd w:id="29"/>
      <w:r w:rsidRPr="005E655B">
        <w:rPr>
          <w:rFonts w:ascii="Times New Roman" w:eastAsia="Times New Roman" w:hAnsi="Times New Roman" w:cs="Times New Roman"/>
          <w:sz w:val="24"/>
          <w:szCs w:val="24"/>
        </w:rPr>
        <w:t xml:space="preserve">. </w:t>
      </w:r>
      <w:r w:rsidR="00041BC5" w:rsidRPr="005E655B">
        <w:rPr>
          <w:rFonts w:ascii="Times New Roman" w:eastAsia="Times New Roman" w:hAnsi="Times New Roman" w:cs="Times New Roman"/>
          <w:sz w:val="24"/>
          <w:szCs w:val="24"/>
        </w:rPr>
        <w:t xml:space="preserve">Dentro de los análisis individuales de los proyectos de muestra, para convertir los importes de las proyecciones económicas en términos financieros (precios de mercado) a términos económicos (precios de eficiencia), se han empleado los </w:t>
      </w:r>
      <w:r w:rsidR="00815A05" w:rsidRPr="005E655B">
        <w:rPr>
          <w:rFonts w:ascii="Times New Roman" w:eastAsia="Times New Roman" w:hAnsi="Times New Roman" w:cs="Times New Roman"/>
          <w:sz w:val="24"/>
          <w:szCs w:val="24"/>
        </w:rPr>
        <w:t>F</w:t>
      </w:r>
      <w:r w:rsidR="00041BC5" w:rsidRPr="005E655B">
        <w:rPr>
          <w:rFonts w:ascii="Times New Roman" w:eastAsia="Times New Roman" w:hAnsi="Times New Roman" w:cs="Times New Roman"/>
          <w:sz w:val="24"/>
          <w:szCs w:val="24"/>
        </w:rPr>
        <w:t xml:space="preserve">actores de </w:t>
      </w:r>
      <w:r w:rsidR="00815A05" w:rsidRPr="005E655B">
        <w:rPr>
          <w:rFonts w:ascii="Times New Roman" w:eastAsia="Times New Roman" w:hAnsi="Times New Roman" w:cs="Times New Roman"/>
          <w:sz w:val="24"/>
          <w:szCs w:val="24"/>
        </w:rPr>
        <w:t>C</w:t>
      </w:r>
      <w:r w:rsidR="00041BC5" w:rsidRPr="005E655B">
        <w:rPr>
          <w:rFonts w:ascii="Times New Roman" w:eastAsia="Times New Roman" w:hAnsi="Times New Roman" w:cs="Times New Roman"/>
          <w:sz w:val="24"/>
          <w:szCs w:val="24"/>
        </w:rPr>
        <w:t>onversión (o Razones de precio Cuenta) siguientes.</w:t>
      </w:r>
    </w:p>
    <w:p w:rsidR="005E655B" w:rsidRPr="005E655B" w:rsidRDefault="005E655B" w:rsidP="005E655B">
      <w:pPr>
        <w:pStyle w:val="Caption"/>
        <w:spacing w:before="120" w:after="120"/>
        <w:rPr>
          <w:sz w:val="24"/>
          <w:szCs w:val="24"/>
          <w:lang w:val="es-ES"/>
        </w:rPr>
      </w:pPr>
      <w:r w:rsidRPr="005E655B">
        <w:rPr>
          <w:sz w:val="24"/>
          <w:szCs w:val="24"/>
          <w:lang w:val="es-ES"/>
        </w:rPr>
        <w:t xml:space="preserve">Cuadro </w:t>
      </w:r>
      <w:r w:rsidRPr="005E655B">
        <w:rPr>
          <w:sz w:val="24"/>
          <w:szCs w:val="24"/>
          <w:lang w:val="es-ES"/>
        </w:rPr>
        <w:fldChar w:fldCharType="begin"/>
      </w:r>
      <w:r w:rsidRPr="005E655B">
        <w:rPr>
          <w:sz w:val="24"/>
          <w:szCs w:val="24"/>
          <w:lang w:val="es-ES"/>
        </w:rPr>
        <w:instrText xml:space="preserve"> SEQ Tableau \* ARABIC </w:instrText>
      </w:r>
      <w:r w:rsidRPr="005E655B">
        <w:rPr>
          <w:sz w:val="24"/>
          <w:szCs w:val="24"/>
          <w:lang w:val="es-ES"/>
        </w:rPr>
        <w:fldChar w:fldCharType="separate"/>
      </w:r>
      <w:r w:rsidR="00596A07">
        <w:rPr>
          <w:noProof/>
          <w:sz w:val="24"/>
          <w:szCs w:val="24"/>
          <w:lang w:val="es-ES"/>
        </w:rPr>
        <w:t>3</w:t>
      </w:r>
      <w:r w:rsidRPr="005E655B">
        <w:rPr>
          <w:sz w:val="24"/>
          <w:szCs w:val="24"/>
          <w:lang w:val="es-ES"/>
        </w:rPr>
        <w:fldChar w:fldCharType="end"/>
      </w:r>
      <w:r w:rsidRPr="005E655B">
        <w:rPr>
          <w:sz w:val="24"/>
          <w:szCs w:val="24"/>
          <w:lang w:val="es-ES"/>
        </w:rPr>
        <w:t>. Factores de Conversión a Precios de Eficiencia</w:t>
      </w:r>
    </w:p>
    <w:p w:rsidR="00041BC5" w:rsidRPr="005E655B" w:rsidRDefault="00815A05" w:rsidP="005E655B">
      <w:pPr>
        <w:pStyle w:val="Caption"/>
        <w:spacing w:before="120" w:after="120"/>
        <w:ind w:left="288"/>
        <w:jc w:val="left"/>
        <w:rPr>
          <w:b w:val="0"/>
          <w:sz w:val="24"/>
          <w:szCs w:val="24"/>
        </w:rPr>
      </w:pPr>
      <w:r w:rsidRPr="00111B63">
        <w:rPr>
          <w:b w:val="0"/>
          <w:i/>
          <w:noProof/>
          <w:lang w:val="en-US" w:eastAsia="en-US"/>
        </w:rPr>
        <w:drawing>
          <wp:anchor distT="0" distB="0" distL="114300" distR="114300" simplePos="0" relativeHeight="251692032" behindDoc="0" locked="0" layoutInCell="1" allowOverlap="1" wp14:anchorId="6313A125" wp14:editId="0319EC66">
            <wp:simplePos x="0" y="0"/>
            <wp:positionH relativeFrom="column">
              <wp:posOffset>810260</wp:posOffset>
            </wp:positionH>
            <wp:positionV relativeFrom="paragraph">
              <wp:posOffset>151765</wp:posOffset>
            </wp:positionV>
            <wp:extent cx="4142105" cy="1515110"/>
            <wp:effectExtent l="0" t="0" r="0" b="8890"/>
            <wp:wrapTopAndBottom/>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42105" cy="1515110"/>
                    </a:xfrm>
                    <a:prstGeom prst="rect">
                      <a:avLst/>
                    </a:prstGeom>
                    <a:noFill/>
                    <a:ln>
                      <a:noFill/>
                    </a:ln>
                  </pic:spPr>
                </pic:pic>
              </a:graphicData>
            </a:graphic>
            <wp14:sizeRelH relativeFrom="page">
              <wp14:pctWidth>0</wp14:pctWidth>
            </wp14:sizeRelH>
            <wp14:sizeRelV relativeFrom="page">
              <wp14:pctHeight>0</wp14:pctHeight>
            </wp14:sizeRelV>
          </wp:anchor>
        </w:drawing>
      </w:r>
      <w:r w:rsidR="00041BC5" w:rsidRPr="00111B63">
        <w:rPr>
          <w:b w:val="0"/>
          <w:i/>
        </w:rPr>
        <w:t xml:space="preserve">Fuentes: </w:t>
      </w:r>
      <w:proofErr w:type="spellStart"/>
      <w:r w:rsidR="00041BC5" w:rsidRPr="00111B63">
        <w:rPr>
          <w:b w:val="0"/>
          <w:i/>
        </w:rPr>
        <w:t>Brugman</w:t>
      </w:r>
      <w:proofErr w:type="spellEnd"/>
      <w:r w:rsidR="00041BC5" w:rsidRPr="00111B63">
        <w:rPr>
          <w:b w:val="0"/>
          <w:i/>
        </w:rPr>
        <w:t>, 2013, y planillas de análisis económico-financieros individuales de las EED, 2015</w:t>
      </w:r>
      <w:r w:rsidR="00041BC5" w:rsidRPr="005E655B">
        <w:rPr>
          <w:b w:val="0"/>
          <w:sz w:val="24"/>
          <w:szCs w:val="24"/>
        </w:rPr>
        <w:t>.</w:t>
      </w:r>
    </w:p>
    <w:p w:rsidR="00041BC5" w:rsidRPr="005E655B" w:rsidRDefault="00041BC5"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lang w:val="es-ES_tradnl"/>
        </w:rPr>
      </w:pPr>
    </w:p>
    <w:p w:rsidR="00041BC5" w:rsidRPr="005E655B" w:rsidRDefault="00810A3D"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lang w:val="es-ES_tradnl"/>
        </w:rPr>
        <w:t>Cab</w:t>
      </w:r>
      <w:r w:rsidR="00A918AE" w:rsidRPr="005E655B">
        <w:rPr>
          <w:rFonts w:ascii="Times New Roman" w:eastAsia="Times New Roman" w:hAnsi="Times New Roman" w:cs="Times New Roman"/>
          <w:sz w:val="24"/>
          <w:szCs w:val="24"/>
          <w:lang w:val="es-ES_tradnl"/>
        </w:rPr>
        <w:t>e señalar que estos</w:t>
      </w:r>
      <w:r w:rsidR="00041BC5" w:rsidRPr="005E655B">
        <w:rPr>
          <w:rFonts w:ascii="Times New Roman" w:eastAsia="Times New Roman" w:hAnsi="Times New Roman" w:cs="Times New Roman"/>
          <w:sz w:val="24"/>
          <w:szCs w:val="24"/>
        </w:rPr>
        <w:t xml:space="preserve"> factores de conversión son los mismos que los que fueron empleados en el ACB de la primera fase del PRSND.</w:t>
      </w:r>
    </w:p>
    <w:p w:rsidR="005E655B" w:rsidRPr="005E655B" w:rsidRDefault="005E655B" w:rsidP="005E655B">
      <w:pPr>
        <w:pStyle w:val="ListParagraph"/>
        <w:spacing w:before="120" w:after="120" w:line="240" w:lineRule="auto"/>
        <w:ind w:left="709"/>
        <w:jc w:val="both"/>
        <w:rPr>
          <w:rFonts w:ascii="Times New Roman" w:eastAsia="Times New Roman" w:hAnsi="Times New Roman" w:cs="Times New Roman"/>
          <w:sz w:val="24"/>
          <w:szCs w:val="24"/>
        </w:rPr>
      </w:pPr>
    </w:p>
    <w:p w:rsidR="00E730D8" w:rsidRPr="005E655B" w:rsidRDefault="005E655B" w:rsidP="000032C5">
      <w:pPr>
        <w:pStyle w:val="ListParagraph"/>
        <w:numPr>
          <w:ilvl w:val="1"/>
          <w:numId w:val="26"/>
        </w:numPr>
        <w:spacing w:before="120" w:after="120" w:line="240" w:lineRule="auto"/>
        <w:ind w:left="709" w:hanging="567"/>
        <w:jc w:val="both"/>
        <w:rPr>
          <w:rFonts w:ascii="Times New Roman" w:hAnsi="Times New Roman" w:cs="Times New Roman"/>
          <w:sz w:val="24"/>
          <w:szCs w:val="24"/>
        </w:rPr>
      </w:pPr>
      <w:bookmarkStart w:id="30" w:name="_Toc415751483"/>
      <w:bookmarkStart w:id="31" w:name="_Toc352780912"/>
      <w:bookmarkStart w:id="32" w:name="_Toc352781201"/>
      <w:bookmarkStart w:id="33" w:name="_Toc352781270"/>
      <w:bookmarkStart w:id="34" w:name="_Toc352832535"/>
      <w:bookmarkStart w:id="35" w:name="_Toc352839717"/>
      <w:bookmarkStart w:id="36" w:name="_Toc353793058"/>
      <w:bookmarkStart w:id="37" w:name="_Toc353793938"/>
      <w:r w:rsidRPr="005E655B">
        <w:rPr>
          <w:rStyle w:val="Heading2Char"/>
          <w:rFonts w:ascii="Times New Roman" w:hAnsi="Times New Roman" w:cs="Times New Roman"/>
          <w:color w:val="auto"/>
          <w:sz w:val="24"/>
          <w:szCs w:val="24"/>
        </w:rPr>
        <w:t>Modelización de cálculo del ACB</w:t>
      </w:r>
      <w:bookmarkEnd w:id="30"/>
      <w:r w:rsidRPr="005E655B">
        <w:rPr>
          <w:rFonts w:ascii="Times New Roman" w:hAnsi="Times New Roman" w:cs="Times New Roman"/>
          <w:sz w:val="24"/>
          <w:szCs w:val="24"/>
        </w:rPr>
        <w:t xml:space="preserve">. </w:t>
      </w:r>
      <w:r w:rsidR="0047672A" w:rsidRPr="005E655B">
        <w:rPr>
          <w:rFonts w:ascii="Times New Roman" w:hAnsi="Times New Roman" w:cs="Times New Roman"/>
          <w:sz w:val="24"/>
          <w:szCs w:val="24"/>
        </w:rPr>
        <w:t>Con el objetivo de realizar los cálculos y proyecciones del ACB del Programa, s</w:t>
      </w:r>
      <w:r w:rsidR="00E730D8" w:rsidRPr="005E655B">
        <w:rPr>
          <w:rFonts w:ascii="Times New Roman" w:hAnsi="Times New Roman" w:cs="Times New Roman"/>
          <w:sz w:val="24"/>
          <w:szCs w:val="24"/>
        </w:rPr>
        <w:t xml:space="preserve">e ha construido un modelo de cálculo formulado en Microsoft Excel, </w:t>
      </w:r>
      <w:r w:rsidR="00026B8A" w:rsidRPr="005E655B">
        <w:rPr>
          <w:rFonts w:ascii="Times New Roman" w:hAnsi="Times New Roman" w:cs="Times New Roman"/>
          <w:sz w:val="24"/>
          <w:szCs w:val="24"/>
        </w:rPr>
        <w:t xml:space="preserve">del que se han obtenido </w:t>
      </w:r>
      <w:r w:rsidR="00E730D8" w:rsidRPr="005E655B">
        <w:rPr>
          <w:rFonts w:ascii="Times New Roman" w:hAnsi="Times New Roman" w:cs="Times New Roman"/>
          <w:sz w:val="24"/>
          <w:szCs w:val="24"/>
        </w:rPr>
        <w:t xml:space="preserve">los resultados de la evaluación económica del Programa </w:t>
      </w:r>
      <w:r w:rsidR="00041BC5" w:rsidRPr="005E655B">
        <w:rPr>
          <w:rFonts w:ascii="Times New Roman" w:hAnsi="Times New Roman" w:cs="Times New Roman"/>
          <w:sz w:val="24"/>
          <w:szCs w:val="24"/>
        </w:rPr>
        <w:t xml:space="preserve">y de </w:t>
      </w:r>
      <w:r w:rsidR="00E730D8" w:rsidRPr="005E655B">
        <w:rPr>
          <w:rFonts w:ascii="Times New Roman" w:hAnsi="Times New Roman" w:cs="Times New Roman"/>
          <w:sz w:val="24"/>
          <w:szCs w:val="24"/>
        </w:rPr>
        <w:t>los análisis de sensibilidad.</w:t>
      </w:r>
    </w:p>
    <w:p w:rsidR="00E730D8" w:rsidRPr="005E655B" w:rsidRDefault="00E730D8" w:rsidP="000032C5">
      <w:pPr>
        <w:pStyle w:val="ListParagraph"/>
        <w:autoSpaceDE w:val="0"/>
        <w:autoSpaceDN w:val="0"/>
        <w:adjustRightInd w:val="0"/>
        <w:spacing w:before="120" w:after="120" w:line="240" w:lineRule="auto"/>
        <w:jc w:val="both"/>
        <w:rPr>
          <w:rFonts w:ascii="Times New Roman" w:hAnsi="Times New Roman" w:cs="Times New Roman"/>
          <w:sz w:val="24"/>
          <w:szCs w:val="24"/>
        </w:rPr>
      </w:pPr>
    </w:p>
    <w:p w:rsidR="00E730D8" w:rsidRPr="005E655B" w:rsidRDefault="00026B8A" w:rsidP="000032C5">
      <w:pPr>
        <w:pStyle w:val="ListParagraph"/>
        <w:numPr>
          <w:ilvl w:val="1"/>
          <w:numId w:val="26"/>
        </w:numPr>
        <w:spacing w:before="120" w:after="120" w:line="240" w:lineRule="auto"/>
        <w:ind w:left="709" w:hanging="567"/>
        <w:jc w:val="both"/>
        <w:rPr>
          <w:rFonts w:ascii="Times New Roman" w:hAnsi="Times New Roman" w:cs="Times New Roman"/>
          <w:sz w:val="24"/>
          <w:szCs w:val="24"/>
        </w:rPr>
      </w:pPr>
      <w:r w:rsidRPr="005E655B">
        <w:rPr>
          <w:rFonts w:ascii="Times New Roman" w:hAnsi="Times New Roman" w:cs="Times New Roman"/>
          <w:sz w:val="24"/>
          <w:szCs w:val="24"/>
        </w:rPr>
        <w:t>S</w:t>
      </w:r>
      <w:r w:rsidR="00E730D8" w:rsidRPr="005E655B">
        <w:rPr>
          <w:rFonts w:ascii="Times New Roman" w:hAnsi="Times New Roman" w:cs="Times New Roman"/>
          <w:sz w:val="24"/>
          <w:szCs w:val="24"/>
        </w:rPr>
        <w:t xml:space="preserve">e han calculado las proyecciones del ACB tanto en términos de precios de mercado o precios financieros, como en términos de precios de eficiencia o precios económicos; </w:t>
      </w:r>
      <w:r w:rsidR="00041BC5" w:rsidRPr="005E655B">
        <w:rPr>
          <w:rFonts w:ascii="Times New Roman" w:hAnsi="Times New Roman" w:cs="Times New Roman"/>
          <w:sz w:val="24"/>
          <w:szCs w:val="24"/>
        </w:rPr>
        <w:t>con base en</w:t>
      </w:r>
      <w:r w:rsidR="00E730D8" w:rsidRPr="005E655B">
        <w:rPr>
          <w:rFonts w:ascii="Times New Roman" w:hAnsi="Times New Roman" w:cs="Times New Roman"/>
          <w:sz w:val="24"/>
          <w:szCs w:val="24"/>
        </w:rPr>
        <w:t xml:space="preserve"> </w:t>
      </w:r>
      <w:r w:rsidR="00041BC5" w:rsidRPr="005E655B">
        <w:rPr>
          <w:rFonts w:ascii="Times New Roman" w:hAnsi="Times New Roman" w:cs="Times New Roman"/>
          <w:sz w:val="24"/>
          <w:szCs w:val="24"/>
        </w:rPr>
        <w:t>los</w:t>
      </w:r>
      <w:r w:rsidR="00E730D8" w:rsidRPr="005E655B">
        <w:rPr>
          <w:rFonts w:ascii="Times New Roman" w:hAnsi="Times New Roman" w:cs="Times New Roman"/>
          <w:sz w:val="24"/>
          <w:szCs w:val="24"/>
        </w:rPr>
        <w:t xml:space="preserve"> Factores de Conversión (</w:t>
      </w:r>
      <w:r w:rsidRPr="005E655B">
        <w:rPr>
          <w:rFonts w:ascii="Times New Roman" w:hAnsi="Times New Roman" w:cs="Times New Roman"/>
          <w:sz w:val="24"/>
          <w:szCs w:val="24"/>
        </w:rPr>
        <w:t xml:space="preserve">o </w:t>
      </w:r>
      <w:r w:rsidR="00E730D8" w:rsidRPr="005E655B">
        <w:rPr>
          <w:rFonts w:ascii="Times New Roman" w:hAnsi="Times New Roman" w:cs="Times New Roman"/>
          <w:sz w:val="24"/>
          <w:szCs w:val="24"/>
        </w:rPr>
        <w:t xml:space="preserve">Razones de Precios Cuenta) utilizados en el análisis individuales </w:t>
      </w:r>
      <w:r w:rsidR="00041BC5" w:rsidRPr="005E655B">
        <w:rPr>
          <w:rFonts w:ascii="Times New Roman" w:hAnsi="Times New Roman" w:cs="Times New Roman"/>
          <w:sz w:val="24"/>
          <w:szCs w:val="24"/>
        </w:rPr>
        <w:t>de las EED</w:t>
      </w:r>
      <w:r w:rsidR="00810A3D" w:rsidRPr="005E655B">
        <w:rPr>
          <w:rFonts w:ascii="Times New Roman" w:hAnsi="Times New Roman" w:cs="Times New Roman"/>
          <w:sz w:val="24"/>
          <w:szCs w:val="24"/>
        </w:rPr>
        <w:t>, descritos anteriormente</w:t>
      </w:r>
      <w:r w:rsidR="00E730D8" w:rsidRPr="005E655B">
        <w:rPr>
          <w:rFonts w:ascii="Times New Roman" w:hAnsi="Times New Roman" w:cs="Times New Roman"/>
          <w:sz w:val="24"/>
          <w:szCs w:val="24"/>
        </w:rPr>
        <w:t>.</w:t>
      </w:r>
    </w:p>
    <w:p w:rsidR="005E655B" w:rsidRPr="005E655B" w:rsidRDefault="005E655B" w:rsidP="005E655B">
      <w:pPr>
        <w:pStyle w:val="ListParagraph"/>
        <w:jc w:val="both"/>
        <w:rPr>
          <w:rFonts w:ascii="Times New Roman" w:hAnsi="Times New Roman" w:cs="Times New Roman"/>
          <w:sz w:val="24"/>
          <w:szCs w:val="24"/>
        </w:rPr>
      </w:pPr>
    </w:p>
    <w:p w:rsidR="00041BC5" w:rsidRPr="005E655B" w:rsidRDefault="00810A3D" w:rsidP="000032C5">
      <w:pPr>
        <w:pStyle w:val="ListParagraph"/>
        <w:numPr>
          <w:ilvl w:val="1"/>
          <w:numId w:val="26"/>
        </w:numPr>
        <w:spacing w:before="120" w:after="120" w:line="240" w:lineRule="auto"/>
        <w:ind w:left="709" w:hanging="567"/>
        <w:jc w:val="both"/>
        <w:rPr>
          <w:rFonts w:ascii="Times New Roman" w:hAnsi="Times New Roman" w:cs="Times New Roman"/>
          <w:sz w:val="24"/>
          <w:szCs w:val="24"/>
        </w:rPr>
      </w:pPr>
      <w:r w:rsidRPr="005E655B">
        <w:rPr>
          <w:rFonts w:ascii="Times New Roman" w:hAnsi="Times New Roman" w:cs="Times New Roman"/>
          <w:sz w:val="24"/>
          <w:szCs w:val="24"/>
        </w:rPr>
        <w:t>S</w:t>
      </w:r>
      <w:r w:rsidR="00041BC5" w:rsidRPr="005E655B">
        <w:rPr>
          <w:rFonts w:ascii="Times New Roman" w:hAnsi="Times New Roman" w:cs="Times New Roman"/>
          <w:sz w:val="24"/>
          <w:szCs w:val="24"/>
        </w:rPr>
        <w:t>e ha partido de las proyecciones de los análisis individuales de los proyectos de muestra de las EED para realizar las proyecciones asociadas al conjunto del Programa, extrapolando la muestra al 100% del presupuesto de inversión previsto, e incluyendo los costos de administración del Programa.</w:t>
      </w:r>
    </w:p>
    <w:p w:rsidR="005E655B" w:rsidRPr="005E655B" w:rsidRDefault="005E655B" w:rsidP="005E655B">
      <w:pPr>
        <w:pStyle w:val="ListParagraph"/>
        <w:spacing w:before="120" w:after="120" w:line="240" w:lineRule="auto"/>
        <w:ind w:left="709"/>
        <w:jc w:val="both"/>
        <w:rPr>
          <w:rFonts w:ascii="Times New Roman" w:hAnsi="Times New Roman" w:cs="Times New Roman"/>
          <w:sz w:val="24"/>
          <w:szCs w:val="24"/>
        </w:rPr>
      </w:pPr>
    </w:p>
    <w:p w:rsidR="00E730D8" w:rsidRPr="005E655B" w:rsidRDefault="00E730D8" w:rsidP="000032C5">
      <w:pPr>
        <w:pStyle w:val="ListParagraph"/>
        <w:numPr>
          <w:ilvl w:val="1"/>
          <w:numId w:val="26"/>
        </w:numPr>
        <w:spacing w:before="120" w:after="120" w:line="240" w:lineRule="auto"/>
        <w:ind w:left="709" w:hanging="567"/>
        <w:jc w:val="both"/>
        <w:rPr>
          <w:rFonts w:ascii="Times New Roman" w:hAnsi="Times New Roman" w:cs="Times New Roman"/>
          <w:sz w:val="24"/>
          <w:szCs w:val="24"/>
        </w:rPr>
      </w:pPr>
      <w:r w:rsidRPr="005E655B">
        <w:rPr>
          <w:rFonts w:ascii="Times New Roman" w:hAnsi="Times New Roman" w:cs="Times New Roman"/>
          <w:sz w:val="24"/>
          <w:szCs w:val="24"/>
        </w:rPr>
        <w:t>La extrapolación de la muestra se ha realizado en función del porcentaje que representa la inversión total de los proyectos de muestra con respecto al importe total de inversión previsto en los presupuestos del Programa. Este factor de extrapolación ha sido de 1,12 dado que la m</w:t>
      </w:r>
      <w:r w:rsidR="00041BC5" w:rsidRPr="005E655B">
        <w:rPr>
          <w:rFonts w:ascii="Times New Roman" w:hAnsi="Times New Roman" w:cs="Times New Roman"/>
          <w:sz w:val="24"/>
          <w:szCs w:val="24"/>
        </w:rPr>
        <w:t>uestra de proyectos analizados hasta la fecha r</w:t>
      </w:r>
      <w:r w:rsidRPr="005E655B">
        <w:rPr>
          <w:rFonts w:ascii="Times New Roman" w:hAnsi="Times New Roman" w:cs="Times New Roman"/>
          <w:sz w:val="24"/>
          <w:szCs w:val="24"/>
        </w:rPr>
        <w:t>epresenta el 89,31% del presupuesto total del Programa.</w:t>
      </w:r>
    </w:p>
    <w:p w:rsidR="005E655B" w:rsidRPr="005E655B" w:rsidRDefault="005E655B" w:rsidP="005E655B">
      <w:pPr>
        <w:pStyle w:val="ListParagraph"/>
        <w:spacing w:before="120" w:after="120" w:line="240" w:lineRule="auto"/>
        <w:ind w:left="709"/>
        <w:jc w:val="both"/>
        <w:rPr>
          <w:rFonts w:ascii="Times New Roman" w:hAnsi="Times New Roman" w:cs="Times New Roman"/>
          <w:sz w:val="24"/>
          <w:szCs w:val="24"/>
        </w:rPr>
      </w:pPr>
    </w:p>
    <w:p w:rsidR="00E730D8" w:rsidRPr="005E655B" w:rsidRDefault="00E730D8" w:rsidP="000032C5">
      <w:pPr>
        <w:pStyle w:val="ListParagraph"/>
        <w:numPr>
          <w:ilvl w:val="1"/>
          <w:numId w:val="26"/>
        </w:numPr>
        <w:spacing w:before="120" w:after="120" w:line="240" w:lineRule="auto"/>
        <w:ind w:left="709" w:hanging="567"/>
        <w:jc w:val="both"/>
        <w:rPr>
          <w:rFonts w:ascii="Times New Roman" w:hAnsi="Times New Roman" w:cs="Times New Roman"/>
          <w:sz w:val="24"/>
          <w:szCs w:val="24"/>
        </w:rPr>
      </w:pPr>
      <w:r w:rsidRPr="005E655B">
        <w:rPr>
          <w:rFonts w:ascii="Times New Roman" w:hAnsi="Times New Roman" w:cs="Times New Roman"/>
          <w:sz w:val="24"/>
          <w:szCs w:val="24"/>
        </w:rPr>
        <w:t xml:space="preserve">Asimismo, se ha añadido a las proyecciones extrapoladas los costos de Administración del Programa. Para calcular su valor a precios de eficiencia, se ha tenido en cuenta </w:t>
      </w:r>
      <w:r w:rsidR="00041BC5" w:rsidRPr="005E655B">
        <w:rPr>
          <w:rFonts w:ascii="Times New Roman" w:hAnsi="Times New Roman" w:cs="Times New Roman"/>
          <w:sz w:val="24"/>
          <w:szCs w:val="24"/>
        </w:rPr>
        <w:t>el</w:t>
      </w:r>
      <w:r w:rsidRPr="005E655B">
        <w:rPr>
          <w:rFonts w:ascii="Times New Roman" w:hAnsi="Times New Roman" w:cs="Times New Roman"/>
          <w:sz w:val="24"/>
          <w:szCs w:val="24"/>
        </w:rPr>
        <w:t xml:space="preserve"> </w:t>
      </w:r>
      <w:r w:rsidR="00041BC5" w:rsidRPr="005E655B">
        <w:rPr>
          <w:rFonts w:ascii="Times New Roman" w:hAnsi="Times New Roman" w:cs="Times New Roman"/>
          <w:sz w:val="24"/>
          <w:szCs w:val="24"/>
        </w:rPr>
        <w:t>F</w:t>
      </w:r>
      <w:r w:rsidRPr="005E655B">
        <w:rPr>
          <w:rFonts w:ascii="Times New Roman" w:hAnsi="Times New Roman" w:cs="Times New Roman"/>
          <w:sz w:val="24"/>
          <w:szCs w:val="24"/>
        </w:rPr>
        <w:t xml:space="preserve">actor de </w:t>
      </w:r>
      <w:r w:rsidR="00041BC5" w:rsidRPr="005E655B">
        <w:rPr>
          <w:rFonts w:ascii="Times New Roman" w:hAnsi="Times New Roman" w:cs="Times New Roman"/>
          <w:sz w:val="24"/>
          <w:szCs w:val="24"/>
        </w:rPr>
        <w:t>C</w:t>
      </w:r>
      <w:r w:rsidRPr="005E655B">
        <w:rPr>
          <w:rFonts w:ascii="Times New Roman" w:hAnsi="Times New Roman" w:cs="Times New Roman"/>
          <w:sz w:val="24"/>
          <w:szCs w:val="24"/>
        </w:rPr>
        <w:t xml:space="preserve">onversión </w:t>
      </w:r>
      <w:r w:rsidR="00041BC5" w:rsidRPr="005E655B">
        <w:rPr>
          <w:rFonts w:ascii="Times New Roman" w:hAnsi="Times New Roman" w:cs="Times New Roman"/>
          <w:sz w:val="24"/>
          <w:szCs w:val="24"/>
        </w:rPr>
        <w:t>utilizado para los importes de inversión</w:t>
      </w:r>
      <w:r w:rsidRPr="005E655B">
        <w:rPr>
          <w:rFonts w:ascii="Times New Roman" w:hAnsi="Times New Roman" w:cs="Times New Roman"/>
          <w:sz w:val="24"/>
          <w:szCs w:val="24"/>
        </w:rPr>
        <w:t>, igual a 0,849.</w:t>
      </w:r>
    </w:p>
    <w:p w:rsidR="00E730D8" w:rsidRPr="005E655B" w:rsidRDefault="00E730D8" w:rsidP="000032C5">
      <w:pPr>
        <w:pStyle w:val="ListParagraph"/>
        <w:spacing w:before="120" w:after="120" w:line="240" w:lineRule="auto"/>
        <w:rPr>
          <w:rFonts w:ascii="Times New Roman" w:hAnsi="Times New Roman" w:cs="Times New Roman"/>
          <w:sz w:val="24"/>
          <w:szCs w:val="24"/>
        </w:rPr>
      </w:pPr>
    </w:p>
    <w:p w:rsidR="00D55223" w:rsidRPr="00EB2C8B" w:rsidRDefault="00413644" w:rsidP="000032C5">
      <w:pPr>
        <w:pStyle w:val="Heading2"/>
        <w:spacing w:before="120" w:after="120" w:line="240" w:lineRule="auto"/>
        <w:jc w:val="both"/>
        <w:rPr>
          <w:rFonts w:ascii="Times New Roman" w:hAnsi="Times New Roman" w:cs="Times New Roman"/>
          <w:color w:val="auto"/>
          <w:sz w:val="24"/>
          <w:szCs w:val="24"/>
        </w:rPr>
      </w:pPr>
      <w:bookmarkStart w:id="38" w:name="_Toc415751484"/>
      <w:r w:rsidRPr="00EB2C8B">
        <w:rPr>
          <w:rFonts w:ascii="Times New Roman" w:hAnsi="Times New Roman" w:cs="Times New Roman"/>
          <w:color w:val="auto"/>
          <w:sz w:val="24"/>
          <w:szCs w:val="24"/>
        </w:rPr>
        <w:t>Outputs de la evaluación o p</w:t>
      </w:r>
      <w:r w:rsidR="00D55223" w:rsidRPr="00EB2C8B">
        <w:rPr>
          <w:rFonts w:ascii="Times New Roman" w:hAnsi="Times New Roman" w:cs="Times New Roman"/>
          <w:color w:val="auto"/>
          <w:sz w:val="24"/>
          <w:szCs w:val="24"/>
        </w:rPr>
        <w:t xml:space="preserve">arámetros de </w:t>
      </w:r>
      <w:r w:rsidRPr="00EB2C8B">
        <w:rPr>
          <w:rFonts w:ascii="Times New Roman" w:hAnsi="Times New Roman" w:cs="Times New Roman"/>
          <w:color w:val="auto"/>
          <w:sz w:val="24"/>
          <w:szCs w:val="24"/>
        </w:rPr>
        <w:t>r</w:t>
      </w:r>
      <w:r w:rsidR="00D55223" w:rsidRPr="00EB2C8B">
        <w:rPr>
          <w:rFonts w:ascii="Times New Roman" w:hAnsi="Times New Roman" w:cs="Times New Roman"/>
          <w:color w:val="auto"/>
          <w:sz w:val="24"/>
          <w:szCs w:val="24"/>
        </w:rPr>
        <w:t xml:space="preserve">entabilidad </w:t>
      </w:r>
      <w:r w:rsidRPr="00EB2C8B">
        <w:rPr>
          <w:rFonts w:ascii="Times New Roman" w:hAnsi="Times New Roman" w:cs="Times New Roman"/>
          <w:color w:val="auto"/>
          <w:sz w:val="24"/>
          <w:szCs w:val="24"/>
        </w:rPr>
        <w:t>e</w:t>
      </w:r>
      <w:r w:rsidR="00D55223" w:rsidRPr="00EB2C8B">
        <w:rPr>
          <w:rFonts w:ascii="Times New Roman" w:hAnsi="Times New Roman" w:cs="Times New Roman"/>
          <w:color w:val="auto"/>
          <w:sz w:val="24"/>
          <w:szCs w:val="24"/>
        </w:rPr>
        <w:t>conómica</w:t>
      </w:r>
      <w:bookmarkEnd w:id="31"/>
      <w:bookmarkEnd w:id="32"/>
      <w:bookmarkEnd w:id="33"/>
      <w:bookmarkEnd w:id="34"/>
      <w:bookmarkEnd w:id="35"/>
      <w:bookmarkEnd w:id="36"/>
      <w:bookmarkEnd w:id="37"/>
      <w:bookmarkEnd w:id="38"/>
    </w:p>
    <w:p w:rsidR="00E730D8" w:rsidRPr="005E655B" w:rsidRDefault="00E730D8" w:rsidP="000032C5">
      <w:pPr>
        <w:autoSpaceDE w:val="0"/>
        <w:autoSpaceDN w:val="0"/>
        <w:adjustRightInd w:val="0"/>
        <w:spacing w:before="120" w:after="120" w:line="240" w:lineRule="auto"/>
        <w:jc w:val="both"/>
        <w:rPr>
          <w:rFonts w:ascii="Times New Roman" w:hAnsi="Times New Roman" w:cs="Times New Roman"/>
          <w:i/>
          <w:sz w:val="24"/>
          <w:szCs w:val="24"/>
        </w:rPr>
      </w:pPr>
      <w:r w:rsidRPr="005E655B">
        <w:rPr>
          <w:rFonts w:ascii="Times New Roman" w:hAnsi="Times New Roman" w:cs="Times New Roman"/>
          <w:i/>
          <w:sz w:val="24"/>
          <w:szCs w:val="24"/>
        </w:rPr>
        <w:t>Tasa de descuento económico</w:t>
      </w:r>
    </w:p>
    <w:p w:rsidR="00E730D8" w:rsidRPr="005E655B" w:rsidRDefault="00E730D8"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Se ha utilizado una tasa de descuento de 12%, usada habitualmente en este tipo de evaluaciones. Esta tasa es una referencia como costo temporal de los flujos económicos, sin embargo no pretende reflejar el costo de los recursos, sino </w:t>
      </w:r>
      <w:r w:rsidR="00810A3D" w:rsidRPr="005E655B">
        <w:rPr>
          <w:rFonts w:ascii="Times New Roman" w:eastAsia="Times New Roman" w:hAnsi="Times New Roman" w:cs="Times New Roman"/>
          <w:sz w:val="24"/>
          <w:szCs w:val="24"/>
        </w:rPr>
        <w:t>un</w:t>
      </w:r>
      <w:r w:rsidRPr="005E655B">
        <w:rPr>
          <w:rFonts w:ascii="Times New Roman" w:eastAsia="Times New Roman" w:hAnsi="Times New Roman" w:cs="Times New Roman"/>
          <w:sz w:val="24"/>
          <w:szCs w:val="24"/>
        </w:rPr>
        <w:t xml:space="preserve"> costo de oportunidad en términos económicos de los recursos empleados en el desarrollo del Programa. </w:t>
      </w:r>
    </w:p>
    <w:p w:rsidR="00E730D8" w:rsidRPr="005E655B" w:rsidRDefault="00E730D8" w:rsidP="000032C5">
      <w:pPr>
        <w:autoSpaceDE w:val="0"/>
        <w:autoSpaceDN w:val="0"/>
        <w:adjustRightInd w:val="0"/>
        <w:spacing w:before="120" w:after="120" w:line="240" w:lineRule="auto"/>
        <w:jc w:val="both"/>
        <w:rPr>
          <w:rFonts w:ascii="Times New Roman" w:hAnsi="Times New Roman" w:cs="Times New Roman"/>
          <w:i/>
          <w:sz w:val="24"/>
          <w:szCs w:val="24"/>
        </w:rPr>
      </w:pPr>
      <w:bookmarkStart w:id="39" w:name="_Toc280718149"/>
      <w:bookmarkStart w:id="40" w:name="_Toc284176022"/>
      <w:r w:rsidRPr="005E655B">
        <w:rPr>
          <w:rFonts w:ascii="Times New Roman" w:hAnsi="Times New Roman" w:cs="Times New Roman"/>
          <w:i/>
          <w:sz w:val="24"/>
          <w:szCs w:val="24"/>
        </w:rPr>
        <w:t>Valor Actual Neto (“VAN”)</w:t>
      </w:r>
      <w:bookmarkEnd w:id="39"/>
      <w:bookmarkEnd w:id="40"/>
    </w:p>
    <w:p w:rsidR="00E730D8" w:rsidRPr="005E655B" w:rsidRDefault="00E730D8"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Este método de valoración es el más utilizado para la comparativa de las alternativas de Proyecto en los ACB. Su valor se calcula de la siguiente forma:</w:t>
      </w:r>
    </w:p>
    <w:p w:rsidR="00E730D8" w:rsidRPr="005E655B" w:rsidRDefault="00E730D8" w:rsidP="000032C5">
      <w:pPr>
        <w:keepNext/>
        <w:spacing w:before="120" w:after="120" w:line="240" w:lineRule="auto"/>
        <w:jc w:val="both"/>
        <w:rPr>
          <w:rFonts w:ascii="Times New Roman" w:hAnsi="Times New Roman" w:cs="Times New Roman"/>
          <w:sz w:val="24"/>
          <w:szCs w:val="24"/>
        </w:rPr>
      </w:pPr>
      <w:r w:rsidRPr="005E655B">
        <w:rPr>
          <w:rFonts w:ascii="Times New Roman" w:hAnsi="Times New Roman" w:cs="Times New Roman"/>
          <w:snapToGrid w:val="0"/>
          <w:position w:val="-30"/>
          <w:sz w:val="24"/>
          <w:szCs w:val="24"/>
        </w:rPr>
        <w:object w:dxaOrig="43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15pt;height:36.85pt" o:ole="">
            <v:imagedata r:id="rId12" o:title=""/>
          </v:shape>
          <o:OLEObject Type="Embed" ProgID="Equation.3" ShapeID="_x0000_i1025" DrawAspect="Content" ObjectID="_1491396244" r:id="rId13"/>
        </w:object>
      </w:r>
    </w:p>
    <w:p w:rsidR="00E730D8" w:rsidRPr="005E655B" w:rsidRDefault="00E730D8"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E730D8" w:rsidRPr="005E655B" w:rsidRDefault="00E730D8"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Siendo: </w:t>
      </w:r>
      <w:r w:rsidRPr="005E655B">
        <w:rPr>
          <w:rFonts w:ascii="Times New Roman" w:eastAsia="Times New Roman" w:hAnsi="Times New Roman" w:cs="Times New Roman"/>
          <w:sz w:val="24"/>
          <w:szCs w:val="24"/>
        </w:rPr>
        <w:tab/>
      </w:r>
    </w:p>
    <w:p w:rsidR="00E730D8" w:rsidRPr="005E655B" w:rsidRDefault="00E730D8"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B: beneficios anuales futuros en términos constantes.</w:t>
      </w:r>
    </w:p>
    <w:p w:rsidR="00E730D8" w:rsidRPr="005E655B" w:rsidRDefault="00E730D8"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C: costes anuales futuros en términos constantes.</w:t>
      </w:r>
    </w:p>
    <w:p w:rsidR="00E730D8" w:rsidRPr="005E655B" w:rsidRDefault="00E730D8"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roofErr w:type="gramStart"/>
      <w:r w:rsidRPr="005E655B">
        <w:rPr>
          <w:rFonts w:ascii="Times New Roman" w:eastAsia="Times New Roman" w:hAnsi="Times New Roman" w:cs="Times New Roman"/>
          <w:sz w:val="24"/>
          <w:szCs w:val="24"/>
        </w:rPr>
        <w:t>r</w:t>
      </w:r>
      <w:proofErr w:type="gramEnd"/>
      <w:r w:rsidRPr="005E655B">
        <w:rPr>
          <w:rFonts w:ascii="Times New Roman" w:eastAsia="Times New Roman" w:hAnsi="Times New Roman" w:cs="Times New Roman"/>
          <w:sz w:val="24"/>
          <w:szCs w:val="24"/>
        </w:rPr>
        <w:t>: tasa de descuento económico (en este caso 12%).</w:t>
      </w:r>
    </w:p>
    <w:p w:rsidR="00E730D8" w:rsidRPr="005E655B" w:rsidRDefault="00E730D8"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roofErr w:type="gramStart"/>
      <w:r w:rsidRPr="005E655B">
        <w:rPr>
          <w:rFonts w:ascii="Times New Roman" w:eastAsia="Times New Roman" w:hAnsi="Times New Roman" w:cs="Times New Roman"/>
          <w:sz w:val="24"/>
          <w:szCs w:val="24"/>
        </w:rPr>
        <w:t>k</w:t>
      </w:r>
      <w:proofErr w:type="gramEnd"/>
      <w:r w:rsidRPr="005E655B">
        <w:rPr>
          <w:rFonts w:ascii="Times New Roman" w:eastAsia="Times New Roman" w:hAnsi="Times New Roman" w:cs="Times New Roman"/>
          <w:sz w:val="24"/>
          <w:szCs w:val="24"/>
        </w:rPr>
        <w:t>: número de años desde el año de inicio del Proyecto.</w:t>
      </w:r>
    </w:p>
    <w:p w:rsidR="00E730D8" w:rsidRPr="005E655B" w:rsidRDefault="00E730D8"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E730D8" w:rsidRPr="005E655B" w:rsidRDefault="00E730D8"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Para que el VAN sea positivo, la Tasa Interna de Retorno debe ser mayor que la tasa de descuento utilizada del 12%.</w:t>
      </w:r>
    </w:p>
    <w:p w:rsidR="00E730D8" w:rsidRPr="005E655B" w:rsidRDefault="00E730D8" w:rsidP="000032C5">
      <w:pPr>
        <w:autoSpaceDE w:val="0"/>
        <w:autoSpaceDN w:val="0"/>
        <w:adjustRightInd w:val="0"/>
        <w:spacing w:before="120" w:after="120" w:line="240" w:lineRule="auto"/>
        <w:jc w:val="both"/>
        <w:rPr>
          <w:rFonts w:ascii="Times New Roman" w:hAnsi="Times New Roman" w:cs="Times New Roman"/>
          <w:i/>
          <w:sz w:val="24"/>
          <w:szCs w:val="24"/>
        </w:rPr>
      </w:pPr>
      <w:bookmarkStart w:id="41" w:name="_Toc280718150"/>
      <w:bookmarkStart w:id="42" w:name="_Toc284176023"/>
      <w:r w:rsidRPr="005E655B">
        <w:rPr>
          <w:rFonts w:ascii="Times New Roman" w:hAnsi="Times New Roman" w:cs="Times New Roman"/>
          <w:i/>
          <w:sz w:val="24"/>
          <w:szCs w:val="24"/>
        </w:rPr>
        <w:t xml:space="preserve">Tasa Interna de </w:t>
      </w:r>
      <w:bookmarkEnd w:id="41"/>
      <w:bookmarkEnd w:id="42"/>
      <w:r w:rsidRPr="005E655B">
        <w:rPr>
          <w:rFonts w:ascii="Times New Roman" w:hAnsi="Times New Roman" w:cs="Times New Roman"/>
          <w:i/>
          <w:sz w:val="24"/>
          <w:szCs w:val="24"/>
        </w:rPr>
        <w:t>Retorno (“TIR”)</w:t>
      </w:r>
    </w:p>
    <w:p w:rsidR="00E730D8" w:rsidRPr="005E655B" w:rsidRDefault="00E730D8"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Es la tasa de descuento que permite que el VAN de los flujos económicos proyectados a lo largo del horizonte temporal del análisis se iguale a 0. Se espera que la TIR supere a la tasa de descuento </w:t>
      </w:r>
      <w:r w:rsidR="00810A3D" w:rsidRPr="005E655B">
        <w:rPr>
          <w:rFonts w:ascii="Times New Roman" w:eastAsia="Times New Roman" w:hAnsi="Times New Roman" w:cs="Times New Roman"/>
          <w:sz w:val="24"/>
          <w:szCs w:val="24"/>
        </w:rPr>
        <w:t>de referencia</w:t>
      </w:r>
      <w:r w:rsidRPr="005E655B">
        <w:rPr>
          <w:rFonts w:ascii="Times New Roman" w:eastAsia="Times New Roman" w:hAnsi="Times New Roman" w:cs="Times New Roman"/>
          <w:sz w:val="24"/>
          <w:szCs w:val="24"/>
        </w:rPr>
        <w:t xml:space="preserve"> del 12%, tal y como se ha señalado anteriormente.</w:t>
      </w:r>
    </w:p>
    <w:p w:rsidR="00E730D8" w:rsidRPr="005E655B" w:rsidRDefault="00E730D8" w:rsidP="000032C5">
      <w:pPr>
        <w:autoSpaceDE w:val="0"/>
        <w:autoSpaceDN w:val="0"/>
        <w:adjustRightInd w:val="0"/>
        <w:spacing w:before="120" w:after="120" w:line="240" w:lineRule="auto"/>
        <w:jc w:val="both"/>
        <w:rPr>
          <w:rFonts w:ascii="Times New Roman" w:hAnsi="Times New Roman" w:cs="Times New Roman"/>
          <w:i/>
          <w:sz w:val="24"/>
          <w:szCs w:val="24"/>
        </w:rPr>
      </w:pPr>
      <w:bookmarkStart w:id="43" w:name="_Toc284176025"/>
      <w:r w:rsidRPr="005E655B">
        <w:rPr>
          <w:rFonts w:ascii="Times New Roman" w:hAnsi="Times New Roman" w:cs="Times New Roman"/>
          <w:i/>
          <w:sz w:val="24"/>
          <w:szCs w:val="24"/>
        </w:rPr>
        <w:t xml:space="preserve">Ratio </w:t>
      </w:r>
      <w:bookmarkEnd w:id="43"/>
      <w:r w:rsidRPr="005E655B">
        <w:rPr>
          <w:rFonts w:ascii="Times New Roman" w:hAnsi="Times New Roman" w:cs="Times New Roman"/>
          <w:i/>
          <w:sz w:val="24"/>
          <w:szCs w:val="24"/>
        </w:rPr>
        <w:t>Beneficio/Costo</w:t>
      </w:r>
    </w:p>
    <w:p w:rsidR="00E730D8" w:rsidRPr="005E655B" w:rsidRDefault="00E730D8" w:rsidP="000032C5">
      <w:pPr>
        <w:pStyle w:val="ListParagraph"/>
        <w:numPr>
          <w:ilvl w:val="1"/>
          <w:numId w:val="26"/>
        </w:numPr>
        <w:spacing w:before="120" w:after="120" w:line="240" w:lineRule="auto"/>
        <w:ind w:left="709" w:hanging="567"/>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El ratio Beneficio/Costo se define como el cociente de los valores actuales de los beneficios y costos del Pro</w:t>
      </w:r>
      <w:r w:rsidR="00810A3D" w:rsidRPr="005E655B">
        <w:rPr>
          <w:rFonts w:ascii="Times New Roman" w:eastAsia="Times New Roman" w:hAnsi="Times New Roman" w:cs="Times New Roman"/>
          <w:sz w:val="24"/>
          <w:szCs w:val="24"/>
        </w:rPr>
        <w:t>grama</w:t>
      </w:r>
      <w:r w:rsidRPr="005E655B">
        <w:rPr>
          <w:rFonts w:ascii="Times New Roman" w:eastAsia="Times New Roman" w:hAnsi="Times New Roman" w:cs="Times New Roman"/>
          <w:sz w:val="24"/>
          <w:szCs w:val="24"/>
        </w:rPr>
        <w:t>. Si el ratio Beneficio/Costo es superior a la unidad, los beneficios del Pro</w:t>
      </w:r>
      <w:r w:rsidR="00810A3D" w:rsidRPr="005E655B">
        <w:rPr>
          <w:rFonts w:ascii="Times New Roman" w:eastAsia="Times New Roman" w:hAnsi="Times New Roman" w:cs="Times New Roman"/>
          <w:sz w:val="24"/>
          <w:szCs w:val="24"/>
        </w:rPr>
        <w:t>grama</w:t>
      </w:r>
      <w:r w:rsidRPr="005E655B">
        <w:rPr>
          <w:rFonts w:ascii="Times New Roman" w:eastAsia="Times New Roman" w:hAnsi="Times New Roman" w:cs="Times New Roman"/>
          <w:sz w:val="24"/>
          <w:szCs w:val="24"/>
        </w:rPr>
        <w:t xml:space="preserve"> son superiores a sus costos en valor actual, lo que demuestra la viabilidad económica del Programa, y el grado de cobertura general de los beneficios que genera sobre sus costos diferenciales.</w:t>
      </w:r>
    </w:p>
    <w:p w:rsidR="00B944FC" w:rsidRPr="00111B63" w:rsidRDefault="00B944FC" w:rsidP="000032C5">
      <w:pPr>
        <w:pStyle w:val="ListParagraph"/>
        <w:autoSpaceDE w:val="0"/>
        <w:autoSpaceDN w:val="0"/>
        <w:adjustRightInd w:val="0"/>
        <w:spacing w:before="120" w:after="120" w:line="240" w:lineRule="auto"/>
        <w:jc w:val="both"/>
        <w:rPr>
          <w:rFonts w:ascii="Times New Roman" w:hAnsi="Times New Roman" w:cs="Times New Roman"/>
          <w:sz w:val="24"/>
          <w:szCs w:val="24"/>
        </w:rPr>
      </w:pPr>
    </w:p>
    <w:p w:rsidR="00613D2E" w:rsidRPr="005E655B" w:rsidRDefault="00613D2E" w:rsidP="000032C5">
      <w:pPr>
        <w:pStyle w:val="ListParagraph"/>
        <w:numPr>
          <w:ilvl w:val="1"/>
          <w:numId w:val="26"/>
        </w:numPr>
        <w:spacing w:before="120" w:after="120" w:line="240" w:lineRule="auto"/>
        <w:ind w:left="709" w:hanging="567"/>
        <w:jc w:val="both"/>
        <w:rPr>
          <w:rFonts w:ascii="Times New Roman" w:eastAsiaTheme="majorEastAsia" w:hAnsi="Times New Roman" w:cs="Times New Roman"/>
          <w:b/>
          <w:bCs/>
          <w:sz w:val="24"/>
          <w:szCs w:val="24"/>
        </w:rPr>
      </w:pPr>
      <w:bookmarkStart w:id="44" w:name="_Ref316555903"/>
      <w:r w:rsidRPr="005E655B">
        <w:rPr>
          <w:rFonts w:ascii="Times New Roman" w:hAnsi="Times New Roman" w:cs="Times New Roman"/>
          <w:sz w:val="24"/>
          <w:szCs w:val="24"/>
        </w:rPr>
        <w:t>A continuación se describen los beneficios económicos c</w:t>
      </w:r>
      <w:r w:rsidR="000924F6" w:rsidRPr="005E655B">
        <w:rPr>
          <w:rFonts w:ascii="Times New Roman" w:hAnsi="Times New Roman" w:cs="Times New Roman"/>
          <w:sz w:val="24"/>
          <w:szCs w:val="24"/>
        </w:rPr>
        <w:t>ontemplados</w:t>
      </w:r>
      <w:r w:rsidR="00191D3B" w:rsidRPr="005E655B">
        <w:rPr>
          <w:rFonts w:ascii="Times New Roman" w:hAnsi="Times New Roman" w:cs="Times New Roman"/>
          <w:sz w:val="24"/>
          <w:szCs w:val="24"/>
        </w:rPr>
        <w:t xml:space="preserve"> en el ACB así como los resultados obtenidos </w:t>
      </w:r>
      <w:r w:rsidR="00810A3D" w:rsidRPr="005E655B">
        <w:rPr>
          <w:rFonts w:ascii="Times New Roman" w:hAnsi="Times New Roman" w:cs="Times New Roman"/>
          <w:sz w:val="24"/>
          <w:szCs w:val="24"/>
        </w:rPr>
        <w:t>en</w:t>
      </w:r>
      <w:r w:rsidR="00191D3B" w:rsidRPr="005E655B">
        <w:rPr>
          <w:rFonts w:ascii="Times New Roman" w:hAnsi="Times New Roman" w:cs="Times New Roman"/>
          <w:sz w:val="24"/>
          <w:szCs w:val="24"/>
        </w:rPr>
        <w:t xml:space="preserve"> su estimación para todo el periodo de análisis.</w:t>
      </w:r>
    </w:p>
    <w:p w:rsidR="00B322C7" w:rsidRPr="005E655B" w:rsidRDefault="00B322C7" w:rsidP="000032C5">
      <w:pPr>
        <w:spacing w:before="120" w:after="120" w:line="240" w:lineRule="auto"/>
        <w:rPr>
          <w:rFonts w:ascii="Times New Roman" w:eastAsiaTheme="majorEastAsia" w:hAnsi="Times New Roman" w:cs="Times New Roman"/>
          <w:b/>
          <w:bCs/>
          <w:sz w:val="24"/>
          <w:szCs w:val="24"/>
        </w:rPr>
      </w:pPr>
    </w:p>
    <w:p w:rsidR="00D55223" w:rsidRPr="005E655B" w:rsidRDefault="00781A4E" w:rsidP="000032C5">
      <w:pPr>
        <w:pStyle w:val="Heading1"/>
        <w:numPr>
          <w:ilvl w:val="0"/>
          <w:numId w:val="1"/>
        </w:numPr>
        <w:spacing w:before="120" w:after="120" w:line="240" w:lineRule="auto"/>
        <w:jc w:val="both"/>
        <w:rPr>
          <w:rFonts w:ascii="Times New Roman" w:hAnsi="Times New Roman" w:cs="Times New Roman"/>
          <w:color w:val="auto"/>
          <w:sz w:val="24"/>
          <w:szCs w:val="24"/>
          <w:lang w:val="en-US"/>
        </w:rPr>
      </w:pPr>
      <w:bookmarkStart w:id="45" w:name="_Toc415751485"/>
      <w:r w:rsidRPr="005E655B">
        <w:rPr>
          <w:rFonts w:ascii="Times New Roman" w:hAnsi="Times New Roman" w:cs="Times New Roman"/>
          <w:color w:val="auto"/>
          <w:sz w:val="24"/>
          <w:szCs w:val="24"/>
          <w:lang w:val="en-US"/>
        </w:rPr>
        <w:t>BENEFICIOS ECONÓMICOS</w:t>
      </w:r>
      <w:bookmarkEnd w:id="44"/>
      <w:bookmarkEnd w:id="45"/>
    </w:p>
    <w:p w:rsidR="0037052A" w:rsidRPr="005E655B" w:rsidRDefault="000A4121"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De acuerdo con lo descrito anteriormente en el apartado II sobre la metodología utilizada </w:t>
      </w:r>
      <w:r w:rsidR="00B744A0" w:rsidRPr="005E655B">
        <w:rPr>
          <w:rFonts w:ascii="Times New Roman" w:eastAsia="Times New Roman" w:hAnsi="Times New Roman" w:cs="Times New Roman"/>
          <w:sz w:val="24"/>
          <w:szCs w:val="24"/>
        </w:rPr>
        <w:t>en la realización d</w:t>
      </w:r>
      <w:r w:rsidRPr="005E655B">
        <w:rPr>
          <w:rFonts w:ascii="Times New Roman" w:eastAsia="Times New Roman" w:hAnsi="Times New Roman" w:cs="Times New Roman"/>
          <w:sz w:val="24"/>
          <w:szCs w:val="24"/>
        </w:rPr>
        <w:t>el ACB, l</w:t>
      </w:r>
      <w:r w:rsidR="0037052A" w:rsidRPr="005E655B">
        <w:rPr>
          <w:rFonts w:ascii="Times New Roman" w:eastAsia="Times New Roman" w:hAnsi="Times New Roman" w:cs="Times New Roman"/>
          <w:sz w:val="24"/>
          <w:szCs w:val="24"/>
        </w:rPr>
        <w:t xml:space="preserve">os beneficios </w:t>
      </w:r>
      <w:r w:rsidR="00B744A0" w:rsidRPr="005E655B">
        <w:rPr>
          <w:rFonts w:ascii="Times New Roman" w:eastAsia="Times New Roman" w:hAnsi="Times New Roman" w:cs="Times New Roman"/>
          <w:sz w:val="24"/>
          <w:szCs w:val="24"/>
        </w:rPr>
        <w:t xml:space="preserve">económicos </w:t>
      </w:r>
      <w:r w:rsidR="0037052A" w:rsidRPr="005E655B">
        <w:rPr>
          <w:rFonts w:ascii="Times New Roman" w:eastAsia="Times New Roman" w:hAnsi="Times New Roman" w:cs="Times New Roman"/>
          <w:sz w:val="24"/>
          <w:szCs w:val="24"/>
        </w:rPr>
        <w:t>que</w:t>
      </w:r>
      <w:r w:rsidRPr="005E655B">
        <w:rPr>
          <w:rFonts w:ascii="Times New Roman" w:eastAsia="Times New Roman" w:hAnsi="Times New Roman" w:cs="Times New Roman"/>
          <w:sz w:val="24"/>
          <w:szCs w:val="24"/>
        </w:rPr>
        <w:t xml:space="preserve"> han sido objeto de análisis </w:t>
      </w:r>
      <w:r w:rsidR="00B744A0" w:rsidRPr="005E655B">
        <w:rPr>
          <w:rFonts w:ascii="Times New Roman" w:eastAsia="Times New Roman" w:hAnsi="Times New Roman" w:cs="Times New Roman"/>
          <w:sz w:val="24"/>
          <w:szCs w:val="24"/>
        </w:rPr>
        <w:t xml:space="preserve">cuantitativo </w:t>
      </w:r>
      <w:r w:rsidR="0037052A" w:rsidRPr="005E655B">
        <w:rPr>
          <w:rFonts w:ascii="Times New Roman" w:eastAsia="Times New Roman" w:hAnsi="Times New Roman" w:cs="Times New Roman"/>
          <w:sz w:val="24"/>
          <w:szCs w:val="24"/>
        </w:rPr>
        <w:t xml:space="preserve">se exponen </w:t>
      </w:r>
      <w:r w:rsidR="00831AF3" w:rsidRPr="005E655B">
        <w:rPr>
          <w:rFonts w:ascii="Times New Roman" w:eastAsia="Times New Roman" w:hAnsi="Times New Roman" w:cs="Times New Roman"/>
          <w:sz w:val="24"/>
          <w:szCs w:val="24"/>
        </w:rPr>
        <w:t>a continuación</w:t>
      </w:r>
      <w:r w:rsidR="0037052A" w:rsidRPr="005E655B">
        <w:rPr>
          <w:rFonts w:ascii="Times New Roman" w:eastAsia="Times New Roman" w:hAnsi="Times New Roman" w:cs="Times New Roman"/>
          <w:sz w:val="24"/>
          <w:szCs w:val="24"/>
        </w:rPr>
        <w:t xml:space="preserve">. </w:t>
      </w:r>
    </w:p>
    <w:p w:rsidR="005E655B" w:rsidRPr="005E655B" w:rsidRDefault="005E655B" w:rsidP="005E655B">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075715" w:rsidRPr="005E655B" w:rsidRDefault="005E655B"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bookmarkStart w:id="46" w:name="_Toc415751486"/>
      <w:r w:rsidRPr="005E655B">
        <w:rPr>
          <w:rStyle w:val="Heading2Char"/>
          <w:rFonts w:ascii="Times New Roman" w:hAnsi="Times New Roman" w:cs="Times New Roman"/>
          <w:color w:val="auto"/>
          <w:sz w:val="24"/>
          <w:szCs w:val="24"/>
        </w:rPr>
        <w:t>Beneficios económicos cuantificados</w:t>
      </w:r>
      <w:bookmarkEnd w:id="46"/>
      <w:r w:rsidRPr="005E655B">
        <w:rPr>
          <w:rFonts w:ascii="Times New Roman" w:eastAsia="Times New Roman" w:hAnsi="Times New Roman" w:cs="Times New Roman"/>
          <w:sz w:val="24"/>
          <w:szCs w:val="24"/>
        </w:rPr>
        <w:t xml:space="preserve">. </w:t>
      </w:r>
      <w:r w:rsidR="00E81E1F" w:rsidRPr="005E655B">
        <w:rPr>
          <w:rFonts w:ascii="Times New Roman" w:eastAsia="Times New Roman" w:hAnsi="Times New Roman" w:cs="Times New Roman"/>
          <w:sz w:val="24"/>
          <w:szCs w:val="24"/>
        </w:rPr>
        <w:t>T</w:t>
      </w:r>
      <w:r w:rsidR="00075715" w:rsidRPr="005E655B">
        <w:rPr>
          <w:rFonts w:ascii="Times New Roman" w:eastAsia="Times New Roman" w:hAnsi="Times New Roman" w:cs="Times New Roman"/>
          <w:sz w:val="24"/>
          <w:szCs w:val="24"/>
        </w:rPr>
        <w:t xml:space="preserve">al y como se ha señalado en el apartado I anterior, los beneficios económicos </w:t>
      </w:r>
      <w:r w:rsidR="00E81E1F" w:rsidRPr="005E655B">
        <w:rPr>
          <w:rFonts w:ascii="Times New Roman" w:eastAsia="Times New Roman" w:hAnsi="Times New Roman" w:cs="Times New Roman"/>
          <w:sz w:val="24"/>
          <w:szCs w:val="24"/>
        </w:rPr>
        <w:t xml:space="preserve">cuantificados </w:t>
      </w:r>
      <w:r w:rsidR="00075715" w:rsidRPr="005E655B">
        <w:rPr>
          <w:rFonts w:ascii="Times New Roman" w:eastAsia="Times New Roman" w:hAnsi="Times New Roman" w:cs="Times New Roman"/>
          <w:sz w:val="24"/>
          <w:szCs w:val="24"/>
        </w:rPr>
        <w:t>han sido los siguientes:</w:t>
      </w:r>
    </w:p>
    <w:p w:rsidR="00075715" w:rsidRPr="005E655B" w:rsidRDefault="00075715"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E81E1F" w:rsidRPr="005E655B" w:rsidRDefault="004E76F7" w:rsidP="000032C5">
      <w:pPr>
        <w:pStyle w:val="ListParagraph"/>
        <w:numPr>
          <w:ilvl w:val="0"/>
          <w:numId w:val="8"/>
        </w:numPr>
        <w:autoSpaceDE w:val="0"/>
        <w:autoSpaceDN w:val="0"/>
        <w:adjustRightInd w:val="0"/>
        <w:spacing w:before="120" w:after="120" w:line="240" w:lineRule="auto"/>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Excedentes de consumo </w:t>
      </w:r>
      <w:r w:rsidR="00E81E1F" w:rsidRPr="005E655B">
        <w:rPr>
          <w:rFonts w:ascii="Times New Roman" w:hAnsi="Times New Roman" w:cs="Times New Roman"/>
          <w:sz w:val="24"/>
          <w:szCs w:val="24"/>
        </w:rPr>
        <w:t xml:space="preserve">generados por el aumento de cobertura y calidad del servicio </w:t>
      </w:r>
      <w:r w:rsidR="00DD6D4A" w:rsidRPr="005E655B">
        <w:rPr>
          <w:rFonts w:ascii="Times New Roman" w:hAnsi="Times New Roman" w:cs="Times New Roman"/>
          <w:sz w:val="24"/>
          <w:szCs w:val="24"/>
        </w:rPr>
        <w:t>fruto de</w:t>
      </w:r>
      <w:r w:rsidR="00E81E1F" w:rsidRPr="005E655B">
        <w:rPr>
          <w:rFonts w:ascii="Times New Roman" w:hAnsi="Times New Roman" w:cs="Times New Roman"/>
          <w:sz w:val="24"/>
          <w:szCs w:val="24"/>
        </w:rPr>
        <w:t xml:space="preserve"> la mejora del sistema de distribución y de gestión de la demanda</w:t>
      </w:r>
      <w:r w:rsidR="00E81E1F" w:rsidRPr="005E655B">
        <w:rPr>
          <w:rStyle w:val="FootnoteReference"/>
          <w:rFonts w:ascii="Times New Roman" w:hAnsi="Times New Roman" w:cs="Times New Roman"/>
          <w:sz w:val="24"/>
          <w:szCs w:val="24"/>
        </w:rPr>
        <w:footnoteReference w:id="3"/>
      </w:r>
      <w:r w:rsidR="006672EA" w:rsidRPr="005E655B">
        <w:rPr>
          <w:rFonts w:ascii="Times New Roman" w:eastAsia="Times New Roman" w:hAnsi="Times New Roman" w:cs="Times New Roman"/>
          <w:sz w:val="24"/>
          <w:szCs w:val="24"/>
        </w:rPr>
        <w:t>;</w:t>
      </w:r>
    </w:p>
    <w:p w:rsidR="00E81E1F" w:rsidRPr="005E655B" w:rsidRDefault="00DD6D4A" w:rsidP="000032C5">
      <w:pPr>
        <w:pStyle w:val="ListParagraph"/>
        <w:numPr>
          <w:ilvl w:val="0"/>
          <w:numId w:val="8"/>
        </w:num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t>D</w:t>
      </w:r>
      <w:r w:rsidR="00E81E1F" w:rsidRPr="005E655B">
        <w:rPr>
          <w:rFonts w:ascii="Times New Roman" w:hAnsi="Times New Roman" w:cs="Times New Roman"/>
          <w:sz w:val="24"/>
          <w:szCs w:val="24"/>
        </w:rPr>
        <w:t xml:space="preserve">isminución de pérdidas técnicas en los sistemas mejorados de sub-transmisión y distribución de la red eléctrica nacional; y </w:t>
      </w:r>
    </w:p>
    <w:p w:rsidR="00E81E1F" w:rsidRPr="005E655B" w:rsidRDefault="00DD6D4A" w:rsidP="000032C5">
      <w:pPr>
        <w:pStyle w:val="ListParagraph"/>
        <w:numPr>
          <w:ilvl w:val="0"/>
          <w:numId w:val="8"/>
        </w:num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t>D</w:t>
      </w:r>
      <w:r w:rsidR="00E81E1F" w:rsidRPr="005E655B">
        <w:rPr>
          <w:rFonts w:ascii="Times New Roman" w:hAnsi="Times New Roman" w:cs="Times New Roman"/>
          <w:sz w:val="24"/>
          <w:szCs w:val="24"/>
        </w:rPr>
        <w:t>isminución de los cortes de energía.</w:t>
      </w:r>
    </w:p>
    <w:p w:rsidR="00474E83" w:rsidRPr="005E655B" w:rsidRDefault="00474E83" w:rsidP="000032C5">
      <w:pPr>
        <w:pStyle w:val="ListParagraph"/>
        <w:spacing w:before="120" w:after="120" w:line="240" w:lineRule="auto"/>
        <w:ind w:left="2391"/>
        <w:jc w:val="both"/>
        <w:rPr>
          <w:rFonts w:ascii="Times New Roman" w:hAnsi="Times New Roman" w:cs="Times New Roman"/>
          <w:sz w:val="24"/>
          <w:szCs w:val="24"/>
        </w:rPr>
      </w:pPr>
    </w:p>
    <w:p w:rsidR="005F169E" w:rsidRPr="005E655B" w:rsidRDefault="005E655B"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bookmarkStart w:id="47" w:name="_Toc415751487"/>
      <w:r w:rsidRPr="005E655B">
        <w:rPr>
          <w:rStyle w:val="Heading2Char"/>
          <w:rFonts w:ascii="Times New Roman" w:hAnsi="Times New Roman" w:cs="Times New Roman"/>
          <w:color w:val="auto"/>
          <w:sz w:val="24"/>
          <w:szCs w:val="24"/>
        </w:rPr>
        <w:t>Excedentes de los consumidores de electricidad</w:t>
      </w:r>
      <w:bookmarkEnd w:id="47"/>
      <w:r>
        <w:rPr>
          <w:rFonts w:ascii="Times New Roman" w:eastAsia="Times New Roman" w:hAnsi="Times New Roman" w:cs="Times New Roman"/>
          <w:sz w:val="24"/>
          <w:szCs w:val="24"/>
        </w:rPr>
        <w:t xml:space="preserve">. </w:t>
      </w:r>
      <w:r w:rsidR="005F1087" w:rsidRPr="005E655B">
        <w:rPr>
          <w:rFonts w:ascii="Times New Roman" w:eastAsia="Times New Roman" w:hAnsi="Times New Roman" w:cs="Times New Roman"/>
          <w:sz w:val="24"/>
          <w:szCs w:val="24"/>
        </w:rPr>
        <w:t xml:space="preserve">El aumento de capacidad del SND y la mejora </w:t>
      </w:r>
      <w:r w:rsidR="00DD6D4A" w:rsidRPr="005E655B">
        <w:rPr>
          <w:rFonts w:ascii="Times New Roman" w:eastAsia="Times New Roman" w:hAnsi="Times New Roman" w:cs="Times New Roman"/>
          <w:sz w:val="24"/>
          <w:szCs w:val="24"/>
        </w:rPr>
        <w:t>de</w:t>
      </w:r>
      <w:r w:rsidR="005F1087" w:rsidRPr="005E655B">
        <w:rPr>
          <w:rFonts w:ascii="Times New Roman" w:eastAsia="Times New Roman" w:hAnsi="Times New Roman" w:cs="Times New Roman"/>
          <w:sz w:val="24"/>
          <w:szCs w:val="24"/>
        </w:rPr>
        <w:t xml:space="preserve"> la gestión de la demanda permitirá</w:t>
      </w:r>
      <w:r w:rsidR="00DD6D4A" w:rsidRPr="005E655B">
        <w:rPr>
          <w:rFonts w:ascii="Times New Roman" w:eastAsia="Times New Roman" w:hAnsi="Times New Roman" w:cs="Times New Roman"/>
          <w:sz w:val="24"/>
          <w:szCs w:val="24"/>
        </w:rPr>
        <w:t>n</w:t>
      </w:r>
      <w:r w:rsidR="005F1087" w:rsidRPr="005E655B">
        <w:rPr>
          <w:rFonts w:ascii="Times New Roman" w:eastAsia="Times New Roman" w:hAnsi="Times New Roman" w:cs="Times New Roman"/>
          <w:sz w:val="24"/>
          <w:szCs w:val="24"/>
        </w:rPr>
        <w:t xml:space="preserve"> responder </w:t>
      </w:r>
      <w:r w:rsidR="00DD6D4A" w:rsidRPr="005E655B">
        <w:rPr>
          <w:rFonts w:ascii="Times New Roman" w:eastAsia="Times New Roman" w:hAnsi="Times New Roman" w:cs="Times New Roman"/>
          <w:sz w:val="24"/>
          <w:szCs w:val="24"/>
        </w:rPr>
        <w:t xml:space="preserve">mejor </w:t>
      </w:r>
      <w:r w:rsidR="005F1087" w:rsidRPr="005E655B">
        <w:rPr>
          <w:rFonts w:ascii="Times New Roman" w:eastAsia="Times New Roman" w:hAnsi="Times New Roman" w:cs="Times New Roman"/>
          <w:sz w:val="24"/>
          <w:szCs w:val="24"/>
        </w:rPr>
        <w:t xml:space="preserve">a las necesidades de los consumidores finales </w:t>
      </w:r>
      <w:r w:rsidR="001D02E3" w:rsidRPr="005E655B">
        <w:rPr>
          <w:rFonts w:ascii="Times New Roman" w:eastAsia="Times New Roman" w:hAnsi="Times New Roman" w:cs="Times New Roman"/>
          <w:sz w:val="24"/>
          <w:szCs w:val="24"/>
        </w:rPr>
        <w:t>de electricidad. De acuerdo con lo considerado en los análisis individuales de cada una de las EED, se ha contemplado en el escenario base un crecimiento de</w:t>
      </w:r>
      <w:r w:rsidR="005F1087" w:rsidRPr="005E655B">
        <w:rPr>
          <w:rFonts w:ascii="Times New Roman" w:eastAsia="Times New Roman" w:hAnsi="Times New Roman" w:cs="Times New Roman"/>
          <w:sz w:val="24"/>
          <w:szCs w:val="24"/>
        </w:rPr>
        <w:t xml:space="preserve"> 4% anual</w:t>
      </w:r>
      <w:r w:rsidR="001D02E3" w:rsidRPr="005E655B">
        <w:rPr>
          <w:rFonts w:ascii="Times New Roman" w:eastAsia="Times New Roman" w:hAnsi="Times New Roman" w:cs="Times New Roman"/>
          <w:sz w:val="24"/>
          <w:szCs w:val="24"/>
        </w:rPr>
        <w:t xml:space="preserve"> del consumo de electricidad. </w:t>
      </w:r>
      <w:r w:rsidR="00DD6D4A" w:rsidRPr="005E655B">
        <w:rPr>
          <w:rFonts w:ascii="Times New Roman" w:eastAsia="Times New Roman" w:hAnsi="Times New Roman" w:cs="Times New Roman"/>
          <w:sz w:val="24"/>
          <w:szCs w:val="24"/>
        </w:rPr>
        <w:t>En este escenario base, no se ha tenido</w:t>
      </w:r>
      <w:r w:rsidR="005F1087" w:rsidRPr="005E655B">
        <w:rPr>
          <w:rFonts w:ascii="Times New Roman" w:eastAsia="Times New Roman" w:hAnsi="Times New Roman" w:cs="Times New Roman"/>
          <w:sz w:val="24"/>
          <w:szCs w:val="24"/>
        </w:rPr>
        <w:t xml:space="preserve"> en cuenta la </w:t>
      </w:r>
      <w:r w:rsidR="00DD6D4A" w:rsidRPr="005E655B">
        <w:rPr>
          <w:rFonts w:ascii="Times New Roman" w:eastAsia="Times New Roman" w:hAnsi="Times New Roman" w:cs="Times New Roman"/>
          <w:sz w:val="24"/>
          <w:szCs w:val="24"/>
        </w:rPr>
        <w:t xml:space="preserve">introducción </w:t>
      </w:r>
      <w:r w:rsidR="005F1087" w:rsidRPr="005E655B">
        <w:rPr>
          <w:rFonts w:ascii="Times New Roman" w:eastAsia="Times New Roman" w:hAnsi="Times New Roman" w:cs="Times New Roman"/>
          <w:sz w:val="24"/>
          <w:szCs w:val="24"/>
        </w:rPr>
        <w:t>de cocinas de inducción promovida por el Programa Nacional de Cocción Eficiente (PNCE)</w:t>
      </w:r>
      <w:r w:rsidR="001D02E3" w:rsidRPr="005E655B">
        <w:rPr>
          <w:rFonts w:ascii="Times New Roman" w:eastAsia="Times New Roman" w:hAnsi="Times New Roman" w:cs="Times New Roman"/>
          <w:sz w:val="24"/>
          <w:szCs w:val="24"/>
        </w:rPr>
        <w:t>, para l</w:t>
      </w:r>
      <w:r w:rsidR="00DD6D4A" w:rsidRPr="005E655B">
        <w:rPr>
          <w:rFonts w:ascii="Times New Roman" w:eastAsia="Times New Roman" w:hAnsi="Times New Roman" w:cs="Times New Roman"/>
          <w:sz w:val="24"/>
          <w:szCs w:val="24"/>
        </w:rPr>
        <w:t>a</w:t>
      </w:r>
      <w:r w:rsidR="001D02E3" w:rsidRPr="005E655B">
        <w:rPr>
          <w:rFonts w:ascii="Times New Roman" w:eastAsia="Times New Roman" w:hAnsi="Times New Roman" w:cs="Times New Roman"/>
          <w:sz w:val="24"/>
          <w:szCs w:val="24"/>
        </w:rPr>
        <w:t xml:space="preserve"> cual se ha realizado un escenario o análisis de sensibilidad específico</w:t>
      </w:r>
      <w:r w:rsidR="005F1087" w:rsidRPr="005E655B">
        <w:rPr>
          <w:rFonts w:ascii="Times New Roman" w:eastAsia="Times New Roman" w:hAnsi="Times New Roman" w:cs="Times New Roman"/>
          <w:sz w:val="24"/>
          <w:szCs w:val="24"/>
        </w:rPr>
        <w:t>.</w:t>
      </w:r>
    </w:p>
    <w:p w:rsidR="001D02E3" w:rsidRPr="005E655B" w:rsidRDefault="001D02E3"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1D02E3" w:rsidRPr="005E655B" w:rsidRDefault="00DD6D4A"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S</w:t>
      </w:r>
      <w:r w:rsidR="001D02E3" w:rsidRPr="005E655B">
        <w:rPr>
          <w:rFonts w:ascii="Times New Roman" w:eastAsia="Times New Roman" w:hAnsi="Times New Roman" w:cs="Times New Roman"/>
          <w:sz w:val="24"/>
          <w:szCs w:val="24"/>
        </w:rPr>
        <w:t>i bien un incremento anual de la demanda de 4% se sitúa por debajo de las previsiones actuales del MEER (del 5% en el PME), esta hipótesis constituye un supuesto conservador desde el punto de vista de los objetivos de la realización del ACB.</w:t>
      </w:r>
    </w:p>
    <w:p w:rsidR="005F1087" w:rsidRPr="005E655B" w:rsidRDefault="005F1087"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5F1087" w:rsidRPr="005E655B" w:rsidRDefault="00451333"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El </w:t>
      </w:r>
      <w:r w:rsidR="005F1087" w:rsidRPr="005E655B">
        <w:rPr>
          <w:rFonts w:ascii="Times New Roman" w:eastAsia="Times New Roman" w:hAnsi="Times New Roman" w:cs="Times New Roman"/>
          <w:sz w:val="24"/>
          <w:szCs w:val="24"/>
        </w:rPr>
        <w:t xml:space="preserve">excedente </w:t>
      </w:r>
      <w:r w:rsidRPr="005E655B">
        <w:rPr>
          <w:rFonts w:ascii="Times New Roman" w:eastAsia="Times New Roman" w:hAnsi="Times New Roman" w:cs="Times New Roman"/>
          <w:sz w:val="24"/>
          <w:szCs w:val="24"/>
        </w:rPr>
        <w:t xml:space="preserve">de consumo </w:t>
      </w:r>
      <w:r w:rsidR="003F72ED" w:rsidRPr="005E655B">
        <w:rPr>
          <w:rFonts w:ascii="Times New Roman" w:eastAsia="Times New Roman" w:hAnsi="Times New Roman" w:cs="Times New Roman"/>
          <w:sz w:val="24"/>
          <w:szCs w:val="24"/>
        </w:rPr>
        <w:t xml:space="preserve">se ha calculado con base en </w:t>
      </w:r>
      <w:r w:rsidR="008D0C50" w:rsidRPr="005E655B">
        <w:rPr>
          <w:rFonts w:ascii="Times New Roman" w:eastAsia="Times New Roman" w:hAnsi="Times New Roman" w:cs="Times New Roman"/>
          <w:sz w:val="24"/>
          <w:szCs w:val="24"/>
        </w:rPr>
        <w:t xml:space="preserve">la tarifa promedio pagada por el consumidor en 2014 para </w:t>
      </w:r>
      <w:r w:rsidR="003F72ED" w:rsidRPr="005E655B">
        <w:rPr>
          <w:rFonts w:ascii="Times New Roman" w:eastAsia="Times New Roman" w:hAnsi="Times New Roman" w:cs="Times New Roman"/>
          <w:sz w:val="24"/>
          <w:szCs w:val="24"/>
        </w:rPr>
        <w:t xml:space="preserve">cada una </w:t>
      </w:r>
      <w:r w:rsidR="00E4394B" w:rsidRPr="005E655B">
        <w:rPr>
          <w:rFonts w:ascii="Times New Roman" w:eastAsia="Times New Roman" w:hAnsi="Times New Roman" w:cs="Times New Roman"/>
          <w:sz w:val="24"/>
          <w:szCs w:val="24"/>
        </w:rPr>
        <w:t xml:space="preserve">de las </w:t>
      </w:r>
      <w:r w:rsidR="003F72ED" w:rsidRPr="005E655B">
        <w:rPr>
          <w:rFonts w:ascii="Times New Roman" w:eastAsia="Times New Roman" w:hAnsi="Times New Roman" w:cs="Times New Roman"/>
          <w:sz w:val="24"/>
          <w:szCs w:val="24"/>
        </w:rPr>
        <w:t>EED</w:t>
      </w:r>
      <w:r w:rsidR="00E4394B" w:rsidRPr="005E655B">
        <w:rPr>
          <w:rFonts w:ascii="Times New Roman" w:eastAsia="Times New Roman" w:hAnsi="Times New Roman" w:cs="Times New Roman"/>
          <w:sz w:val="24"/>
          <w:szCs w:val="24"/>
        </w:rPr>
        <w:t>,</w:t>
      </w:r>
      <w:r w:rsidR="003F72ED" w:rsidRPr="005E655B">
        <w:rPr>
          <w:rFonts w:ascii="Times New Roman" w:eastAsia="Times New Roman" w:hAnsi="Times New Roman" w:cs="Times New Roman"/>
          <w:sz w:val="24"/>
          <w:szCs w:val="24"/>
        </w:rPr>
        <w:t xml:space="preserve"> analizadas </w:t>
      </w:r>
      <w:r w:rsidRPr="005E655B">
        <w:rPr>
          <w:rFonts w:ascii="Times New Roman" w:eastAsia="Times New Roman" w:hAnsi="Times New Roman" w:cs="Times New Roman"/>
          <w:sz w:val="24"/>
          <w:szCs w:val="24"/>
        </w:rPr>
        <w:t xml:space="preserve">previamente </w:t>
      </w:r>
      <w:r w:rsidR="003F72ED" w:rsidRPr="005E655B">
        <w:rPr>
          <w:rFonts w:ascii="Times New Roman" w:eastAsia="Times New Roman" w:hAnsi="Times New Roman" w:cs="Times New Roman"/>
          <w:sz w:val="24"/>
          <w:szCs w:val="24"/>
        </w:rPr>
        <w:t xml:space="preserve">de manera individual </w:t>
      </w:r>
      <w:r w:rsidRPr="005E655B">
        <w:rPr>
          <w:rFonts w:ascii="Times New Roman" w:eastAsia="Times New Roman" w:hAnsi="Times New Roman" w:cs="Times New Roman"/>
          <w:sz w:val="24"/>
          <w:szCs w:val="24"/>
        </w:rPr>
        <w:t>por el MEER y cuyas proyecciones se han incorporado al</w:t>
      </w:r>
      <w:r w:rsidR="003F72ED" w:rsidRPr="005E655B">
        <w:rPr>
          <w:rFonts w:ascii="Times New Roman" w:eastAsia="Times New Roman" w:hAnsi="Times New Roman" w:cs="Times New Roman"/>
          <w:sz w:val="24"/>
          <w:szCs w:val="24"/>
        </w:rPr>
        <w:t xml:space="preserve"> ACB del Programa.</w:t>
      </w:r>
    </w:p>
    <w:p w:rsidR="008D0C50" w:rsidRPr="005E655B" w:rsidRDefault="008D0C50" w:rsidP="000032C5">
      <w:pPr>
        <w:pStyle w:val="ListParagraph"/>
        <w:spacing w:before="120" w:after="120" w:line="240" w:lineRule="auto"/>
        <w:rPr>
          <w:rFonts w:ascii="Times New Roman" w:eastAsia="Times New Roman" w:hAnsi="Times New Roman" w:cs="Times New Roman"/>
          <w:sz w:val="24"/>
          <w:szCs w:val="24"/>
        </w:rPr>
      </w:pPr>
    </w:p>
    <w:p w:rsidR="008D0C50" w:rsidRPr="005E655B" w:rsidRDefault="00E4394B"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S</w:t>
      </w:r>
      <w:r w:rsidR="008D0C50" w:rsidRPr="005E655B">
        <w:rPr>
          <w:rFonts w:ascii="Times New Roman" w:eastAsia="Times New Roman" w:hAnsi="Times New Roman" w:cs="Times New Roman"/>
          <w:sz w:val="24"/>
          <w:szCs w:val="24"/>
        </w:rPr>
        <w:t>e ha contemplado un</w:t>
      </w:r>
      <w:r w:rsidR="00352394" w:rsidRPr="005E655B">
        <w:rPr>
          <w:rFonts w:ascii="Times New Roman" w:eastAsia="Times New Roman" w:hAnsi="Times New Roman" w:cs="Times New Roman"/>
          <w:sz w:val="24"/>
          <w:szCs w:val="24"/>
        </w:rPr>
        <w:t>a</w:t>
      </w:r>
      <w:r w:rsidR="008D0C50" w:rsidRPr="005E655B">
        <w:rPr>
          <w:rFonts w:ascii="Times New Roman" w:eastAsia="Times New Roman" w:hAnsi="Times New Roman" w:cs="Times New Roman"/>
          <w:sz w:val="24"/>
          <w:szCs w:val="24"/>
        </w:rPr>
        <w:t xml:space="preserve"> curva de demanda lineal con elasticidad constante de </w:t>
      </w:r>
      <w:r w:rsidR="00352394" w:rsidRPr="005E655B">
        <w:rPr>
          <w:rFonts w:ascii="Times New Roman" w:eastAsia="Times New Roman" w:hAnsi="Times New Roman" w:cs="Times New Roman"/>
          <w:sz w:val="24"/>
          <w:szCs w:val="24"/>
        </w:rPr>
        <w:t>-0,5 para todas las EED.</w:t>
      </w:r>
      <w:r w:rsidR="008D0C50" w:rsidRPr="005E655B">
        <w:rPr>
          <w:rFonts w:ascii="Times New Roman" w:eastAsia="Times New Roman" w:hAnsi="Times New Roman" w:cs="Times New Roman"/>
          <w:sz w:val="24"/>
          <w:szCs w:val="24"/>
        </w:rPr>
        <w:t xml:space="preserve"> </w:t>
      </w:r>
      <w:r w:rsidR="00352394" w:rsidRPr="005E655B">
        <w:rPr>
          <w:rFonts w:ascii="Times New Roman" w:eastAsia="Times New Roman" w:hAnsi="Times New Roman" w:cs="Times New Roman"/>
          <w:sz w:val="24"/>
          <w:szCs w:val="24"/>
        </w:rPr>
        <w:t>Este supuesto puede considerarse conservador dado que los estudios disponibles realizados en otros países de la región indican que la elasticidad a largo plazo de la demanda residencial al precio de la electricidad se encuentra en el rango de -0,4 a -0,5</w:t>
      </w:r>
      <w:r w:rsidR="00352394" w:rsidRPr="005E655B">
        <w:rPr>
          <w:rStyle w:val="FootnoteReference"/>
          <w:rFonts w:ascii="Times New Roman" w:eastAsia="Times New Roman" w:hAnsi="Times New Roman" w:cs="Times New Roman"/>
          <w:sz w:val="24"/>
          <w:szCs w:val="24"/>
        </w:rPr>
        <w:footnoteReference w:id="4"/>
      </w:r>
      <w:r w:rsidR="00352394" w:rsidRPr="005E655B">
        <w:rPr>
          <w:rFonts w:ascii="Times New Roman" w:eastAsia="Times New Roman" w:hAnsi="Times New Roman" w:cs="Times New Roman"/>
          <w:sz w:val="24"/>
          <w:szCs w:val="24"/>
        </w:rPr>
        <w:t>.</w:t>
      </w:r>
    </w:p>
    <w:p w:rsidR="00137CAB" w:rsidRPr="005E655B" w:rsidRDefault="00137CAB" w:rsidP="000032C5">
      <w:pPr>
        <w:pStyle w:val="ListParagraph"/>
        <w:spacing w:before="120" w:after="120" w:line="240" w:lineRule="auto"/>
        <w:rPr>
          <w:rFonts w:ascii="Times New Roman" w:eastAsia="Times New Roman" w:hAnsi="Times New Roman" w:cs="Times New Roman"/>
          <w:sz w:val="24"/>
          <w:szCs w:val="24"/>
        </w:rPr>
      </w:pPr>
    </w:p>
    <w:p w:rsidR="008A73A2" w:rsidRPr="005E655B" w:rsidRDefault="00F34762" w:rsidP="000032C5">
      <w:pPr>
        <w:pStyle w:val="ListParagraph"/>
        <w:numPr>
          <w:ilvl w:val="1"/>
          <w:numId w:val="3"/>
        </w:numPr>
        <w:autoSpaceDE w:val="0"/>
        <w:autoSpaceDN w:val="0"/>
        <w:adjustRightInd w:val="0"/>
        <w:spacing w:before="120" w:after="120" w:line="240" w:lineRule="auto"/>
        <w:ind w:hanging="578"/>
        <w:jc w:val="both"/>
        <w:rPr>
          <w:rFonts w:ascii="Times New Roman" w:hAnsi="Times New Roman" w:cs="Times New Roman"/>
          <w:i/>
          <w:sz w:val="24"/>
          <w:szCs w:val="24"/>
        </w:rPr>
      </w:pPr>
      <w:r w:rsidRPr="005E655B">
        <w:rPr>
          <w:rFonts w:ascii="Times New Roman" w:hAnsi="Times New Roman" w:cs="Times New Roman"/>
          <w:sz w:val="24"/>
          <w:szCs w:val="24"/>
        </w:rPr>
        <w:t>De l</w:t>
      </w:r>
      <w:r w:rsidR="00DF50C5" w:rsidRPr="005E655B">
        <w:rPr>
          <w:rFonts w:ascii="Times New Roman" w:hAnsi="Times New Roman" w:cs="Times New Roman"/>
          <w:sz w:val="24"/>
          <w:szCs w:val="24"/>
        </w:rPr>
        <w:t>a</w:t>
      </w:r>
      <w:r w:rsidR="00E4394B" w:rsidRPr="005E655B">
        <w:rPr>
          <w:rFonts w:ascii="Times New Roman" w:hAnsi="Times New Roman" w:cs="Times New Roman"/>
          <w:sz w:val="24"/>
          <w:szCs w:val="24"/>
        </w:rPr>
        <w:t xml:space="preserve"> suma de las</w:t>
      </w:r>
      <w:r w:rsidR="00DF50C5" w:rsidRPr="005E655B">
        <w:rPr>
          <w:rFonts w:ascii="Times New Roman" w:hAnsi="Times New Roman" w:cs="Times New Roman"/>
          <w:sz w:val="24"/>
          <w:szCs w:val="24"/>
        </w:rPr>
        <w:t xml:space="preserve"> </w:t>
      </w:r>
      <w:r w:rsidR="00E4394B" w:rsidRPr="005E655B">
        <w:rPr>
          <w:rFonts w:ascii="Times New Roman" w:hAnsi="Times New Roman" w:cs="Times New Roman"/>
          <w:sz w:val="24"/>
          <w:szCs w:val="24"/>
        </w:rPr>
        <w:t>proyecciones individuales</w:t>
      </w:r>
      <w:r w:rsidRPr="005E655B">
        <w:rPr>
          <w:rFonts w:ascii="Times New Roman" w:hAnsi="Times New Roman" w:cs="Times New Roman"/>
          <w:sz w:val="24"/>
          <w:szCs w:val="24"/>
        </w:rPr>
        <w:t xml:space="preserve"> de las EED sobre los proyectos de muestra, extrapolada</w:t>
      </w:r>
      <w:r w:rsidR="00E4394B" w:rsidRPr="005E655B">
        <w:rPr>
          <w:rFonts w:ascii="Times New Roman" w:hAnsi="Times New Roman" w:cs="Times New Roman"/>
          <w:sz w:val="24"/>
          <w:szCs w:val="24"/>
        </w:rPr>
        <w:t xml:space="preserve"> al presupuesto total de inversión del Programa</w:t>
      </w:r>
      <w:r w:rsidR="00141B14" w:rsidRPr="005E655B">
        <w:rPr>
          <w:rFonts w:ascii="Times New Roman" w:hAnsi="Times New Roman" w:cs="Times New Roman"/>
          <w:sz w:val="24"/>
          <w:szCs w:val="24"/>
        </w:rPr>
        <w:t>, se ha</w:t>
      </w:r>
      <w:r w:rsidRPr="005E655B">
        <w:rPr>
          <w:rFonts w:ascii="Times New Roman" w:hAnsi="Times New Roman" w:cs="Times New Roman"/>
          <w:sz w:val="24"/>
          <w:szCs w:val="24"/>
        </w:rPr>
        <w:t xml:space="preserve"> </w:t>
      </w:r>
      <w:r w:rsidR="00975078" w:rsidRPr="005E655B">
        <w:rPr>
          <w:rFonts w:ascii="Times New Roman" w:hAnsi="Times New Roman" w:cs="Times New Roman"/>
          <w:sz w:val="24"/>
          <w:szCs w:val="24"/>
        </w:rPr>
        <w:t>obtenido</w:t>
      </w:r>
      <w:r w:rsidRPr="005E655B">
        <w:rPr>
          <w:rFonts w:ascii="Times New Roman" w:hAnsi="Times New Roman" w:cs="Times New Roman"/>
          <w:sz w:val="24"/>
          <w:szCs w:val="24"/>
        </w:rPr>
        <w:t xml:space="preserve"> que el beneficio derivado de los excedentes de los consumidores de electricidad asciende a </w:t>
      </w:r>
      <w:r w:rsidRPr="005E655B">
        <w:rPr>
          <w:rFonts w:ascii="Times New Roman" w:hAnsi="Times New Roman" w:cs="Times New Roman"/>
          <w:b/>
          <w:sz w:val="24"/>
          <w:szCs w:val="24"/>
        </w:rPr>
        <w:t>121.728.956 USD en valor actual</w:t>
      </w:r>
      <w:r w:rsidR="00D830F6" w:rsidRPr="005E655B">
        <w:rPr>
          <w:rFonts w:ascii="Times New Roman" w:hAnsi="Times New Roman" w:cs="Times New Roman"/>
          <w:b/>
          <w:sz w:val="24"/>
          <w:szCs w:val="24"/>
        </w:rPr>
        <w:t xml:space="preserve"> a precios de eficiencia</w:t>
      </w:r>
      <w:r w:rsidR="008A73A2" w:rsidRPr="005E655B">
        <w:rPr>
          <w:rFonts w:ascii="Times New Roman" w:hAnsi="Times New Roman" w:cs="Times New Roman"/>
          <w:sz w:val="24"/>
          <w:szCs w:val="24"/>
        </w:rPr>
        <w:t>.</w:t>
      </w:r>
      <w:r w:rsidRPr="005E655B">
        <w:rPr>
          <w:rFonts w:ascii="Times New Roman" w:hAnsi="Times New Roman" w:cs="Times New Roman"/>
          <w:sz w:val="24"/>
          <w:szCs w:val="24"/>
        </w:rPr>
        <w:t xml:space="preserve"> El desglose de este importe por componentes se muestra en el cuadro siguiente.</w:t>
      </w:r>
    </w:p>
    <w:p w:rsidR="008A73A2" w:rsidRDefault="008A73A2" w:rsidP="000032C5">
      <w:pPr>
        <w:pStyle w:val="Caption"/>
        <w:spacing w:before="120" w:after="120"/>
        <w:ind w:left="288"/>
        <w:rPr>
          <w:sz w:val="24"/>
          <w:szCs w:val="24"/>
          <w:lang w:val="es-ES"/>
        </w:rPr>
      </w:pPr>
      <w:r w:rsidRPr="005E655B">
        <w:rPr>
          <w:sz w:val="24"/>
          <w:szCs w:val="24"/>
          <w:lang w:val="es-ES"/>
        </w:rPr>
        <w:t xml:space="preserve">Cuadro </w:t>
      </w:r>
      <w:r w:rsidRPr="005E655B">
        <w:rPr>
          <w:sz w:val="24"/>
          <w:szCs w:val="24"/>
          <w:lang w:val="es-ES"/>
        </w:rPr>
        <w:fldChar w:fldCharType="begin"/>
      </w:r>
      <w:r w:rsidRPr="005E655B">
        <w:rPr>
          <w:sz w:val="24"/>
          <w:szCs w:val="24"/>
          <w:lang w:val="es-ES"/>
        </w:rPr>
        <w:instrText xml:space="preserve"> SEQ Tableau \* ARABIC </w:instrText>
      </w:r>
      <w:r w:rsidRPr="005E655B">
        <w:rPr>
          <w:sz w:val="24"/>
          <w:szCs w:val="24"/>
          <w:lang w:val="es-ES"/>
        </w:rPr>
        <w:fldChar w:fldCharType="separate"/>
      </w:r>
      <w:r w:rsidR="00596A07">
        <w:rPr>
          <w:noProof/>
          <w:sz w:val="24"/>
          <w:szCs w:val="24"/>
          <w:lang w:val="es-ES"/>
        </w:rPr>
        <w:t>4</w:t>
      </w:r>
      <w:r w:rsidRPr="005E655B">
        <w:rPr>
          <w:sz w:val="24"/>
          <w:szCs w:val="24"/>
          <w:lang w:val="es-ES"/>
        </w:rPr>
        <w:fldChar w:fldCharType="end"/>
      </w:r>
      <w:r w:rsidRPr="005E655B">
        <w:rPr>
          <w:sz w:val="24"/>
          <w:szCs w:val="24"/>
          <w:lang w:val="es-ES"/>
        </w:rPr>
        <w:t xml:space="preserve">. </w:t>
      </w:r>
      <w:r w:rsidR="00F34762" w:rsidRPr="005E655B">
        <w:rPr>
          <w:sz w:val="24"/>
          <w:szCs w:val="24"/>
          <w:lang w:val="es-ES"/>
        </w:rPr>
        <w:t>Excedentes del Consumidor</w:t>
      </w:r>
    </w:p>
    <w:p w:rsidR="00CB01F3" w:rsidRDefault="005E655B" w:rsidP="00111B63">
      <w:pPr>
        <w:pStyle w:val="ListParagraph"/>
        <w:autoSpaceDE w:val="0"/>
        <w:autoSpaceDN w:val="0"/>
        <w:adjustRightInd w:val="0"/>
        <w:spacing w:before="120" w:after="120" w:line="240" w:lineRule="auto"/>
        <w:jc w:val="both"/>
        <w:rPr>
          <w:rFonts w:ascii="Times New Roman" w:hAnsi="Times New Roman" w:cs="Times New Roman"/>
          <w:sz w:val="24"/>
          <w:szCs w:val="24"/>
        </w:rPr>
      </w:pPr>
      <w:r w:rsidRPr="005E655B">
        <w:rPr>
          <w:rFonts w:ascii="Times New Roman" w:hAnsi="Times New Roman" w:cs="Times New Roman"/>
          <w:noProof/>
          <w:sz w:val="24"/>
          <w:szCs w:val="24"/>
          <w:lang w:val="en-US"/>
        </w:rPr>
        <w:drawing>
          <wp:anchor distT="0" distB="0" distL="114300" distR="114300" simplePos="0" relativeHeight="251698176" behindDoc="0" locked="0" layoutInCell="1" allowOverlap="1" wp14:anchorId="4460D283" wp14:editId="5178B94A">
            <wp:simplePos x="0" y="0"/>
            <wp:positionH relativeFrom="column">
              <wp:posOffset>180340</wp:posOffset>
            </wp:positionH>
            <wp:positionV relativeFrom="paragraph">
              <wp:posOffset>69850</wp:posOffset>
            </wp:positionV>
            <wp:extent cx="5400040" cy="1616075"/>
            <wp:effectExtent l="0" t="0" r="0" b="3175"/>
            <wp:wrapTopAndBottom/>
            <wp:docPr id="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616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319F" w:rsidRPr="005E655B" w:rsidRDefault="00C64E01" w:rsidP="000032C5">
      <w:pPr>
        <w:pStyle w:val="ListParagraph"/>
        <w:numPr>
          <w:ilvl w:val="1"/>
          <w:numId w:val="1"/>
        </w:numPr>
        <w:autoSpaceDE w:val="0"/>
        <w:autoSpaceDN w:val="0"/>
        <w:adjustRightInd w:val="0"/>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 xml:space="preserve">Como resumen de las proyecciones realizadas </w:t>
      </w:r>
      <w:r w:rsidR="00E07AE1" w:rsidRPr="005E655B">
        <w:rPr>
          <w:rFonts w:ascii="Times New Roman" w:hAnsi="Times New Roman" w:cs="Times New Roman"/>
          <w:sz w:val="24"/>
          <w:szCs w:val="24"/>
        </w:rPr>
        <w:t xml:space="preserve">para </w:t>
      </w:r>
      <w:r w:rsidRPr="005E655B">
        <w:rPr>
          <w:rFonts w:ascii="Times New Roman" w:hAnsi="Times New Roman" w:cs="Times New Roman"/>
          <w:sz w:val="24"/>
          <w:szCs w:val="24"/>
        </w:rPr>
        <w:t>el periodo de análisis</w:t>
      </w:r>
      <w:r w:rsidR="009C319F" w:rsidRPr="005E655B">
        <w:rPr>
          <w:rFonts w:ascii="Times New Roman" w:hAnsi="Times New Roman" w:cs="Times New Roman"/>
          <w:sz w:val="24"/>
          <w:szCs w:val="24"/>
        </w:rPr>
        <w:t xml:space="preserve">, al final del documento se presenta </w:t>
      </w:r>
      <w:r w:rsidR="00E07AE1" w:rsidRPr="005E655B">
        <w:rPr>
          <w:rFonts w:ascii="Times New Roman" w:hAnsi="Times New Roman" w:cs="Times New Roman"/>
          <w:sz w:val="24"/>
          <w:szCs w:val="24"/>
        </w:rPr>
        <w:t>el</w:t>
      </w:r>
      <w:r w:rsidR="009C319F" w:rsidRPr="005E655B">
        <w:rPr>
          <w:rFonts w:ascii="Times New Roman" w:hAnsi="Times New Roman" w:cs="Times New Roman"/>
          <w:sz w:val="24"/>
          <w:szCs w:val="24"/>
        </w:rPr>
        <w:t xml:space="preserve"> Anexo I de </w:t>
      </w:r>
      <w:r w:rsidR="00D830F6" w:rsidRPr="005E655B">
        <w:rPr>
          <w:rFonts w:ascii="Times New Roman" w:hAnsi="Times New Roman" w:cs="Times New Roman"/>
          <w:sz w:val="24"/>
          <w:szCs w:val="24"/>
        </w:rPr>
        <w:t xml:space="preserve">Cuadro </w:t>
      </w:r>
      <w:r w:rsidR="009C319F" w:rsidRPr="005E655B">
        <w:rPr>
          <w:rFonts w:ascii="Times New Roman" w:hAnsi="Times New Roman" w:cs="Times New Roman"/>
          <w:sz w:val="24"/>
          <w:szCs w:val="24"/>
        </w:rPr>
        <w:t>Resumen de Flujos Económicos.</w:t>
      </w:r>
    </w:p>
    <w:p w:rsidR="00E0249E" w:rsidRPr="005E655B" w:rsidRDefault="00E0249E" w:rsidP="000032C5">
      <w:pPr>
        <w:pStyle w:val="ListParagraph"/>
        <w:autoSpaceDE w:val="0"/>
        <w:autoSpaceDN w:val="0"/>
        <w:adjustRightInd w:val="0"/>
        <w:spacing w:before="120" w:after="120" w:line="240" w:lineRule="auto"/>
        <w:jc w:val="both"/>
        <w:rPr>
          <w:rFonts w:ascii="Times New Roman" w:hAnsi="Times New Roman" w:cs="Times New Roman"/>
          <w:i/>
          <w:sz w:val="24"/>
          <w:szCs w:val="24"/>
        </w:rPr>
      </w:pPr>
    </w:p>
    <w:p w:rsidR="00A91426" w:rsidRPr="005E655B" w:rsidRDefault="005E655B" w:rsidP="000032C5">
      <w:pPr>
        <w:pStyle w:val="ListParagraph"/>
        <w:numPr>
          <w:ilvl w:val="1"/>
          <w:numId w:val="1"/>
        </w:numPr>
        <w:autoSpaceDE w:val="0"/>
        <w:autoSpaceDN w:val="0"/>
        <w:adjustRightInd w:val="0"/>
        <w:spacing w:before="120" w:after="120" w:line="240" w:lineRule="auto"/>
        <w:ind w:hanging="578"/>
        <w:jc w:val="both"/>
        <w:rPr>
          <w:rFonts w:ascii="Times New Roman" w:hAnsi="Times New Roman" w:cs="Times New Roman"/>
          <w:i/>
          <w:sz w:val="24"/>
          <w:szCs w:val="24"/>
        </w:rPr>
      </w:pPr>
      <w:r w:rsidRPr="005E655B">
        <w:rPr>
          <w:rFonts w:ascii="Times New Roman" w:hAnsi="Times New Roman" w:cs="Times New Roman"/>
          <w:b/>
          <w:sz w:val="24"/>
          <w:szCs w:val="24"/>
        </w:rPr>
        <w:t>Disminución de las pérdidas técnicas</w:t>
      </w:r>
      <w:r>
        <w:rPr>
          <w:rFonts w:ascii="Times New Roman" w:hAnsi="Times New Roman" w:cs="Times New Roman"/>
          <w:sz w:val="24"/>
          <w:szCs w:val="24"/>
        </w:rPr>
        <w:t xml:space="preserve">. </w:t>
      </w:r>
      <w:r w:rsidR="00635864" w:rsidRPr="005E655B">
        <w:rPr>
          <w:rFonts w:ascii="Times New Roman" w:hAnsi="Times New Roman" w:cs="Times New Roman"/>
          <w:sz w:val="24"/>
          <w:szCs w:val="24"/>
        </w:rPr>
        <w:t>Las pérdidas</w:t>
      </w:r>
      <w:r w:rsidR="00E0249E" w:rsidRPr="005E655B">
        <w:rPr>
          <w:rFonts w:ascii="Times New Roman" w:hAnsi="Times New Roman" w:cs="Times New Roman"/>
          <w:sz w:val="24"/>
          <w:szCs w:val="24"/>
        </w:rPr>
        <w:t xml:space="preserve"> </w:t>
      </w:r>
      <w:r w:rsidR="00DF50C5" w:rsidRPr="005E655B">
        <w:rPr>
          <w:rFonts w:ascii="Times New Roman" w:hAnsi="Times New Roman" w:cs="Times New Roman"/>
          <w:sz w:val="24"/>
          <w:szCs w:val="24"/>
        </w:rPr>
        <w:t>técnica</w:t>
      </w:r>
      <w:r w:rsidR="00705DBD" w:rsidRPr="005E655B">
        <w:rPr>
          <w:rFonts w:ascii="Times New Roman" w:hAnsi="Times New Roman" w:cs="Times New Roman"/>
          <w:sz w:val="24"/>
          <w:szCs w:val="24"/>
        </w:rPr>
        <w:t>s</w:t>
      </w:r>
      <w:r w:rsidR="00DF50C5" w:rsidRPr="005E655B">
        <w:rPr>
          <w:rFonts w:ascii="Times New Roman" w:hAnsi="Times New Roman" w:cs="Times New Roman"/>
          <w:sz w:val="24"/>
          <w:szCs w:val="24"/>
        </w:rPr>
        <w:t xml:space="preserve"> </w:t>
      </w:r>
      <w:r w:rsidR="00635864" w:rsidRPr="005E655B">
        <w:rPr>
          <w:rFonts w:ascii="Times New Roman" w:hAnsi="Times New Roman" w:cs="Times New Roman"/>
          <w:sz w:val="24"/>
          <w:szCs w:val="24"/>
        </w:rPr>
        <w:t xml:space="preserve">son las que se </w:t>
      </w:r>
      <w:r w:rsidR="00E0249E" w:rsidRPr="005E655B">
        <w:rPr>
          <w:rFonts w:ascii="Times New Roman" w:hAnsi="Times New Roman" w:cs="Times New Roman"/>
          <w:sz w:val="24"/>
          <w:szCs w:val="24"/>
        </w:rPr>
        <w:t xml:space="preserve">producen debido </w:t>
      </w:r>
      <w:r w:rsidR="00635864" w:rsidRPr="005E655B">
        <w:rPr>
          <w:rFonts w:ascii="Times New Roman" w:hAnsi="Times New Roman" w:cs="Times New Roman"/>
          <w:sz w:val="24"/>
          <w:szCs w:val="24"/>
        </w:rPr>
        <w:t xml:space="preserve">a defectos en </w:t>
      </w:r>
      <w:r w:rsidR="00705DBD" w:rsidRPr="005E655B">
        <w:rPr>
          <w:rFonts w:ascii="Times New Roman" w:hAnsi="Times New Roman" w:cs="Times New Roman"/>
          <w:sz w:val="24"/>
          <w:szCs w:val="24"/>
        </w:rPr>
        <w:t xml:space="preserve">la capacidad </w:t>
      </w:r>
      <w:r w:rsidR="00635864" w:rsidRPr="005E655B">
        <w:rPr>
          <w:rFonts w:ascii="Times New Roman" w:hAnsi="Times New Roman" w:cs="Times New Roman"/>
          <w:sz w:val="24"/>
          <w:szCs w:val="24"/>
        </w:rPr>
        <w:t xml:space="preserve">o </w:t>
      </w:r>
      <w:r w:rsidR="00705DBD" w:rsidRPr="005E655B">
        <w:rPr>
          <w:rFonts w:ascii="Times New Roman" w:hAnsi="Times New Roman" w:cs="Times New Roman"/>
          <w:sz w:val="24"/>
          <w:szCs w:val="24"/>
        </w:rPr>
        <w:t xml:space="preserve">en el </w:t>
      </w:r>
      <w:r w:rsidR="00635864" w:rsidRPr="005E655B">
        <w:rPr>
          <w:rFonts w:ascii="Times New Roman" w:hAnsi="Times New Roman" w:cs="Times New Roman"/>
          <w:sz w:val="24"/>
          <w:szCs w:val="24"/>
        </w:rPr>
        <w:t xml:space="preserve">funcionamiento de </w:t>
      </w:r>
      <w:r w:rsidR="00E0249E" w:rsidRPr="005E655B">
        <w:rPr>
          <w:rFonts w:ascii="Times New Roman" w:hAnsi="Times New Roman" w:cs="Times New Roman"/>
          <w:sz w:val="24"/>
          <w:szCs w:val="24"/>
        </w:rPr>
        <w:t>las infraestructuras</w:t>
      </w:r>
      <w:r w:rsidR="00B259BC" w:rsidRPr="005E655B">
        <w:rPr>
          <w:rFonts w:ascii="Times New Roman" w:hAnsi="Times New Roman" w:cs="Times New Roman"/>
          <w:sz w:val="24"/>
          <w:szCs w:val="24"/>
        </w:rPr>
        <w:t xml:space="preserve"> </w:t>
      </w:r>
      <w:r w:rsidR="00705DBD" w:rsidRPr="005E655B">
        <w:rPr>
          <w:rFonts w:ascii="Times New Roman" w:hAnsi="Times New Roman" w:cs="Times New Roman"/>
          <w:sz w:val="24"/>
          <w:szCs w:val="24"/>
        </w:rPr>
        <w:t xml:space="preserve">que </w:t>
      </w:r>
      <w:r w:rsidR="00CE0223" w:rsidRPr="005E655B">
        <w:rPr>
          <w:rFonts w:ascii="Times New Roman" w:hAnsi="Times New Roman" w:cs="Times New Roman"/>
          <w:sz w:val="24"/>
          <w:szCs w:val="24"/>
        </w:rPr>
        <w:t>dan</w:t>
      </w:r>
      <w:r w:rsidR="00705DBD" w:rsidRPr="005E655B">
        <w:rPr>
          <w:rFonts w:ascii="Times New Roman" w:hAnsi="Times New Roman" w:cs="Times New Roman"/>
          <w:sz w:val="24"/>
          <w:szCs w:val="24"/>
        </w:rPr>
        <w:t xml:space="preserve"> acceso al servicio eléctrico por parte de los hogares beneficiarios del Programa</w:t>
      </w:r>
      <w:r w:rsidR="00A91426" w:rsidRPr="005E655B">
        <w:rPr>
          <w:rFonts w:ascii="Times New Roman" w:hAnsi="Times New Roman" w:cs="Times New Roman"/>
          <w:sz w:val="24"/>
          <w:szCs w:val="24"/>
        </w:rPr>
        <w:t>.</w:t>
      </w:r>
      <w:r w:rsidR="00635864" w:rsidRPr="005E655B">
        <w:rPr>
          <w:rFonts w:ascii="Times New Roman" w:hAnsi="Times New Roman" w:cs="Times New Roman"/>
          <w:sz w:val="24"/>
          <w:szCs w:val="24"/>
        </w:rPr>
        <w:t xml:space="preserve"> La ejecución del </w:t>
      </w:r>
      <w:r w:rsidR="00B259BC" w:rsidRPr="005E655B">
        <w:rPr>
          <w:rFonts w:ascii="Times New Roman" w:hAnsi="Times New Roman" w:cs="Times New Roman"/>
          <w:sz w:val="24"/>
          <w:szCs w:val="24"/>
        </w:rPr>
        <w:t>Pro</w:t>
      </w:r>
      <w:r w:rsidR="00CE0223" w:rsidRPr="005E655B">
        <w:rPr>
          <w:rFonts w:ascii="Times New Roman" w:hAnsi="Times New Roman" w:cs="Times New Roman"/>
          <w:sz w:val="24"/>
          <w:szCs w:val="24"/>
        </w:rPr>
        <w:t>grama</w:t>
      </w:r>
      <w:r w:rsidR="00B259BC" w:rsidRPr="005E655B">
        <w:rPr>
          <w:rFonts w:ascii="Times New Roman" w:hAnsi="Times New Roman" w:cs="Times New Roman"/>
          <w:sz w:val="24"/>
          <w:szCs w:val="24"/>
        </w:rPr>
        <w:t xml:space="preserve"> permitirá que se genere</w:t>
      </w:r>
      <w:r w:rsidR="008D0428" w:rsidRPr="005E655B">
        <w:rPr>
          <w:rFonts w:ascii="Times New Roman" w:hAnsi="Times New Roman" w:cs="Times New Roman"/>
          <w:sz w:val="24"/>
          <w:szCs w:val="24"/>
        </w:rPr>
        <w:t xml:space="preserve"> un beneficio econó</w:t>
      </w:r>
      <w:r w:rsidR="00B259BC" w:rsidRPr="005E655B">
        <w:rPr>
          <w:rFonts w:ascii="Times New Roman" w:hAnsi="Times New Roman" w:cs="Times New Roman"/>
          <w:sz w:val="24"/>
          <w:szCs w:val="24"/>
        </w:rPr>
        <w:t xml:space="preserve">mico en la medida que </w:t>
      </w:r>
      <w:r w:rsidR="00CE0223" w:rsidRPr="005E655B">
        <w:rPr>
          <w:rFonts w:ascii="Times New Roman" w:hAnsi="Times New Roman" w:cs="Times New Roman"/>
          <w:sz w:val="24"/>
          <w:szCs w:val="24"/>
        </w:rPr>
        <w:t xml:space="preserve">este </w:t>
      </w:r>
      <w:r w:rsidR="00705DBD" w:rsidRPr="005E655B">
        <w:rPr>
          <w:rFonts w:ascii="Times New Roman" w:hAnsi="Times New Roman" w:cs="Times New Roman"/>
          <w:sz w:val="24"/>
          <w:szCs w:val="24"/>
        </w:rPr>
        <w:t xml:space="preserve">mejorará la capacidad </w:t>
      </w:r>
      <w:r w:rsidR="00CE0223" w:rsidRPr="005E655B">
        <w:rPr>
          <w:rFonts w:ascii="Times New Roman" w:hAnsi="Times New Roman" w:cs="Times New Roman"/>
          <w:sz w:val="24"/>
          <w:szCs w:val="24"/>
        </w:rPr>
        <w:t>física habilitada</w:t>
      </w:r>
      <w:r w:rsidR="00705DBD" w:rsidRPr="005E655B">
        <w:rPr>
          <w:rFonts w:ascii="Times New Roman" w:hAnsi="Times New Roman" w:cs="Times New Roman"/>
          <w:sz w:val="24"/>
          <w:szCs w:val="24"/>
        </w:rPr>
        <w:t xml:space="preserve"> </w:t>
      </w:r>
      <w:r w:rsidR="00CE0223" w:rsidRPr="005E655B">
        <w:rPr>
          <w:rFonts w:ascii="Times New Roman" w:hAnsi="Times New Roman" w:cs="Times New Roman"/>
          <w:sz w:val="24"/>
          <w:szCs w:val="24"/>
        </w:rPr>
        <w:t>así como la capacidad</w:t>
      </w:r>
      <w:r w:rsidR="00705DBD" w:rsidRPr="005E655B">
        <w:rPr>
          <w:rFonts w:ascii="Times New Roman" w:hAnsi="Times New Roman" w:cs="Times New Roman"/>
          <w:sz w:val="24"/>
          <w:szCs w:val="24"/>
        </w:rPr>
        <w:t xml:space="preserve"> gerencial del SND para disminuir </w:t>
      </w:r>
      <w:r w:rsidR="00E0249E" w:rsidRPr="005E655B">
        <w:rPr>
          <w:rFonts w:ascii="Times New Roman" w:hAnsi="Times New Roman" w:cs="Times New Roman"/>
          <w:sz w:val="24"/>
          <w:szCs w:val="24"/>
        </w:rPr>
        <w:t>estas pérdidas</w:t>
      </w:r>
      <w:r w:rsidR="00F6096F" w:rsidRPr="005E655B">
        <w:rPr>
          <w:rFonts w:ascii="Times New Roman" w:hAnsi="Times New Roman" w:cs="Times New Roman"/>
          <w:sz w:val="24"/>
          <w:szCs w:val="24"/>
        </w:rPr>
        <w:t>.</w:t>
      </w:r>
    </w:p>
    <w:p w:rsidR="003673A9" w:rsidRPr="005E655B" w:rsidRDefault="003673A9" w:rsidP="000032C5">
      <w:pPr>
        <w:pStyle w:val="ListParagraph"/>
        <w:autoSpaceDE w:val="0"/>
        <w:autoSpaceDN w:val="0"/>
        <w:adjustRightInd w:val="0"/>
        <w:spacing w:before="120" w:after="120" w:line="240" w:lineRule="auto"/>
        <w:jc w:val="both"/>
        <w:rPr>
          <w:rFonts w:ascii="Times New Roman" w:hAnsi="Times New Roman" w:cs="Times New Roman"/>
          <w:i/>
          <w:sz w:val="24"/>
          <w:szCs w:val="24"/>
        </w:rPr>
      </w:pPr>
    </w:p>
    <w:p w:rsidR="00E0249E" w:rsidRPr="005E655B" w:rsidRDefault="00CE0223" w:rsidP="000032C5">
      <w:pPr>
        <w:pStyle w:val="ListParagraph"/>
        <w:numPr>
          <w:ilvl w:val="1"/>
          <w:numId w:val="1"/>
        </w:numPr>
        <w:autoSpaceDE w:val="0"/>
        <w:autoSpaceDN w:val="0"/>
        <w:adjustRightInd w:val="0"/>
        <w:spacing w:before="120" w:after="120" w:line="240" w:lineRule="auto"/>
        <w:ind w:hanging="578"/>
        <w:jc w:val="both"/>
        <w:rPr>
          <w:rFonts w:ascii="Times New Roman" w:hAnsi="Times New Roman" w:cs="Times New Roman"/>
          <w:i/>
          <w:sz w:val="24"/>
          <w:szCs w:val="24"/>
        </w:rPr>
      </w:pPr>
      <w:r w:rsidRPr="005E655B">
        <w:rPr>
          <w:rFonts w:ascii="Times New Roman" w:hAnsi="Times New Roman" w:cs="Times New Roman"/>
          <w:sz w:val="24"/>
          <w:szCs w:val="24"/>
        </w:rPr>
        <w:t xml:space="preserve">Las </w:t>
      </w:r>
      <w:r w:rsidR="00AE222A" w:rsidRPr="005E655B">
        <w:rPr>
          <w:rFonts w:ascii="Times New Roman" w:hAnsi="Times New Roman" w:cs="Times New Roman"/>
          <w:sz w:val="24"/>
          <w:szCs w:val="24"/>
        </w:rPr>
        <w:t xml:space="preserve">pérdidas </w:t>
      </w:r>
      <w:r w:rsidRPr="005E655B">
        <w:rPr>
          <w:rFonts w:ascii="Times New Roman" w:hAnsi="Times New Roman" w:cs="Times New Roman"/>
          <w:sz w:val="24"/>
          <w:szCs w:val="24"/>
        </w:rPr>
        <w:t xml:space="preserve">técnicas </w:t>
      </w:r>
      <w:r w:rsidR="00AE222A" w:rsidRPr="005E655B">
        <w:rPr>
          <w:rFonts w:ascii="Times New Roman" w:hAnsi="Times New Roman" w:cs="Times New Roman"/>
          <w:sz w:val="24"/>
          <w:szCs w:val="24"/>
        </w:rPr>
        <w:t>se han estimado</w:t>
      </w:r>
      <w:r w:rsidR="002063F7" w:rsidRPr="005E655B">
        <w:rPr>
          <w:rFonts w:ascii="Times New Roman" w:hAnsi="Times New Roman" w:cs="Times New Roman"/>
          <w:sz w:val="24"/>
          <w:szCs w:val="24"/>
        </w:rPr>
        <w:t>,</w:t>
      </w:r>
      <w:r w:rsidR="00AE222A" w:rsidRPr="005E655B">
        <w:rPr>
          <w:rFonts w:ascii="Times New Roman" w:hAnsi="Times New Roman" w:cs="Times New Roman"/>
          <w:sz w:val="24"/>
          <w:szCs w:val="24"/>
        </w:rPr>
        <w:t xml:space="preserve"> para cada proyecto </w:t>
      </w:r>
      <w:r w:rsidR="002063F7" w:rsidRPr="005E655B">
        <w:rPr>
          <w:rFonts w:ascii="Times New Roman" w:hAnsi="Times New Roman" w:cs="Times New Roman"/>
          <w:sz w:val="24"/>
          <w:szCs w:val="24"/>
        </w:rPr>
        <w:t xml:space="preserve">de </w:t>
      </w:r>
      <w:r w:rsidRPr="005E655B">
        <w:rPr>
          <w:rFonts w:ascii="Times New Roman" w:hAnsi="Times New Roman" w:cs="Times New Roman"/>
          <w:sz w:val="24"/>
          <w:szCs w:val="24"/>
        </w:rPr>
        <w:t xml:space="preserve">la </w:t>
      </w:r>
      <w:r w:rsidR="002063F7" w:rsidRPr="005E655B">
        <w:rPr>
          <w:rFonts w:ascii="Times New Roman" w:hAnsi="Times New Roman" w:cs="Times New Roman"/>
          <w:sz w:val="24"/>
          <w:szCs w:val="24"/>
        </w:rPr>
        <w:t xml:space="preserve">muestra, con base en </w:t>
      </w:r>
      <w:r w:rsidR="00AE222A" w:rsidRPr="005E655B">
        <w:rPr>
          <w:rFonts w:ascii="Times New Roman" w:hAnsi="Times New Roman" w:cs="Times New Roman"/>
          <w:sz w:val="24"/>
          <w:szCs w:val="24"/>
        </w:rPr>
        <w:t xml:space="preserve">la disminución </w:t>
      </w:r>
      <w:r w:rsidR="002063F7" w:rsidRPr="005E655B">
        <w:rPr>
          <w:rFonts w:ascii="Times New Roman" w:hAnsi="Times New Roman" w:cs="Times New Roman"/>
          <w:sz w:val="24"/>
          <w:szCs w:val="24"/>
        </w:rPr>
        <w:t xml:space="preserve">anual </w:t>
      </w:r>
      <w:r w:rsidR="00AE222A" w:rsidRPr="005E655B">
        <w:rPr>
          <w:rFonts w:ascii="Times New Roman" w:hAnsi="Times New Roman" w:cs="Times New Roman"/>
          <w:sz w:val="24"/>
          <w:szCs w:val="24"/>
        </w:rPr>
        <w:t xml:space="preserve">de </w:t>
      </w:r>
      <w:r w:rsidR="002063F7" w:rsidRPr="005E655B">
        <w:rPr>
          <w:rFonts w:ascii="Times New Roman" w:hAnsi="Times New Roman" w:cs="Times New Roman"/>
          <w:sz w:val="24"/>
          <w:szCs w:val="24"/>
        </w:rPr>
        <w:t xml:space="preserve">las </w:t>
      </w:r>
      <w:r w:rsidR="00AE222A" w:rsidRPr="005E655B">
        <w:rPr>
          <w:rFonts w:ascii="Times New Roman" w:hAnsi="Times New Roman" w:cs="Times New Roman"/>
          <w:sz w:val="24"/>
          <w:szCs w:val="24"/>
        </w:rPr>
        <w:t xml:space="preserve">pérdidas </w:t>
      </w:r>
      <w:r w:rsidR="002063F7" w:rsidRPr="005E655B">
        <w:rPr>
          <w:rFonts w:ascii="Times New Roman" w:hAnsi="Times New Roman" w:cs="Times New Roman"/>
          <w:sz w:val="24"/>
          <w:szCs w:val="24"/>
        </w:rPr>
        <w:t>técnicas</w:t>
      </w:r>
      <w:r w:rsidRPr="005E655B">
        <w:rPr>
          <w:rFonts w:ascii="Times New Roman" w:hAnsi="Times New Roman" w:cs="Times New Roman"/>
          <w:sz w:val="24"/>
          <w:szCs w:val="24"/>
        </w:rPr>
        <w:t xml:space="preserve"> que se ha conseguido alcanzar en los últimos años con respecto a</w:t>
      </w:r>
      <w:r w:rsidR="002063F7" w:rsidRPr="005E655B">
        <w:rPr>
          <w:rFonts w:ascii="Times New Roman" w:hAnsi="Times New Roman" w:cs="Times New Roman"/>
          <w:sz w:val="24"/>
          <w:szCs w:val="24"/>
        </w:rPr>
        <w:t xml:space="preserve"> la energía disponible en el sistema, </w:t>
      </w:r>
      <w:r w:rsidRPr="005E655B">
        <w:rPr>
          <w:rFonts w:ascii="Times New Roman" w:hAnsi="Times New Roman" w:cs="Times New Roman"/>
          <w:sz w:val="24"/>
          <w:szCs w:val="24"/>
        </w:rPr>
        <w:t xml:space="preserve">y teniendo en cuenta </w:t>
      </w:r>
      <w:r w:rsidR="002063F7" w:rsidRPr="005E655B">
        <w:rPr>
          <w:rFonts w:ascii="Times New Roman" w:hAnsi="Times New Roman" w:cs="Times New Roman"/>
          <w:sz w:val="24"/>
          <w:szCs w:val="24"/>
        </w:rPr>
        <w:t xml:space="preserve">el costo </w:t>
      </w:r>
      <w:r w:rsidRPr="005E655B">
        <w:rPr>
          <w:rFonts w:ascii="Times New Roman" w:hAnsi="Times New Roman" w:cs="Times New Roman"/>
          <w:sz w:val="24"/>
          <w:szCs w:val="24"/>
        </w:rPr>
        <w:t xml:space="preserve">unitario </w:t>
      </w:r>
      <w:r w:rsidR="002063F7" w:rsidRPr="005E655B">
        <w:rPr>
          <w:rFonts w:ascii="Times New Roman" w:hAnsi="Times New Roman" w:cs="Times New Roman"/>
          <w:sz w:val="24"/>
          <w:szCs w:val="24"/>
        </w:rPr>
        <w:t>de generación y trasmisión de la energía</w:t>
      </w:r>
      <w:r w:rsidR="00E0249E" w:rsidRPr="005E655B">
        <w:rPr>
          <w:rFonts w:ascii="Times New Roman" w:hAnsi="Times New Roman" w:cs="Times New Roman"/>
          <w:sz w:val="24"/>
          <w:szCs w:val="24"/>
        </w:rPr>
        <w:t>.</w:t>
      </w:r>
      <w:r w:rsidR="00F0605B" w:rsidRPr="005E655B">
        <w:rPr>
          <w:rFonts w:ascii="Times New Roman" w:hAnsi="Times New Roman" w:cs="Times New Roman"/>
          <w:sz w:val="24"/>
          <w:szCs w:val="24"/>
        </w:rPr>
        <w:t xml:space="preserve"> Estas hipótesis son específicas a cada una de las EED.</w:t>
      </w:r>
    </w:p>
    <w:p w:rsidR="00141B14" w:rsidRPr="005E655B" w:rsidRDefault="00141B14" w:rsidP="000032C5">
      <w:pPr>
        <w:pStyle w:val="ListParagraph"/>
        <w:spacing w:before="120" w:after="120" w:line="240" w:lineRule="auto"/>
        <w:rPr>
          <w:rFonts w:ascii="Times New Roman" w:hAnsi="Times New Roman" w:cs="Times New Roman"/>
          <w:i/>
          <w:sz w:val="24"/>
          <w:szCs w:val="24"/>
        </w:rPr>
      </w:pPr>
    </w:p>
    <w:p w:rsidR="00141B14" w:rsidRPr="005E655B" w:rsidRDefault="00141B14" w:rsidP="000032C5">
      <w:pPr>
        <w:pStyle w:val="ListParagraph"/>
        <w:numPr>
          <w:ilvl w:val="1"/>
          <w:numId w:val="1"/>
        </w:numPr>
        <w:autoSpaceDE w:val="0"/>
        <w:autoSpaceDN w:val="0"/>
        <w:adjustRightInd w:val="0"/>
        <w:spacing w:before="120" w:after="120" w:line="240" w:lineRule="auto"/>
        <w:ind w:hanging="578"/>
        <w:jc w:val="both"/>
        <w:rPr>
          <w:rFonts w:ascii="Times New Roman" w:hAnsi="Times New Roman" w:cs="Times New Roman"/>
          <w:i/>
          <w:sz w:val="24"/>
          <w:szCs w:val="24"/>
        </w:rPr>
      </w:pPr>
      <w:r w:rsidRPr="005E655B">
        <w:rPr>
          <w:rFonts w:ascii="Times New Roman" w:hAnsi="Times New Roman" w:cs="Times New Roman"/>
          <w:sz w:val="24"/>
          <w:szCs w:val="24"/>
        </w:rPr>
        <w:t>De la suma de las proyecciones individuales de las EED sobre los proyectos de muestra, extrapolada</w:t>
      </w:r>
      <w:r w:rsidR="00CE0223" w:rsidRPr="005E655B">
        <w:rPr>
          <w:rFonts w:ascii="Times New Roman" w:hAnsi="Times New Roman" w:cs="Times New Roman"/>
          <w:sz w:val="24"/>
          <w:szCs w:val="24"/>
        </w:rPr>
        <w:t>s</w:t>
      </w:r>
      <w:r w:rsidRPr="005E655B">
        <w:rPr>
          <w:rFonts w:ascii="Times New Roman" w:hAnsi="Times New Roman" w:cs="Times New Roman"/>
          <w:sz w:val="24"/>
          <w:szCs w:val="24"/>
        </w:rPr>
        <w:t xml:space="preserve"> al presupuesto total de inversión del Programa, se ha </w:t>
      </w:r>
      <w:r w:rsidR="00975078" w:rsidRPr="005E655B">
        <w:rPr>
          <w:rFonts w:ascii="Times New Roman" w:hAnsi="Times New Roman" w:cs="Times New Roman"/>
          <w:sz w:val="24"/>
          <w:szCs w:val="24"/>
        </w:rPr>
        <w:t>obtenido</w:t>
      </w:r>
      <w:r w:rsidRPr="005E655B">
        <w:rPr>
          <w:rFonts w:ascii="Times New Roman" w:hAnsi="Times New Roman" w:cs="Times New Roman"/>
          <w:sz w:val="24"/>
          <w:szCs w:val="24"/>
        </w:rPr>
        <w:t xml:space="preserve"> que el beneficio derivado de la disminución de pérdidas técnicas de electricidad asciende a </w:t>
      </w:r>
      <w:r w:rsidRPr="005E655B">
        <w:rPr>
          <w:rFonts w:ascii="Times New Roman" w:hAnsi="Times New Roman" w:cs="Times New Roman"/>
          <w:b/>
          <w:sz w:val="24"/>
          <w:szCs w:val="24"/>
        </w:rPr>
        <w:t>118.260.572 USD en valor actual a precios de eficiencia</w:t>
      </w:r>
      <w:r w:rsidRPr="005E655B">
        <w:rPr>
          <w:rFonts w:ascii="Times New Roman" w:hAnsi="Times New Roman" w:cs="Times New Roman"/>
          <w:sz w:val="24"/>
          <w:szCs w:val="24"/>
        </w:rPr>
        <w:t>. El desglose de este importe por componentes se muestra en el cuadro siguiente.</w:t>
      </w:r>
    </w:p>
    <w:p w:rsidR="00CB01F3" w:rsidRDefault="00CB01F3">
      <w:pPr>
        <w:rPr>
          <w:rFonts w:ascii="Times New Roman" w:eastAsia="Times New Roman" w:hAnsi="Times New Roman" w:cs="Times New Roman"/>
          <w:b/>
          <w:bCs/>
          <w:i/>
          <w:sz w:val="24"/>
          <w:szCs w:val="24"/>
          <w:lang w:val="es-ES_tradnl" w:eastAsia="es-ES_tradnl"/>
        </w:rPr>
      </w:pPr>
      <w:r>
        <w:rPr>
          <w:i/>
          <w:sz w:val="24"/>
          <w:szCs w:val="24"/>
        </w:rPr>
        <w:br w:type="page"/>
      </w:r>
    </w:p>
    <w:p w:rsidR="00141B14" w:rsidRPr="005E655B" w:rsidRDefault="00141B14" w:rsidP="000032C5">
      <w:pPr>
        <w:pStyle w:val="Caption"/>
        <w:spacing w:before="120" w:after="120"/>
        <w:ind w:left="288"/>
        <w:rPr>
          <w:i/>
          <w:sz w:val="24"/>
          <w:szCs w:val="24"/>
        </w:rPr>
      </w:pPr>
      <w:r w:rsidRPr="005E655B">
        <w:rPr>
          <w:sz w:val="24"/>
          <w:szCs w:val="24"/>
          <w:lang w:val="es-ES"/>
        </w:rPr>
        <w:t xml:space="preserve">Cuadro </w:t>
      </w:r>
      <w:r w:rsidRPr="005E655B">
        <w:rPr>
          <w:sz w:val="24"/>
          <w:szCs w:val="24"/>
          <w:lang w:val="es-ES"/>
        </w:rPr>
        <w:fldChar w:fldCharType="begin"/>
      </w:r>
      <w:r w:rsidRPr="005E655B">
        <w:rPr>
          <w:sz w:val="24"/>
          <w:szCs w:val="24"/>
          <w:lang w:val="es-ES"/>
        </w:rPr>
        <w:instrText xml:space="preserve"> SEQ Tableau \* ARABIC </w:instrText>
      </w:r>
      <w:r w:rsidRPr="005E655B">
        <w:rPr>
          <w:sz w:val="24"/>
          <w:szCs w:val="24"/>
          <w:lang w:val="es-ES"/>
        </w:rPr>
        <w:fldChar w:fldCharType="separate"/>
      </w:r>
      <w:r w:rsidR="00596A07">
        <w:rPr>
          <w:noProof/>
          <w:sz w:val="24"/>
          <w:szCs w:val="24"/>
          <w:lang w:val="es-ES"/>
        </w:rPr>
        <w:t>5</w:t>
      </w:r>
      <w:r w:rsidRPr="005E655B">
        <w:rPr>
          <w:sz w:val="24"/>
          <w:szCs w:val="24"/>
          <w:lang w:val="es-ES"/>
        </w:rPr>
        <w:fldChar w:fldCharType="end"/>
      </w:r>
      <w:r w:rsidRPr="005E655B">
        <w:rPr>
          <w:sz w:val="24"/>
          <w:szCs w:val="24"/>
          <w:lang w:val="es-ES"/>
        </w:rPr>
        <w:t xml:space="preserve">. </w:t>
      </w:r>
      <w:r w:rsidR="00103DD0" w:rsidRPr="005E655B">
        <w:rPr>
          <w:sz w:val="24"/>
          <w:szCs w:val="24"/>
          <w:lang w:val="es-ES"/>
        </w:rPr>
        <w:t>Disminución de Pérdidas Técnicas</w:t>
      </w:r>
    </w:p>
    <w:p w:rsidR="00873826" w:rsidRDefault="005E655B" w:rsidP="000032C5">
      <w:pPr>
        <w:pStyle w:val="ListParagraph"/>
        <w:autoSpaceDE w:val="0"/>
        <w:autoSpaceDN w:val="0"/>
        <w:adjustRightInd w:val="0"/>
        <w:spacing w:before="120" w:after="120" w:line="240" w:lineRule="auto"/>
        <w:ind w:left="288"/>
        <w:jc w:val="both"/>
        <w:rPr>
          <w:rFonts w:ascii="Times New Roman" w:hAnsi="Times New Roman" w:cs="Times New Roman"/>
          <w:b/>
          <w:i/>
          <w:sz w:val="24"/>
          <w:szCs w:val="24"/>
        </w:rPr>
      </w:pPr>
      <w:r w:rsidRPr="005E655B">
        <w:rPr>
          <w:rFonts w:ascii="Times New Roman" w:hAnsi="Times New Roman" w:cs="Times New Roman"/>
          <w:noProof/>
          <w:sz w:val="24"/>
          <w:szCs w:val="24"/>
          <w:lang w:val="en-US"/>
        </w:rPr>
        <w:drawing>
          <wp:anchor distT="0" distB="0" distL="114300" distR="114300" simplePos="0" relativeHeight="251700224" behindDoc="0" locked="0" layoutInCell="1" allowOverlap="1" wp14:anchorId="23A0FE38" wp14:editId="72455F51">
            <wp:simplePos x="0" y="0"/>
            <wp:positionH relativeFrom="column">
              <wp:posOffset>207645</wp:posOffset>
            </wp:positionH>
            <wp:positionV relativeFrom="paragraph">
              <wp:posOffset>158115</wp:posOffset>
            </wp:positionV>
            <wp:extent cx="5400040" cy="1616075"/>
            <wp:effectExtent l="0" t="0" r="0" b="3175"/>
            <wp:wrapTopAndBottom/>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616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506C" w:rsidRPr="005E655B" w:rsidRDefault="003D506C" w:rsidP="000032C5">
      <w:pPr>
        <w:pStyle w:val="ListParagraph"/>
        <w:numPr>
          <w:ilvl w:val="1"/>
          <w:numId w:val="1"/>
        </w:numPr>
        <w:autoSpaceDE w:val="0"/>
        <w:autoSpaceDN w:val="0"/>
        <w:adjustRightInd w:val="0"/>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 xml:space="preserve">Cabe señalar que la diferencia </w:t>
      </w:r>
      <w:r w:rsidR="00CE0223" w:rsidRPr="005E655B">
        <w:rPr>
          <w:rFonts w:ascii="Times New Roman" w:hAnsi="Times New Roman" w:cs="Times New Roman"/>
          <w:sz w:val="24"/>
          <w:szCs w:val="24"/>
        </w:rPr>
        <w:t>significativa existente</w:t>
      </w:r>
      <w:r w:rsidRPr="005E655B">
        <w:rPr>
          <w:rFonts w:ascii="Times New Roman" w:hAnsi="Times New Roman" w:cs="Times New Roman"/>
          <w:sz w:val="24"/>
          <w:szCs w:val="24"/>
        </w:rPr>
        <w:t xml:space="preserve"> entre los importes a precios de mercado y a precios de eficiencia se debe al Factor de Conversión </w:t>
      </w:r>
      <w:r w:rsidR="00C64E01" w:rsidRPr="005E655B">
        <w:rPr>
          <w:rFonts w:ascii="Times New Roman" w:hAnsi="Times New Roman" w:cs="Times New Roman"/>
          <w:sz w:val="24"/>
          <w:szCs w:val="24"/>
        </w:rPr>
        <w:t xml:space="preserve">utilizado </w:t>
      </w:r>
      <w:r w:rsidRPr="005E655B">
        <w:rPr>
          <w:rFonts w:ascii="Times New Roman" w:hAnsi="Times New Roman" w:cs="Times New Roman"/>
          <w:sz w:val="24"/>
          <w:szCs w:val="24"/>
        </w:rPr>
        <w:t>de 1,767</w:t>
      </w:r>
      <w:r w:rsidR="00CE0223" w:rsidRPr="005E655B">
        <w:rPr>
          <w:rFonts w:ascii="Times New Roman" w:hAnsi="Times New Roman" w:cs="Times New Roman"/>
          <w:sz w:val="24"/>
          <w:szCs w:val="24"/>
        </w:rPr>
        <w:t xml:space="preserve"> sobre el costo de la energía</w:t>
      </w:r>
      <w:r w:rsidR="00C64E01" w:rsidRPr="005E655B">
        <w:rPr>
          <w:rFonts w:ascii="Times New Roman" w:hAnsi="Times New Roman" w:cs="Times New Roman"/>
          <w:sz w:val="24"/>
          <w:szCs w:val="24"/>
        </w:rPr>
        <w:t>, tal y como se ha indicado anteriormente en el apartado II</w:t>
      </w:r>
      <w:r w:rsidRPr="005E655B">
        <w:rPr>
          <w:rFonts w:ascii="Times New Roman" w:hAnsi="Times New Roman" w:cs="Times New Roman"/>
          <w:sz w:val="24"/>
          <w:szCs w:val="24"/>
        </w:rPr>
        <w:t>.</w:t>
      </w:r>
    </w:p>
    <w:p w:rsidR="003D506C" w:rsidRPr="005E655B" w:rsidRDefault="003D506C" w:rsidP="000032C5">
      <w:pPr>
        <w:pStyle w:val="ListParagraph"/>
        <w:autoSpaceDE w:val="0"/>
        <w:autoSpaceDN w:val="0"/>
        <w:adjustRightInd w:val="0"/>
        <w:spacing w:before="120" w:after="120" w:line="240" w:lineRule="auto"/>
        <w:jc w:val="both"/>
        <w:rPr>
          <w:rFonts w:ascii="Times New Roman" w:hAnsi="Times New Roman" w:cs="Times New Roman"/>
          <w:sz w:val="24"/>
          <w:szCs w:val="24"/>
        </w:rPr>
      </w:pPr>
    </w:p>
    <w:p w:rsidR="003D506C" w:rsidRPr="005E655B" w:rsidRDefault="00CE0223" w:rsidP="000032C5">
      <w:pPr>
        <w:pStyle w:val="ListParagraph"/>
        <w:numPr>
          <w:ilvl w:val="1"/>
          <w:numId w:val="1"/>
        </w:numPr>
        <w:autoSpaceDE w:val="0"/>
        <w:autoSpaceDN w:val="0"/>
        <w:adjustRightInd w:val="0"/>
        <w:spacing w:before="120" w:after="120" w:line="240" w:lineRule="auto"/>
        <w:ind w:hanging="578"/>
        <w:jc w:val="both"/>
        <w:rPr>
          <w:rFonts w:ascii="Times New Roman" w:hAnsi="Times New Roman" w:cs="Times New Roman"/>
          <w:sz w:val="24"/>
          <w:szCs w:val="24"/>
        </w:rPr>
      </w:pPr>
      <w:r w:rsidRPr="005E655B">
        <w:rPr>
          <w:rFonts w:ascii="Times New Roman" w:hAnsi="Times New Roman" w:cs="Times New Roman"/>
          <w:sz w:val="24"/>
          <w:szCs w:val="24"/>
        </w:rPr>
        <w:t>De nuevo, el</w:t>
      </w:r>
      <w:r w:rsidR="003D506C" w:rsidRPr="005E655B">
        <w:rPr>
          <w:rFonts w:ascii="Times New Roman" w:hAnsi="Times New Roman" w:cs="Times New Roman"/>
          <w:sz w:val="24"/>
          <w:szCs w:val="24"/>
        </w:rPr>
        <w:t xml:space="preserve"> resumen de las proyecciones realizadas</w:t>
      </w:r>
      <w:r w:rsidR="00C64E01" w:rsidRPr="005E655B">
        <w:rPr>
          <w:rFonts w:ascii="Times New Roman" w:hAnsi="Times New Roman" w:cs="Times New Roman"/>
          <w:sz w:val="24"/>
          <w:szCs w:val="24"/>
        </w:rPr>
        <w:t xml:space="preserve"> a lo largo del periodo de análisis</w:t>
      </w:r>
      <w:r w:rsidRPr="005E655B">
        <w:rPr>
          <w:rFonts w:ascii="Times New Roman" w:hAnsi="Times New Roman" w:cs="Times New Roman"/>
          <w:sz w:val="24"/>
          <w:szCs w:val="24"/>
        </w:rPr>
        <w:t xml:space="preserve"> se presenta </w:t>
      </w:r>
      <w:r w:rsidR="003D506C" w:rsidRPr="005E655B">
        <w:rPr>
          <w:rFonts w:ascii="Times New Roman" w:hAnsi="Times New Roman" w:cs="Times New Roman"/>
          <w:sz w:val="24"/>
          <w:szCs w:val="24"/>
        </w:rPr>
        <w:t xml:space="preserve">al final del documento </w:t>
      </w:r>
      <w:r w:rsidRPr="005E655B">
        <w:rPr>
          <w:rFonts w:ascii="Times New Roman" w:hAnsi="Times New Roman" w:cs="Times New Roman"/>
          <w:sz w:val="24"/>
          <w:szCs w:val="24"/>
        </w:rPr>
        <w:t xml:space="preserve">en el </w:t>
      </w:r>
      <w:r w:rsidR="003D506C" w:rsidRPr="005E655B">
        <w:rPr>
          <w:rFonts w:ascii="Times New Roman" w:hAnsi="Times New Roman" w:cs="Times New Roman"/>
          <w:sz w:val="24"/>
          <w:szCs w:val="24"/>
        </w:rPr>
        <w:t>Anexo I</w:t>
      </w:r>
      <w:r w:rsidRPr="005E655B">
        <w:rPr>
          <w:rFonts w:ascii="Times New Roman" w:hAnsi="Times New Roman" w:cs="Times New Roman"/>
          <w:sz w:val="24"/>
          <w:szCs w:val="24"/>
        </w:rPr>
        <w:t xml:space="preserve"> de</w:t>
      </w:r>
      <w:r w:rsidR="003D506C" w:rsidRPr="005E655B">
        <w:rPr>
          <w:rFonts w:ascii="Times New Roman" w:hAnsi="Times New Roman" w:cs="Times New Roman"/>
          <w:sz w:val="24"/>
          <w:szCs w:val="24"/>
        </w:rPr>
        <w:t xml:space="preserve"> Cuadro Resumen de Flujos Económicos.</w:t>
      </w:r>
    </w:p>
    <w:p w:rsidR="003D506C" w:rsidRPr="005E655B" w:rsidRDefault="003D506C" w:rsidP="000032C5">
      <w:pPr>
        <w:pStyle w:val="ListParagraph"/>
        <w:autoSpaceDE w:val="0"/>
        <w:autoSpaceDN w:val="0"/>
        <w:adjustRightInd w:val="0"/>
        <w:spacing w:before="120" w:after="120" w:line="240" w:lineRule="auto"/>
        <w:ind w:left="288"/>
        <w:jc w:val="both"/>
        <w:rPr>
          <w:rFonts w:ascii="Times New Roman" w:hAnsi="Times New Roman" w:cs="Times New Roman"/>
          <w:b/>
          <w:i/>
          <w:sz w:val="24"/>
          <w:szCs w:val="24"/>
        </w:rPr>
      </w:pPr>
    </w:p>
    <w:p w:rsidR="00E0249E" w:rsidRPr="005E655B" w:rsidRDefault="005E655B"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bookmarkStart w:id="48" w:name="_Toc415751488"/>
      <w:r w:rsidRPr="005E655B">
        <w:rPr>
          <w:rStyle w:val="Heading2Char"/>
          <w:rFonts w:ascii="Times New Roman" w:hAnsi="Times New Roman" w:cs="Times New Roman"/>
          <w:color w:val="auto"/>
        </w:rPr>
        <w:t>Disminución de los cortes de energía</w:t>
      </w:r>
      <w:bookmarkEnd w:id="48"/>
      <w:r>
        <w:rPr>
          <w:rFonts w:ascii="Times New Roman" w:eastAsia="Times New Roman" w:hAnsi="Times New Roman" w:cs="Times New Roman"/>
          <w:sz w:val="24"/>
          <w:szCs w:val="24"/>
        </w:rPr>
        <w:t xml:space="preserve">. </w:t>
      </w:r>
      <w:r w:rsidR="00F0605B" w:rsidRPr="005E655B">
        <w:rPr>
          <w:rFonts w:ascii="Times New Roman" w:eastAsia="Times New Roman" w:hAnsi="Times New Roman" w:cs="Times New Roman"/>
          <w:sz w:val="24"/>
          <w:szCs w:val="24"/>
        </w:rPr>
        <w:t xml:space="preserve">El reforzamiento </w:t>
      </w:r>
      <w:r w:rsidR="00CE0223" w:rsidRPr="005E655B">
        <w:rPr>
          <w:rFonts w:ascii="Times New Roman" w:eastAsia="Times New Roman" w:hAnsi="Times New Roman" w:cs="Times New Roman"/>
          <w:sz w:val="24"/>
          <w:szCs w:val="24"/>
        </w:rPr>
        <w:t xml:space="preserve">de la capacidad </w:t>
      </w:r>
      <w:r w:rsidR="00F0605B" w:rsidRPr="005E655B">
        <w:rPr>
          <w:rFonts w:ascii="Times New Roman" w:eastAsia="Times New Roman" w:hAnsi="Times New Roman" w:cs="Times New Roman"/>
          <w:sz w:val="24"/>
          <w:szCs w:val="24"/>
        </w:rPr>
        <w:t xml:space="preserve">del SND así como la mejora en la confiabilidad del sistema permitirán </w:t>
      </w:r>
      <w:r w:rsidR="00CE0223" w:rsidRPr="005E655B">
        <w:rPr>
          <w:rFonts w:ascii="Times New Roman" w:eastAsia="Times New Roman" w:hAnsi="Times New Roman" w:cs="Times New Roman"/>
          <w:sz w:val="24"/>
          <w:szCs w:val="24"/>
        </w:rPr>
        <w:t xml:space="preserve">así mismo </w:t>
      </w:r>
      <w:r w:rsidR="00F0605B" w:rsidRPr="005E655B">
        <w:rPr>
          <w:rFonts w:ascii="Times New Roman" w:eastAsia="Times New Roman" w:hAnsi="Times New Roman" w:cs="Times New Roman"/>
          <w:sz w:val="24"/>
          <w:szCs w:val="24"/>
        </w:rPr>
        <w:t>disminuir los cortes</w:t>
      </w:r>
      <w:r w:rsidR="00F16A1E" w:rsidRPr="005E655B">
        <w:rPr>
          <w:rFonts w:ascii="Times New Roman" w:eastAsia="Times New Roman" w:hAnsi="Times New Roman" w:cs="Times New Roman"/>
          <w:sz w:val="24"/>
          <w:szCs w:val="24"/>
        </w:rPr>
        <w:t xml:space="preserve"> de energía producto de </w:t>
      </w:r>
      <w:r w:rsidR="00CE0223" w:rsidRPr="005E655B">
        <w:rPr>
          <w:rFonts w:ascii="Times New Roman" w:eastAsia="Times New Roman" w:hAnsi="Times New Roman" w:cs="Times New Roman"/>
          <w:sz w:val="24"/>
          <w:szCs w:val="24"/>
        </w:rPr>
        <w:t xml:space="preserve">los </w:t>
      </w:r>
      <w:r w:rsidR="00F0605B" w:rsidRPr="005E655B">
        <w:rPr>
          <w:rFonts w:ascii="Times New Roman" w:eastAsia="Times New Roman" w:hAnsi="Times New Roman" w:cs="Times New Roman"/>
          <w:sz w:val="24"/>
          <w:szCs w:val="24"/>
        </w:rPr>
        <w:t>racionamiento</w:t>
      </w:r>
      <w:r w:rsidR="00F16A1E" w:rsidRPr="005E655B">
        <w:rPr>
          <w:rFonts w:ascii="Times New Roman" w:eastAsia="Times New Roman" w:hAnsi="Times New Roman" w:cs="Times New Roman"/>
          <w:sz w:val="24"/>
          <w:szCs w:val="24"/>
        </w:rPr>
        <w:t>s,</w:t>
      </w:r>
      <w:r w:rsidR="00F0605B" w:rsidRPr="005E655B">
        <w:rPr>
          <w:rFonts w:ascii="Times New Roman" w:eastAsia="Times New Roman" w:hAnsi="Times New Roman" w:cs="Times New Roman"/>
          <w:sz w:val="24"/>
          <w:szCs w:val="24"/>
        </w:rPr>
        <w:t xml:space="preserve"> que pade</w:t>
      </w:r>
      <w:r w:rsidR="00CE0223" w:rsidRPr="005E655B">
        <w:rPr>
          <w:rFonts w:ascii="Times New Roman" w:eastAsia="Times New Roman" w:hAnsi="Times New Roman" w:cs="Times New Roman"/>
          <w:sz w:val="24"/>
          <w:szCs w:val="24"/>
        </w:rPr>
        <w:t>cerían</w:t>
      </w:r>
      <w:r w:rsidR="00F0605B" w:rsidRPr="005E655B">
        <w:rPr>
          <w:rFonts w:ascii="Times New Roman" w:eastAsia="Times New Roman" w:hAnsi="Times New Roman" w:cs="Times New Roman"/>
          <w:sz w:val="24"/>
          <w:szCs w:val="24"/>
        </w:rPr>
        <w:t xml:space="preserve"> los consumidores beneficiarios del Programa</w:t>
      </w:r>
      <w:r w:rsidR="00CE0223" w:rsidRPr="005E655B">
        <w:rPr>
          <w:rFonts w:ascii="Times New Roman" w:eastAsia="Times New Roman" w:hAnsi="Times New Roman" w:cs="Times New Roman"/>
          <w:sz w:val="24"/>
          <w:szCs w:val="24"/>
        </w:rPr>
        <w:t xml:space="preserve"> de no llevarse a cabo la intervención</w:t>
      </w:r>
      <w:r w:rsidR="0031100B" w:rsidRPr="005E655B">
        <w:rPr>
          <w:rFonts w:ascii="Times New Roman" w:eastAsia="Times New Roman" w:hAnsi="Times New Roman" w:cs="Times New Roman"/>
          <w:sz w:val="24"/>
          <w:szCs w:val="24"/>
        </w:rPr>
        <w:t>.</w:t>
      </w:r>
    </w:p>
    <w:p w:rsidR="00F0605B" w:rsidRPr="005E655B" w:rsidRDefault="00F0605B"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F0605B" w:rsidRPr="005E655B" w:rsidRDefault="00975078"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En </w:t>
      </w:r>
      <w:r w:rsidR="00F0605B" w:rsidRPr="005E655B">
        <w:rPr>
          <w:rFonts w:ascii="Times New Roman" w:eastAsia="Times New Roman" w:hAnsi="Times New Roman" w:cs="Times New Roman"/>
          <w:sz w:val="24"/>
          <w:szCs w:val="24"/>
        </w:rPr>
        <w:t xml:space="preserve">cada proyecto de la muestra, </w:t>
      </w:r>
      <w:r w:rsidRPr="005E655B">
        <w:rPr>
          <w:rFonts w:ascii="Times New Roman" w:eastAsia="Times New Roman" w:hAnsi="Times New Roman" w:cs="Times New Roman"/>
          <w:sz w:val="24"/>
          <w:szCs w:val="24"/>
        </w:rPr>
        <w:t xml:space="preserve">se ha estimado este beneficio con base en </w:t>
      </w:r>
      <w:r w:rsidR="00F0605B" w:rsidRPr="005E655B">
        <w:rPr>
          <w:rFonts w:ascii="Times New Roman" w:eastAsia="Times New Roman" w:hAnsi="Times New Roman" w:cs="Times New Roman"/>
          <w:sz w:val="24"/>
          <w:szCs w:val="24"/>
        </w:rPr>
        <w:t>la disminución del tiempo total de interrupción (</w:t>
      </w:r>
      <w:proofErr w:type="spellStart"/>
      <w:r w:rsidR="00F0605B" w:rsidRPr="005E655B">
        <w:rPr>
          <w:rFonts w:ascii="Times New Roman" w:eastAsia="Times New Roman" w:hAnsi="Times New Roman" w:cs="Times New Roman"/>
          <w:sz w:val="24"/>
          <w:szCs w:val="24"/>
        </w:rPr>
        <w:t>TTIk</w:t>
      </w:r>
      <w:proofErr w:type="spellEnd"/>
      <w:r w:rsidR="00F0605B" w:rsidRPr="005E655B">
        <w:rPr>
          <w:rFonts w:ascii="Times New Roman" w:eastAsia="Times New Roman" w:hAnsi="Times New Roman" w:cs="Times New Roman"/>
          <w:sz w:val="24"/>
          <w:szCs w:val="24"/>
        </w:rPr>
        <w:t>)</w:t>
      </w:r>
      <w:r w:rsidRPr="005E655B">
        <w:rPr>
          <w:rFonts w:ascii="Times New Roman" w:eastAsia="Times New Roman" w:hAnsi="Times New Roman" w:cs="Times New Roman"/>
          <w:sz w:val="24"/>
          <w:szCs w:val="24"/>
        </w:rPr>
        <w:t xml:space="preserve"> en términos de la energía total facturada</w:t>
      </w:r>
      <w:r w:rsidR="00F0605B" w:rsidRPr="005E655B">
        <w:rPr>
          <w:rFonts w:ascii="Times New Roman" w:eastAsia="Times New Roman" w:hAnsi="Times New Roman" w:cs="Times New Roman"/>
          <w:sz w:val="24"/>
          <w:szCs w:val="24"/>
        </w:rPr>
        <w:t>,</w:t>
      </w:r>
      <w:r w:rsidRPr="005E655B">
        <w:rPr>
          <w:rFonts w:ascii="Times New Roman" w:eastAsia="Times New Roman" w:hAnsi="Times New Roman" w:cs="Times New Roman"/>
          <w:sz w:val="24"/>
          <w:szCs w:val="24"/>
        </w:rPr>
        <w:t xml:space="preserve"> y</w:t>
      </w:r>
      <w:r w:rsidR="00F0605B" w:rsidRPr="005E655B">
        <w:rPr>
          <w:rFonts w:ascii="Times New Roman" w:eastAsia="Times New Roman" w:hAnsi="Times New Roman" w:cs="Times New Roman"/>
          <w:sz w:val="24"/>
          <w:szCs w:val="24"/>
        </w:rPr>
        <w:t xml:space="preserve"> </w:t>
      </w:r>
      <w:r w:rsidRPr="005E655B">
        <w:rPr>
          <w:rFonts w:ascii="Times New Roman" w:eastAsia="Times New Roman" w:hAnsi="Times New Roman" w:cs="Times New Roman"/>
          <w:sz w:val="24"/>
          <w:szCs w:val="24"/>
        </w:rPr>
        <w:t xml:space="preserve">en </w:t>
      </w:r>
      <w:r w:rsidR="00F0605B" w:rsidRPr="005E655B">
        <w:rPr>
          <w:rFonts w:ascii="Times New Roman" w:eastAsia="Times New Roman" w:hAnsi="Times New Roman" w:cs="Times New Roman"/>
          <w:sz w:val="24"/>
          <w:szCs w:val="24"/>
        </w:rPr>
        <w:t>el costo económico</w:t>
      </w:r>
      <w:r w:rsidR="004C67DB" w:rsidRPr="005E655B">
        <w:rPr>
          <w:rFonts w:ascii="Times New Roman" w:eastAsia="Times New Roman" w:hAnsi="Times New Roman" w:cs="Times New Roman"/>
          <w:sz w:val="24"/>
          <w:szCs w:val="24"/>
        </w:rPr>
        <w:t xml:space="preserve"> del racionamiento </w:t>
      </w:r>
      <w:r w:rsidRPr="005E655B">
        <w:rPr>
          <w:rFonts w:ascii="Times New Roman" w:eastAsia="Times New Roman" w:hAnsi="Times New Roman" w:cs="Times New Roman"/>
          <w:sz w:val="24"/>
          <w:szCs w:val="24"/>
        </w:rPr>
        <w:t xml:space="preserve">(aminorado por </w:t>
      </w:r>
      <w:r w:rsidR="004C67DB" w:rsidRPr="005E655B">
        <w:rPr>
          <w:rFonts w:ascii="Times New Roman" w:eastAsia="Times New Roman" w:hAnsi="Times New Roman" w:cs="Times New Roman"/>
          <w:sz w:val="24"/>
          <w:szCs w:val="24"/>
        </w:rPr>
        <w:t>el costo de generación y transmisi</w:t>
      </w:r>
      <w:r w:rsidRPr="005E655B">
        <w:rPr>
          <w:rFonts w:ascii="Times New Roman" w:eastAsia="Times New Roman" w:hAnsi="Times New Roman" w:cs="Times New Roman"/>
          <w:sz w:val="24"/>
          <w:szCs w:val="24"/>
        </w:rPr>
        <w:t>ón</w:t>
      </w:r>
      <w:r w:rsidR="00CE0223" w:rsidRPr="005E655B">
        <w:rPr>
          <w:rFonts w:ascii="Times New Roman" w:eastAsia="Times New Roman" w:hAnsi="Times New Roman" w:cs="Times New Roman"/>
          <w:sz w:val="24"/>
          <w:szCs w:val="24"/>
        </w:rPr>
        <w:t xml:space="preserve"> o costo de la energía</w:t>
      </w:r>
      <w:r w:rsidRPr="005E655B">
        <w:rPr>
          <w:rFonts w:ascii="Times New Roman" w:eastAsia="Times New Roman" w:hAnsi="Times New Roman" w:cs="Times New Roman"/>
          <w:sz w:val="24"/>
          <w:szCs w:val="24"/>
        </w:rPr>
        <w:t xml:space="preserve">). Si bien el costo económico de racionamiento considerado </w:t>
      </w:r>
      <w:r w:rsidR="00312C07" w:rsidRPr="005E655B">
        <w:rPr>
          <w:rFonts w:ascii="Times New Roman" w:eastAsia="Times New Roman" w:hAnsi="Times New Roman" w:cs="Times New Roman"/>
          <w:sz w:val="24"/>
          <w:szCs w:val="24"/>
        </w:rPr>
        <w:t>es</w:t>
      </w:r>
      <w:r w:rsidRPr="005E655B">
        <w:rPr>
          <w:rFonts w:ascii="Times New Roman" w:eastAsia="Times New Roman" w:hAnsi="Times New Roman" w:cs="Times New Roman"/>
          <w:sz w:val="24"/>
          <w:szCs w:val="24"/>
        </w:rPr>
        <w:t xml:space="preserve"> el mismo para todas las</w:t>
      </w:r>
      <w:r w:rsidR="00CE0223" w:rsidRPr="005E655B">
        <w:rPr>
          <w:rFonts w:ascii="Times New Roman" w:eastAsia="Times New Roman" w:hAnsi="Times New Roman" w:cs="Times New Roman"/>
          <w:sz w:val="24"/>
          <w:szCs w:val="24"/>
        </w:rPr>
        <w:t xml:space="preserve"> EED</w:t>
      </w:r>
      <w:r w:rsidR="00312C07" w:rsidRPr="005E655B">
        <w:rPr>
          <w:rFonts w:ascii="Times New Roman" w:eastAsia="Times New Roman" w:hAnsi="Times New Roman" w:cs="Times New Roman"/>
          <w:sz w:val="24"/>
          <w:szCs w:val="24"/>
        </w:rPr>
        <w:t xml:space="preserve"> (1,533 USD/</w:t>
      </w:r>
      <w:proofErr w:type="spellStart"/>
      <w:r w:rsidR="00312C07" w:rsidRPr="005E655B">
        <w:rPr>
          <w:rFonts w:ascii="Times New Roman" w:eastAsia="Times New Roman" w:hAnsi="Times New Roman" w:cs="Times New Roman"/>
          <w:sz w:val="24"/>
          <w:szCs w:val="24"/>
        </w:rPr>
        <w:t>MWh</w:t>
      </w:r>
      <w:proofErr w:type="spellEnd"/>
      <w:r w:rsidR="00312C07" w:rsidRPr="005E655B">
        <w:rPr>
          <w:rStyle w:val="FootnoteReference"/>
          <w:rFonts w:ascii="Times New Roman" w:eastAsia="Times New Roman" w:hAnsi="Times New Roman" w:cs="Times New Roman"/>
          <w:sz w:val="24"/>
          <w:szCs w:val="24"/>
        </w:rPr>
        <w:footnoteReference w:id="5"/>
      </w:r>
      <w:r w:rsidR="00312C07" w:rsidRPr="005E655B">
        <w:rPr>
          <w:rFonts w:ascii="Times New Roman" w:eastAsia="Times New Roman" w:hAnsi="Times New Roman" w:cs="Times New Roman"/>
          <w:sz w:val="24"/>
          <w:szCs w:val="24"/>
        </w:rPr>
        <w:t>)</w:t>
      </w:r>
      <w:r w:rsidR="00CE0223" w:rsidRPr="005E655B">
        <w:rPr>
          <w:rFonts w:ascii="Times New Roman" w:eastAsia="Times New Roman" w:hAnsi="Times New Roman" w:cs="Times New Roman"/>
          <w:sz w:val="24"/>
          <w:szCs w:val="24"/>
        </w:rPr>
        <w:t xml:space="preserve">, el resto de </w:t>
      </w:r>
      <w:r w:rsidR="00312C07" w:rsidRPr="005E655B">
        <w:rPr>
          <w:rFonts w:ascii="Times New Roman" w:eastAsia="Times New Roman" w:hAnsi="Times New Roman" w:cs="Times New Roman"/>
          <w:sz w:val="24"/>
          <w:szCs w:val="24"/>
        </w:rPr>
        <w:t xml:space="preserve">los </w:t>
      </w:r>
      <w:r w:rsidR="00CE0223" w:rsidRPr="005E655B">
        <w:rPr>
          <w:rFonts w:ascii="Times New Roman" w:eastAsia="Times New Roman" w:hAnsi="Times New Roman" w:cs="Times New Roman"/>
          <w:sz w:val="24"/>
          <w:szCs w:val="24"/>
        </w:rPr>
        <w:t xml:space="preserve">componentes </w:t>
      </w:r>
      <w:r w:rsidRPr="005E655B">
        <w:rPr>
          <w:rFonts w:ascii="Times New Roman" w:eastAsia="Times New Roman" w:hAnsi="Times New Roman" w:cs="Times New Roman"/>
          <w:sz w:val="24"/>
          <w:szCs w:val="24"/>
        </w:rPr>
        <w:t>de</w:t>
      </w:r>
      <w:r w:rsidR="00312C07" w:rsidRPr="005E655B">
        <w:rPr>
          <w:rFonts w:ascii="Times New Roman" w:eastAsia="Times New Roman" w:hAnsi="Times New Roman" w:cs="Times New Roman"/>
          <w:sz w:val="24"/>
          <w:szCs w:val="24"/>
        </w:rPr>
        <w:t xml:space="preserve"> </w:t>
      </w:r>
      <w:r w:rsidRPr="005E655B">
        <w:rPr>
          <w:rFonts w:ascii="Times New Roman" w:eastAsia="Times New Roman" w:hAnsi="Times New Roman" w:cs="Times New Roman"/>
          <w:sz w:val="24"/>
          <w:szCs w:val="24"/>
        </w:rPr>
        <w:t xml:space="preserve">cálculo </w:t>
      </w:r>
      <w:r w:rsidR="00312C07" w:rsidRPr="005E655B">
        <w:rPr>
          <w:rFonts w:ascii="Times New Roman" w:eastAsia="Times New Roman" w:hAnsi="Times New Roman" w:cs="Times New Roman"/>
          <w:sz w:val="24"/>
          <w:szCs w:val="24"/>
        </w:rPr>
        <w:t xml:space="preserve">son </w:t>
      </w:r>
      <w:r w:rsidRPr="005E655B">
        <w:rPr>
          <w:rFonts w:ascii="Times New Roman" w:eastAsia="Times New Roman" w:hAnsi="Times New Roman" w:cs="Times New Roman"/>
          <w:sz w:val="24"/>
          <w:szCs w:val="24"/>
        </w:rPr>
        <w:t>específic</w:t>
      </w:r>
      <w:r w:rsidR="00312C07" w:rsidRPr="005E655B">
        <w:rPr>
          <w:rFonts w:ascii="Times New Roman" w:eastAsia="Times New Roman" w:hAnsi="Times New Roman" w:cs="Times New Roman"/>
          <w:sz w:val="24"/>
          <w:szCs w:val="24"/>
        </w:rPr>
        <w:t>o</w:t>
      </w:r>
      <w:r w:rsidRPr="005E655B">
        <w:rPr>
          <w:rFonts w:ascii="Times New Roman" w:eastAsia="Times New Roman" w:hAnsi="Times New Roman" w:cs="Times New Roman"/>
          <w:sz w:val="24"/>
          <w:szCs w:val="24"/>
        </w:rPr>
        <w:t>s a cada</w:t>
      </w:r>
      <w:r w:rsidRPr="005E655B">
        <w:rPr>
          <w:rFonts w:ascii="Times New Roman" w:hAnsi="Times New Roman" w:cs="Times New Roman"/>
          <w:sz w:val="24"/>
          <w:szCs w:val="24"/>
        </w:rPr>
        <w:t xml:space="preserve"> una de las EED.</w:t>
      </w:r>
    </w:p>
    <w:p w:rsidR="00975078" w:rsidRPr="005E655B" w:rsidRDefault="00975078" w:rsidP="000032C5">
      <w:pPr>
        <w:pStyle w:val="ListParagraph"/>
        <w:spacing w:before="120" w:after="120" w:line="240" w:lineRule="auto"/>
        <w:rPr>
          <w:rFonts w:ascii="Times New Roman" w:eastAsia="Times New Roman" w:hAnsi="Times New Roman" w:cs="Times New Roman"/>
          <w:sz w:val="24"/>
          <w:szCs w:val="24"/>
        </w:rPr>
      </w:pPr>
    </w:p>
    <w:p w:rsidR="00975078" w:rsidRPr="005E655B" w:rsidRDefault="00975078" w:rsidP="000032C5">
      <w:pPr>
        <w:pStyle w:val="ListParagraph"/>
        <w:numPr>
          <w:ilvl w:val="1"/>
          <w:numId w:val="1"/>
        </w:numPr>
        <w:autoSpaceDE w:val="0"/>
        <w:autoSpaceDN w:val="0"/>
        <w:adjustRightInd w:val="0"/>
        <w:spacing w:before="120" w:after="120" w:line="240" w:lineRule="auto"/>
        <w:ind w:hanging="578"/>
        <w:jc w:val="both"/>
        <w:rPr>
          <w:rFonts w:ascii="Times New Roman" w:hAnsi="Times New Roman" w:cs="Times New Roman"/>
          <w:i/>
          <w:sz w:val="24"/>
          <w:szCs w:val="24"/>
        </w:rPr>
      </w:pPr>
      <w:r w:rsidRPr="005E655B">
        <w:rPr>
          <w:rFonts w:ascii="Times New Roman" w:hAnsi="Times New Roman" w:cs="Times New Roman"/>
          <w:sz w:val="24"/>
          <w:szCs w:val="24"/>
        </w:rPr>
        <w:t xml:space="preserve">De la suma de las proyecciones individuales de las EED sobre los proyectos de muestra, extrapolada al presupuesto total de inversión del Programa, se ha obtenido que el beneficio derivado de la disminución </w:t>
      </w:r>
      <w:r w:rsidR="00041091" w:rsidRPr="005E655B">
        <w:rPr>
          <w:rFonts w:ascii="Times New Roman" w:hAnsi="Times New Roman" w:cs="Times New Roman"/>
          <w:sz w:val="24"/>
          <w:szCs w:val="24"/>
        </w:rPr>
        <w:t xml:space="preserve">de los cortes de racionamiento de energía eléctrica asciende </w:t>
      </w:r>
      <w:r w:rsidRPr="005E655B">
        <w:rPr>
          <w:rFonts w:ascii="Times New Roman" w:hAnsi="Times New Roman" w:cs="Times New Roman"/>
          <w:sz w:val="24"/>
          <w:szCs w:val="24"/>
        </w:rPr>
        <w:t xml:space="preserve">a </w:t>
      </w:r>
      <w:r w:rsidRPr="005E655B">
        <w:rPr>
          <w:rFonts w:ascii="Times New Roman" w:hAnsi="Times New Roman" w:cs="Times New Roman"/>
          <w:b/>
          <w:sz w:val="24"/>
          <w:szCs w:val="24"/>
        </w:rPr>
        <w:t>11</w:t>
      </w:r>
      <w:r w:rsidR="003E343E" w:rsidRPr="005E655B">
        <w:rPr>
          <w:rFonts w:ascii="Times New Roman" w:hAnsi="Times New Roman" w:cs="Times New Roman"/>
          <w:b/>
          <w:sz w:val="24"/>
          <w:szCs w:val="24"/>
        </w:rPr>
        <w:t>0</w:t>
      </w:r>
      <w:r w:rsidRPr="005E655B">
        <w:rPr>
          <w:rFonts w:ascii="Times New Roman" w:hAnsi="Times New Roman" w:cs="Times New Roman"/>
          <w:b/>
          <w:sz w:val="24"/>
          <w:szCs w:val="24"/>
        </w:rPr>
        <w:t>.</w:t>
      </w:r>
      <w:r w:rsidR="003E343E" w:rsidRPr="005E655B">
        <w:rPr>
          <w:rFonts w:ascii="Times New Roman" w:hAnsi="Times New Roman" w:cs="Times New Roman"/>
          <w:b/>
          <w:sz w:val="24"/>
          <w:szCs w:val="24"/>
        </w:rPr>
        <w:t>387</w:t>
      </w:r>
      <w:r w:rsidRPr="005E655B">
        <w:rPr>
          <w:rFonts w:ascii="Times New Roman" w:hAnsi="Times New Roman" w:cs="Times New Roman"/>
          <w:b/>
          <w:sz w:val="24"/>
          <w:szCs w:val="24"/>
        </w:rPr>
        <w:t>.</w:t>
      </w:r>
      <w:r w:rsidR="003E343E" w:rsidRPr="005E655B">
        <w:rPr>
          <w:rFonts w:ascii="Times New Roman" w:hAnsi="Times New Roman" w:cs="Times New Roman"/>
          <w:b/>
          <w:sz w:val="24"/>
          <w:szCs w:val="24"/>
        </w:rPr>
        <w:t>703</w:t>
      </w:r>
      <w:r w:rsidRPr="005E655B">
        <w:rPr>
          <w:rFonts w:ascii="Times New Roman" w:hAnsi="Times New Roman" w:cs="Times New Roman"/>
          <w:b/>
          <w:sz w:val="24"/>
          <w:szCs w:val="24"/>
        </w:rPr>
        <w:t xml:space="preserve"> USD en valor actual a precios de eficiencia</w:t>
      </w:r>
      <w:r w:rsidRPr="005E655B">
        <w:rPr>
          <w:rFonts w:ascii="Times New Roman" w:hAnsi="Times New Roman" w:cs="Times New Roman"/>
          <w:sz w:val="24"/>
          <w:szCs w:val="24"/>
        </w:rPr>
        <w:t>. El desglose de este importe por componentes se muestra en el cuadro siguiente.</w:t>
      </w:r>
    </w:p>
    <w:p w:rsidR="00CB01F3" w:rsidRDefault="00CB01F3">
      <w:pPr>
        <w:rPr>
          <w:rFonts w:ascii="Times New Roman" w:eastAsia="Times New Roman" w:hAnsi="Times New Roman" w:cs="Times New Roman"/>
          <w:b/>
          <w:bCs/>
          <w:sz w:val="24"/>
          <w:szCs w:val="24"/>
          <w:lang w:eastAsia="es-ES_tradnl"/>
        </w:rPr>
      </w:pPr>
      <w:r>
        <w:rPr>
          <w:sz w:val="24"/>
          <w:szCs w:val="24"/>
        </w:rPr>
        <w:br w:type="page"/>
      </w:r>
    </w:p>
    <w:p w:rsidR="003E343E" w:rsidRPr="005E655B" w:rsidRDefault="003E343E" w:rsidP="000032C5">
      <w:pPr>
        <w:pStyle w:val="Caption"/>
        <w:spacing w:before="120" w:after="120"/>
        <w:ind w:left="288"/>
        <w:rPr>
          <w:sz w:val="24"/>
          <w:szCs w:val="24"/>
          <w:lang w:val="es-ES"/>
        </w:rPr>
      </w:pPr>
      <w:r w:rsidRPr="005E655B">
        <w:rPr>
          <w:sz w:val="24"/>
          <w:szCs w:val="24"/>
          <w:lang w:val="es-ES"/>
        </w:rPr>
        <w:t xml:space="preserve">Cuadro </w:t>
      </w:r>
      <w:r w:rsidRPr="005E655B">
        <w:rPr>
          <w:sz w:val="24"/>
          <w:szCs w:val="24"/>
          <w:lang w:val="es-ES"/>
        </w:rPr>
        <w:fldChar w:fldCharType="begin"/>
      </w:r>
      <w:r w:rsidRPr="005E655B">
        <w:rPr>
          <w:sz w:val="24"/>
          <w:szCs w:val="24"/>
          <w:lang w:val="es-ES"/>
        </w:rPr>
        <w:instrText xml:space="preserve"> SEQ Tableau \* ARABIC </w:instrText>
      </w:r>
      <w:r w:rsidRPr="005E655B">
        <w:rPr>
          <w:sz w:val="24"/>
          <w:szCs w:val="24"/>
          <w:lang w:val="es-ES"/>
        </w:rPr>
        <w:fldChar w:fldCharType="separate"/>
      </w:r>
      <w:r w:rsidR="00596A07">
        <w:rPr>
          <w:noProof/>
          <w:sz w:val="24"/>
          <w:szCs w:val="24"/>
          <w:lang w:val="es-ES"/>
        </w:rPr>
        <w:t>6</w:t>
      </w:r>
      <w:r w:rsidRPr="005E655B">
        <w:rPr>
          <w:sz w:val="24"/>
          <w:szCs w:val="24"/>
          <w:lang w:val="es-ES"/>
        </w:rPr>
        <w:fldChar w:fldCharType="end"/>
      </w:r>
      <w:r w:rsidRPr="005E655B">
        <w:rPr>
          <w:sz w:val="24"/>
          <w:szCs w:val="24"/>
          <w:lang w:val="es-ES"/>
        </w:rPr>
        <w:t>. Disminución d</w:t>
      </w:r>
      <w:r w:rsidR="00F16A1E" w:rsidRPr="005E655B">
        <w:rPr>
          <w:sz w:val="24"/>
          <w:szCs w:val="24"/>
          <w:lang w:val="es-ES"/>
        </w:rPr>
        <w:t>e Cortes de Energía</w:t>
      </w:r>
    </w:p>
    <w:p w:rsidR="00F16A1E" w:rsidRDefault="005E655B" w:rsidP="000032C5">
      <w:pPr>
        <w:spacing w:before="120" w:after="120" w:line="240" w:lineRule="auto"/>
        <w:rPr>
          <w:rFonts w:ascii="Times New Roman" w:hAnsi="Times New Roman" w:cs="Times New Roman"/>
          <w:sz w:val="24"/>
          <w:szCs w:val="24"/>
          <w:lang w:eastAsia="es-ES_tradnl"/>
        </w:rPr>
      </w:pPr>
      <w:r w:rsidRPr="005E655B">
        <w:rPr>
          <w:rFonts w:ascii="Times New Roman" w:hAnsi="Times New Roman" w:cs="Times New Roman"/>
          <w:noProof/>
          <w:sz w:val="24"/>
          <w:szCs w:val="24"/>
          <w:lang w:val="en-US"/>
        </w:rPr>
        <w:drawing>
          <wp:anchor distT="0" distB="0" distL="114300" distR="114300" simplePos="0" relativeHeight="251682816" behindDoc="0" locked="0" layoutInCell="1" allowOverlap="1" wp14:anchorId="26D36AD2" wp14:editId="17B5CC30">
            <wp:simplePos x="0" y="0"/>
            <wp:positionH relativeFrom="column">
              <wp:posOffset>161925</wp:posOffset>
            </wp:positionH>
            <wp:positionV relativeFrom="paragraph">
              <wp:posOffset>171450</wp:posOffset>
            </wp:positionV>
            <wp:extent cx="5400040" cy="1616075"/>
            <wp:effectExtent l="0" t="0" r="0" b="3175"/>
            <wp:wrapTopAndBottom/>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1616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5223" w:rsidRPr="005E655B" w:rsidRDefault="00781A4E" w:rsidP="000032C5">
      <w:pPr>
        <w:pStyle w:val="Heading1"/>
        <w:numPr>
          <w:ilvl w:val="0"/>
          <w:numId w:val="1"/>
        </w:numPr>
        <w:spacing w:before="120" w:after="120" w:line="240" w:lineRule="auto"/>
        <w:jc w:val="both"/>
        <w:rPr>
          <w:rFonts w:ascii="Times New Roman" w:hAnsi="Times New Roman" w:cs="Times New Roman"/>
          <w:color w:val="auto"/>
          <w:sz w:val="24"/>
          <w:szCs w:val="24"/>
          <w:lang w:val="en-US"/>
        </w:rPr>
      </w:pPr>
      <w:bookmarkStart w:id="49" w:name="_Ref317788454"/>
      <w:bookmarkStart w:id="50" w:name="_Toc415751489"/>
      <w:r w:rsidRPr="005E655B">
        <w:rPr>
          <w:rFonts w:ascii="Times New Roman" w:hAnsi="Times New Roman" w:cs="Times New Roman"/>
          <w:color w:val="auto"/>
          <w:sz w:val="24"/>
          <w:szCs w:val="24"/>
          <w:lang w:val="en-US"/>
        </w:rPr>
        <w:t>COSTOS ECONÓMICOS</w:t>
      </w:r>
      <w:bookmarkEnd w:id="49"/>
      <w:bookmarkEnd w:id="50"/>
    </w:p>
    <w:p w:rsidR="00B00E1F" w:rsidRPr="005E655B" w:rsidRDefault="007D57DC" w:rsidP="004474CC">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Tal y como se ha </w:t>
      </w:r>
      <w:r w:rsidR="001D5E90" w:rsidRPr="005E655B">
        <w:rPr>
          <w:rFonts w:ascii="Times New Roman" w:eastAsia="Times New Roman" w:hAnsi="Times New Roman" w:cs="Times New Roman"/>
          <w:sz w:val="24"/>
          <w:szCs w:val="24"/>
        </w:rPr>
        <w:t xml:space="preserve">señalado anteriormente </w:t>
      </w:r>
      <w:r w:rsidRPr="005E655B">
        <w:rPr>
          <w:rFonts w:ascii="Times New Roman" w:eastAsia="Times New Roman" w:hAnsi="Times New Roman" w:cs="Times New Roman"/>
          <w:sz w:val="24"/>
          <w:szCs w:val="24"/>
        </w:rPr>
        <w:t xml:space="preserve">en </w:t>
      </w:r>
      <w:r w:rsidR="00D02E58" w:rsidRPr="005E655B">
        <w:rPr>
          <w:rFonts w:ascii="Times New Roman" w:eastAsia="Times New Roman" w:hAnsi="Times New Roman" w:cs="Times New Roman"/>
          <w:sz w:val="24"/>
          <w:szCs w:val="24"/>
        </w:rPr>
        <w:t>la descripción d</w:t>
      </w:r>
      <w:r w:rsidRPr="005E655B">
        <w:rPr>
          <w:rFonts w:ascii="Times New Roman" w:eastAsia="Times New Roman" w:hAnsi="Times New Roman" w:cs="Times New Roman"/>
          <w:sz w:val="24"/>
          <w:szCs w:val="24"/>
        </w:rPr>
        <w:t>el</w:t>
      </w:r>
      <w:r w:rsidR="001D5E90" w:rsidRPr="005E655B">
        <w:rPr>
          <w:rFonts w:ascii="Times New Roman" w:eastAsia="Times New Roman" w:hAnsi="Times New Roman" w:cs="Times New Roman"/>
          <w:sz w:val="24"/>
          <w:szCs w:val="24"/>
        </w:rPr>
        <w:t xml:space="preserve"> </w:t>
      </w:r>
      <w:r w:rsidR="00AB0AD1" w:rsidRPr="005E655B">
        <w:rPr>
          <w:rFonts w:ascii="Times New Roman" w:eastAsia="Times New Roman" w:hAnsi="Times New Roman" w:cs="Times New Roman"/>
          <w:sz w:val="24"/>
          <w:szCs w:val="24"/>
        </w:rPr>
        <w:t>planteamiento metodológico de la evaluación</w:t>
      </w:r>
      <w:r w:rsidRPr="005E655B">
        <w:rPr>
          <w:rFonts w:ascii="Times New Roman" w:eastAsia="Times New Roman" w:hAnsi="Times New Roman" w:cs="Times New Roman"/>
          <w:sz w:val="24"/>
          <w:szCs w:val="24"/>
        </w:rPr>
        <w:t>, el alcance del análisis se ha delimitado a aquellos elementos cuyos efectos económicos son más medibles y directamente atribuibles a la ejecuc</w:t>
      </w:r>
      <w:r w:rsidR="00F3413D" w:rsidRPr="005E655B">
        <w:rPr>
          <w:rFonts w:ascii="Times New Roman" w:eastAsia="Times New Roman" w:hAnsi="Times New Roman" w:cs="Times New Roman"/>
          <w:sz w:val="24"/>
          <w:szCs w:val="24"/>
        </w:rPr>
        <w:t>ión del Programa</w:t>
      </w:r>
      <w:r w:rsidR="00C407AF" w:rsidRPr="005E655B">
        <w:rPr>
          <w:rFonts w:ascii="Times New Roman" w:eastAsia="Times New Roman" w:hAnsi="Times New Roman" w:cs="Times New Roman"/>
          <w:sz w:val="24"/>
          <w:szCs w:val="24"/>
        </w:rPr>
        <w:t>.</w:t>
      </w:r>
    </w:p>
    <w:p w:rsidR="00F3413D" w:rsidRPr="005E655B" w:rsidRDefault="00F3413D" w:rsidP="004474CC">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AA75A1" w:rsidRPr="005E655B" w:rsidRDefault="004335AE" w:rsidP="004474CC">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En este sentido, l</w:t>
      </w:r>
      <w:r w:rsidR="00B24A65" w:rsidRPr="005E655B">
        <w:rPr>
          <w:rFonts w:ascii="Times New Roman" w:eastAsia="Times New Roman" w:hAnsi="Times New Roman" w:cs="Times New Roman"/>
          <w:sz w:val="24"/>
          <w:szCs w:val="24"/>
        </w:rPr>
        <w:t xml:space="preserve">os </w:t>
      </w:r>
      <w:r w:rsidR="007D294D" w:rsidRPr="005E655B">
        <w:rPr>
          <w:rFonts w:ascii="Times New Roman" w:eastAsia="Times New Roman" w:hAnsi="Times New Roman" w:cs="Times New Roman"/>
          <w:sz w:val="24"/>
          <w:szCs w:val="24"/>
        </w:rPr>
        <w:t>c</w:t>
      </w:r>
      <w:r w:rsidR="00B24A65" w:rsidRPr="005E655B">
        <w:rPr>
          <w:rFonts w:ascii="Times New Roman" w:eastAsia="Times New Roman" w:hAnsi="Times New Roman" w:cs="Times New Roman"/>
          <w:sz w:val="24"/>
          <w:szCs w:val="24"/>
        </w:rPr>
        <w:t xml:space="preserve">ostos contemplados se </w:t>
      </w:r>
      <w:r w:rsidR="00BF1D22" w:rsidRPr="005E655B">
        <w:rPr>
          <w:rFonts w:ascii="Times New Roman" w:eastAsia="Times New Roman" w:hAnsi="Times New Roman" w:cs="Times New Roman"/>
          <w:sz w:val="24"/>
          <w:szCs w:val="24"/>
        </w:rPr>
        <w:t xml:space="preserve">pueden agrupar en </w:t>
      </w:r>
      <w:r w:rsidR="00B24A65" w:rsidRPr="005E655B">
        <w:rPr>
          <w:rFonts w:ascii="Times New Roman" w:eastAsia="Times New Roman" w:hAnsi="Times New Roman" w:cs="Times New Roman"/>
          <w:sz w:val="24"/>
          <w:szCs w:val="24"/>
        </w:rPr>
        <w:t xml:space="preserve">tres grupos diferenciados: </w:t>
      </w:r>
    </w:p>
    <w:p w:rsidR="00AA75A1" w:rsidRPr="005E655B" w:rsidRDefault="00AA75A1" w:rsidP="004474CC">
      <w:pPr>
        <w:pStyle w:val="ListParagraph"/>
        <w:spacing w:before="120" w:after="120" w:line="240" w:lineRule="auto"/>
        <w:rPr>
          <w:rFonts w:ascii="Times New Roman" w:eastAsia="Times New Roman" w:hAnsi="Times New Roman" w:cs="Times New Roman"/>
          <w:sz w:val="24"/>
          <w:szCs w:val="24"/>
        </w:rPr>
      </w:pPr>
    </w:p>
    <w:p w:rsidR="00AA75A1" w:rsidRPr="005E655B" w:rsidRDefault="00B24A65" w:rsidP="004474CC">
      <w:pPr>
        <w:pStyle w:val="ListParagraph"/>
        <w:numPr>
          <w:ilvl w:val="0"/>
          <w:numId w:val="25"/>
        </w:numPr>
        <w:autoSpaceDE w:val="0"/>
        <w:autoSpaceDN w:val="0"/>
        <w:adjustRightInd w:val="0"/>
        <w:spacing w:before="120" w:after="120" w:line="240" w:lineRule="auto"/>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los costos</w:t>
      </w:r>
      <w:r w:rsidR="00081FD8" w:rsidRPr="005E655B">
        <w:rPr>
          <w:rFonts w:ascii="Times New Roman" w:eastAsia="Times New Roman" w:hAnsi="Times New Roman" w:cs="Times New Roman"/>
          <w:sz w:val="24"/>
          <w:szCs w:val="24"/>
        </w:rPr>
        <w:t xml:space="preserve"> no recurrentes</w:t>
      </w:r>
      <w:r w:rsidRPr="005E655B">
        <w:rPr>
          <w:rFonts w:ascii="Times New Roman" w:eastAsia="Times New Roman" w:hAnsi="Times New Roman" w:cs="Times New Roman"/>
          <w:sz w:val="24"/>
          <w:szCs w:val="24"/>
        </w:rPr>
        <w:t xml:space="preserve"> de </w:t>
      </w:r>
      <w:r w:rsidR="00AA75A1" w:rsidRPr="005E655B">
        <w:rPr>
          <w:rFonts w:ascii="Times New Roman" w:eastAsia="Times New Roman" w:hAnsi="Times New Roman" w:cs="Times New Roman"/>
          <w:sz w:val="24"/>
          <w:szCs w:val="24"/>
        </w:rPr>
        <w:t>inversión dedicada a la habilitación y rehabilitación de subestaciones eléctricas, al reforzamiento de líneas troncales de alimentadores, y a la incorporación de equipos de operación y protección en la red de media tensión</w:t>
      </w:r>
      <w:r w:rsidRPr="005E655B">
        <w:rPr>
          <w:rFonts w:ascii="Times New Roman" w:eastAsia="Times New Roman" w:hAnsi="Times New Roman" w:cs="Times New Roman"/>
          <w:sz w:val="24"/>
          <w:szCs w:val="24"/>
        </w:rPr>
        <w:t xml:space="preserve">; </w:t>
      </w:r>
    </w:p>
    <w:p w:rsidR="00AA75A1" w:rsidRPr="005E655B" w:rsidRDefault="004335AE" w:rsidP="004474CC">
      <w:pPr>
        <w:pStyle w:val="ListParagraph"/>
        <w:numPr>
          <w:ilvl w:val="0"/>
          <w:numId w:val="25"/>
        </w:numPr>
        <w:autoSpaceDE w:val="0"/>
        <w:autoSpaceDN w:val="0"/>
        <w:adjustRightInd w:val="0"/>
        <w:spacing w:before="120" w:after="120" w:line="240" w:lineRule="auto"/>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los costos no </w:t>
      </w:r>
      <w:r w:rsidR="00AA75A1" w:rsidRPr="005E655B">
        <w:rPr>
          <w:rFonts w:ascii="Times New Roman" w:eastAsia="Times New Roman" w:hAnsi="Times New Roman" w:cs="Times New Roman"/>
          <w:sz w:val="24"/>
          <w:szCs w:val="24"/>
        </w:rPr>
        <w:t>recurrentes inherentes a la administración del Programa</w:t>
      </w:r>
      <w:r w:rsidR="00B24A65" w:rsidRPr="005E655B">
        <w:rPr>
          <w:rFonts w:ascii="Times New Roman" w:eastAsia="Times New Roman" w:hAnsi="Times New Roman" w:cs="Times New Roman"/>
          <w:sz w:val="24"/>
          <w:szCs w:val="24"/>
        </w:rPr>
        <w:t xml:space="preserve">; y </w:t>
      </w:r>
    </w:p>
    <w:p w:rsidR="00AA75A1" w:rsidRPr="005E655B" w:rsidRDefault="00081FD8" w:rsidP="004474CC">
      <w:pPr>
        <w:pStyle w:val="ListParagraph"/>
        <w:numPr>
          <w:ilvl w:val="0"/>
          <w:numId w:val="25"/>
        </w:numPr>
        <w:autoSpaceDE w:val="0"/>
        <w:autoSpaceDN w:val="0"/>
        <w:adjustRightInd w:val="0"/>
        <w:spacing w:before="120" w:after="120" w:line="240" w:lineRule="auto"/>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los costos recurrentes de operación y mantenimiento </w:t>
      </w:r>
      <w:r w:rsidR="0069686B" w:rsidRPr="005E655B">
        <w:rPr>
          <w:rFonts w:ascii="Times New Roman" w:eastAsia="Times New Roman" w:hAnsi="Times New Roman" w:cs="Times New Roman"/>
          <w:sz w:val="24"/>
          <w:szCs w:val="24"/>
        </w:rPr>
        <w:t xml:space="preserve">(O&amp;M) </w:t>
      </w:r>
      <w:r w:rsidRPr="005E655B">
        <w:rPr>
          <w:rFonts w:ascii="Times New Roman" w:eastAsia="Times New Roman" w:hAnsi="Times New Roman" w:cs="Times New Roman"/>
          <w:sz w:val="24"/>
          <w:szCs w:val="24"/>
        </w:rPr>
        <w:t xml:space="preserve">de las </w:t>
      </w:r>
      <w:r w:rsidR="00AA75A1" w:rsidRPr="005E655B">
        <w:rPr>
          <w:rFonts w:ascii="Times New Roman" w:eastAsia="Times New Roman" w:hAnsi="Times New Roman" w:cs="Times New Roman"/>
          <w:sz w:val="24"/>
          <w:szCs w:val="24"/>
        </w:rPr>
        <w:t>nuevas instalaciones y equipos.</w:t>
      </w:r>
      <w:r w:rsidR="008F1965" w:rsidRPr="005E655B">
        <w:rPr>
          <w:rFonts w:ascii="Times New Roman" w:eastAsia="Times New Roman" w:hAnsi="Times New Roman" w:cs="Times New Roman"/>
          <w:sz w:val="24"/>
          <w:szCs w:val="24"/>
        </w:rPr>
        <w:t xml:space="preserve"> </w:t>
      </w:r>
    </w:p>
    <w:p w:rsidR="004474CC" w:rsidRDefault="004474CC" w:rsidP="004474CC">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0904BF" w:rsidRPr="005E655B" w:rsidRDefault="00AA75A1" w:rsidP="004474CC">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T</w:t>
      </w:r>
      <w:r w:rsidR="00081FD8" w:rsidRPr="005E655B">
        <w:rPr>
          <w:rFonts w:ascii="Times New Roman" w:eastAsia="Times New Roman" w:hAnsi="Times New Roman" w:cs="Times New Roman"/>
          <w:sz w:val="24"/>
          <w:szCs w:val="24"/>
        </w:rPr>
        <w:t>odos</w:t>
      </w:r>
      <w:r w:rsidR="00CA2CBF" w:rsidRPr="005E655B">
        <w:rPr>
          <w:rFonts w:ascii="Times New Roman" w:eastAsia="Times New Roman" w:hAnsi="Times New Roman" w:cs="Times New Roman"/>
          <w:sz w:val="24"/>
          <w:szCs w:val="24"/>
        </w:rPr>
        <w:t xml:space="preserve"> </w:t>
      </w:r>
      <w:r w:rsidRPr="005E655B">
        <w:rPr>
          <w:rFonts w:ascii="Times New Roman" w:eastAsia="Times New Roman" w:hAnsi="Times New Roman" w:cs="Times New Roman"/>
          <w:sz w:val="24"/>
          <w:szCs w:val="24"/>
        </w:rPr>
        <w:t xml:space="preserve">estos costos serán </w:t>
      </w:r>
      <w:r w:rsidR="008F1965" w:rsidRPr="005E655B">
        <w:rPr>
          <w:rFonts w:ascii="Times New Roman" w:eastAsia="Times New Roman" w:hAnsi="Times New Roman" w:cs="Times New Roman"/>
          <w:sz w:val="24"/>
          <w:szCs w:val="24"/>
        </w:rPr>
        <w:t>necesario</w:t>
      </w:r>
      <w:r w:rsidR="00BD418E" w:rsidRPr="005E655B">
        <w:rPr>
          <w:rFonts w:ascii="Times New Roman" w:eastAsia="Times New Roman" w:hAnsi="Times New Roman" w:cs="Times New Roman"/>
          <w:sz w:val="24"/>
          <w:szCs w:val="24"/>
        </w:rPr>
        <w:t>s</w:t>
      </w:r>
      <w:r w:rsidR="008F1965" w:rsidRPr="005E655B">
        <w:rPr>
          <w:rFonts w:ascii="Times New Roman" w:eastAsia="Times New Roman" w:hAnsi="Times New Roman" w:cs="Times New Roman"/>
          <w:sz w:val="24"/>
          <w:szCs w:val="24"/>
        </w:rPr>
        <w:t xml:space="preserve"> </w:t>
      </w:r>
      <w:r w:rsidRPr="005E655B">
        <w:rPr>
          <w:rFonts w:ascii="Times New Roman" w:eastAsia="Times New Roman" w:hAnsi="Times New Roman" w:cs="Times New Roman"/>
          <w:sz w:val="24"/>
          <w:szCs w:val="24"/>
        </w:rPr>
        <w:t xml:space="preserve">para </w:t>
      </w:r>
      <w:r w:rsidR="008F1965" w:rsidRPr="005E655B">
        <w:rPr>
          <w:rFonts w:ascii="Times New Roman" w:eastAsia="Times New Roman" w:hAnsi="Times New Roman" w:cs="Times New Roman"/>
          <w:sz w:val="24"/>
          <w:szCs w:val="24"/>
        </w:rPr>
        <w:t>llevar a cabo</w:t>
      </w:r>
      <w:r w:rsidR="00BD418E" w:rsidRPr="005E655B">
        <w:rPr>
          <w:rFonts w:ascii="Times New Roman" w:eastAsia="Times New Roman" w:hAnsi="Times New Roman" w:cs="Times New Roman"/>
          <w:sz w:val="24"/>
          <w:szCs w:val="24"/>
        </w:rPr>
        <w:t xml:space="preserve"> el </w:t>
      </w:r>
      <w:r w:rsidRPr="005E655B">
        <w:rPr>
          <w:rFonts w:ascii="Times New Roman" w:eastAsia="Times New Roman" w:hAnsi="Times New Roman" w:cs="Times New Roman"/>
          <w:sz w:val="24"/>
          <w:szCs w:val="24"/>
        </w:rPr>
        <w:t>Programa y generar los beneficios descritos en el apartado III anterior</w:t>
      </w:r>
      <w:r w:rsidR="00FA1158" w:rsidRPr="005E655B">
        <w:rPr>
          <w:rFonts w:ascii="Times New Roman" w:eastAsia="Times New Roman" w:hAnsi="Times New Roman" w:cs="Times New Roman"/>
          <w:sz w:val="24"/>
          <w:szCs w:val="24"/>
        </w:rPr>
        <w:t>.</w:t>
      </w:r>
    </w:p>
    <w:p w:rsidR="00AA75A1" w:rsidRPr="005E655B" w:rsidRDefault="00AA75A1" w:rsidP="004474CC">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AA75A1" w:rsidRPr="005E655B" w:rsidRDefault="00AA75A1" w:rsidP="004474CC">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El cuadro a continuación expone los costos no recurrentes del Programa, expresado</w:t>
      </w:r>
      <w:r w:rsidR="00E82EBC" w:rsidRPr="005E655B">
        <w:rPr>
          <w:rFonts w:ascii="Times New Roman" w:eastAsia="Times New Roman" w:hAnsi="Times New Roman" w:cs="Times New Roman"/>
          <w:sz w:val="24"/>
          <w:szCs w:val="24"/>
        </w:rPr>
        <w:t>s</w:t>
      </w:r>
      <w:r w:rsidRPr="005E655B">
        <w:rPr>
          <w:rFonts w:ascii="Times New Roman" w:eastAsia="Times New Roman" w:hAnsi="Times New Roman" w:cs="Times New Roman"/>
          <w:sz w:val="24"/>
          <w:szCs w:val="24"/>
        </w:rPr>
        <w:t xml:space="preserve"> a precio</w:t>
      </w:r>
      <w:r w:rsidR="00E82EBC" w:rsidRPr="005E655B">
        <w:rPr>
          <w:rFonts w:ascii="Times New Roman" w:eastAsia="Times New Roman" w:hAnsi="Times New Roman" w:cs="Times New Roman"/>
          <w:sz w:val="24"/>
          <w:szCs w:val="24"/>
        </w:rPr>
        <w:t>s</w:t>
      </w:r>
      <w:r w:rsidRPr="005E655B">
        <w:rPr>
          <w:rFonts w:ascii="Times New Roman" w:eastAsia="Times New Roman" w:hAnsi="Times New Roman" w:cs="Times New Roman"/>
          <w:sz w:val="24"/>
          <w:szCs w:val="24"/>
        </w:rPr>
        <w:t xml:space="preserve"> de mercado, de acuerdo con el presupuesto de la operación.</w:t>
      </w:r>
    </w:p>
    <w:p w:rsidR="00AA75A1" w:rsidRPr="005E655B" w:rsidRDefault="00AA75A1" w:rsidP="004474CC">
      <w:pPr>
        <w:pStyle w:val="ListParagraph"/>
        <w:spacing w:before="120" w:after="120" w:line="240" w:lineRule="auto"/>
        <w:rPr>
          <w:rFonts w:ascii="Times New Roman" w:eastAsia="Times New Roman" w:hAnsi="Times New Roman" w:cs="Times New Roman"/>
          <w:sz w:val="24"/>
          <w:szCs w:val="24"/>
        </w:rPr>
      </w:pPr>
    </w:p>
    <w:p w:rsidR="00AA75A1" w:rsidRPr="005E655B" w:rsidRDefault="004474CC" w:rsidP="000032C5">
      <w:pPr>
        <w:pStyle w:val="Caption"/>
        <w:spacing w:before="120" w:after="120"/>
        <w:ind w:left="288"/>
        <w:rPr>
          <w:sz w:val="24"/>
          <w:szCs w:val="24"/>
          <w:lang w:val="es-ES"/>
        </w:rPr>
      </w:pPr>
      <w:r w:rsidRPr="005E655B">
        <w:rPr>
          <w:noProof/>
          <w:sz w:val="24"/>
          <w:szCs w:val="24"/>
          <w:lang w:val="en-US" w:eastAsia="en-US"/>
        </w:rPr>
        <w:drawing>
          <wp:anchor distT="0" distB="0" distL="114300" distR="114300" simplePos="0" relativeHeight="251702272" behindDoc="0" locked="0" layoutInCell="1" allowOverlap="1" wp14:anchorId="5C494049" wp14:editId="013414ED">
            <wp:simplePos x="0" y="0"/>
            <wp:positionH relativeFrom="column">
              <wp:posOffset>970280</wp:posOffset>
            </wp:positionH>
            <wp:positionV relativeFrom="paragraph">
              <wp:posOffset>363855</wp:posOffset>
            </wp:positionV>
            <wp:extent cx="3681095" cy="3609975"/>
            <wp:effectExtent l="0" t="0" r="0" b="9525"/>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7">
                      <a:extLst>
                        <a:ext uri="{28A0092B-C50C-407E-A947-70E740481C1C}">
                          <a14:useLocalDpi xmlns:a14="http://schemas.microsoft.com/office/drawing/2010/main" val="0"/>
                        </a:ext>
                      </a:extLst>
                    </a:blip>
                    <a:srcRect b="3579"/>
                    <a:stretch/>
                  </pic:blipFill>
                  <pic:spPr bwMode="auto">
                    <a:xfrm>
                      <a:off x="0" y="0"/>
                      <a:ext cx="3681095" cy="3609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75A1" w:rsidRPr="005E655B">
        <w:rPr>
          <w:sz w:val="24"/>
          <w:szCs w:val="24"/>
          <w:lang w:val="es-ES"/>
        </w:rPr>
        <w:t xml:space="preserve">Cuadro </w:t>
      </w:r>
      <w:r w:rsidR="00AA75A1" w:rsidRPr="005E655B">
        <w:rPr>
          <w:sz w:val="24"/>
          <w:szCs w:val="24"/>
          <w:lang w:val="es-ES"/>
        </w:rPr>
        <w:fldChar w:fldCharType="begin"/>
      </w:r>
      <w:r w:rsidR="00AA75A1" w:rsidRPr="005E655B">
        <w:rPr>
          <w:sz w:val="24"/>
          <w:szCs w:val="24"/>
          <w:lang w:val="es-ES"/>
        </w:rPr>
        <w:instrText xml:space="preserve"> SEQ Tableau \* ARABIC </w:instrText>
      </w:r>
      <w:r w:rsidR="00AA75A1" w:rsidRPr="005E655B">
        <w:rPr>
          <w:sz w:val="24"/>
          <w:szCs w:val="24"/>
          <w:lang w:val="es-ES"/>
        </w:rPr>
        <w:fldChar w:fldCharType="separate"/>
      </w:r>
      <w:r w:rsidR="00596A07">
        <w:rPr>
          <w:noProof/>
          <w:sz w:val="24"/>
          <w:szCs w:val="24"/>
          <w:lang w:val="es-ES"/>
        </w:rPr>
        <w:t>7</w:t>
      </w:r>
      <w:r w:rsidR="00AA75A1" w:rsidRPr="005E655B">
        <w:rPr>
          <w:sz w:val="24"/>
          <w:szCs w:val="24"/>
          <w:lang w:val="es-ES"/>
        </w:rPr>
        <w:fldChar w:fldCharType="end"/>
      </w:r>
      <w:r w:rsidR="00AA75A1" w:rsidRPr="005E655B">
        <w:rPr>
          <w:sz w:val="24"/>
          <w:szCs w:val="24"/>
          <w:lang w:val="es-ES"/>
        </w:rPr>
        <w:t xml:space="preserve">. Costos </w:t>
      </w:r>
      <w:r w:rsidR="0069686B" w:rsidRPr="005E655B">
        <w:rPr>
          <w:sz w:val="24"/>
          <w:szCs w:val="24"/>
          <w:lang w:val="es-ES"/>
        </w:rPr>
        <w:t>No Recurrentes</w:t>
      </w:r>
    </w:p>
    <w:p w:rsidR="0069686B" w:rsidRPr="00111B63" w:rsidRDefault="004474CC" w:rsidP="00111B63">
      <w:pPr>
        <w:spacing w:before="120" w:after="120" w:line="240" w:lineRule="auto"/>
        <w:jc w:val="left"/>
        <w:rPr>
          <w:rFonts w:ascii="Times New Roman" w:hAnsi="Times New Roman" w:cs="Times New Roman"/>
          <w:i/>
          <w:sz w:val="20"/>
          <w:szCs w:val="20"/>
          <w:lang w:eastAsia="es-ES_tradnl"/>
        </w:rPr>
      </w:pPr>
      <w:r w:rsidRPr="00111B63">
        <w:rPr>
          <w:rFonts w:ascii="Times New Roman" w:hAnsi="Times New Roman" w:cs="Times New Roman"/>
          <w:i/>
          <w:sz w:val="20"/>
          <w:szCs w:val="20"/>
          <w:lang w:eastAsia="es-ES_tradnl"/>
        </w:rPr>
        <w:t xml:space="preserve">Fuente: Presupuesto del BID y Alexis De </w:t>
      </w:r>
      <w:proofErr w:type="spellStart"/>
      <w:r w:rsidRPr="00111B63">
        <w:rPr>
          <w:rFonts w:ascii="Times New Roman" w:hAnsi="Times New Roman" w:cs="Times New Roman"/>
          <w:i/>
          <w:sz w:val="20"/>
          <w:szCs w:val="20"/>
          <w:lang w:eastAsia="es-ES_tradnl"/>
        </w:rPr>
        <w:t>Agueda</w:t>
      </w:r>
      <w:proofErr w:type="spellEnd"/>
      <w:r w:rsidRPr="00111B63">
        <w:rPr>
          <w:rFonts w:ascii="Times New Roman" w:hAnsi="Times New Roman" w:cs="Times New Roman"/>
          <w:i/>
          <w:sz w:val="20"/>
          <w:szCs w:val="20"/>
          <w:lang w:eastAsia="es-ES_tradnl"/>
        </w:rPr>
        <w:t>.</w:t>
      </w:r>
    </w:p>
    <w:p w:rsidR="00E82EBC" w:rsidRPr="005E655B" w:rsidRDefault="00E82EBC"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Estas inversiones se han considerado ejecutadas durante los 2 primeros años del periodo de análisis del ACB. Los costos de administración del Programa se han incorporado proporcionalmente al grado de ejecución de las inversiones. </w:t>
      </w:r>
    </w:p>
    <w:p w:rsidR="00E82EBC" w:rsidRPr="005E655B" w:rsidRDefault="00E82EBC"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69686B" w:rsidRPr="005E655B" w:rsidRDefault="0069686B"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Por otra parte, el cuadro siguiente muestra los importes total de costos recurrentes de O&amp;M de las nuevas instalaciones y equipos. Cabe señalar que el porcentaje </w:t>
      </w:r>
      <w:r w:rsidR="00C74177" w:rsidRPr="005E655B">
        <w:rPr>
          <w:rFonts w:ascii="Times New Roman" w:eastAsia="Times New Roman" w:hAnsi="Times New Roman" w:cs="Times New Roman"/>
          <w:sz w:val="24"/>
          <w:szCs w:val="24"/>
        </w:rPr>
        <w:t xml:space="preserve">de referencia </w:t>
      </w:r>
      <w:r w:rsidRPr="005E655B">
        <w:rPr>
          <w:rFonts w:ascii="Times New Roman" w:eastAsia="Times New Roman" w:hAnsi="Times New Roman" w:cs="Times New Roman"/>
          <w:sz w:val="24"/>
          <w:szCs w:val="24"/>
        </w:rPr>
        <w:t xml:space="preserve">utilizado para el cálculo de </w:t>
      </w:r>
      <w:r w:rsidR="00C74177" w:rsidRPr="005E655B">
        <w:rPr>
          <w:rFonts w:ascii="Times New Roman" w:eastAsia="Times New Roman" w:hAnsi="Times New Roman" w:cs="Times New Roman"/>
          <w:sz w:val="24"/>
          <w:szCs w:val="24"/>
        </w:rPr>
        <w:t>est</w:t>
      </w:r>
      <w:r w:rsidRPr="005E655B">
        <w:rPr>
          <w:rFonts w:ascii="Times New Roman" w:eastAsia="Times New Roman" w:hAnsi="Times New Roman" w:cs="Times New Roman"/>
          <w:sz w:val="24"/>
          <w:szCs w:val="24"/>
        </w:rPr>
        <w:t xml:space="preserve">os costos ha sido </w:t>
      </w:r>
      <w:r w:rsidR="00C74177" w:rsidRPr="005E655B">
        <w:rPr>
          <w:rFonts w:ascii="Times New Roman" w:eastAsia="Times New Roman" w:hAnsi="Times New Roman" w:cs="Times New Roman"/>
          <w:sz w:val="24"/>
          <w:szCs w:val="24"/>
        </w:rPr>
        <w:t xml:space="preserve">de </w:t>
      </w:r>
      <w:r w:rsidRPr="005E655B">
        <w:rPr>
          <w:rFonts w:ascii="Times New Roman" w:eastAsia="Times New Roman" w:hAnsi="Times New Roman" w:cs="Times New Roman"/>
          <w:sz w:val="24"/>
          <w:szCs w:val="24"/>
        </w:rPr>
        <w:t xml:space="preserve">6% </w:t>
      </w:r>
      <w:r w:rsidR="00C74177" w:rsidRPr="005E655B">
        <w:rPr>
          <w:rFonts w:ascii="Times New Roman" w:eastAsia="Times New Roman" w:hAnsi="Times New Roman" w:cs="Times New Roman"/>
          <w:sz w:val="24"/>
          <w:szCs w:val="24"/>
        </w:rPr>
        <w:t xml:space="preserve">anual </w:t>
      </w:r>
      <w:r w:rsidRPr="005E655B">
        <w:rPr>
          <w:rFonts w:ascii="Times New Roman" w:eastAsia="Times New Roman" w:hAnsi="Times New Roman" w:cs="Times New Roman"/>
          <w:sz w:val="24"/>
          <w:szCs w:val="24"/>
        </w:rPr>
        <w:t>para todas las inversiones materiales previstas.</w:t>
      </w:r>
    </w:p>
    <w:p w:rsidR="0069686B" w:rsidRPr="005E655B" w:rsidRDefault="0069686B" w:rsidP="000032C5">
      <w:pPr>
        <w:pStyle w:val="Caption"/>
        <w:spacing w:before="120" w:after="120"/>
        <w:ind w:left="288"/>
        <w:rPr>
          <w:sz w:val="24"/>
          <w:szCs w:val="24"/>
          <w:lang w:val="es-ES"/>
        </w:rPr>
      </w:pPr>
      <w:r w:rsidRPr="005E655B">
        <w:rPr>
          <w:sz w:val="24"/>
          <w:szCs w:val="24"/>
          <w:lang w:val="es-ES"/>
        </w:rPr>
        <w:t xml:space="preserve">Cuadro </w:t>
      </w:r>
      <w:r w:rsidRPr="005E655B">
        <w:rPr>
          <w:sz w:val="24"/>
          <w:szCs w:val="24"/>
          <w:lang w:val="es-ES"/>
        </w:rPr>
        <w:fldChar w:fldCharType="begin"/>
      </w:r>
      <w:r w:rsidRPr="005E655B">
        <w:rPr>
          <w:sz w:val="24"/>
          <w:szCs w:val="24"/>
          <w:lang w:val="es-ES"/>
        </w:rPr>
        <w:instrText xml:space="preserve"> SEQ Tableau \* ARABIC </w:instrText>
      </w:r>
      <w:r w:rsidRPr="005E655B">
        <w:rPr>
          <w:sz w:val="24"/>
          <w:szCs w:val="24"/>
          <w:lang w:val="es-ES"/>
        </w:rPr>
        <w:fldChar w:fldCharType="separate"/>
      </w:r>
      <w:r w:rsidR="00596A07">
        <w:rPr>
          <w:noProof/>
          <w:sz w:val="24"/>
          <w:szCs w:val="24"/>
          <w:lang w:val="es-ES"/>
        </w:rPr>
        <w:t>8</w:t>
      </w:r>
      <w:r w:rsidRPr="005E655B">
        <w:rPr>
          <w:sz w:val="24"/>
          <w:szCs w:val="24"/>
          <w:lang w:val="es-ES"/>
        </w:rPr>
        <w:fldChar w:fldCharType="end"/>
      </w:r>
      <w:r w:rsidRPr="005E655B">
        <w:rPr>
          <w:sz w:val="24"/>
          <w:szCs w:val="24"/>
          <w:lang w:val="es-ES"/>
        </w:rPr>
        <w:t>. Costos No Recurrentes</w:t>
      </w:r>
    </w:p>
    <w:tbl>
      <w:tblPr>
        <w:tblW w:w="6080" w:type="dxa"/>
        <w:jc w:val="center"/>
        <w:tblInd w:w="65" w:type="dxa"/>
        <w:tblCellMar>
          <w:left w:w="70" w:type="dxa"/>
          <w:right w:w="70" w:type="dxa"/>
        </w:tblCellMar>
        <w:tblLook w:val="04A0" w:firstRow="1" w:lastRow="0" w:firstColumn="1" w:lastColumn="0" w:noHBand="0" w:noVBand="1"/>
      </w:tblPr>
      <w:tblGrid>
        <w:gridCol w:w="3608"/>
        <w:gridCol w:w="2472"/>
      </w:tblGrid>
      <w:tr w:rsidR="0069686B" w:rsidRPr="005E655B" w:rsidTr="001D5CAA">
        <w:trPr>
          <w:trHeight w:val="667"/>
          <w:jc w:val="center"/>
        </w:trPr>
        <w:tc>
          <w:tcPr>
            <w:tcW w:w="3608"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69686B" w:rsidRPr="005E655B" w:rsidRDefault="0069686B" w:rsidP="000032C5">
            <w:pPr>
              <w:spacing w:before="120" w:after="120" w:line="240" w:lineRule="auto"/>
              <w:ind w:left="175"/>
              <w:jc w:val="both"/>
              <w:rPr>
                <w:rFonts w:ascii="Times New Roman" w:eastAsia="Times New Roman" w:hAnsi="Times New Roman" w:cs="Times New Roman"/>
                <w:b/>
                <w:color w:val="000000"/>
                <w:sz w:val="24"/>
                <w:szCs w:val="24"/>
                <w:lang w:eastAsia="es-ES"/>
              </w:rPr>
            </w:pPr>
            <w:r w:rsidRPr="005E655B">
              <w:rPr>
                <w:rFonts w:ascii="Times New Roman" w:eastAsia="Times New Roman" w:hAnsi="Times New Roman" w:cs="Times New Roman"/>
                <w:b/>
                <w:color w:val="000000"/>
                <w:sz w:val="24"/>
                <w:szCs w:val="24"/>
                <w:lang w:eastAsia="es-ES"/>
              </w:rPr>
              <w:t>Tipo de Precios</w:t>
            </w:r>
          </w:p>
        </w:tc>
        <w:tc>
          <w:tcPr>
            <w:tcW w:w="2472" w:type="dxa"/>
            <w:tcBorders>
              <w:top w:val="single" w:sz="4" w:space="0" w:color="auto"/>
              <w:left w:val="nil"/>
              <w:bottom w:val="single" w:sz="4" w:space="0" w:color="auto"/>
              <w:right w:val="single" w:sz="4" w:space="0" w:color="auto"/>
            </w:tcBorders>
            <w:shd w:val="clear" w:color="000000" w:fill="D8D8D8"/>
            <w:vAlign w:val="center"/>
            <w:hideMark/>
          </w:tcPr>
          <w:p w:rsidR="0069686B" w:rsidRPr="005E655B" w:rsidRDefault="0069686B" w:rsidP="000032C5">
            <w:pPr>
              <w:spacing w:before="120" w:after="120" w:line="240" w:lineRule="auto"/>
              <w:rPr>
                <w:rFonts w:ascii="Times New Roman" w:eastAsia="Times New Roman" w:hAnsi="Times New Roman" w:cs="Times New Roman"/>
                <w:b/>
                <w:color w:val="000000"/>
                <w:sz w:val="24"/>
                <w:szCs w:val="24"/>
                <w:lang w:eastAsia="es-ES"/>
              </w:rPr>
            </w:pPr>
            <w:r w:rsidRPr="005E655B">
              <w:rPr>
                <w:rFonts w:ascii="Times New Roman" w:eastAsia="Times New Roman" w:hAnsi="Times New Roman" w:cs="Times New Roman"/>
                <w:b/>
                <w:color w:val="000000"/>
                <w:sz w:val="24"/>
                <w:szCs w:val="24"/>
                <w:lang w:eastAsia="es-ES"/>
              </w:rPr>
              <w:t>Costo Anual</w:t>
            </w:r>
          </w:p>
          <w:p w:rsidR="0069686B" w:rsidRPr="005E655B" w:rsidRDefault="0069686B" w:rsidP="000032C5">
            <w:pPr>
              <w:spacing w:before="120" w:after="120" w:line="240" w:lineRule="auto"/>
              <w:rPr>
                <w:rFonts w:ascii="Times New Roman" w:eastAsia="Times New Roman" w:hAnsi="Times New Roman" w:cs="Times New Roman"/>
                <w:b/>
                <w:color w:val="000000"/>
                <w:sz w:val="24"/>
                <w:szCs w:val="24"/>
                <w:lang w:eastAsia="es-ES"/>
              </w:rPr>
            </w:pPr>
            <w:r w:rsidRPr="005E655B">
              <w:rPr>
                <w:rFonts w:ascii="Times New Roman" w:eastAsia="Times New Roman" w:hAnsi="Times New Roman" w:cs="Times New Roman"/>
                <w:b/>
                <w:color w:val="000000"/>
                <w:sz w:val="24"/>
                <w:szCs w:val="24"/>
                <w:lang w:eastAsia="es-ES"/>
              </w:rPr>
              <w:t>(USD)</w:t>
            </w:r>
          </w:p>
        </w:tc>
      </w:tr>
      <w:tr w:rsidR="0069686B" w:rsidRPr="005E655B" w:rsidTr="001D5CAA">
        <w:trPr>
          <w:trHeight w:val="75"/>
          <w:jc w:val="center"/>
        </w:trPr>
        <w:tc>
          <w:tcPr>
            <w:tcW w:w="3608" w:type="dxa"/>
            <w:tcBorders>
              <w:top w:val="nil"/>
              <w:left w:val="nil"/>
              <w:bottom w:val="nil"/>
              <w:right w:val="nil"/>
            </w:tcBorders>
            <w:shd w:val="clear" w:color="auto" w:fill="auto"/>
            <w:noWrap/>
            <w:vAlign w:val="bottom"/>
            <w:hideMark/>
          </w:tcPr>
          <w:p w:rsidR="0069686B" w:rsidRPr="005E655B" w:rsidRDefault="0069686B" w:rsidP="000032C5">
            <w:pPr>
              <w:spacing w:before="120" w:after="120" w:line="240" w:lineRule="auto"/>
              <w:ind w:firstLineChars="100" w:firstLine="240"/>
              <w:jc w:val="both"/>
              <w:rPr>
                <w:rFonts w:ascii="Times New Roman" w:eastAsia="Times New Roman" w:hAnsi="Times New Roman" w:cs="Times New Roman"/>
                <w:color w:val="000000"/>
                <w:sz w:val="24"/>
                <w:szCs w:val="24"/>
                <w:lang w:eastAsia="es-ES"/>
              </w:rPr>
            </w:pPr>
          </w:p>
        </w:tc>
        <w:tc>
          <w:tcPr>
            <w:tcW w:w="2472" w:type="dxa"/>
            <w:tcBorders>
              <w:top w:val="nil"/>
              <w:left w:val="nil"/>
              <w:bottom w:val="nil"/>
              <w:right w:val="nil"/>
            </w:tcBorders>
            <w:shd w:val="clear" w:color="auto" w:fill="auto"/>
            <w:noWrap/>
            <w:vAlign w:val="bottom"/>
            <w:hideMark/>
          </w:tcPr>
          <w:p w:rsidR="0069686B" w:rsidRPr="005E655B" w:rsidRDefault="0069686B" w:rsidP="000032C5">
            <w:pPr>
              <w:spacing w:before="120" w:after="120" w:line="240" w:lineRule="auto"/>
              <w:rPr>
                <w:rFonts w:ascii="Times New Roman" w:eastAsia="Times New Roman" w:hAnsi="Times New Roman" w:cs="Times New Roman"/>
                <w:color w:val="000000"/>
                <w:sz w:val="24"/>
                <w:szCs w:val="24"/>
                <w:lang w:eastAsia="es-ES"/>
              </w:rPr>
            </w:pPr>
          </w:p>
        </w:tc>
      </w:tr>
      <w:tr w:rsidR="0069686B" w:rsidRPr="005E655B" w:rsidTr="001D5CAA">
        <w:trPr>
          <w:trHeight w:val="465"/>
          <w:jc w:val="center"/>
        </w:trPr>
        <w:tc>
          <w:tcPr>
            <w:tcW w:w="3608" w:type="dxa"/>
            <w:tcBorders>
              <w:top w:val="single" w:sz="4" w:space="0" w:color="auto"/>
              <w:left w:val="single" w:sz="4" w:space="0" w:color="auto"/>
              <w:bottom w:val="single" w:sz="4" w:space="0" w:color="auto"/>
              <w:right w:val="nil"/>
            </w:tcBorders>
            <w:shd w:val="clear" w:color="auto" w:fill="auto"/>
            <w:vAlign w:val="center"/>
          </w:tcPr>
          <w:p w:rsidR="0069686B" w:rsidRPr="005E655B" w:rsidRDefault="0069686B" w:rsidP="000032C5">
            <w:pPr>
              <w:spacing w:before="120" w:after="120" w:line="240" w:lineRule="auto"/>
              <w:ind w:firstLineChars="100" w:firstLine="240"/>
              <w:jc w:val="left"/>
              <w:rPr>
                <w:rFonts w:ascii="Times New Roman" w:eastAsia="Times New Roman" w:hAnsi="Times New Roman" w:cs="Times New Roman"/>
                <w:color w:val="000000"/>
                <w:sz w:val="24"/>
                <w:szCs w:val="24"/>
                <w:lang w:eastAsia="es-ES"/>
              </w:rPr>
            </w:pPr>
            <w:r w:rsidRPr="005E655B">
              <w:rPr>
                <w:rFonts w:ascii="Times New Roman" w:eastAsia="Times New Roman" w:hAnsi="Times New Roman" w:cs="Times New Roman"/>
                <w:color w:val="000000"/>
                <w:sz w:val="24"/>
                <w:szCs w:val="24"/>
                <w:lang w:eastAsia="es-ES"/>
              </w:rPr>
              <w:t>A Precios de Mercado</w:t>
            </w:r>
          </w:p>
        </w:tc>
        <w:tc>
          <w:tcPr>
            <w:tcW w:w="2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686B" w:rsidRPr="005E655B" w:rsidRDefault="0069686B" w:rsidP="000032C5">
            <w:pPr>
              <w:spacing w:before="120" w:after="120" w:line="240" w:lineRule="auto"/>
              <w:rPr>
                <w:rFonts w:ascii="Times New Roman" w:hAnsi="Times New Roman" w:cs="Times New Roman"/>
                <w:color w:val="000000"/>
                <w:sz w:val="24"/>
                <w:szCs w:val="24"/>
              </w:rPr>
            </w:pPr>
            <w:r w:rsidRPr="005E655B">
              <w:rPr>
                <w:rFonts w:ascii="Times New Roman" w:hAnsi="Times New Roman" w:cs="Times New Roman"/>
                <w:color w:val="000000"/>
                <w:sz w:val="24"/>
                <w:szCs w:val="24"/>
              </w:rPr>
              <w:t>5.443.152</w:t>
            </w:r>
          </w:p>
        </w:tc>
      </w:tr>
      <w:tr w:rsidR="0069686B" w:rsidRPr="005E655B" w:rsidTr="001D5CAA">
        <w:trPr>
          <w:trHeight w:val="410"/>
          <w:jc w:val="center"/>
        </w:trPr>
        <w:tc>
          <w:tcPr>
            <w:tcW w:w="3608" w:type="dxa"/>
            <w:tcBorders>
              <w:top w:val="single" w:sz="4" w:space="0" w:color="auto"/>
              <w:left w:val="single" w:sz="4" w:space="0" w:color="auto"/>
              <w:bottom w:val="single" w:sz="4" w:space="0" w:color="auto"/>
              <w:right w:val="nil"/>
            </w:tcBorders>
            <w:shd w:val="clear" w:color="auto" w:fill="auto"/>
            <w:vAlign w:val="center"/>
          </w:tcPr>
          <w:p w:rsidR="0069686B" w:rsidRPr="005E655B" w:rsidRDefault="0069686B" w:rsidP="000032C5">
            <w:pPr>
              <w:spacing w:before="120" w:after="120" w:line="240" w:lineRule="auto"/>
              <w:ind w:firstLineChars="100" w:firstLine="240"/>
              <w:jc w:val="left"/>
              <w:rPr>
                <w:rFonts w:ascii="Times New Roman" w:eastAsia="Times New Roman" w:hAnsi="Times New Roman" w:cs="Times New Roman"/>
                <w:color w:val="000000"/>
                <w:sz w:val="24"/>
                <w:szCs w:val="24"/>
                <w:lang w:eastAsia="es-ES"/>
              </w:rPr>
            </w:pPr>
            <w:r w:rsidRPr="005E655B">
              <w:rPr>
                <w:rFonts w:ascii="Times New Roman" w:eastAsia="Times New Roman" w:hAnsi="Times New Roman" w:cs="Times New Roman"/>
                <w:color w:val="000000"/>
                <w:sz w:val="24"/>
                <w:szCs w:val="24"/>
                <w:lang w:eastAsia="es-ES"/>
              </w:rPr>
              <w:t>A Precios de Eficiencia</w:t>
            </w:r>
          </w:p>
        </w:tc>
        <w:tc>
          <w:tcPr>
            <w:tcW w:w="2472" w:type="dxa"/>
            <w:tcBorders>
              <w:top w:val="nil"/>
              <w:left w:val="single" w:sz="4" w:space="0" w:color="auto"/>
              <w:bottom w:val="single" w:sz="4" w:space="0" w:color="auto"/>
              <w:right w:val="single" w:sz="4" w:space="0" w:color="auto"/>
            </w:tcBorders>
            <w:shd w:val="clear" w:color="auto" w:fill="auto"/>
            <w:noWrap/>
            <w:vAlign w:val="center"/>
          </w:tcPr>
          <w:p w:rsidR="0069686B" w:rsidRPr="005E655B" w:rsidRDefault="0069686B" w:rsidP="000032C5">
            <w:pPr>
              <w:spacing w:before="120" w:after="120" w:line="240" w:lineRule="auto"/>
              <w:rPr>
                <w:rFonts w:ascii="Times New Roman" w:hAnsi="Times New Roman" w:cs="Times New Roman"/>
                <w:color w:val="000000"/>
                <w:sz w:val="24"/>
                <w:szCs w:val="24"/>
              </w:rPr>
            </w:pPr>
            <w:r w:rsidRPr="005E655B">
              <w:rPr>
                <w:rFonts w:ascii="Times New Roman" w:hAnsi="Times New Roman" w:cs="Times New Roman"/>
                <w:color w:val="000000"/>
                <w:sz w:val="24"/>
                <w:szCs w:val="24"/>
              </w:rPr>
              <w:t>4.419.840</w:t>
            </w:r>
          </w:p>
        </w:tc>
      </w:tr>
    </w:tbl>
    <w:p w:rsidR="0069686B" w:rsidRPr="005E655B" w:rsidRDefault="0069686B" w:rsidP="000032C5">
      <w:pPr>
        <w:pStyle w:val="ListParagraph"/>
        <w:spacing w:before="120" w:after="120" w:line="240" w:lineRule="auto"/>
        <w:jc w:val="both"/>
        <w:rPr>
          <w:rFonts w:ascii="Times New Roman" w:eastAsia="Times New Roman" w:hAnsi="Times New Roman" w:cs="Times New Roman"/>
          <w:sz w:val="24"/>
          <w:szCs w:val="24"/>
        </w:rPr>
      </w:pPr>
    </w:p>
    <w:p w:rsidR="00C74177" w:rsidRPr="005E655B" w:rsidRDefault="00C74177"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Estos costos se han considerado soportados a partir del tercer año del periodo de análisis</w:t>
      </w:r>
      <w:r w:rsidR="009738A3" w:rsidRPr="005E655B">
        <w:rPr>
          <w:rFonts w:ascii="Times New Roman" w:eastAsia="Times New Roman" w:hAnsi="Times New Roman" w:cs="Times New Roman"/>
          <w:sz w:val="24"/>
          <w:szCs w:val="24"/>
        </w:rPr>
        <w:t xml:space="preserve"> del ACB</w:t>
      </w:r>
      <w:r w:rsidRPr="005E655B">
        <w:rPr>
          <w:rFonts w:ascii="Times New Roman" w:eastAsia="Times New Roman" w:hAnsi="Times New Roman" w:cs="Times New Roman"/>
          <w:sz w:val="24"/>
          <w:szCs w:val="24"/>
        </w:rPr>
        <w:t>, una vez finalizada la ejecución material de las inversiones del Programa.</w:t>
      </w:r>
    </w:p>
    <w:p w:rsidR="00C74177" w:rsidRPr="005E655B" w:rsidRDefault="00C74177"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FA43E7" w:rsidRPr="005E655B" w:rsidRDefault="00FA43E7"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Como resultado, l</w:t>
      </w:r>
      <w:r w:rsidR="0069686B" w:rsidRPr="005E655B">
        <w:rPr>
          <w:rFonts w:ascii="Times New Roman" w:eastAsia="Times New Roman" w:hAnsi="Times New Roman" w:cs="Times New Roman"/>
          <w:sz w:val="24"/>
          <w:szCs w:val="24"/>
        </w:rPr>
        <w:t>os costos diferenciales totales</w:t>
      </w:r>
      <w:r w:rsidRPr="005E655B">
        <w:rPr>
          <w:rFonts w:ascii="Times New Roman" w:eastAsia="Times New Roman" w:hAnsi="Times New Roman" w:cs="Times New Roman"/>
          <w:sz w:val="24"/>
          <w:szCs w:val="24"/>
        </w:rPr>
        <w:t xml:space="preserve"> </w:t>
      </w:r>
      <w:r w:rsidR="0069686B" w:rsidRPr="005E655B">
        <w:rPr>
          <w:rFonts w:ascii="Times New Roman" w:eastAsia="Times New Roman" w:hAnsi="Times New Roman" w:cs="Times New Roman"/>
          <w:sz w:val="24"/>
          <w:szCs w:val="24"/>
        </w:rPr>
        <w:t xml:space="preserve">(tanto recurrentes como no recurrentes) </w:t>
      </w:r>
      <w:r w:rsidRPr="005E655B">
        <w:rPr>
          <w:rFonts w:ascii="Times New Roman" w:eastAsia="Times New Roman" w:hAnsi="Times New Roman" w:cs="Times New Roman"/>
          <w:sz w:val="24"/>
          <w:szCs w:val="24"/>
        </w:rPr>
        <w:t xml:space="preserve">asciende a </w:t>
      </w:r>
      <w:r w:rsidR="009738A3" w:rsidRPr="005E655B">
        <w:rPr>
          <w:rFonts w:ascii="Times New Roman" w:eastAsia="Times New Roman" w:hAnsi="Times New Roman" w:cs="Times New Roman"/>
          <w:sz w:val="24"/>
          <w:szCs w:val="24"/>
        </w:rPr>
        <w:t xml:space="preserve">un total de </w:t>
      </w:r>
      <w:r w:rsidR="0069686B" w:rsidRPr="005E655B">
        <w:rPr>
          <w:rFonts w:ascii="Times New Roman" w:eastAsia="Times New Roman" w:hAnsi="Times New Roman" w:cs="Times New Roman"/>
          <w:b/>
          <w:sz w:val="24"/>
          <w:szCs w:val="24"/>
        </w:rPr>
        <w:t>105</w:t>
      </w:r>
      <w:r w:rsidRPr="005E655B">
        <w:rPr>
          <w:rFonts w:ascii="Times New Roman" w:eastAsia="Times New Roman" w:hAnsi="Times New Roman" w:cs="Times New Roman"/>
          <w:b/>
          <w:sz w:val="24"/>
          <w:szCs w:val="24"/>
        </w:rPr>
        <w:t>.</w:t>
      </w:r>
      <w:r w:rsidR="0069686B" w:rsidRPr="005E655B">
        <w:rPr>
          <w:rFonts w:ascii="Times New Roman" w:eastAsia="Times New Roman" w:hAnsi="Times New Roman" w:cs="Times New Roman"/>
          <w:b/>
          <w:sz w:val="24"/>
          <w:szCs w:val="24"/>
        </w:rPr>
        <w:t>721</w:t>
      </w:r>
      <w:r w:rsidRPr="005E655B">
        <w:rPr>
          <w:rFonts w:ascii="Times New Roman" w:eastAsia="Times New Roman" w:hAnsi="Times New Roman" w:cs="Times New Roman"/>
          <w:b/>
          <w:sz w:val="24"/>
          <w:szCs w:val="24"/>
        </w:rPr>
        <w:t>.</w:t>
      </w:r>
      <w:r w:rsidR="0069686B" w:rsidRPr="005E655B">
        <w:rPr>
          <w:rFonts w:ascii="Times New Roman" w:eastAsia="Times New Roman" w:hAnsi="Times New Roman" w:cs="Times New Roman"/>
          <w:b/>
          <w:sz w:val="24"/>
          <w:szCs w:val="24"/>
        </w:rPr>
        <w:t>648</w:t>
      </w:r>
      <w:r w:rsidRPr="005E655B">
        <w:rPr>
          <w:rFonts w:ascii="Times New Roman" w:eastAsia="Times New Roman" w:hAnsi="Times New Roman" w:cs="Times New Roman"/>
          <w:b/>
          <w:sz w:val="24"/>
          <w:szCs w:val="24"/>
        </w:rPr>
        <w:t xml:space="preserve"> USD en Valor Actual</w:t>
      </w:r>
      <w:r w:rsidR="0069686B" w:rsidRPr="005E655B">
        <w:rPr>
          <w:rFonts w:ascii="Times New Roman" w:eastAsia="Times New Roman" w:hAnsi="Times New Roman" w:cs="Times New Roman"/>
          <w:sz w:val="24"/>
          <w:szCs w:val="24"/>
        </w:rPr>
        <w:t xml:space="preserve"> a precios de eficiencia</w:t>
      </w:r>
      <w:r w:rsidRPr="005E655B">
        <w:rPr>
          <w:rFonts w:ascii="Times New Roman" w:eastAsia="Times New Roman" w:hAnsi="Times New Roman" w:cs="Times New Roman"/>
          <w:sz w:val="24"/>
          <w:szCs w:val="24"/>
        </w:rPr>
        <w:t>, cuyo desglose es el que se muestra en el cuadro siguiente.</w:t>
      </w:r>
    </w:p>
    <w:p w:rsidR="00FA43E7" w:rsidRPr="005E655B" w:rsidRDefault="00FA43E7" w:rsidP="000032C5">
      <w:pPr>
        <w:pStyle w:val="ListParagraph"/>
        <w:spacing w:before="120" w:after="120" w:line="240" w:lineRule="auto"/>
        <w:rPr>
          <w:rFonts w:ascii="Times New Roman" w:eastAsia="Times New Roman" w:hAnsi="Times New Roman" w:cs="Times New Roman"/>
          <w:sz w:val="24"/>
          <w:szCs w:val="24"/>
        </w:rPr>
      </w:pPr>
    </w:p>
    <w:p w:rsidR="00117791" w:rsidRPr="005E655B" w:rsidRDefault="00117791" w:rsidP="000032C5">
      <w:pPr>
        <w:pStyle w:val="Caption"/>
        <w:spacing w:before="120" w:after="120"/>
        <w:ind w:left="288"/>
        <w:rPr>
          <w:sz w:val="24"/>
          <w:szCs w:val="24"/>
          <w:lang w:val="es-ES"/>
        </w:rPr>
      </w:pPr>
      <w:r w:rsidRPr="005E655B">
        <w:rPr>
          <w:sz w:val="24"/>
          <w:szCs w:val="24"/>
          <w:lang w:val="es-ES"/>
        </w:rPr>
        <w:t xml:space="preserve">Cuadro </w:t>
      </w:r>
      <w:r w:rsidRPr="005E655B">
        <w:rPr>
          <w:sz w:val="24"/>
          <w:szCs w:val="24"/>
          <w:lang w:val="es-ES"/>
        </w:rPr>
        <w:fldChar w:fldCharType="begin"/>
      </w:r>
      <w:r w:rsidRPr="005E655B">
        <w:rPr>
          <w:sz w:val="24"/>
          <w:szCs w:val="24"/>
          <w:lang w:val="es-ES"/>
        </w:rPr>
        <w:instrText xml:space="preserve"> SEQ Tableau \* ARABIC </w:instrText>
      </w:r>
      <w:r w:rsidRPr="005E655B">
        <w:rPr>
          <w:sz w:val="24"/>
          <w:szCs w:val="24"/>
          <w:lang w:val="es-ES"/>
        </w:rPr>
        <w:fldChar w:fldCharType="separate"/>
      </w:r>
      <w:r w:rsidR="00596A07">
        <w:rPr>
          <w:noProof/>
          <w:sz w:val="24"/>
          <w:szCs w:val="24"/>
          <w:lang w:val="es-ES"/>
        </w:rPr>
        <w:t>9</w:t>
      </w:r>
      <w:r w:rsidRPr="005E655B">
        <w:rPr>
          <w:sz w:val="24"/>
          <w:szCs w:val="24"/>
          <w:lang w:val="es-ES"/>
        </w:rPr>
        <w:fldChar w:fldCharType="end"/>
      </w:r>
      <w:r w:rsidRPr="005E655B">
        <w:rPr>
          <w:sz w:val="24"/>
          <w:szCs w:val="24"/>
          <w:lang w:val="es-ES"/>
        </w:rPr>
        <w:t>. Resultados de Costos en Valor Actual</w:t>
      </w:r>
    </w:p>
    <w:p w:rsidR="00117791" w:rsidRDefault="004474CC" w:rsidP="000032C5">
      <w:pPr>
        <w:spacing w:before="120" w:after="120" w:line="240" w:lineRule="auto"/>
        <w:rPr>
          <w:rFonts w:ascii="Times New Roman" w:hAnsi="Times New Roman" w:cs="Times New Roman"/>
          <w:sz w:val="24"/>
          <w:szCs w:val="24"/>
          <w:lang w:eastAsia="es-ES_tradnl"/>
        </w:rPr>
      </w:pPr>
      <w:r w:rsidRPr="005E655B">
        <w:rPr>
          <w:rFonts w:ascii="Times New Roman" w:hAnsi="Times New Roman" w:cs="Times New Roman"/>
          <w:noProof/>
          <w:sz w:val="24"/>
          <w:szCs w:val="24"/>
          <w:lang w:val="en-US"/>
        </w:rPr>
        <w:drawing>
          <wp:anchor distT="0" distB="0" distL="114300" distR="114300" simplePos="0" relativeHeight="251704320" behindDoc="0" locked="0" layoutInCell="1" allowOverlap="1" wp14:anchorId="4CD0A8B6" wp14:editId="7BE5367D">
            <wp:simplePos x="0" y="0"/>
            <wp:positionH relativeFrom="column">
              <wp:posOffset>314960</wp:posOffset>
            </wp:positionH>
            <wp:positionV relativeFrom="paragraph">
              <wp:posOffset>153035</wp:posOffset>
            </wp:positionV>
            <wp:extent cx="5400040" cy="1707515"/>
            <wp:effectExtent l="0" t="0" r="0" b="6985"/>
            <wp:wrapTopAndBottom/>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1707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5223" w:rsidRPr="005E655B" w:rsidRDefault="00F17041" w:rsidP="000032C5">
      <w:pPr>
        <w:pStyle w:val="Heading1"/>
        <w:numPr>
          <w:ilvl w:val="0"/>
          <w:numId w:val="1"/>
        </w:numPr>
        <w:spacing w:before="120" w:after="120" w:line="240" w:lineRule="auto"/>
        <w:jc w:val="both"/>
        <w:rPr>
          <w:rFonts w:ascii="Times New Roman" w:hAnsi="Times New Roman" w:cs="Times New Roman"/>
          <w:color w:val="auto"/>
          <w:sz w:val="24"/>
          <w:szCs w:val="24"/>
        </w:rPr>
      </w:pPr>
      <w:bookmarkStart w:id="51" w:name="_Toc415751490"/>
      <w:r w:rsidRPr="005E655B">
        <w:rPr>
          <w:rFonts w:ascii="Times New Roman" w:hAnsi="Times New Roman" w:cs="Times New Roman"/>
          <w:color w:val="auto"/>
          <w:sz w:val="24"/>
          <w:szCs w:val="24"/>
        </w:rPr>
        <w:t xml:space="preserve">RESULTADOS Y </w:t>
      </w:r>
      <w:r w:rsidR="00781A4E" w:rsidRPr="005E655B">
        <w:rPr>
          <w:rFonts w:ascii="Times New Roman" w:hAnsi="Times New Roman" w:cs="Times New Roman"/>
          <w:color w:val="auto"/>
          <w:sz w:val="24"/>
          <w:szCs w:val="24"/>
        </w:rPr>
        <w:t>RENTABILIDAD ECONÓMICA DEL PRO</w:t>
      </w:r>
      <w:r w:rsidR="00263EC1" w:rsidRPr="005E655B">
        <w:rPr>
          <w:rFonts w:ascii="Times New Roman" w:hAnsi="Times New Roman" w:cs="Times New Roman"/>
          <w:color w:val="auto"/>
          <w:sz w:val="24"/>
          <w:szCs w:val="24"/>
        </w:rPr>
        <w:t>GRAMA</w:t>
      </w:r>
      <w:bookmarkEnd w:id="51"/>
    </w:p>
    <w:p w:rsidR="00273268" w:rsidRPr="005E655B" w:rsidRDefault="00095E29"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La rentabilidad económica del Pro</w:t>
      </w:r>
      <w:r w:rsidR="00263EC1" w:rsidRPr="005E655B">
        <w:rPr>
          <w:rFonts w:ascii="Times New Roman" w:eastAsia="Times New Roman" w:hAnsi="Times New Roman" w:cs="Times New Roman"/>
          <w:sz w:val="24"/>
          <w:szCs w:val="24"/>
        </w:rPr>
        <w:t xml:space="preserve">grama </w:t>
      </w:r>
      <w:r w:rsidRPr="005E655B">
        <w:rPr>
          <w:rFonts w:ascii="Times New Roman" w:eastAsia="Times New Roman" w:hAnsi="Times New Roman" w:cs="Times New Roman"/>
          <w:sz w:val="24"/>
          <w:szCs w:val="24"/>
        </w:rPr>
        <w:t xml:space="preserve">se </w:t>
      </w:r>
      <w:r w:rsidR="00F17041" w:rsidRPr="005E655B">
        <w:rPr>
          <w:rFonts w:ascii="Times New Roman" w:eastAsia="Times New Roman" w:hAnsi="Times New Roman" w:cs="Times New Roman"/>
          <w:sz w:val="24"/>
          <w:szCs w:val="24"/>
        </w:rPr>
        <w:t xml:space="preserve">ha </w:t>
      </w:r>
      <w:r w:rsidRPr="005E655B">
        <w:rPr>
          <w:rFonts w:ascii="Times New Roman" w:eastAsia="Times New Roman" w:hAnsi="Times New Roman" w:cs="Times New Roman"/>
          <w:sz w:val="24"/>
          <w:szCs w:val="24"/>
        </w:rPr>
        <w:t xml:space="preserve">calculado con base </w:t>
      </w:r>
      <w:r w:rsidR="00D24D89" w:rsidRPr="005E655B">
        <w:rPr>
          <w:rFonts w:ascii="Times New Roman" w:eastAsia="Times New Roman" w:hAnsi="Times New Roman" w:cs="Times New Roman"/>
          <w:sz w:val="24"/>
          <w:szCs w:val="24"/>
        </w:rPr>
        <w:t>en</w:t>
      </w:r>
      <w:r w:rsidRPr="005E655B">
        <w:rPr>
          <w:rFonts w:ascii="Times New Roman" w:eastAsia="Times New Roman" w:hAnsi="Times New Roman" w:cs="Times New Roman"/>
          <w:sz w:val="24"/>
          <w:szCs w:val="24"/>
        </w:rPr>
        <w:t xml:space="preserve"> la metodología, las hipótesis así como los beneficios y costos descritos en el presente documento. </w:t>
      </w:r>
      <w:r w:rsidR="0079700F" w:rsidRPr="005E655B">
        <w:rPr>
          <w:rFonts w:ascii="Times New Roman" w:eastAsia="Times New Roman" w:hAnsi="Times New Roman" w:cs="Times New Roman"/>
          <w:sz w:val="24"/>
          <w:szCs w:val="24"/>
        </w:rPr>
        <w:t>Tal y como se ha señalado en la descripción del planteamiento metodológico, el Pro</w:t>
      </w:r>
      <w:r w:rsidR="00EA0F34" w:rsidRPr="005E655B">
        <w:rPr>
          <w:rFonts w:ascii="Times New Roman" w:eastAsia="Times New Roman" w:hAnsi="Times New Roman" w:cs="Times New Roman"/>
          <w:sz w:val="24"/>
          <w:szCs w:val="24"/>
        </w:rPr>
        <w:t>grama</w:t>
      </w:r>
      <w:r w:rsidR="0079700F" w:rsidRPr="005E655B">
        <w:rPr>
          <w:rFonts w:ascii="Times New Roman" w:eastAsia="Times New Roman" w:hAnsi="Times New Roman" w:cs="Times New Roman"/>
          <w:sz w:val="24"/>
          <w:szCs w:val="24"/>
        </w:rPr>
        <w:t xml:space="preserve"> se conside</w:t>
      </w:r>
      <w:r w:rsidR="00BF1D22" w:rsidRPr="005E655B">
        <w:rPr>
          <w:rFonts w:ascii="Times New Roman" w:eastAsia="Times New Roman" w:hAnsi="Times New Roman" w:cs="Times New Roman"/>
          <w:sz w:val="24"/>
          <w:szCs w:val="24"/>
        </w:rPr>
        <w:t xml:space="preserve">ra </w:t>
      </w:r>
      <w:r w:rsidR="005E0DB9" w:rsidRPr="005E655B">
        <w:rPr>
          <w:rFonts w:ascii="Times New Roman" w:eastAsia="Times New Roman" w:hAnsi="Times New Roman" w:cs="Times New Roman"/>
          <w:sz w:val="24"/>
          <w:szCs w:val="24"/>
        </w:rPr>
        <w:t xml:space="preserve">económicamente viable </w:t>
      </w:r>
      <w:r w:rsidR="00BF1D22" w:rsidRPr="005E655B">
        <w:rPr>
          <w:rFonts w:ascii="Times New Roman" w:eastAsia="Times New Roman" w:hAnsi="Times New Roman" w:cs="Times New Roman"/>
          <w:sz w:val="24"/>
          <w:szCs w:val="24"/>
        </w:rPr>
        <w:t>en la medida que la TIR del Pro</w:t>
      </w:r>
      <w:r w:rsidR="00263EC1" w:rsidRPr="005E655B">
        <w:rPr>
          <w:rFonts w:ascii="Times New Roman" w:eastAsia="Times New Roman" w:hAnsi="Times New Roman" w:cs="Times New Roman"/>
          <w:sz w:val="24"/>
          <w:szCs w:val="24"/>
        </w:rPr>
        <w:t>grama</w:t>
      </w:r>
      <w:r w:rsidR="00BF1D22" w:rsidRPr="005E655B">
        <w:rPr>
          <w:rFonts w:ascii="Times New Roman" w:eastAsia="Times New Roman" w:hAnsi="Times New Roman" w:cs="Times New Roman"/>
          <w:sz w:val="24"/>
          <w:szCs w:val="24"/>
        </w:rPr>
        <w:t xml:space="preserve"> </w:t>
      </w:r>
      <w:r w:rsidR="005E0DB9" w:rsidRPr="005E655B">
        <w:rPr>
          <w:rFonts w:ascii="Times New Roman" w:eastAsia="Times New Roman" w:hAnsi="Times New Roman" w:cs="Times New Roman"/>
          <w:sz w:val="24"/>
          <w:szCs w:val="24"/>
        </w:rPr>
        <w:t>sea</w:t>
      </w:r>
      <w:r w:rsidR="00263EC1" w:rsidRPr="005E655B">
        <w:rPr>
          <w:rFonts w:ascii="Times New Roman" w:eastAsia="Times New Roman" w:hAnsi="Times New Roman" w:cs="Times New Roman"/>
          <w:sz w:val="24"/>
          <w:szCs w:val="24"/>
        </w:rPr>
        <w:t xml:space="preserve"> </w:t>
      </w:r>
      <w:r w:rsidR="0079700F" w:rsidRPr="005E655B">
        <w:rPr>
          <w:rFonts w:ascii="Times New Roman" w:eastAsia="Times New Roman" w:hAnsi="Times New Roman" w:cs="Times New Roman"/>
          <w:sz w:val="24"/>
          <w:szCs w:val="24"/>
        </w:rPr>
        <w:t xml:space="preserve">superior a la tasa de descuento </w:t>
      </w:r>
      <w:r w:rsidR="00263EC1" w:rsidRPr="005E655B">
        <w:rPr>
          <w:rFonts w:ascii="Times New Roman" w:eastAsia="Times New Roman" w:hAnsi="Times New Roman" w:cs="Times New Roman"/>
          <w:sz w:val="24"/>
          <w:szCs w:val="24"/>
        </w:rPr>
        <w:t xml:space="preserve">de referencia </w:t>
      </w:r>
      <w:r w:rsidR="00042509" w:rsidRPr="005E655B">
        <w:rPr>
          <w:rFonts w:ascii="Times New Roman" w:eastAsia="Times New Roman" w:hAnsi="Times New Roman" w:cs="Times New Roman"/>
          <w:sz w:val="24"/>
          <w:szCs w:val="24"/>
        </w:rPr>
        <w:t>del 12%</w:t>
      </w:r>
      <w:r w:rsidR="0079700F" w:rsidRPr="005E655B">
        <w:rPr>
          <w:rFonts w:ascii="Times New Roman" w:eastAsia="Times New Roman" w:hAnsi="Times New Roman" w:cs="Times New Roman"/>
          <w:sz w:val="24"/>
          <w:szCs w:val="24"/>
        </w:rPr>
        <w:t>.</w:t>
      </w:r>
    </w:p>
    <w:p w:rsidR="0079700F" w:rsidRPr="005E655B" w:rsidRDefault="0079700F"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EA0F34" w:rsidRPr="005E655B" w:rsidRDefault="00EA0F34" w:rsidP="000032C5">
      <w:pPr>
        <w:pStyle w:val="ListParagraph"/>
        <w:numPr>
          <w:ilvl w:val="1"/>
          <w:numId w:val="3"/>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Como resultado principal, </w:t>
      </w:r>
      <w:r w:rsidR="00263EC1" w:rsidRPr="005E655B">
        <w:rPr>
          <w:rFonts w:ascii="Times New Roman" w:eastAsia="Times New Roman" w:hAnsi="Times New Roman" w:cs="Times New Roman"/>
          <w:sz w:val="24"/>
          <w:szCs w:val="24"/>
        </w:rPr>
        <w:t xml:space="preserve">del </w:t>
      </w:r>
      <w:r w:rsidRPr="005E655B">
        <w:rPr>
          <w:rFonts w:ascii="Times New Roman" w:eastAsia="Times New Roman" w:hAnsi="Times New Roman" w:cs="Times New Roman"/>
          <w:sz w:val="24"/>
          <w:szCs w:val="24"/>
        </w:rPr>
        <w:t xml:space="preserve">ACB </w:t>
      </w:r>
      <w:r w:rsidR="00263EC1" w:rsidRPr="005E655B">
        <w:rPr>
          <w:rFonts w:ascii="Times New Roman" w:eastAsia="Times New Roman" w:hAnsi="Times New Roman" w:cs="Times New Roman"/>
          <w:sz w:val="24"/>
          <w:szCs w:val="24"/>
        </w:rPr>
        <w:t xml:space="preserve">se obtiene </w:t>
      </w:r>
      <w:r w:rsidRPr="005E655B">
        <w:rPr>
          <w:rFonts w:ascii="Times New Roman" w:eastAsia="Times New Roman" w:hAnsi="Times New Roman" w:cs="Times New Roman"/>
          <w:sz w:val="24"/>
          <w:szCs w:val="24"/>
        </w:rPr>
        <w:t xml:space="preserve">un importe del VAN de todos los flujos </w:t>
      </w:r>
      <w:r w:rsidR="00BF1D22" w:rsidRPr="005E655B">
        <w:rPr>
          <w:rFonts w:ascii="Times New Roman" w:eastAsia="Times New Roman" w:hAnsi="Times New Roman" w:cs="Times New Roman"/>
          <w:sz w:val="24"/>
          <w:szCs w:val="24"/>
        </w:rPr>
        <w:t xml:space="preserve">diferenciales </w:t>
      </w:r>
      <w:r w:rsidRPr="005E655B">
        <w:rPr>
          <w:rFonts w:ascii="Times New Roman" w:eastAsia="Times New Roman" w:hAnsi="Times New Roman" w:cs="Times New Roman"/>
          <w:sz w:val="24"/>
          <w:szCs w:val="24"/>
        </w:rPr>
        <w:t>económicos del Pro</w:t>
      </w:r>
      <w:r w:rsidR="00263EC1" w:rsidRPr="005E655B">
        <w:rPr>
          <w:rFonts w:ascii="Times New Roman" w:eastAsia="Times New Roman" w:hAnsi="Times New Roman" w:cs="Times New Roman"/>
          <w:sz w:val="24"/>
          <w:szCs w:val="24"/>
        </w:rPr>
        <w:t>grama</w:t>
      </w:r>
      <w:r w:rsidRPr="005E655B">
        <w:rPr>
          <w:rFonts w:ascii="Times New Roman" w:eastAsia="Times New Roman" w:hAnsi="Times New Roman" w:cs="Times New Roman"/>
          <w:sz w:val="24"/>
          <w:szCs w:val="24"/>
        </w:rPr>
        <w:t xml:space="preserve">, de </w:t>
      </w:r>
      <w:r w:rsidR="004474CC" w:rsidRPr="00037BAD">
        <w:rPr>
          <w:rFonts w:ascii="Times New Roman" w:eastAsia="Times New Roman" w:hAnsi="Times New Roman" w:cs="Times New Roman"/>
          <w:b/>
          <w:sz w:val="24"/>
          <w:szCs w:val="24"/>
        </w:rPr>
        <w:t>US</w:t>
      </w:r>
      <w:r w:rsidR="005F2E81">
        <w:rPr>
          <w:rFonts w:ascii="Times New Roman" w:eastAsia="Times New Roman" w:hAnsi="Times New Roman" w:cs="Times New Roman"/>
          <w:b/>
          <w:sz w:val="24"/>
          <w:szCs w:val="24"/>
        </w:rPr>
        <w:t>D</w:t>
      </w:r>
      <w:r w:rsidR="00263EC1" w:rsidRPr="005E655B">
        <w:rPr>
          <w:rFonts w:ascii="Times New Roman" w:eastAsia="Times New Roman" w:hAnsi="Times New Roman" w:cs="Times New Roman"/>
          <w:b/>
          <w:sz w:val="24"/>
          <w:szCs w:val="24"/>
        </w:rPr>
        <w:t>244</w:t>
      </w:r>
      <w:r w:rsidRPr="005E655B">
        <w:rPr>
          <w:rFonts w:ascii="Times New Roman" w:eastAsia="Times New Roman" w:hAnsi="Times New Roman" w:cs="Times New Roman"/>
          <w:b/>
          <w:sz w:val="24"/>
          <w:szCs w:val="24"/>
        </w:rPr>
        <w:t>.</w:t>
      </w:r>
      <w:r w:rsidR="00263EC1" w:rsidRPr="005E655B">
        <w:rPr>
          <w:rFonts w:ascii="Times New Roman" w:eastAsia="Times New Roman" w:hAnsi="Times New Roman" w:cs="Times New Roman"/>
          <w:b/>
          <w:sz w:val="24"/>
          <w:szCs w:val="24"/>
        </w:rPr>
        <w:t>655</w:t>
      </w:r>
      <w:r w:rsidRPr="005E655B">
        <w:rPr>
          <w:rFonts w:ascii="Times New Roman" w:eastAsia="Times New Roman" w:hAnsi="Times New Roman" w:cs="Times New Roman"/>
          <w:b/>
          <w:sz w:val="24"/>
          <w:szCs w:val="24"/>
        </w:rPr>
        <w:t>.</w:t>
      </w:r>
      <w:r w:rsidR="00263EC1" w:rsidRPr="005E655B">
        <w:rPr>
          <w:rFonts w:ascii="Times New Roman" w:eastAsia="Times New Roman" w:hAnsi="Times New Roman" w:cs="Times New Roman"/>
          <w:b/>
          <w:sz w:val="24"/>
          <w:szCs w:val="24"/>
        </w:rPr>
        <w:t>583</w:t>
      </w:r>
      <w:r w:rsidRPr="005E655B">
        <w:rPr>
          <w:rFonts w:ascii="Times New Roman" w:eastAsia="Times New Roman" w:hAnsi="Times New Roman" w:cs="Times New Roman"/>
          <w:b/>
          <w:sz w:val="24"/>
          <w:szCs w:val="24"/>
        </w:rPr>
        <w:t xml:space="preserve"> </w:t>
      </w:r>
      <w:r w:rsidR="005E0DB9" w:rsidRPr="005E655B">
        <w:rPr>
          <w:rFonts w:ascii="Times New Roman" w:eastAsia="Times New Roman" w:hAnsi="Times New Roman" w:cs="Times New Roman"/>
          <w:b/>
          <w:sz w:val="24"/>
          <w:szCs w:val="24"/>
        </w:rPr>
        <w:t>precios de eficiencia</w:t>
      </w:r>
      <w:r w:rsidRPr="005E655B">
        <w:rPr>
          <w:rFonts w:ascii="Times New Roman" w:eastAsia="Times New Roman" w:hAnsi="Times New Roman" w:cs="Times New Roman"/>
          <w:sz w:val="24"/>
          <w:szCs w:val="24"/>
        </w:rPr>
        <w:t xml:space="preserve">. Este importe se </w:t>
      </w:r>
      <w:r w:rsidR="00263EC1" w:rsidRPr="005E655B">
        <w:rPr>
          <w:rFonts w:ascii="Times New Roman" w:eastAsia="Times New Roman" w:hAnsi="Times New Roman" w:cs="Times New Roman"/>
          <w:sz w:val="24"/>
          <w:szCs w:val="24"/>
        </w:rPr>
        <w:t xml:space="preserve">desglosa tal y como se expone </w:t>
      </w:r>
      <w:r w:rsidRPr="005E655B">
        <w:rPr>
          <w:rFonts w:ascii="Times New Roman" w:eastAsia="Times New Roman" w:hAnsi="Times New Roman" w:cs="Times New Roman"/>
          <w:sz w:val="24"/>
          <w:szCs w:val="24"/>
        </w:rPr>
        <w:t>en el cuadro siguiente.</w:t>
      </w:r>
    </w:p>
    <w:p w:rsidR="00CB01F3" w:rsidRDefault="00CB01F3">
      <w:pPr>
        <w:rPr>
          <w:rFonts w:ascii="Times New Roman" w:eastAsia="Times New Roman" w:hAnsi="Times New Roman" w:cs="Times New Roman"/>
          <w:b/>
          <w:bCs/>
          <w:sz w:val="24"/>
          <w:szCs w:val="24"/>
          <w:lang w:eastAsia="es-ES_tradnl"/>
        </w:rPr>
      </w:pPr>
      <w:r>
        <w:rPr>
          <w:sz w:val="24"/>
          <w:szCs w:val="24"/>
        </w:rPr>
        <w:br w:type="page"/>
      </w:r>
    </w:p>
    <w:p w:rsidR="00D268D0" w:rsidRPr="005E655B" w:rsidRDefault="00EA0F34" w:rsidP="000032C5">
      <w:pPr>
        <w:pStyle w:val="Caption"/>
        <w:spacing w:before="120" w:after="120"/>
        <w:ind w:left="288"/>
        <w:rPr>
          <w:sz w:val="24"/>
          <w:szCs w:val="24"/>
          <w:lang w:val="es-ES"/>
        </w:rPr>
      </w:pPr>
      <w:r w:rsidRPr="005E655B">
        <w:rPr>
          <w:sz w:val="24"/>
          <w:szCs w:val="24"/>
          <w:lang w:val="es-ES"/>
        </w:rPr>
        <w:t xml:space="preserve">Cuadro </w:t>
      </w:r>
      <w:r w:rsidRPr="005E655B">
        <w:rPr>
          <w:sz w:val="24"/>
          <w:szCs w:val="24"/>
          <w:lang w:val="fr-FR"/>
        </w:rPr>
        <w:fldChar w:fldCharType="begin"/>
      </w:r>
      <w:r w:rsidRPr="005E655B">
        <w:rPr>
          <w:sz w:val="24"/>
          <w:szCs w:val="24"/>
          <w:lang w:val="es-ES"/>
        </w:rPr>
        <w:instrText xml:space="preserve"> SEQ Tableau \* ARABIC </w:instrText>
      </w:r>
      <w:r w:rsidRPr="005E655B">
        <w:rPr>
          <w:sz w:val="24"/>
          <w:szCs w:val="24"/>
          <w:lang w:val="fr-FR"/>
        </w:rPr>
        <w:fldChar w:fldCharType="separate"/>
      </w:r>
      <w:r w:rsidR="00596A07">
        <w:rPr>
          <w:noProof/>
          <w:sz w:val="24"/>
          <w:szCs w:val="24"/>
          <w:lang w:val="es-ES"/>
        </w:rPr>
        <w:t>10</w:t>
      </w:r>
      <w:r w:rsidRPr="005E655B">
        <w:rPr>
          <w:sz w:val="24"/>
          <w:szCs w:val="24"/>
          <w:lang w:val="fr-FR"/>
        </w:rPr>
        <w:fldChar w:fldCharType="end"/>
      </w:r>
      <w:r w:rsidRPr="005E655B">
        <w:rPr>
          <w:sz w:val="24"/>
          <w:szCs w:val="24"/>
          <w:lang w:val="es-ES"/>
        </w:rPr>
        <w:t xml:space="preserve">. </w:t>
      </w:r>
      <w:r w:rsidR="00263EC1" w:rsidRPr="005E655B">
        <w:rPr>
          <w:sz w:val="24"/>
          <w:szCs w:val="24"/>
          <w:lang w:val="es-ES"/>
        </w:rPr>
        <w:t>Resultados</w:t>
      </w:r>
      <w:r w:rsidRPr="005E655B">
        <w:rPr>
          <w:sz w:val="24"/>
          <w:szCs w:val="24"/>
          <w:lang w:val="es-ES"/>
        </w:rPr>
        <w:t xml:space="preserve"> </w:t>
      </w:r>
      <w:r w:rsidR="009D2CE3" w:rsidRPr="005E655B">
        <w:rPr>
          <w:sz w:val="24"/>
          <w:szCs w:val="24"/>
          <w:lang w:val="es-ES"/>
        </w:rPr>
        <w:t xml:space="preserve">del ACB </w:t>
      </w:r>
      <w:r w:rsidR="00263EC1" w:rsidRPr="005E655B">
        <w:rPr>
          <w:sz w:val="24"/>
          <w:szCs w:val="24"/>
          <w:lang w:val="es-ES"/>
        </w:rPr>
        <w:t xml:space="preserve">por Componente </w:t>
      </w:r>
      <w:r w:rsidR="009D2CE3" w:rsidRPr="005E655B">
        <w:rPr>
          <w:sz w:val="24"/>
          <w:szCs w:val="24"/>
          <w:lang w:val="es-ES"/>
        </w:rPr>
        <w:t xml:space="preserve">del Programa </w:t>
      </w:r>
    </w:p>
    <w:p w:rsidR="00CB01F3" w:rsidRDefault="00CB01F3" w:rsidP="000032C5">
      <w:pPr>
        <w:pStyle w:val="Caption"/>
        <w:spacing w:before="120" w:after="120"/>
        <w:ind w:left="288"/>
        <w:rPr>
          <w:sz w:val="24"/>
          <w:szCs w:val="24"/>
          <w:lang w:val="es-ES"/>
        </w:rPr>
      </w:pPr>
      <w:r w:rsidRPr="005E655B">
        <w:rPr>
          <w:sz w:val="24"/>
          <w:szCs w:val="24"/>
          <w:lang w:val="es-ES"/>
        </w:rPr>
        <w:t>(US</w:t>
      </w:r>
      <w:r>
        <w:rPr>
          <w:sz w:val="24"/>
          <w:szCs w:val="24"/>
          <w:lang w:val="es-ES"/>
        </w:rPr>
        <w:t>D</w:t>
      </w:r>
      <w:r w:rsidRPr="005E655B">
        <w:rPr>
          <w:sz w:val="24"/>
          <w:szCs w:val="24"/>
          <w:lang w:val="es-ES"/>
        </w:rPr>
        <w:t xml:space="preserve"> a Precios de Eficiencia)</w:t>
      </w:r>
    </w:p>
    <w:p w:rsidR="00263EC1" w:rsidRPr="005E655B" w:rsidRDefault="00D268D0" w:rsidP="00111B63">
      <w:pPr>
        <w:pStyle w:val="Caption"/>
        <w:spacing w:before="120" w:after="120"/>
        <w:ind w:left="288"/>
        <w:rPr>
          <w:sz w:val="24"/>
          <w:szCs w:val="24"/>
        </w:rPr>
      </w:pPr>
      <w:r w:rsidRPr="005E655B">
        <w:rPr>
          <w:b w:val="0"/>
          <w:bCs w:val="0"/>
          <w:noProof/>
          <w:sz w:val="24"/>
          <w:szCs w:val="24"/>
          <w:lang w:val="en-US"/>
        </w:rPr>
        <w:drawing>
          <wp:anchor distT="0" distB="0" distL="114300" distR="114300" simplePos="0" relativeHeight="251691008" behindDoc="0" locked="0" layoutInCell="1" allowOverlap="1" wp14:anchorId="4647AB37" wp14:editId="46804176">
            <wp:simplePos x="0" y="0"/>
            <wp:positionH relativeFrom="column">
              <wp:posOffset>-161925</wp:posOffset>
            </wp:positionH>
            <wp:positionV relativeFrom="paragraph">
              <wp:posOffset>153670</wp:posOffset>
            </wp:positionV>
            <wp:extent cx="6335395" cy="1935480"/>
            <wp:effectExtent l="0" t="0" r="8255" b="7620"/>
            <wp:wrapTopAndBottom/>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35395" cy="1935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0F34" w:rsidRPr="005E655B" w:rsidRDefault="00331551" w:rsidP="000032C5">
      <w:pPr>
        <w:pStyle w:val="ListParagraph"/>
        <w:numPr>
          <w:ilvl w:val="1"/>
          <w:numId w:val="3"/>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A precios de eficiencia, l</w:t>
      </w:r>
      <w:r w:rsidR="00EA0F34" w:rsidRPr="005E655B">
        <w:rPr>
          <w:rFonts w:ascii="Times New Roman" w:eastAsia="Times New Roman" w:hAnsi="Times New Roman" w:cs="Times New Roman"/>
          <w:sz w:val="24"/>
          <w:szCs w:val="24"/>
        </w:rPr>
        <w:t xml:space="preserve">a </w:t>
      </w:r>
      <w:r w:rsidR="00EA0F34" w:rsidRPr="005E655B">
        <w:rPr>
          <w:rFonts w:ascii="Times New Roman" w:eastAsia="Times New Roman" w:hAnsi="Times New Roman" w:cs="Times New Roman"/>
          <w:b/>
          <w:sz w:val="24"/>
          <w:szCs w:val="24"/>
        </w:rPr>
        <w:t>TIR del Pro</w:t>
      </w:r>
      <w:r w:rsidR="00263EC1" w:rsidRPr="005E655B">
        <w:rPr>
          <w:rFonts w:ascii="Times New Roman" w:eastAsia="Times New Roman" w:hAnsi="Times New Roman" w:cs="Times New Roman"/>
          <w:b/>
          <w:sz w:val="24"/>
          <w:szCs w:val="24"/>
        </w:rPr>
        <w:t>grama</w:t>
      </w:r>
      <w:r w:rsidR="00EA0F34" w:rsidRPr="005E655B">
        <w:rPr>
          <w:rFonts w:ascii="Times New Roman" w:eastAsia="Times New Roman" w:hAnsi="Times New Roman" w:cs="Times New Roman"/>
          <w:sz w:val="24"/>
          <w:szCs w:val="24"/>
        </w:rPr>
        <w:t xml:space="preserve"> es </w:t>
      </w:r>
      <w:r w:rsidR="00263EC1" w:rsidRPr="005E655B">
        <w:rPr>
          <w:rFonts w:ascii="Times New Roman" w:eastAsia="Times New Roman" w:hAnsi="Times New Roman" w:cs="Times New Roman"/>
          <w:b/>
          <w:sz w:val="24"/>
          <w:szCs w:val="24"/>
        </w:rPr>
        <w:t>32</w:t>
      </w:r>
      <w:r w:rsidR="00EA0F34" w:rsidRPr="005E655B">
        <w:rPr>
          <w:rFonts w:ascii="Times New Roman" w:eastAsia="Times New Roman" w:hAnsi="Times New Roman" w:cs="Times New Roman"/>
          <w:b/>
          <w:sz w:val="24"/>
          <w:szCs w:val="24"/>
        </w:rPr>
        <w:t>,</w:t>
      </w:r>
      <w:r w:rsidR="00263EC1" w:rsidRPr="005E655B">
        <w:rPr>
          <w:rFonts w:ascii="Times New Roman" w:eastAsia="Times New Roman" w:hAnsi="Times New Roman" w:cs="Times New Roman"/>
          <w:b/>
          <w:sz w:val="24"/>
          <w:szCs w:val="24"/>
        </w:rPr>
        <w:t>06</w:t>
      </w:r>
      <w:r w:rsidR="00EA0F34" w:rsidRPr="005E655B">
        <w:rPr>
          <w:rFonts w:ascii="Times New Roman" w:eastAsia="Times New Roman" w:hAnsi="Times New Roman" w:cs="Times New Roman"/>
          <w:b/>
          <w:sz w:val="24"/>
          <w:szCs w:val="24"/>
        </w:rPr>
        <w:t>%</w:t>
      </w:r>
      <w:r w:rsidR="00EA0F34" w:rsidRPr="005E655B">
        <w:rPr>
          <w:rFonts w:ascii="Times New Roman" w:eastAsia="Times New Roman" w:hAnsi="Times New Roman" w:cs="Times New Roman"/>
          <w:sz w:val="24"/>
          <w:szCs w:val="24"/>
        </w:rPr>
        <w:t xml:space="preserve">, por encima de la tasa </w:t>
      </w:r>
      <w:r w:rsidR="005E0DB9" w:rsidRPr="005E655B">
        <w:rPr>
          <w:rFonts w:ascii="Times New Roman" w:eastAsia="Times New Roman" w:hAnsi="Times New Roman" w:cs="Times New Roman"/>
          <w:sz w:val="24"/>
          <w:szCs w:val="24"/>
        </w:rPr>
        <w:t>de referencia</w:t>
      </w:r>
      <w:r w:rsidR="00EA0F34" w:rsidRPr="005E655B">
        <w:rPr>
          <w:rFonts w:ascii="Times New Roman" w:eastAsia="Times New Roman" w:hAnsi="Times New Roman" w:cs="Times New Roman"/>
          <w:sz w:val="24"/>
          <w:szCs w:val="24"/>
        </w:rPr>
        <w:t xml:space="preserve"> del 12%</w:t>
      </w:r>
      <w:r w:rsidR="00D268D0" w:rsidRPr="005E655B">
        <w:rPr>
          <w:rStyle w:val="FootnoteReference"/>
          <w:rFonts w:ascii="Times New Roman" w:eastAsia="Times New Roman" w:hAnsi="Times New Roman" w:cs="Times New Roman"/>
          <w:sz w:val="24"/>
          <w:szCs w:val="24"/>
        </w:rPr>
        <w:footnoteReference w:id="6"/>
      </w:r>
      <w:r w:rsidR="00EA0F34" w:rsidRPr="005E655B">
        <w:rPr>
          <w:rFonts w:ascii="Times New Roman" w:eastAsia="Times New Roman" w:hAnsi="Times New Roman" w:cs="Times New Roman"/>
          <w:sz w:val="24"/>
          <w:szCs w:val="24"/>
        </w:rPr>
        <w:t>.</w:t>
      </w:r>
    </w:p>
    <w:p w:rsidR="00EA0F34" w:rsidRPr="005E655B" w:rsidRDefault="00EA0F34"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EA0F34" w:rsidRPr="005E655B" w:rsidRDefault="00EA0F34" w:rsidP="000032C5">
      <w:pPr>
        <w:pStyle w:val="ListParagraph"/>
        <w:numPr>
          <w:ilvl w:val="1"/>
          <w:numId w:val="3"/>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Por tanto, se puede afirmar que </w:t>
      </w:r>
      <w:r w:rsidRPr="005E655B">
        <w:rPr>
          <w:rFonts w:ascii="Times New Roman" w:eastAsia="Times New Roman" w:hAnsi="Times New Roman" w:cs="Times New Roman"/>
          <w:b/>
          <w:sz w:val="24"/>
          <w:szCs w:val="24"/>
        </w:rPr>
        <w:t>el Pro</w:t>
      </w:r>
      <w:r w:rsidR="00263EC1" w:rsidRPr="005E655B">
        <w:rPr>
          <w:rFonts w:ascii="Times New Roman" w:eastAsia="Times New Roman" w:hAnsi="Times New Roman" w:cs="Times New Roman"/>
          <w:b/>
          <w:sz w:val="24"/>
          <w:szCs w:val="24"/>
        </w:rPr>
        <w:t>grama</w:t>
      </w:r>
      <w:r w:rsidRPr="005E655B">
        <w:rPr>
          <w:rFonts w:ascii="Times New Roman" w:eastAsia="Times New Roman" w:hAnsi="Times New Roman" w:cs="Times New Roman"/>
          <w:b/>
          <w:sz w:val="24"/>
          <w:szCs w:val="24"/>
        </w:rPr>
        <w:t xml:space="preserve"> es viable desde un punto de vista económico</w:t>
      </w:r>
      <w:r w:rsidRPr="005E655B">
        <w:rPr>
          <w:rFonts w:ascii="Times New Roman" w:eastAsia="Times New Roman" w:hAnsi="Times New Roman" w:cs="Times New Roman"/>
          <w:sz w:val="24"/>
          <w:szCs w:val="24"/>
        </w:rPr>
        <w:t xml:space="preserve">, siendo su tasa de rentabilidad económica de </w:t>
      </w:r>
      <w:r w:rsidR="00263EC1" w:rsidRPr="005E655B">
        <w:rPr>
          <w:rFonts w:ascii="Times New Roman" w:eastAsia="Times New Roman" w:hAnsi="Times New Roman" w:cs="Times New Roman"/>
          <w:sz w:val="24"/>
          <w:szCs w:val="24"/>
        </w:rPr>
        <w:t>32,06</w:t>
      </w:r>
      <w:r w:rsidR="002D24DE" w:rsidRPr="005E655B">
        <w:rPr>
          <w:rFonts w:ascii="Times New Roman" w:eastAsia="Times New Roman" w:hAnsi="Times New Roman" w:cs="Times New Roman"/>
          <w:sz w:val="24"/>
          <w:szCs w:val="24"/>
        </w:rPr>
        <w:t xml:space="preserve">% anual, y su valor actual </w:t>
      </w:r>
      <w:r w:rsidR="00AE7FBC" w:rsidRPr="005E655B">
        <w:rPr>
          <w:rFonts w:ascii="Times New Roman" w:eastAsia="Times New Roman" w:hAnsi="Times New Roman" w:cs="Times New Roman"/>
          <w:sz w:val="24"/>
          <w:szCs w:val="24"/>
        </w:rPr>
        <w:t>US</w:t>
      </w:r>
      <w:r w:rsidR="00596A07">
        <w:rPr>
          <w:rFonts w:ascii="Times New Roman" w:eastAsia="Times New Roman" w:hAnsi="Times New Roman" w:cs="Times New Roman"/>
          <w:sz w:val="24"/>
          <w:szCs w:val="24"/>
        </w:rPr>
        <w:t>D</w:t>
      </w:r>
      <w:r w:rsidR="00263EC1" w:rsidRPr="005E655B">
        <w:rPr>
          <w:rFonts w:ascii="Times New Roman" w:eastAsia="Times New Roman" w:hAnsi="Times New Roman" w:cs="Times New Roman"/>
          <w:sz w:val="24"/>
          <w:szCs w:val="24"/>
        </w:rPr>
        <w:t>244</w:t>
      </w:r>
      <w:proofErr w:type="gramStart"/>
      <w:r w:rsidR="00BF1D22" w:rsidRPr="005E655B">
        <w:rPr>
          <w:rFonts w:ascii="Times New Roman" w:eastAsia="Times New Roman" w:hAnsi="Times New Roman" w:cs="Times New Roman"/>
          <w:sz w:val="24"/>
          <w:szCs w:val="24"/>
        </w:rPr>
        <w:t>,</w:t>
      </w:r>
      <w:r w:rsidR="00263EC1" w:rsidRPr="005E655B">
        <w:rPr>
          <w:rFonts w:ascii="Times New Roman" w:eastAsia="Times New Roman" w:hAnsi="Times New Roman" w:cs="Times New Roman"/>
          <w:sz w:val="24"/>
          <w:szCs w:val="24"/>
        </w:rPr>
        <w:t>6</w:t>
      </w:r>
      <w:proofErr w:type="gramEnd"/>
      <w:r w:rsidRPr="005E655B">
        <w:rPr>
          <w:rFonts w:ascii="Times New Roman" w:eastAsia="Times New Roman" w:hAnsi="Times New Roman" w:cs="Times New Roman"/>
          <w:sz w:val="24"/>
          <w:szCs w:val="24"/>
        </w:rPr>
        <w:t xml:space="preserve"> millones.</w:t>
      </w:r>
    </w:p>
    <w:p w:rsidR="00EA0F34" w:rsidRPr="005E655B" w:rsidRDefault="00EA0F34"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EA0F34" w:rsidRPr="005E655B" w:rsidRDefault="00EA0F34" w:rsidP="000032C5">
      <w:pPr>
        <w:pStyle w:val="ListParagraph"/>
        <w:numPr>
          <w:ilvl w:val="1"/>
          <w:numId w:val="3"/>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El </w:t>
      </w:r>
      <w:r w:rsidRPr="005E655B">
        <w:rPr>
          <w:rFonts w:ascii="Times New Roman" w:eastAsia="Times New Roman" w:hAnsi="Times New Roman" w:cs="Times New Roman"/>
          <w:b/>
          <w:sz w:val="24"/>
          <w:szCs w:val="24"/>
        </w:rPr>
        <w:t>ratio Beneficio/Costo</w:t>
      </w:r>
      <w:r w:rsidRPr="005E655B">
        <w:rPr>
          <w:rFonts w:ascii="Times New Roman" w:eastAsia="Times New Roman" w:hAnsi="Times New Roman" w:cs="Times New Roman"/>
          <w:sz w:val="24"/>
          <w:szCs w:val="24"/>
        </w:rPr>
        <w:t>, cociente de los valores actuales de beneficios y costos del Pro</w:t>
      </w:r>
      <w:r w:rsidR="00263EC1" w:rsidRPr="005E655B">
        <w:rPr>
          <w:rFonts w:ascii="Times New Roman" w:eastAsia="Times New Roman" w:hAnsi="Times New Roman" w:cs="Times New Roman"/>
          <w:sz w:val="24"/>
          <w:szCs w:val="24"/>
        </w:rPr>
        <w:t>grama</w:t>
      </w:r>
      <w:r w:rsidRPr="005E655B">
        <w:rPr>
          <w:rFonts w:ascii="Times New Roman" w:eastAsia="Times New Roman" w:hAnsi="Times New Roman" w:cs="Times New Roman"/>
          <w:sz w:val="24"/>
          <w:szCs w:val="24"/>
        </w:rPr>
        <w:t xml:space="preserve">, es igual a </w:t>
      </w:r>
      <w:r w:rsidR="00263EC1" w:rsidRPr="005E655B">
        <w:rPr>
          <w:rFonts w:ascii="Times New Roman" w:eastAsia="Times New Roman" w:hAnsi="Times New Roman" w:cs="Times New Roman"/>
          <w:b/>
          <w:sz w:val="24"/>
          <w:szCs w:val="24"/>
        </w:rPr>
        <w:t>3</w:t>
      </w:r>
      <w:r w:rsidR="002D24DE" w:rsidRPr="005E655B">
        <w:rPr>
          <w:rFonts w:ascii="Times New Roman" w:eastAsia="Times New Roman" w:hAnsi="Times New Roman" w:cs="Times New Roman"/>
          <w:b/>
          <w:sz w:val="24"/>
          <w:szCs w:val="24"/>
        </w:rPr>
        <w:t>,</w:t>
      </w:r>
      <w:r w:rsidR="00263EC1" w:rsidRPr="005E655B">
        <w:rPr>
          <w:rFonts w:ascii="Times New Roman" w:eastAsia="Times New Roman" w:hAnsi="Times New Roman" w:cs="Times New Roman"/>
          <w:b/>
          <w:sz w:val="24"/>
          <w:szCs w:val="24"/>
        </w:rPr>
        <w:t>314</w:t>
      </w:r>
      <w:r w:rsidRPr="005E655B">
        <w:rPr>
          <w:rFonts w:ascii="Times New Roman" w:eastAsia="Times New Roman" w:hAnsi="Times New Roman" w:cs="Times New Roman"/>
          <w:b/>
          <w:sz w:val="24"/>
          <w:szCs w:val="24"/>
        </w:rPr>
        <w:t>x</w:t>
      </w:r>
      <w:r w:rsidRPr="005E655B">
        <w:rPr>
          <w:rFonts w:ascii="Times New Roman" w:eastAsia="Times New Roman" w:hAnsi="Times New Roman" w:cs="Times New Roman"/>
          <w:sz w:val="24"/>
          <w:szCs w:val="24"/>
        </w:rPr>
        <w:t>. Este cociente representa el grado de cobertura sobre los flujos de costos que el Pro</w:t>
      </w:r>
      <w:r w:rsidR="00263EC1" w:rsidRPr="005E655B">
        <w:rPr>
          <w:rFonts w:ascii="Times New Roman" w:eastAsia="Times New Roman" w:hAnsi="Times New Roman" w:cs="Times New Roman"/>
          <w:sz w:val="24"/>
          <w:szCs w:val="24"/>
        </w:rPr>
        <w:t>grama</w:t>
      </w:r>
      <w:r w:rsidRPr="005E655B">
        <w:rPr>
          <w:rFonts w:ascii="Times New Roman" w:eastAsia="Times New Roman" w:hAnsi="Times New Roman" w:cs="Times New Roman"/>
          <w:sz w:val="24"/>
          <w:szCs w:val="24"/>
        </w:rPr>
        <w:t xml:space="preserve"> posee para seguir siendo rentable económicamente, teniendo en cuenta el costo de oportunidad del 12% anual.</w:t>
      </w:r>
    </w:p>
    <w:p w:rsidR="00EA0F34" w:rsidRPr="005E655B" w:rsidRDefault="00EA0F34" w:rsidP="000032C5">
      <w:pPr>
        <w:pStyle w:val="ListParagraph"/>
        <w:spacing w:before="120" w:after="120" w:line="240" w:lineRule="auto"/>
        <w:jc w:val="both"/>
        <w:rPr>
          <w:rFonts w:ascii="Times New Roman" w:eastAsia="Times New Roman" w:hAnsi="Times New Roman" w:cs="Times New Roman"/>
          <w:sz w:val="24"/>
          <w:szCs w:val="24"/>
        </w:rPr>
      </w:pPr>
    </w:p>
    <w:p w:rsidR="00EA0F34" w:rsidRPr="005E655B" w:rsidRDefault="00EA0F34" w:rsidP="000032C5">
      <w:pPr>
        <w:pStyle w:val="ListParagraph"/>
        <w:numPr>
          <w:ilvl w:val="1"/>
          <w:numId w:val="3"/>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El </w:t>
      </w:r>
      <w:r w:rsidR="00BF1D22" w:rsidRPr="005E655B">
        <w:rPr>
          <w:rFonts w:ascii="Times New Roman" w:eastAsia="Times New Roman" w:hAnsi="Times New Roman" w:cs="Times New Roman"/>
          <w:sz w:val="24"/>
          <w:szCs w:val="24"/>
        </w:rPr>
        <w:t>resumen</w:t>
      </w:r>
      <w:r w:rsidRPr="005E655B">
        <w:rPr>
          <w:rFonts w:ascii="Times New Roman" w:eastAsia="Times New Roman" w:hAnsi="Times New Roman" w:cs="Times New Roman"/>
          <w:sz w:val="24"/>
          <w:szCs w:val="24"/>
        </w:rPr>
        <w:t xml:space="preserve"> de los flujos económicos </w:t>
      </w:r>
      <w:r w:rsidR="00BF1D22" w:rsidRPr="005E655B">
        <w:rPr>
          <w:rFonts w:ascii="Times New Roman" w:eastAsia="Times New Roman" w:hAnsi="Times New Roman" w:cs="Times New Roman"/>
          <w:sz w:val="24"/>
          <w:szCs w:val="24"/>
        </w:rPr>
        <w:t>anuales</w:t>
      </w:r>
      <w:r w:rsidRPr="005E655B">
        <w:rPr>
          <w:rFonts w:ascii="Times New Roman" w:eastAsia="Times New Roman" w:hAnsi="Times New Roman" w:cs="Times New Roman"/>
          <w:sz w:val="24"/>
          <w:szCs w:val="24"/>
        </w:rPr>
        <w:t xml:space="preserve">, así como sus valores totales actualizados se recoge al final del documento en el Anexo </w:t>
      </w:r>
      <w:r w:rsidR="00BF1D22" w:rsidRPr="005E655B">
        <w:rPr>
          <w:rFonts w:ascii="Times New Roman" w:eastAsia="Times New Roman" w:hAnsi="Times New Roman" w:cs="Times New Roman"/>
          <w:sz w:val="24"/>
          <w:szCs w:val="24"/>
        </w:rPr>
        <w:t xml:space="preserve">I </w:t>
      </w:r>
      <w:r w:rsidRPr="005E655B">
        <w:rPr>
          <w:rFonts w:ascii="Times New Roman" w:eastAsia="Times New Roman" w:hAnsi="Times New Roman" w:cs="Times New Roman"/>
          <w:sz w:val="24"/>
          <w:szCs w:val="24"/>
        </w:rPr>
        <w:t xml:space="preserve">de </w:t>
      </w:r>
      <w:r w:rsidR="00263EC1" w:rsidRPr="005E655B">
        <w:rPr>
          <w:rFonts w:ascii="Times New Roman" w:eastAsia="Times New Roman" w:hAnsi="Times New Roman" w:cs="Times New Roman"/>
          <w:sz w:val="24"/>
          <w:szCs w:val="24"/>
        </w:rPr>
        <w:t xml:space="preserve">Cuadro </w:t>
      </w:r>
      <w:r w:rsidR="00BF1D22" w:rsidRPr="005E655B">
        <w:rPr>
          <w:rFonts w:ascii="Times New Roman" w:eastAsia="Times New Roman" w:hAnsi="Times New Roman" w:cs="Times New Roman"/>
          <w:sz w:val="24"/>
          <w:szCs w:val="24"/>
        </w:rPr>
        <w:t xml:space="preserve">Resumen de </w:t>
      </w:r>
      <w:r w:rsidRPr="005E655B">
        <w:rPr>
          <w:rFonts w:ascii="Times New Roman" w:eastAsia="Times New Roman" w:hAnsi="Times New Roman" w:cs="Times New Roman"/>
          <w:sz w:val="24"/>
          <w:szCs w:val="24"/>
        </w:rPr>
        <w:t>Flujos Económicos del ACB.</w:t>
      </w:r>
    </w:p>
    <w:p w:rsidR="000526A1" w:rsidRDefault="000526A1">
      <w:pPr>
        <w:rPr>
          <w:rFonts w:ascii="Times New Roman" w:hAnsi="Times New Roman" w:cs="Times New Roman"/>
          <w:sz w:val="24"/>
          <w:szCs w:val="24"/>
        </w:rPr>
      </w:pPr>
      <w:bookmarkStart w:id="52" w:name="_Toc320196420"/>
      <w:bookmarkEnd w:id="52"/>
      <w:r>
        <w:rPr>
          <w:rFonts w:ascii="Times New Roman" w:hAnsi="Times New Roman" w:cs="Times New Roman"/>
          <w:sz w:val="24"/>
          <w:szCs w:val="24"/>
        </w:rPr>
        <w:br w:type="page"/>
      </w:r>
    </w:p>
    <w:p w:rsidR="002954E7" w:rsidRPr="005E655B" w:rsidRDefault="002954E7" w:rsidP="000032C5">
      <w:pPr>
        <w:spacing w:before="120" w:after="120" w:line="240" w:lineRule="auto"/>
        <w:jc w:val="both"/>
        <w:rPr>
          <w:rFonts w:ascii="Times New Roman" w:hAnsi="Times New Roman" w:cs="Times New Roman"/>
          <w:sz w:val="24"/>
          <w:szCs w:val="24"/>
        </w:rPr>
      </w:pPr>
    </w:p>
    <w:p w:rsidR="00307EE1" w:rsidRPr="005E655B" w:rsidRDefault="00307EE1" w:rsidP="000032C5">
      <w:pPr>
        <w:pStyle w:val="Heading1"/>
        <w:numPr>
          <w:ilvl w:val="0"/>
          <w:numId w:val="1"/>
        </w:numPr>
        <w:spacing w:before="120" w:after="120" w:line="240" w:lineRule="auto"/>
        <w:jc w:val="both"/>
        <w:rPr>
          <w:rFonts w:ascii="Times New Roman" w:hAnsi="Times New Roman" w:cs="Times New Roman"/>
          <w:color w:val="auto"/>
          <w:sz w:val="24"/>
          <w:szCs w:val="24"/>
        </w:rPr>
      </w:pPr>
      <w:bookmarkStart w:id="53" w:name="_Toc415751491"/>
      <w:bookmarkStart w:id="54" w:name="_Toc378675023"/>
      <w:bookmarkStart w:id="55" w:name="_Toc378675024"/>
      <w:r w:rsidRPr="005E655B">
        <w:rPr>
          <w:rFonts w:ascii="Times New Roman" w:hAnsi="Times New Roman" w:cs="Times New Roman"/>
          <w:color w:val="auto"/>
          <w:sz w:val="24"/>
          <w:szCs w:val="24"/>
        </w:rPr>
        <w:t>ANÁLISIS DE SENSIBILIDAD</w:t>
      </w:r>
      <w:bookmarkEnd w:id="53"/>
    </w:p>
    <w:p w:rsidR="0032736D" w:rsidRPr="005E655B" w:rsidRDefault="0032736D"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El análisis </w:t>
      </w:r>
      <w:r w:rsidR="00236C9F" w:rsidRPr="005E655B">
        <w:rPr>
          <w:rFonts w:ascii="Times New Roman" w:eastAsia="Times New Roman" w:hAnsi="Times New Roman" w:cs="Times New Roman"/>
          <w:sz w:val="24"/>
          <w:szCs w:val="24"/>
        </w:rPr>
        <w:t xml:space="preserve">de </w:t>
      </w:r>
      <w:r w:rsidRPr="005E655B">
        <w:rPr>
          <w:rFonts w:ascii="Times New Roman" w:eastAsia="Times New Roman" w:hAnsi="Times New Roman" w:cs="Times New Roman"/>
          <w:sz w:val="24"/>
          <w:szCs w:val="24"/>
        </w:rPr>
        <w:t xml:space="preserve">sensibilidad ha consistido en realizar las proyecciones de los flujos económicos </w:t>
      </w:r>
      <w:r w:rsidR="00820DF5" w:rsidRPr="005E655B">
        <w:rPr>
          <w:rFonts w:ascii="Times New Roman" w:eastAsia="Times New Roman" w:hAnsi="Times New Roman" w:cs="Times New Roman"/>
          <w:sz w:val="24"/>
          <w:szCs w:val="24"/>
        </w:rPr>
        <w:t xml:space="preserve">en diferentes escenarios, </w:t>
      </w:r>
      <w:r w:rsidRPr="005E655B">
        <w:rPr>
          <w:rFonts w:ascii="Times New Roman" w:eastAsia="Times New Roman" w:hAnsi="Times New Roman" w:cs="Times New Roman"/>
          <w:sz w:val="24"/>
          <w:szCs w:val="24"/>
        </w:rPr>
        <w:t xml:space="preserve">teniendo en cuenta </w:t>
      </w:r>
      <w:r w:rsidR="001D5CAA" w:rsidRPr="005E655B">
        <w:rPr>
          <w:rFonts w:ascii="Times New Roman" w:eastAsia="Times New Roman" w:hAnsi="Times New Roman" w:cs="Times New Roman"/>
          <w:sz w:val="24"/>
          <w:szCs w:val="24"/>
        </w:rPr>
        <w:t xml:space="preserve">variaciones </w:t>
      </w:r>
      <w:r w:rsidRPr="005E655B">
        <w:rPr>
          <w:rFonts w:ascii="Times New Roman" w:eastAsia="Times New Roman" w:hAnsi="Times New Roman" w:cs="Times New Roman"/>
          <w:sz w:val="24"/>
          <w:szCs w:val="24"/>
        </w:rPr>
        <w:t xml:space="preserve">en algunas de las </w:t>
      </w:r>
      <w:r w:rsidR="001D5CAA" w:rsidRPr="005E655B">
        <w:rPr>
          <w:rFonts w:ascii="Times New Roman" w:eastAsia="Times New Roman" w:hAnsi="Times New Roman" w:cs="Times New Roman"/>
          <w:sz w:val="24"/>
          <w:szCs w:val="24"/>
        </w:rPr>
        <w:t>variables</w:t>
      </w:r>
      <w:r w:rsidR="00820DF5" w:rsidRPr="005E655B">
        <w:rPr>
          <w:rFonts w:ascii="Times New Roman" w:eastAsia="Times New Roman" w:hAnsi="Times New Roman" w:cs="Times New Roman"/>
          <w:sz w:val="24"/>
          <w:szCs w:val="24"/>
        </w:rPr>
        <w:t xml:space="preserve"> </w:t>
      </w:r>
      <w:r w:rsidR="001D5CAA" w:rsidRPr="005E655B">
        <w:rPr>
          <w:rFonts w:ascii="Times New Roman" w:eastAsia="Times New Roman" w:hAnsi="Times New Roman" w:cs="Times New Roman"/>
          <w:sz w:val="24"/>
          <w:szCs w:val="24"/>
        </w:rPr>
        <w:t>más importantes del ACB</w:t>
      </w:r>
      <w:r w:rsidR="00820DF5" w:rsidRPr="005E655B">
        <w:rPr>
          <w:rFonts w:ascii="Times New Roman" w:eastAsia="Times New Roman" w:hAnsi="Times New Roman" w:cs="Times New Roman"/>
          <w:sz w:val="24"/>
          <w:szCs w:val="24"/>
        </w:rPr>
        <w:t>.</w:t>
      </w:r>
    </w:p>
    <w:p w:rsidR="000526A1" w:rsidRDefault="000526A1" w:rsidP="000526A1">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32736D" w:rsidRDefault="001D5CAA"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Los escenarios contemplados </w:t>
      </w:r>
      <w:r w:rsidR="00DF3247" w:rsidRPr="005E655B">
        <w:rPr>
          <w:rFonts w:ascii="Times New Roman" w:eastAsia="Times New Roman" w:hAnsi="Times New Roman" w:cs="Times New Roman"/>
          <w:sz w:val="24"/>
          <w:szCs w:val="24"/>
        </w:rPr>
        <w:t>para</w:t>
      </w:r>
      <w:r w:rsidR="0032736D" w:rsidRPr="005E655B">
        <w:rPr>
          <w:rFonts w:ascii="Times New Roman" w:eastAsia="Times New Roman" w:hAnsi="Times New Roman" w:cs="Times New Roman"/>
          <w:sz w:val="24"/>
          <w:szCs w:val="24"/>
        </w:rPr>
        <w:t xml:space="preserve"> la realización del anál</w:t>
      </w:r>
      <w:r w:rsidRPr="005E655B">
        <w:rPr>
          <w:rFonts w:ascii="Times New Roman" w:eastAsia="Times New Roman" w:hAnsi="Times New Roman" w:cs="Times New Roman"/>
          <w:sz w:val="24"/>
          <w:szCs w:val="24"/>
        </w:rPr>
        <w:t>isis de sensibilidad han sido lo</w:t>
      </w:r>
      <w:r w:rsidR="0032736D" w:rsidRPr="005E655B">
        <w:rPr>
          <w:rFonts w:ascii="Times New Roman" w:eastAsia="Times New Roman" w:hAnsi="Times New Roman" w:cs="Times New Roman"/>
          <w:sz w:val="24"/>
          <w:szCs w:val="24"/>
        </w:rPr>
        <w:t>s siguientes: (</w:t>
      </w:r>
      <w:r w:rsidR="007D0DCA" w:rsidRPr="005E655B">
        <w:rPr>
          <w:rFonts w:ascii="Times New Roman" w:hAnsi="Times New Roman" w:cs="Times New Roman"/>
          <w:sz w:val="24"/>
          <w:szCs w:val="24"/>
        </w:rPr>
        <w:t xml:space="preserve">i) </w:t>
      </w:r>
      <w:r w:rsidR="00030895" w:rsidRPr="005E655B">
        <w:rPr>
          <w:rFonts w:ascii="Times New Roman" w:hAnsi="Times New Roman" w:cs="Times New Roman"/>
          <w:sz w:val="24"/>
          <w:szCs w:val="24"/>
        </w:rPr>
        <w:t xml:space="preserve">desviaciones en los costos previstos de </w:t>
      </w:r>
      <w:r w:rsidRPr="005E655B">
        <w:rPr>
          <w:rFonts w:ascii="Times New Roman" w:hAnsi="Times New Roman" w:cs="Times New Roman"/>
          <w:sz w:val="24"/>
          <w:szCs w:val="24"/>
        </w:rPr>
        <w:t xml:space="preserve">inversión inicial; </w:t>
      </w:r>
      <w:r w:rsidR="00A23938" w:rsidRPr="005E655B">
        <w:rPr>
          <w:rFonts w:ascii="Times New Roman" w:hAnsi="Times New Roman" w:cs="Times New Roman"/>
          <w:sz w:val="24"/>
          <w:szCs w:val="24"/>
        </w:rPr>
        <w:t xml:space="preserve">(ii) </w:t>
      </w:r>
      <w:r w:rsidR="00030895" w:rsidRPr="005E655B">
        <w:rPr>
          <w:rFonts w:ascii="Times New Roman" w:hAnsi="Times New Roman" w:cs="Times New Roman"/>
          <w:sz w:val="24"/>
          <w:szCs w:val="24"/>
        </w:rPr>
        <w:t xml:space="preserve">desviaciones </w:t>
      </w:r>
      <w:r w:rsidRPr="005E655B">
        <w:rPr>
          <w:rFonts w:ascii="Times New Roman" w:hAnsi="Times New Roman" w:cs="Times New Roman"/>
          <w:sz w:val="24"/>
          <w:szCs w:val="24"/>
        </w:rPr>
        <w:t>en los costos de O&amp;M</w:t>
      </w:r>
      <w:r w:rsidR="00030895" w:rsidRPr="005E655B">
        <w:rPr>
          <w:rFonts w:ascii="Times New Roman" w:hAnsi="Times New Roman" w:cs="Times New Roman"/>
          <w:sz w:val="24"/>
          <w:szCs w:val="24"/>
        </w:rPr>
        <w:t xml:space="preserve"> previstos</w:t>
      </w:r>
      <w:r w:rsidRPr="005E655B">
        <w:rPr>
          <w:rFonts w:ascii="Times New Roman" w:hAnsi="Times New Roman" w:cs="Times New Roman"/>
          <w:sz w:val="24"/>
          <w:szCs w:val="24"/>
        </w:rPr>
        <w:t xml:space="preserve">; (iii) variación del beneficio </w:t>
      </w:r>
      <w:r w:rsidR="00DF3247" w:rsidRPr="005E655B">
        <w:rPr>
          <w:rFonts w:ascii="Times New Roman" w:hAnsi="Times New Roman" w:cs="Times New Roman"/>
          <w:sz w:val="24"/>
          <w:szCs w:val="24"/>
        </w:rPr>
        <w:t xml:space="preserve">esperado </w:t>
      </w:r>
      <w:r w:rsidRPr="005E655B">
        <w:rPr>
          <w:rFonts w:ascii="Times New Roman" w:hAnsi="Times New Roman" w:cs="Times New Roman"/>
          <w:sz w:val="24"/>
          <w:szCs w:val="24"/>
        </w:rPr>
        <w:t xml:space="preserve">por </w:t>
      </w:r>
      <w:r w:rsidR="00DF3247" w:rsidRPr="005E655B">
        <w:rPr>
          <w:rFonts w:ascii="Times New Roman" w:hAnsi="Times New Roman" w:cs="Times New Roman"/>
          <w:sz w:val="24"/>
          <w:szCs w:val="24"/>
        </w:rPr>
        <w:t xml:space="preserve">la </w:t>
      </w:r>
      <w:r w:rsidRPr="005E655B">
        <w:rPr>
          <w:rFonts w:ascii="Times New Roman" w:hAnsi="Times New Roman" w:cs="Times New Roman"/>
          <w:sz w:val="24"/>
          <w:szCs w:val="24"/>
        </w:rPr>
        <w:t>disminución de pérdidas técnicas; (iv)</w:t>
      </w:r>
      <w:r w:rsidR="007D2EB4" w:rsidRPr="005E655B">
        <w:rPr>
          <w:rFonts w:ascii="Times New Roman" w:hAnsi="Times New Roman" w:cs="Times New Roman"/>
          <w:sz w:val="24"/>
          <w:szCs w:val="24"/>
        </w:rPr>
        <w:t xml:space="preserve"> escenario PN</w:t>
      </w:r>
      <w:r w:rsidR="001B2956" w:rsidRPr="005E655B">
        <w:rPr>
          <w:rFonts w:ascii="Times New Roman" w:hAnsi="Times New Roman" w:cs="Times New Roman"/>
          <w:sz w:val="24"/>
          <w:szCs w:val="24"/>
        </w:rPr>
        <w:t>CE</w:t>
      </w:r>
      <w:r w:rsidR="007D2EB4" w:rsidRPr="005E655B">
        <w:rPr>
          <w:rFonts w:ascii="Times New Roman" w:hAnsi="Times New Roman" w:cs="Times New Roman"/>
          <w:sz w:val="24"/>
          <w:szCs w:val="24"/>
        </w:rPr>
        <w:t xml:space="preserve"> de introducción de las cocinas de inducción</w:t>
      </w:r>
      <w:r w:rsidR="0032736D" w:rsidRPr="005E655B">
        <w:rPr>
          <w:rFonts w:ascii="Times New Roman" w:eastAsia="Times New Roman" w:hAnsi="Times New Roman" w:cs="Times New Roman"/>
          <w:sz w:val="24"/>
          <w:szCs w:val="24"/>
        </w:rPr>
        <w:t>.</w:t>
      </w:r>
    </w:p>
    <w:p w:rsidR="007649A8" w:rsidRPr="007649A8" w:rsidRDefault="007649A8" w:rsidP="007649A8">
      <w:pPr>
        <w:pStyle w:val="ListParagraph"/>
        <w:rPr>
          <w:rFonts w:ascii="Times New Roman" w:eastAsia="Times New Roman" w:hAnsi="Times New Roman" w:cs="Times New Roman"/>
          <w:sz w:val="24"/>
          <w:szCs w:val="24"/>
        </w:rPr>
      </w:pPr>
    </w:p>
    <w:p w:rsidR="007649A8" w:rsidRPr="007649A8" w:rsidRDefault="007649A8" w:rsidP="007649A8">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7649A8">
        <w:rPr>
          <w:rFonts w:ascii="Times New Roman" w:eastAsia="Times New Roman" w:hAnsi="Times New Roman" w:cs="Times New Roman"/>
          <w:sz w:val="24"/>
          <w:szCs w:val="24"/>
        </w:rPr>
        <w:t xml:space="preserve">Las variables utilizadas han sido (i) el importe de la inversión inicial total prevista; (ii) el importe de los costos de O&amp;M previstos; y (iii) el beneficio por disminución de pérdidas. Asimismo, se ha realizado un escenario específico que contempla también para el cálculo de la TIR la introducción de las cocinas de inducción en el 80% de los 1.430.000 hogares que serán beneficiarios directos de las intervenciones del </w:t>
      </w:r>
      <w:r>
        <w:rPr>
          <w:rFonts w:ascii="Times New Roman" w:eastAsia="Times New Roman" w:hAnsi="Times New Roman" w:cs="Times New Roman"/>
          <w:sz w:val="24"/>
          <w:szCs w:val="24"/>
        </w:rPr>
        <w:t>Programa</w:t>
      </w:r>
      <w:r w:rsidRPr="007649A8">
        <w:rPr>
          <w:rFonts w:ascii="Times New Roman" w:eastAsia="Times New Roman" w:hAnsi="Times New Roman" w:cs="Times New Roman"/>
          <w:sz w:val="24"/>
          <w:szCs w:val="24"/>
        </w:rPr>
        <w:t>.</w:t>
      </w:r>
    </w:p>
    <w:p w:rsidR="007649A8" w:rsidRDefault="007649A8" w:rsidP="007649A8">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7649A8" w:rsidRPr="007649A8" w:rsidRDefault="007649A8" w:rsidP="007649A8">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7649A8">
        <w:rPr>
          <w:rFonts w:ascii="Times New Roman" w:eastAsia="Times New Roman" w:hAnsi="Times New Roman" w:cs="Times New Roman"/>
          <w:sz w:val="24"/>
          <w:szCs w:val="24"/>
        </w:rPr>
        <w:t>Estas variables se han considerado como las más influyentes en los resultados del ACB dado que variaciones con respecto a su estimación inicial podrían llegar a compromet</w:t>
      </w:r>
      <w:r>
        <w:rPr>
          <w:rFonts w:ascii="Times New Roman" w:eastAsia="Times New Roman" w:hAnsi="Times New Roman" w:cs="Times New Roman"/>
          <w:sz w:val="24"/>
          <w:szCs w:val="24"/>
        </w:rPr>
        <w:t>er la viabilidad económica del programa</w:t>
      </w:r>
      <w:r w:rsidRPr="007649A8">
        <w:rPr>
          <w:rFonts w:ascii="Times New Roman" w:eastAsia="Times New Roman" w:hAnsi="Times New Roman" w:cs="Times New Roman"/>
          <w:sz w:val="24"/>
          <w:szCs w:val="24"/>
        </w:rPr>
        <w:t xml:space="preserve">. De esta forma, se ha podido comprobar la robustez de dicha viabilidad. </w:t>
      </w:r>
    </w:p>
    <w:p w:rsidR="007649A8" w:rsidRDefault="007649A8" w:rsidP="007649A8">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7649A8" w:rsidRPr="007649A8" w:rsidRDefault="007649A8" w:rsidP="007649A8">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7649A8">
        <w:rPr>
          <w:rFonts w:ascii="Times New Roman" w:eastAsia="Times New Roman" w:hAnsi="Times New Roman" w:cs="Times New Roman"/>
          <w:sz w:val="24"/>
          <w:szCs w:val="24"/>
        </w:rPr>
        <w:t>Si bien se podrían haber contemplado también variables o hipótesis de demanda de electricidad, esto habría supuesto para su realización la modificación de fórmulas en los modelos de cálculo de cada una de las EED analizadas, demandando una importante cantidad de tiempo. Asimismo, cabe señalar que una buena parte de las hipótesis, como por ejemplo el costo de la energía, son específicas a cada EED.</w:t>
      </w:r>
    </w:p>
    <w:p w:rsidR="00FB1A10" w:rsidRPr="005E655B" w:rsidRDefault="00FB1A10" w:rsidP="000032C5">
      <w:pPr>
        <w:pStyle w:val="ListParagraph"/>
        <w:spacing w:before="120" w:after="120" w:line="240" w:lineRule="auto"/>
        <w:rPr>
          <w:rFonts w:ascii="Times New Roman" w:eastAsia="Times New Roman" w:hAnsi="Times New Roman" w:cs="Times New Roman"/>
          <w:sz w:val="24"/>
          <w:szCs w:val="24"/>
        </w:rPr>
      </w:pPr>
    </w:p>
    <w:p w:rsidR="0032736D" w:rsidRPr="005E655B" w:rsidRDefault="0032736D"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Los resultados del análisis de sensibilidad</w:t>
      </w:r>
      <w:r w:rsidR="007D0DCA" w:rsidRPr="005E655B">
        <w:rPr>
          <w:rFonts w:ascii="Times New Roman" w:eastAsia="Times New Roman" w:hAnsi="Times New Roman" w:cs="Times New Roman"/>
          <w:sz w:val="24"/>
          <w:szCs w:val="24"/>
        </w:rPr>
        <w:t xml:space="preserve"> </w:t>
      </w:r>
      <w:r w:rsidR="00A23938" w:rsidRPr="005E655B">
        <w:rPr>
          <w:rFonts w:ascii="Times New Roman" w:eastAsia="Times New Roman" w:hAnsi="Times New Roman" w:cs="Times New Roman"/>
          <w:sz w:val="24"/>
          <w:szCs w:val="24"/>
        </w:rPr>
        <w:t xml:space="preserve">ante </w:t>
      </w:r>
      <w:r w:rsidR="00F94C35" w:rsidRPr="005E655B">
        <w:rPr>
          <w:rFonts w:ascii="Times New Roman" w:hAnsi="Times New Roman" w:cs="Times New Roman"/>
          <w:sz w:val="24"/>
          <w:szCs w:val="24"/>
        </w:rPr>
        <w:t>desviaci</w:t>
      </w:r>
      <w:r w:rsidR="00DF3247" w:rsidRPr="005E655B">
        <w:rPr>
          <w:rFonts w:ascii="Times New Roman" w:hAnsi="Times New Roman" w:cs="Times New Roman"/>
          <w:sz w:val="24"/>
          <w:szCs w:val="24"/>
        </w:rPr>
        <w:t>ones en los costos previstos de</w:t>
      </w:r>
      <w:r w:rsidR="00F94C35" w:rsidRPr="005E655B">
        <w:rPr>
          <w:rFonts w:ascii="Times New Roman" w:hAnsi="Times New Roman" w:cs="Times New Roman"/>
          <w:sz w:val="24"/>
          <w:szCs w:val="24"/>
        </w:rPr>
        <w:t xml:space="preserve"> inversión inicial</w:t>
      </w:r>
      <w:r w:rsidR="00F94C35" w:rsidRPr="005E655B">
        <w:rPr>
          <w:rFonts w:ascii="Times New Roman" w:eastAsia="Times New Roman" w:hAnsi="Times New Roman" w:cs="Times New Roman"/>
          <w:sz w:val="24"/>
          <w:szCs w:val="24"/>
        </w:rPr>
        <w:t xml:space="preserve"> </w:t>
      </w:r>
      <w:r w:rsidR="00A23938" w:rsidRPr="005E655B">
        <w:rPr>
          <w:rFonts w:ascii="Times New Roman" w:eastAsia="Times New Roman" w:hAnsi="Times New Roman" w:cs="Times New Roman"/>
          <w:sz w:val="24"/>
          <w:szCs w:val="24"/>
        </w:rPr>
        <w:t>se muestran el en cuadro siguiente.</w:t>
      </w:r>
    </w:p>
    <w:p w:rsidR="009024DA" w:rsidRDefault="009024DA">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2736D" w:rsidRPr="005E655B" w:rsidRDefault="0032736D" w:rsidP="000032C5">
      <w:pPr>
        <w:autoSpaceDE w:val="0"/>
        <w:autoSpaceDN w:val="0"/>
        <w:adjustRightInd w:val="0"/>
        <w:spacing w:before="120" w:after="120" w:line="240" w:lineRule="auto"/>
        <w:jc w:val="both"/>
        <w:rPr>
          <w:rFonts w:ascii="Times New Roman" w:eastAsia="Times New Roman" w:hAnsi="Times New Roman" w:cs="Times New Roman"/>
          <w:sz w:val="24"/>
          <w:szCs w:val="24"/>
        </w:rPr>
      </w:pPr>
    </w:p>
    <w:p w:rsidR="0032736D" w:rsidRPr="005E655B" w:rsidRDefault="0032736D" w:rsidP="000032C5">
      <w:pPr>
        <w:pStyle w:val="Caption"/>
        <w:spacing w:before="120" w:after="120"/>
        <w:ind w:left="288"/>
        <w:rPr>
          <w:sz w:val="24"/>
          <w:szCs w:val="24"/>
          <w:lang w:val="es-ES"/>
        </w:rPr>
      </w:pPr>
      <w:r w:rsidRPr="005E655B">
        <w:rPr>
          <w:sz w:val="24"/>
          <w:szCs w:val="24"/>
          <w:lang w:val="es-ES"/>
        </w:rPr>
        <w:t xml:space="preserve">Cuadro </w:t>
      </w:r>
      <w:r w:rsidRPr="005E655B">
        <w:rPr>
          <w:b w:val="0"/>
          <w:bCs w:val="0"/>
          <w:sz w:val="24"/>
          <w:szCs w:val="24"/>
          <w:lang w:val="fr-FR"/>
        </w:rPr>
        <w:fldChar w:fldCharType="begin"/>
      </w:r>
      <w:r w:rsidRPr="005E655B">
        <w:rPr>
          <w:sz w:val="24"/>
          <w:szCs w:val="24"/>
          <w:lang w:val="es-ES"/>
        </w:rPr>
        <w:instrText xml:space="preserve"> SEQ Tableau \* ARABIC </w:instrText>
      </w:r>
      <w:r w:rsidRPr="005E655B">
        <w:rPr>
          <w:b w:val="0"/>
          <w:bCs w:val="0"/>
          <w:sz w:val="24"/>
          <w:szCs w:val="24"/>
          <w:lang w:val="fr-FR"/>
        </w:rPr>
        <w:fldChar w:fldCharType="separate"/>
      </w:r>
      <w:r w:rsidR="00596A07">
        <w:rPr>
          <w:noProof/>
          <w:sz w:val="24"/>
          <w:szCs w:val="24"/>
          <w:lang w:val="es-ES"/>
        </w:rPr>
        <w:t>11</w:t>
      </w:r>
      <w:r w:rsidRPr="005E655B">
        <w:rPr>
          <w:b w:val="0"/>
          <w:bCs w:val="0"/>
          <w:sz w:val="24"/>
          <w:szCs w:val="24"/>
          <w:lang w:val="fr-FR"/>
        </w:rPr>
        <w:fldChar w:fldCharType="end"/>
      </w:r>
      <w:r w:rsidR="00F94C35" w:rsidRPr="005E655B">
        <w:rPr>
          <w:sz w:val="24"/>
          <w:szCs w:val="24"/>
          <w:lang w:val="es-ES"/>
        </w:rPr>
        <w:t>. Sensibilidad ante V</w:t>
      </w:r>
      <w:r w:rsidRPr="005E655B">
        <w:rPr>
          <w:sz w:val="24"/>
          <w:szCs w:val="24"/>
          <w:lang w:val="es-ES"/>
        </w:rPr>
        <w:t xml:space="preserve">ariaciones </w:t>
      </w:r>
      <w:r w:rsidR="00F94C35" w:rsidRPr="005E655B">
        <w:rPr>
          <w:sz w:val="24"/>
          <w:szCs w:val="24"/>
          <w:lang w:val="es-ES"/>
        </w:rPr>
        <w:t>en la Inversión Inicial</w:t>
      </w:r>
    </w:p>
    <w:p w:rsidR="00A23938" w:rsidRDefault="00A23938" w:rsidP="000032C5">
      <w:pPr>
        <w:spacing w:before="120" w:after="120" w:line="240" w:lineRule="auto"/>
        <w:rPr>
          <w:rFonts w:ascii="Times New Roman" w:hAnsi="Times New Roman" w:cs="Times New Roman"/>
          <w:sz w:val="24"/>
          <w:szCs w:val="24"/>
          <w:lang w:eastAsia="es-ES_tradnl"/>
        </w:rPr>
      </w:pPr>
    </w:p>
    <w:p w:rsidR="00686BA2" w:rsidRPr="005E655B" w:rsidRDefault="000526A1" w:rsidP="000526A1">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0526A1">
        <w:rPr>
          <w:rFonts w:ascii="Times New Roman" w:eastAsia="Times New Roman" w:hAnsi="Times New Roman" w:cs="Times New Roman"/>
          <w:noProof/>
          <w:sz w:val="24"/>
          <w:szCs w:val="24"/>
          <w:lang w:val="en-US"/>
        </w:rPr>
        <w:drawing>
          <wp:anchor distT="0" distB="0" distL="114300" distR="114300" simplePos="0" relativeHeight="251712512" behindDoc="0" locked="0" layoutInCell="1" allowOverlap="1" wp14:anchorId="271489DB" wp14:editId="59F95D71">
            <wp:simplePos x="0" y="0"/>
            <wp:positionH relativeFrom="column">
              <wp:posOffset>138430</wp:posOffset>
            </wp:positionH>
            <wp:positionV relativeFrom="paragraph">
              <wp:posOffset>-200660</wp:posOffset>
            </wp:positionV>
            <wp:extent cx="5946775" cy="1349375"/>
            <wp:effectExtent l="0" t="0" r="0" b="3175"/>
            <wp:wrapTopAndBottom/>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6775" cy="1349375"/>
                    </a:xfrm>
                    <a:prstGeom prst="rect">
                      <a:avLst/>
                    </a:prstGeom>
                    <a:noFill/>
                    <a:ln>
                      <a:noFill/>
                    </a:ln>
                  </pic:spPr>
                </pic:pic>
              </a:graphicData>
            </a:graphic>
            <wp14:sizeRelH relativeFrom="page">
              <wp14:pctWidth>0</wp14:pctWidth>
            </wp14:sizeRelH>
            <wp14:sizeRelV relativeFrom="page">
              <wp14:pctHeight>0</wp14:pctHeight>
            </wp14:sizeRelV>
          </wp:anchor>
        </w:drawing>
      </w:r>
      <w:r w:rsidR="00686BA2" w:rsidRPr="005E655B">
        <w:rPr>
          <w:rFonts w:ascii="Times New Roman" w:eastAsia="Times New Roman" w:hAnsi="Times New Roman" w:cs="Times New Roman"/>
          <w:sz w:val="24"/>
          <w:szCs w:val="24"/>
        </w:rPr>
        <w:t xml:space="preserve">El cuadro anterior muestra como el punto de ruptura de la viabilidad económica del </w:t>
      </w:r>
      <w:r w:rsidR="007649A8">
        <w:rPr>
          <w:rFonts w:ascii="Times New Roman" w:eastAsia="Times New Roman" w:hAnsi="Times New Roman" w:cs="Times New Roman"/>
          <w:sz w:val="24"/>
          <w:szCs w:val="24"/>
        </w:rPr>
        <w:t>Programa</w:t>
      </w:r>
      <w:r w:rsidR="00686BA2" w:rsidRPr="005E655B">
        <w:rPr>
          <w:rFonts w:ascii="Times New Roman" w:eastAsia="Times New Roman" w:hAnsi="Times New Roman" w:cs="Times New Roman"/>
          <w:sz w:val="24"/>
          <w:szCs w:val="24"/>
        </w:rPr>
        <w:t xml:space="preserve"> </w:t>
      </w:r>
      <w:r w:rsidR="00685D73" w:rsidRPr="005E655B">
        <w:rPr>
          <w:rFonts w:ascii="Times New Roman" w:eastAsia="Times New Roman" w:hAnsi="Times New Roman" w:cs="Times New Roman"/>
          <w:sz w:val="24"/>
          <w:szCs w:val="24"/>
        </w:rPr>
        <w:t>se encuentra en</w:t>
      </w:r>
      <w:r w:rsidR="00686BA2" w:rsidRPr="005E655B">
        <w:rPr>
          <w:rFonts w:ascii="Times New Roman" w:eastAsia="Times New Roman" w:hAnsi="Times New Roman" w:cs="Times New Roman"/>
          <w:sz w:val="24"/>
          <w:szCs w:val="24"/>
        </w:rPr>
        <w:t xml:space="preserve"> un</w:t>
      </w:r>
      <w:r w:rsidR="000901F3" w:rsidRPr="005E655B">
        <w:rPr>
          <w:rFonts w:ascii="Times New Roman" w:eastAsia="Times New Roman" w:hAnsi="Times New Roman" w:cs="Times New Roman"/>
          <w:sz w:val="24"/>
          <w:szCs w:val="24"/>
        </w:rPr>
        <w:t xml:space="preserve"> incremento </w:t>
      </w:r>
      <w:r w:rsidR="00E74489" w:rsidRPr="005E655B">
        <w:rPr>
          <w:rFonts w:ascii="Times New Roman" w:eastAsia="Times New Roman" w:hAnsi="Times New Roman" w:cs="Times New Roman"/>
          <w:sz w:val="24"/>
          <w:szCs w:val="24"/>
        </w:rPr>
        <w:t>de 330%</w:t>
      </w:r>
      <w:r w:rsidR="000901F3" w:rsidRPr="005E655B">
        <w:rPr>
          <w:rFonts w:ascii="Times New Roman" w:eastAsia="Times New Roman" w:hAnsi="Times New Roman" w:cs="Times New Roman"/>
          <w:sz w:val="24"/>
          <w:szCs w:val="24"/>
        </w:rPr>
        <w:t xml:space="preserve"> de </w:t>
      </w:r>
      <w:r w:rsidR="00686BA2" w:rsidRPr="005E655B">
        <w:rPr>
          <w:rFonts w:ascii="Times New Roman" w:eastAsia="Times New Roman" w:hAnsi="Times New Roman" w:cs="Times New Roman"/>
          <w:sz w:val="24"/>
          <w:szCs w:val="24"/>
        </w:rPr>
        <w:t xml:space="preserve">los costos </w:t>
      </w:r>
      <w:r w:rsidR="00C16E24" w:rsidRPr="005E655B">
        <w:rPr>
          <w:rFonts w:ascii="Times New Roman" w:eastAsia="Times New Roman" w:hAnsi="Times New Roman" w:cs="Times New Roman"/>
          <w:sz w:val="24"/>
          <w:szCs w:val="24"/>
        </w:rPr>
        <w:t>de inversión previstos</w:t>
      </w:r>
      <w:r w:rsidR="00E74489" w:rsidRPr="005E655B">
        <w:rPr>
          <w:rFonts w:ascii="Times New Roman" w:eastAsia="Times New Roman" w:hAnsi="Times New Roman" w:cs="Times New Roman"/>
          <w:sz w:val="24"/>
          <w:szCs w:val="24"/>
        </w:rPr>
        <w:t>.</w:t>
      </w:r>
      <w:r w:rsidR="00F5383F" w:rsidRPr="005E655B">
        <w:rPr>
          <w:rFonts w:ascii="Times New Roman" w:eastAsia="Times New Roman" w:hAnsi="Times New Roman" w:cs="Times New Roman"/>
          <w:sz w:val="24"/>
          <w:szCs w:val="24"/>
        </w:rPr>
        <w:t xml:space="preserve"> </w:t>
      </w:r>
    </w:p>
    <w:p w:rsidR="00686BA2" w:rsidRPr="005E655B" w:rsidRDefault="00686BA2"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32736D" w:rsidRPr="005E655B" w:rsidRDefault="0032736D"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Asimismo, se ha realizado un análisis de sensibilidad ante </w:t>
      </w:r>
      <w:r w:rsidR="00F94C35" w:rsidRPr="005E655B">
        <w:rPr>
          <w:rFonts w:ascii="Times New Roman" w:hAnsi="Times New Roman" w:cs="Times New Roman"/>
          <w:sz w:val="24"/>
          <w:szCs w:val="24"/>
        </w:rPr>
        <w:t>desviaciones en los costos de O&amp;M previstos</w:t>
      </w:r>
      <w:r w:rsidRPr="005E655B">
        <w:rPr>
          <w:rFonts w:ascii="Times New Roman" w:eastAsia="Times New Roman" w:hAnsi="Times New Roman" w:cs="Times New Roman"/>
          <w:sz w:val="24"/>
          <w:szCs w:val="24"/>
        </w:rPr>
        <w:t>.</w:t>
      </w:r>
      <w:r w:rsidR="00F94C35" w:rsidRPr="005E655B">
        <w:rPr>
          <w:rFonts w:ascii="Times New Roman" w:eastAsia="Times New Roman" w:hAnsi="Times New Roman" w:cs="Times New Roman"/>
          <w:sz w:val="24"/>
          <w:szCs w:val="24"/>
        </w:rPr>
        <w:t xml:space="preserve"> Los resultados son los siguientes.</w:t>
      </w:r>
    </w:p>
    <w:p w:rsidR="00506E20" w:rsidRPr="005E655B" w:rsidRDefault="00506E20"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506E20" w:rsidRPr="005E655B" w:rsidRDefault="00506E20" w:rsidP="000032C5">
      <w:pPr>
        <w:pStyle w:val="Caption"/>
        <w:spacing w:before="120" w:after="120"/>
        <w:ind w:left="288"/>
        <w:rPr>
          <w:sz w:val="24"/>
          <w:szCs w:val="24"/>
          <w:lang w:val="es-ES"/>
        </w:rPr>
      </w:pPr>
      <w:r w:rsidRPr="005E655B">
        <w:rPr>
          <w:sz w:val="24"/>
          <w:szCs w:val="24"/>
          <w:lang w:val="es-ES"/>
        </w:rPr>
        <w:t xml:space="preserve">Cuadro </w:t>
      </w:r>
      <w:r w:rsidRPr="005E655B">
        <w:rPr>
          <w:b w:val="0"/>
          <w:bCs w:val="0"/>
          <w:sz w:val="24"/>
          <w:szCs w:val="24"/>
          <w:lang w:val="fr-FR"/>
        </w:rPr>
        <w:fldChar w:fldCharType="begin"/>
      </w:r>
      <w:r w:rsidRPr="005E655B">
        <w:rPr>
          <w:sz w:val="24"/>
          <w:szCs w:val="24"/>
          <w:lang w:val="es-ES"/>
        </w:rPr>
        <w:instrText xml:space="preserve"> SEQ Tableau \* ARABIC </w:instrText>
      </w:r>
      <w:r w:rsidRPr="005E655B">
        <w:rPr>
          <w:b w:val="0"/>
          <w:bCs w:val="0"/>
          <w:sz w:val="24"/>
          <w:szCs w:val="24"/>
          <w:lang w:val="fr-FR"/>
        </w:rPr>
        <w:fldChar w:fldCharType="separate"/>
      </w:r>
      <w:r w:rsidR="00596A07">
        <w:rPr>
          <w:noProof/>
          <w:sz w:val="24"/>
          <w:szCs w:val="24"/>
          <w:lang w:val="es-ES"/>
        </w:rPr>
        <w:t>12</w:t>
      </w:r>
      <w:r w:rsidRPr="005E655B">
        <w:rPr>
          <w:b w:val="0"/>
          <w:bCs w:val="0"/>
          <w:sz w:val="24"/>
          <w:szCs w:val="24"/>
          <w:lang w:val="fr-FR"/>
        </w:rPr>
        <w:fldChar w:fldCharType="end"/>
      </w:r>
      <w:r w:rsidRPr="005E655B">
        <w:rPr>
          <w:sz w:val="24"/>
          <w:szCs w:val="24"/>
          <w:lang w:val="es-ES"/>
        </w:rPr>
        <w:t xml:space="preserve">. Sensibilidad ante </w:t>
      </w:r>
      <w:r w:rsidR="00F94C35" w:rsidRPr="005E655B">
        <w:rPr>
          <w:sz w:val="24"/>
          <w:szCs w:val="24"/>
          <w:lang w:val="es-ES"/>
        </w:rPr>
        <w:t>V</w:t>
      </w:r>
      <w:r w:rsidRPr="005E655B">
        <w:rPr>
          <w:sz w:val="24"/>
          <w:szCs w:val="24"/>
          <w:lang w:val="es-ES"/>
        </w:rPr>
        <w:t xml:space="preserve">ariaciones </w:t>
      </w:r>
      <w:r w:rsidR="00F94C35" w:rsidRPr="005E655B">
        <w:rPr>
          <w:sz w:val="24"/>
          <w:szCs w:val="24"/>
          <w:lang w:val="es-ES"/>
        </w:rPr>
        <w:t>en los Costos de O&amp;M</w:t>
      </w:r>
    </w:p>
    <w:p w:rsidR="00A23938" w:rsidRDefault="000526A1"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r w:rsidRPr="005E655B">
        <w:rPr>
          <w:noProof/>
          <w:sz w:val="24"/>
          <w:szCs w:val="24"/>
          <w:lang w:val="en-US"/>
        </w:rPr>
        <w:drawing>
          <wp:anchor distT="0" distB="0" distL="114300" distR="114300" simplePos="0" relativeHeight="251714560" behindDoc="0" locked="0" layoutInCell="1" allowOverlap="1" wp14:anchorId="4E828B72" wp14:editId="012C74A0">
            <wp:simplePos x="0" y="0"/>
            <wp:positionH relativeFrom="column">
              <wp:posOffset>165735</wp:posOffset>
            </wp:positionH>
            <wp:positionV relativeFrom="paragraph">
              <wp:posOffset>49530</wp:posOffset>
            </wp:positionV>
            <wp:extent cx="5869305" cy="1294765"/>
            <wp:effectExtent l="0" t="0" r="0" b="635"/>
            <wp:wrapTopAndBottom/>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69305" cy="1294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26A1" w:rsidRDefault="000526A1"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686BA2" w:rsidRPr="005E655B" w:rsidRDefault="00686BA2"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El cuadro anterior muestra como el punto de ruptura de la viabilidad económica del </w:t>
      </w:r>
      <w:r w:rsidR="007649A8">
        <w:rPr>
          <w:rFonts w:ascii="Times New Roman" w:eastAsia="Times New Roman" w:hAnsi="Times New Roman" w:cs="Times New Roman"/>
          <w:sz w:val="24"/>
          <w:szCs w:val="24"/>
        </w:rPr>
        <w:t>Programa</w:t>
      </w:r>
      <w:r w:rsidRPr="005E655B">
        <w:rPr>
          <w:rFonts w:ascii="Times New Roman" w:eastAsia="Times New Roman" w:hAnsi="Times New Roman" w:cs="Times New Roman"/>
          <w:sz w:val="24"/>
          <w:szCs w:val="24"/>
        </w:rPr>
        <w:t xml:space="preserve"> </w:t>
      </w:r>
      <w:r w:rsidR="00E74489" w:rsidRPr="005E655B">
        <w:rPr>
          <w:rFonts w:ascii="Times New Roman" w:eastAsia="Times New Roman" w:hAnsi="Times New Roman" w:cs="Times New Roman"/>
          <w:sz w:val="24"/>
          <w:szCs w:val="24"/>
        </w:rPr>
        <w:t>se encuentra en</w:t>
      </w:r>
      <w:r w:rsidR="00C16E24" w:rsidRPr="005E655B">
        <w:rPr>
          <w:rFonts w:ascii="Times New Roman" w:eastAsia="Times New Roman" w:hAnsi="Times New Roman" w:cs="Times New Roman"/>
          <w:sz w:val="24"/>
          <w:szCs w:val="24"/>
        </w:rPr>
        <w:t xml:space="preserve"> una deviación de los costos </w:t>
      </w:r>
      <w:r w:rsidR="00F5383F" w:rsidRPr="005E655B">
        <w:rPr>
          <w:rFonts w:ascii="Times New Roman" w:eastAsia="Times New Roman" w:hAnsi="Times New Roman" w:cs="Times New Roman"/>
          <w:sz w:val="24"/>
          <w:szCs w:val="24"/>
        </w:rPr>
        <w:t xml:space="preserve">totales previstos </w:t>
      </w:r>
      <w:r w:rsidRPr="005E655B">
        <w:rPr>
          <w:rFonts w:ascii="Times New Roman" w:eastAsia="Times New Roman" w:hAnsi="Times New Roman" w:cs="Times New Roman"/>
          <w:sz w:val="24"/>
          <w:szCs w:val="24"/>
        </w:rPr>
        <w:t xml:space="preserve">de </w:t>
      </w:r>
      <w:r w:rsidR="00C16E24" w:rsidRPr="005E655B">
        <w:rPr>
          <w:rFonts w:ascii="Times New Roman" w:eastAsia="Times New Roman" w:hAnsi="Times New Roman" w:cs="Times New Roman"/>
          <w:sz w:val="24"/>
          <w:szCs w:val="24"/>
        </w:rPr>
        <w:t xml:space="preserve">O&amp;M </w:t>
      </w:r>
      <w:r w:rsidRPr="005E655B">
        <w:rPr>
          <w:rFonts w:ascii="Times New Roman" w:eastAsia="Times New Roman" w:hAnsi="Times New Roman" w:cs="Times New Roman"/>
          <w:sz w:val="24"/>
          <w:szCs w:val="24"/>
        </w:rPr>
        <w:t>de 793%.</w:t>
      </w:r>
    </w:p>
    <w:p w:rsidR="00686BA2" w:rsidRPr="005E655B" w:rsidRDefault="00686BA2"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F94C35" w:rsidRPr="005E655B" w:rsidRDefault="00DF3247"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Por otra parte, e</w:t>
      </w:r>
      <w:r w:rsidR="00F94C35" w:rsidRPr="005E655B">
        <w:rPr>
          <w:rFonts w:ascii="Times New Roman" w:eastAsia="Times New Roman" w:hAnsi="Times New Roman" w:cs="Times New Roman"/>
          <w:sz w:val="24"/>
          <w:szCs w:val="24"/>
        </w:rPr>
        <w:t xml:space="preserve">l análisis de sensibilidad ante la </w:t>
      </w:r>
      <w:r w:rsidR="00F94C35" w:rsidRPr="005E655B">
        <w:rPr>
          <w:rFonts w:ascii="Times New Roman" w:hAnsi="Times New Roman" w:cs="Times New Roman"/>
          <w:sz w:val="24"/>
          <w:szCs w:val="24"/>
        </w:rPr>
        <w:t xml:space="preserve">variación del beneficio </w:t>
      </w:r>
      <w:r w:rsidRPr="005E655B">
        <w:rPr>
          <w:rFonts w:ascii="Times New Roman" w:hAnsi="Times New Roman" w:cs="Times New Roman"/>
          <w:sz w:val="24"/>
          <w:szCs w:val="24"/>
        </w:rPr>
        <w:t xml:space="preserve">esperado </w:t>
      </w:r>
      <w:r w:rsidR="00F94C35" w:rsidRPr="005E655B">
        <w:rPr>
          <w:rFonts w:ascii="Times New Roman" w:hAnsi="Times New Roman" w:cs="Times New Roman"/>
          <w:sz w:val="24"/>
          <w:szCs w:val="24"/>
        </w:rPr>
        <w:t xml:space="preserve">por </w:t>
      </w:r>
      <w:r w:rsidRPr="005E655B">
        <w:rPr>
          <w:rFonts w:ascii="Times New Roman" w:hAnsi="Times New Roman" w:cs="Times New Roman"/>
          <w:sz w:val="24"/>
          <w:szCs w:val="24"/>
        </w:rPr>
        <w:t xml:space="preserve">la </w:t>
      </w:r>
      <w:r w:rsidR="00F94C35" w:rsidRPr="005E655B">
        <w:rPr>
          <w:rFonts w:ascii="Times New Roman" w:hAnsi="Times New Roman" w:cs="Times New Roman"/>
          <w:sz w:val="24"/>
          <w:szCs w:val="24"/>
        </w:rPr>
        <w:t>disminución de pérdidas técnicas</w:t>
      </w:r>
      <w:r w:rsidRPr="005E655B">
        <w:rPr>
          <w:rFonts w:ascii="Times New Roman" w:hAnsi="Times New Roman" w:cs="Times New Roman"/>
          <w:sz w:val="24"/>
          <w:szCs w:val="24"/>
        </w:rPr>
        <w:t>,</w:t>
      </w:r>
      <w:r w:rsidR="00F94C35" w:rsidRPr="005E655B">
        <w:rPr>
          <w:rFonts w:ascii="Times New Roman" w:hAnsi="Times New Roman" w:cs="Times New Roman"/>
          <w:sz w:val="24"/>
          <w:szCs w:val="24"/>
        </w:rPr>
        <w:t xml:space="preserve"> </w:t>
      </w:r>
      <w:r w:rsidR="006A7E25" w:rsidRPr="005E655B">
        <w:rPr>
          <w:rFonts w:ascii="Times New Roman" w:hAnsi="Times New Roman" w:cs="Times New Roman"/>
          <w:sz w:val="24"/>
          <w:szCs w:val="24"/>
        </w:rPr>
        <w:t>proyecta</w:t>
      </w:r>
      <w:r w:rsidR="00F94C35" w:rsidRPr="005E655B">
        <w:rPr>
          <w:rFonts w:ascii="Times New Roman" w:hAnsi="Times New Roman" w:cs="Times New Roman"/>
          <w:sz w:val="24"/>
          <w:szCs w:val="24"/>
        </w:rPr>
        <w:t xml:space="preserve"> los </w:t>
      </w:r>
      <w:r w:rsidR="00F94C35" w:rsidRPr="005E655B">
        <w:rPr>
          <w:rFonts w:ascii="Times New Roman" w:eastAsia="Times New Roman" w:hAnsi="Times New Roman" w:cs="Times New Roman"/>
          <w:sz w:val="24"/>
          <w:szCs w:val="24"/>
        </w:rPr>
        <w:t>resultados contenidos en el cuadro siguiente.</w:t>
      </w:r>
    </w:p>
    <w:p w:rsidR="00CB01F3" w:rsidRDefault="00CB01F3">
      <w:pPr>
        <w:rPr>
          <w:rFonts w:ascii="Times New Roman" w:eastAsia="Times New Roman" w:hAnsi="Times New Roman" w:cs="Times New Roman"/>
          <w:b/>
          <w:bCs/>
          <w:sz w:val="24"/>
          <w:szCs w:val="24"/>
          <w:lang w:eastAsia="es-ES_tradnl"/>
        </w:rPr>
      </w:pPr>
      <w:r>
        <w:rPr>
          <w:sz w:val="24"/>
          <w:szCs w:val="24"/>
        </w:rPr>
        <w:br w:type="page"/>
      </w:r>
    </w:p>
    <w:p w:rsidR="00F94C35" w:rsidRDefault="00F94C35" w:rsidP="000032C5">
      <w:pPr>
        <w:pStyle w:val="Caption"/>
        <w:spacing w:before="120" w:after="120"/>
        <w:ind w:left="288"/>
        <w:rPr>
          <w:sz w:val="24"/>
          <w:szCs w:val="24"/>
          <w:lang w:val="es-ES"/>
        </w:rPr>
      </w:pPr>
      <w:r w:rsidRPr="005E655B">
        <w:rPr>
          <w:sz w:val="24"/>
          <w:szCs w:val="24"/>
          <w:lang w:val="es-ES"/>
        </w:rPr>
        <w:t xml:space="preserve">Cuadro </w:t>
      </w:r>
      <w:r w:rsidRPr="005E655B">
        <w:rPr>
          <w:sz w:val="24"/>
          <w:szCs w:val="24"/>
          <w:lang w:val="es-ES"/>
        </w:rPr>
        <w:fldChar w:fldCharType="begin"/>
      </w:r>
      <w:r w:rsidRPr="005E655B">
        <w:rPr>
          <w:sz w:val="24"/>
          <w:szCs w:val="24"/>
          <w:lang w:val="es-ES"/>
        </w:rPr>
        <w:instrText xml:space="preserve"> SEQ Tableau \* ARABIC </w:instrText>
      </w:r>
      <w:r w:rsidRPr="005E655B">
        <w:rPr>
          <w:sz w:val="24"/>
          <w:szCs w:val="24"/>
          <w:lang w:val="es-ES"/>
        </w:rPr>
        <w:fldChar w:fldCharType="separate"/>
      </w:r>
      <w:r w:rsidR="00596A07">
        <w:rPr>
          <w:noProof/>
          <w:sz w:val="24"/>
          <w:szCs w:val="24"/>
          <w:lang w:val="es-ES"/>
        </w:rPr>
        <w:t>13</w:t>
      </w:r>
      <w:r w:rsidRPr="005E655B">
        <w:rPr>
          <w:sz w:val="24"/>
          <w:szCs w:val="24"/>
          <w:lang w:val="es-ES"/>
        </w:rPr>
        <w:fldChar w:fldCharType="end"/>
      </w:r>
      <w:r w:rsidRPr="005E655B">
        <w:rPr>
          <w:sz w:val="24"/>
          <w:szCs w:val="24"/>
          <w:lang w:val="es-ES"/>
        </w:rPr>
        <w:t xml:space="preserve">. Sensibilidad ante Variaciones en </w:t>
      </w:r>
      <w:r w:rsidR="00371FC0" w:rsidRPr="005E655B">
        <w:rPr>
          <w:sz w:val="24"/>
          <w:szCs w:val="24"/>
          <w:lang w:val="es-ES"/>
        </w:rPr>
        <w:t>el Beneficio por Disminución de Pérdidas</w:t>
      </w:r>
    </w:p>
    <w:p w:rsidR="00307B77" w:rsidRDefault="00307B77" w:rsidP="00637B79">
      <w:pPr>
        <w:rPr>
          <w:lang w:eastAsia="es-ES_tradnl"/>
        </w:rPr>
      </w:pPr>
      <w:r w:rsidRPr="005E655B">
        <w:rPr>
          <w:noProof/>
          <w:sz w:val="24"/>
          <w:szCs w:val="24"/>
          <w:lang w:val="en-US"/>
        </w:rPr>
        <w:drawing>
          <wp:anchor distT="0" distB="0" distL="114300" distR="114300" simplePos="0" relativeHeight="251710464" behindDoc="0" locked="0" layoutInCell="1" allowOverlap="1" wp14:anchorId="2182DA4B" wp14:editId="33FD439E">
            <wp:simplePos x="0" y="0"/>
            <wp:positionH relativeFrom="column">
              <wp:posOffset>153035</wp:posOffset>
            </wp:positionH>
            <wp:positionV relativeFrom="paragraph">
              <wp:posOffset>97155</wp:posOffset>
            </wp:positionV>
            <wp:extent cx="5533390" cy="1551305"/>
            <wp:effectExtent l="0" t="0" r="0" b="0"/>
            <wp:wrapTopAndBottom/>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33390" cy="15513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3428" w:rsidRPr="005E655B" w:rsidRDefault="004474CC"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bookmarkStart w:id="56" w:name="_Toc415751492"/>
      <w:r w:rsidRPr="004474CC">
        <w:rPr>
          <w:rStyle w:val="Heading2Char"/>
          <w:color w:val="auto"/>
        </w:rPr>
        <w:t>Escenario PNCE</w:t>
      </w:r>
      <w:bookmarkEnd w:id="56"/>
      <w:r>
        <w:rPr>
          <w:rFonts w:ascii="Times New Roman" w:eastAsia="Times New Roman" w:hAnsi="Times New Roman" w:cs="Times New Roman"/>
          <w:sz w:val="24"/>
          <w:szCs w:val="24"/>
        </w:rPr>
        <w:t xml:space="preserve">. </w:t>
      </w:r>
      <w:r w:rsidR="00405915" w:rsidRPr="005E655B">
        <w:rPr>
          <w:rFonts w:ascii="Times New Roman" w:eastAsia="Times New Roman" w:hAnsi="Times New Roman" w:cs="Times New Roman"/>
          <w:sz w:val="24"/>
          <w:szCs w:val="24"/>
        </w:rPr>
        <w:t>Finalmente</w:t>
      </w:r>
      <w:r w:rsidR="00FB1A10" w:rsidRPr="005E655B">
        <w:rPr>
          <w:rFonts w:ascii="Times New Roman" w:eastAsia="Times New Roman" w:hAnsi="Times New Roman" w:cs="Times New Roman"/>
          <w:sz w:val="24"/>
          <w:szCs w:val="24"/>
        </w:rPr>
        <w:t>,</w:t>
      </w:r>
      <w:r w:rsidR="00405915" w:rsidRPr="005E655B">
        <w:rPr>
          <w:rFonts w:ascii="Times New Roman" w:eastAsia="Times New Roman" w:hAnsi="Times New Roman" w:cs="Times New Roman"/>
          <w:sz w:val="24"/>
          <w:szCs w:val="24"/>
        </w:rPr>
        <w:t xml:space="preserve"> se ha proyectado un escenario específico</w:t>
      </w:r>
      <w:r w:rsidR="00405915" w:rsidRPr="005E655B">
        <w:rPr>
          <w:rFonts w:ascii="Times New Roman" w:hAnsi="Times New Roman" w:cs="Times New Roman"/>
          <w:sz w:val="24"/>
          <w:szCs w:val="24"/>
        </w:rPr>
        <w:t xml:space="preserve"> en el que se </w:t>
      </w:r>
      <w:r w:rsidR="006A7E25" w:rsidRPr="005E655B">
        <w:rPr>
          <w:rFonts w:ascii="Times New Roman" w:hAnsi="Times New Roman" w:cs="Times New Roman"/>
          <w:sz w:val="24"/>
          <w:szCs w:val="24"/>
        </w:rPr>
        <w:t>ha incluido</w:t>
      </w:r>
      <w:r w:rsidR="00405915" w:rsidRPr="005E655B">
        <w:rPr>
          <w:rFonts w:ascii="Times New Roman" w:hAnsi="Times New Roman" w:cs="Times New Roman"/>
          <w:sz w:val="24"/>
          <w:szCs w:val="24"/>
        </w:rPr>
        <w:t xml:space="preserve"> como beneficio </w:t>
      </w:r>
      <w:r w:rsidR="00EF709C" w:rsidRPr="005E655B">
        <w:rPr>
          <w:rFonts w:ascii="Times New Roman" w:hAnsi="Times New Roman" w:cs="Times New Roman"/>
          <w:sz w:val="24"/>
          <w:szCs w:val="24"/>
        </w:rPr>
        <w:t xml:space="preserve">neto </w:t>
      </w:r>
      <w:r w:rsidR="00405915" w:rsidRPr="005E655B">
        <w:rPr>
          <w:rFonts w:ascii="Times New Roman" w:hAnsi="Times New Roman" w:cs="Times New Roman"/>
          <w:sz w:val="24"/>
          <w:szCs w:val="24"/>
        </w:rPr>
        <w:t xml:space="preserve">la introducción de las cocinas de inducción </w:t>
      </w:r>
      <w:r w:rsidR="00EF709C" w:rsidRPr="005E655B">
        <w:rPr>
          <w:rFonts w:ascii="Times New Roman" w:hAnsi="Times New Roman" w:cs="Times New Roman"/>
          <w:sz w:val="24"/>
          <w:szCs w:val="24"/>
        </w:rPr>
        <w:t>en el 80%</w:t>
      </w:r>
      <w:r w:rsidR="00EF709C" w:rsidRPr="005E655B">
        <w:rPr>
          <w:rStyle w:val="FootnoteReference"/>
          <w:rFonts w:ascii="Times New Roman" w:hAnsi="Times New Roman" w:cs="Times New Roman"/>
          <w:sz w:val="24"/>
          <w:szCs w:val="24"/>
        </w:rPr>
        <w:footnoteReference w:id="7"/>
      </w:r>
      <w:r w:rsidR="00EF709C" w:rsidRPr="005E655B">
        <w:rPr>
          <w:rFonts w:ascii="Times New Roman" w:hAnsi="Times New Roman" w:cs="Times New Roman"/>
          <w:sz w:val="24"/>
          <w:szCs w:val="24"/>
        </w:rPr>
        <w:t xml:space="preserve"> </w:t>
      </w:r>
      <w:r w:rsidR="006A7E25" w:rsidRPr="005E655B">
        <w:rPr>
          <w:rFonts w:ascii="Times New Roman" w:hAnsi="Times New Roman" w:cs="Times New Roman"/>
          <w:sz w:val="24"/>
          <w:szCs w:val="24"/>
        </w:rPr>
        <w:t xml:space="preserve">de </w:t>
      </w:r>
      <w:r w:rsidR="00EF709C" w:rsidRPr="005E655B">
        <w:rPr>
          <w:rFonts w:ascii="Times New Roman" w:hAnsi="Times New Roman" w:cs="Times New Roman"/>
          <w:sz w:val="24"/>
          <w:szCs w:val="24"/>
        </w:rPr>
        <w:t xml:space="preserve">los hogares beneficiarios del </w:t>
      </w:r>
      <w:r w:rsidR="007649A8">
        <w:rPr>
          <w:rFonts w:ascii="Times New Roman" w:hAnsi="Times New Roman" w:cs="Times New Roman"/>
          <w:sz w:val="24"/>
          <w:szCs w:val="24"/>
        </w:rPr>
        <w:t>programa</w:t>
      </w:r>
      <w:r w:rsidR="001B57C1" w:rsidRPr="005E655B">
        <w:rPr>
          <w:rFonts w:ascii="Times New Roman" w:hAnsi="Times New Roman" w:cs="Times New Roman"/>
          <w:sz w:val="24"/>
          <w:szCs w:val="24"/>
        </w:rPr>
        <w:t>, tal y como se prevé en el Programa Nacional de Cocción Eficiente (PNCE)</w:t>
      </w:r>
      <w:r w:rsidR="00405915" w:rsidRPr="005E655B">
        <w:rPr>
          <w:rFonts w:ascii="Times New Roman" w:eastAsia="Times New Roman" w:hAnsi="Times New Roman" w:cs="Times New Roman"/>
          <w:sz w:val="24"/>
          <w:szCs w:val="24"/>
        </w:rPr>
        <w:t>.</w:t>
      </w:r>
      <w:r w:rsidR="00EF709C" w:rsidRPr="005E655B">
        <w:rPr>
          <w:rFonts w:ascii="Times New Roman" w:eastAsia="Times New Roman" w:hAnsi="Times New Roman" w:cs="Times New Roman"/>
          <w:sz w:val="24"/>
          <w:szCs w:val="24"/>
        </w:rPr>
        <w:t xml:space="preserve"> </w:t>
      </w:r>
      <w:r w:rsidR="00183428" w:rsidRPr="005E655B">
        <w:rPr>
          <w:rFonts w:ascii="Times New Roman" w:eastAsia="Times New Roman" w:hAnsi="Times New Roman" w:cs="Times New Roman"/>
          <w:sz w:val="24"/>
          <w:szCs w:val="24"/>
        </w:rPr>
        <w:t>El cálculo de este beneficio adicional, en términos unitarios, se ha basado en las hipótesis utilizadas en el A</w:t>
      </w:r>
      <w:r w:rsidR="001B2956" w:rsidRPr="005E655B">
        <w:rPr>
          <w:rFonts w:ascii="Times New Roman" w:eastAsia="Times New Roman" w:hAnsi="Times New Roman" w:cs="Times New Roman"/>
          <w:sz w:val="24"/>
          <w:szCs w:val="24"/>
        </w:rPr>
        <w:t>CB de la primera fase del PRSND, las cuales se muestran en el cuadro siguiente.</w:t>
      </w:r>
    </w:p>
    <w:p w:rsidR="001B2956" w:rsidRDefault="001B2956"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1B2956" w:rsidRPr="005E655B" w:rsidRDefault="00637B79" w:rsidP="000032C5">
      <w:pPr>
        <w:pStyle w:val="Caption"/>
        <w:spacing w:before="120" w:after="120"/>
        <w:ind w:left="288"/>
        <w:rPr>
          <w:sz w:val="24"/>
          <w:szCs w:val="24"/>
          <w:lang w:val="es-ES"/>
        </w:rPr>
      </w:pPr>
      <w:r w:rsidRPr="005E655B">
        <w:rPr>
          <w:noProof/>
          <w:sz w:val="24"/>
          <w:szCs w:val="24"/>
          <w:lang w:val="en-US" w:eastAsia="en-US"/>
        </w:rPr>
        <w:drawing>
          <wp:anchor distT="0" distB="0" distL="114300" distR="114300" simplePos="0" relativeHeight="251708416" behindDoc="0" locked="0" layoutInCell="1" allowOverlap="1" wp14:anchorId="1617D79C" wp14:editId="2BB73747">
            <wp:simplePos x="0" y="0"/>
            <wp:positionH relativeFrom="column">
              <wp:posOffset>766445</wp:posOffset>
            </wp:positionH>
            <wp:positionV relativeFrom="paragraph">
              <wp:posOffset>467360</wp:posOffset>
            </wp:positionV>
            <wp:extent cx="4581525" cy="2543175"/>
            <wp:effectExtent l="0" t="0" r="9525" b="9525"/>
            <wp:wrapTopAndBottom/>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3">
                      <a:extLst>
                        <a:ext uri="{28A0092B-C50C-407E-A947-70E740481C1C}">
                          <a14:useLocalDpi xmlns:a14="http://schemas.microsoft.com/office/drawing/2010/main" val="0"/>
                        </a:ext>
                      </a:extLst>
                    </a:blip>
                    <a:srcRect b="5391"/>
                    <a:stretch/>
                  </pic:blipFill>
                  <pic:spPr bwMode="auto">
                    <a:xfrm>
                      <a:off x="0" y="0"/>
                      <a:ext cx="4581525" cy="2543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2956" w:rsidRPr="005E655B">
        <w:rPr>
          <w:sz w:val="24"/>
          <w:szCs w:val="24"/>
          <w:lang w:val="es-ES"/>
        </w:rPr>
        <w:t xml:space="preserve">Cuadro </w:t>
      </w:r>
      <w:r w:rsidR="001B2956" w:rsidRPr="005E655B">
        <w:rPr>
          <w:sz w:val="24"/>
          <w:szCs w:val="24"/>
          <w:lang w:val="es-ES"/>
        </w:rPr>
        <w:fldChar w:fldCharType="begin"/>
      </w:r>
      <w:r w:rsidR="001B2956" w:rsidRPr="005E655B">
        <w:rPr>
          <w:sz w:val="24"/>
          <w:szCs w:val="24"/>
          <w:lang w:val="es-ES"/>
        </w:rPr>
        <w:instrText xml:space="preserve"> SEQ Tableau \* ARABIC </w:instrText>
      </w:r>
      <w:r w:rsidR="001B2956" w:rsidRPr="005E655B">
        <w:rPr>
          <w:sz w:val="24"/>
          <w:szCs w:val="24"/>
          <w:lang w:val="es-ES"/>
        </w:rPr>
        <w:fldChar w:fldCharType="separate"/>
      </w:r>
      <w:r w:rsidR="00596A07">
        <w:rPr>
          <w:noProof/>
          <w:sz w:val="24"/>
          <w:szCs w:val="24"/>
          <w:lang w:val="es-ES"/>
        </w:rPr>
        <w:t>14</w:t>
      </w:r>
      <w:r w:rsidR="001B2956" w:rsidRPr="005E655B">
        <w:rPr>
          <w:sz w:val="24"/>
          <w:szCs w:val="24"/>
          <w:lang w:val="es-ES"/>
        </w:rPr>
        <w:fldChar w:fldCharType="end"/>
      </w:r>
      <w:r w:rsidR="001B2956" w:rsidRPr="005E655B">
        <w:rPr>
          <w:sz w:val="24"/>
          <w:szCs w:val="24"/>
          <w:lang w:val="es-ES"/>
        </w:rPr>
        <w:t xml:space="preserve">. </w:t>
      </w:r>
      <w:r w:rsidR="001B57C1" w:rsidRPr="005E655B">
        <w:rPr>
          <w:sz w:val="24"/>
          <w:szCs w:val="24"/>
          <w:lang w:val="es-ES"/>
        </w:rPr>
        <w:t>Hipótesis del Cálculo del Beneficio Diferencial Neto de la C</w:t>
      </w:r>
      <w:r w:rsidR="006A7E25" w:rsidRPr="005E655B">
        <w:rPr>
          <w:sz w:val="24"/>
          <w:szCs w:val="24"/>
          <w:lang w:val="es-ES"/>
        </w:rPr>
        <w:t xml:space="preserve">ocina de </w:t>
      </w:r>
      <w:r w:rsidR="001B57C1" w:rsidRPr="005E655B">
        <w:rPr>
          <w:sz w:val="24"/>
          <w:szCs w:val="24"/>
          <w:lang w:val="es-ES"/>
        </w:rPr>
        <w:t>I</w:t>
      </w:r>
      <w:r w:rsidR="006A7E25" w:rsidRPr="005E655B">
        <w:rPr>
          <w:sz w:val="24"/>
          <w:szCs w:val="24"/>
          <w:lang w:val="es-ES"/>
        </w:rPr>
        <w:t>nducción</w:t>
      </w:r>
    </w:p>
    <w:p w:rsidR="00637B79" w:rsidRPr="00622987" w:rsidRDefault="00637B79" w:rsidP="00622987">
      <w:pPr>
        <w:spacing w:before="120" w:after="120" w:line="240" w:lineRule="auto"/>
        <w:ind w:left="1170"/>
        <w:jc w:val="left"/>
        <w:rPr>
          <w:rFonts w:ascii="Times New Roman" w:hAnsi="Times New Roman" w:cs="Times New Roman"/>
          <w:sz w:val="20"/>
          <w:szCs w:val="20"/>
        </w:rPr>
      </w:pPr>
      <w:r w:rsidRPr="00622987">
        <w:rPr>
          <w:rFonts w:ascii="Times New Roman" w:hAnsi="Times New Roman" w:cs="Times New Roman"/>
          <w:sz w:val="20"/>
          <w:szCs w:val="20"/>
        </w:rPr>
        <w:t>Fuente:</w:t>
      </w:r>
      <w:r w:rsidR="00622987">
        <w:rPr>
          <w:rFonts w:ascii="Times New Roman" w:hAnsi="Times New Roman" w:cs="Times New Roman"/>
          <w:sz w:val="20"/>
          <w:szCs w:val="20"/>
        </w:rPr>
        <w:t xml:space="preserve"> </w:t>
      </w:r>
      <w:r w:rsidR="00622987" w:rsidRPr="00622987">
        <w:rPr>
          <w:rFonts w:ascii="Times New Roman" w:hAnsi="Times New Roman" w:cs="Times New Roman"/>
          <w:sz w:val="20"/>
          <w:szCs w:val="20"/>
        </w:rPr>
        <w:t>BID, 2013. Evaluación económica de la primera fase del PRSND. BID, 2014. Análisis económico del CME.</w:t>
      </w:r>
    </w:p>
    <w:p w:rsidR="00DC242D" w:rsidRPr="005E655B" w:rsidRDefault="00734BF4"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Las hipótesis contenidas en el cuadro anterior se han </w:t>
      </w:r>
      <w:r w:rsidR="00AE7FBC" w:rsidRPr="005E655B">
        <w:rPr>
          <w:rFonts w:ascii="Times New Roman" w:eastAsia="Times New Roman" w:hAnsi="Times New Roman" w:cs="Times New Roman"/>
          <w:sz w:val="24"/>
          <w:szCs w:val="24"/>
        </w:rPr>
        <w:t>extraído</w:t>
      </w:r>
      <w:r w:rsidRPr="005E655B">
        <w:rPr>
          <w:rFonts w:ascii="Times New Roman" w:eastAsia="Times New Roman" w:hAnsi="Times New Roman" w:cs="Times New Roman"/>
          <w:sz w:val="24"/>
          <w:szCs w:val="24"/>
        </w:rPr>
        <w:t xml:space="preserve"> del análisis económico de la primera fase del PRSND, así como del análisis económico del CME en lo que respecta a la racionalización del consumo de GLP en los hogares</w:t>
      </w:r>
      <w:r w:rsidR="007C3AC1" w:rsidRPr="005E655B">
        <w:rPr>
          <w:rFonts w:ascii="Times New Roman" w:eastAsia="Times New Roman" w:hAnsi="Times New Roman" w:cs="Times New Roman"/>
          <w:sz w:val="24"/>
          <w:szCs w:val="24"/>
        </w:rPr>
        <w:t>.</w:t>
      </w:r>
    </w:p>
    <w:p w:rsidR="00DC242D" w:rsidRPr="005E655B" w:rsidRDefault="00DC242D" w:rsidP="000032C5">
      <w:pPr>
        <w:pStyle w:val="ListParagraph"/>
        <w:autoSpaceDE w:val="0"/>
        <w:autoSpaceDN w:val="0"/>
        <w:adjustRightInd w:val="0"/>
        <w:spacing w:before="120" w:after="120" w:line="240" w:lineRule="auto"/>
        <w:jc w:val="both"/>
        <w:rPr>
          <w:rFonts w:ascii="Times New Roman" w:eastAsia="Times New Roman" w:hAnsi="Times New Roman" w:cs="Times New Roman"/>
          <w:sz w:val="24"/>
          <w:szCs w:val="24"/>
        </w:rPr>
      </w:pPr>
    </w:p>
    <w:p w:rsidR="00405915" w:rsidRPr="005E655B" w:rsidRDefault="001B2956"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Con base en estas hipótesis, l</w:t>
      </w:r>
      <w:r w:rsidR="00EF709C" w:rsidRPr="005E655B">
        <w:rPr>
          <w:rFonts w:ascii="Times New Roman" w:eastAsia="Times New Roman" w:hAnsi="Times New Roman" w:cs="Times New Roman"/>
          <w:sz w:val="24"/>
          <w:szCs w:val="24"/>
        </w:rPr>
        <w:t xml:space="preserve">os resultados </w:t>
      </w:r>
      <w:r w:rsidRPr="005E655B">
        <w:rPr>
          <w:rFonts w:ascii="Times New Roman" w:eastAsia="Times New Roman" w:hAnsi="Times New Roman" w:cs="Times New Roman"/>
          <w:sz w:val="24"/>
          <w:szCs w:val="24"/>
        </w:rPr>
        <w:t xml:space="preserve">del ACB en el escenario PNCE </w:t>
      </w:r>
      <w:r w:rsidR="00EF709C" w:rsidRPr="005E655B">
        <w:rPr>
          <w:rFonts w:ascii="Times New Roman" w:eastAsia="Times New Roman" w:hAnsi="Times New Roman" w:cs="Times New Roman"/>
          <w:sz w:val="24"/>
          <w:szCs w:val="24"/>
        </w:rPr>
        <w:t>son los que se muestran en el cuadro siguiente.</w:t>
      </w:r>
    </w:p>
    <w:p w:rsidR="009D2CE3" w:rsidRPr="005E655B" w:rsidRDefault="00637B79" w:rsidP="000032C5">
      <w:pPr>
        <w:pStyle w:val="Caption"/>
        <w:spacing w:before="120" w:after="120"/>
        <w:ind w:left="288"/>
        <w:rPr>
          <w:rFonts w:eastAsiaTheme="majorEastAsia"/>
          <w:sz w:val="24"/>
          <w:szCs w:val="24"/>
        </w:rPr>
      </w:pPr>
      <w:r w:rsidRPr="005E655B">
        <w:rPr>
          <w:rFonts w:eastAsiaTheme="majorEastAsia"/>
          <w:b w:val="0"/>
          <w:bCs w:val="0"/>
          <w:noProof/>
          <w:sz w:val="24"/>
          <w:szCs w:val="24"/>
          <w:lang w:val="en-US" w:eastAsia="en-US"/>
        </w:rPr>
        <w:drawing>
          <wp:anchor distT="0" distB="0" distL="114300" distR="114300" simplePos="0" relativeHeight="251706368" behindDoc="0" locked="0" layoutInCell="1" allowOverlap="1" wp14:anchorId="2ED07872" wp14:editId="0EA980DA">
            <wp:simplePos x="0" y="0"/>
            <wp:positionH relativeFrom="column">
              <wp:posOffset>-161925</wp:posOffset>
            </wp:positionH>
            <wp:positionV relativeFrom="paragraph">
              <wp:posOffset>302895</wp:posOffset>
            </wp:positionV>
            <wp:extent cx="6094095" cy="2190750"/>
            <wp:effectExtent l="0" t="0" r="1905" b="0"/>
            <wp:wrapTopAndBottom/>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94095" cy="2190750"/>
                    </a:xfrm>
                    <a:prstGeom prst="rect">
                      <a:avLst/>
                    </a:prstGeom>
                    <a:noFill/>
                    <a:ln>
                      <a:noFill/>
                    </a:ln>
                  </pic:spPr>
                </pic:pic>
              </a:graphicData>
            </a:graphic>
            <wp14:sizeRelH relativeFrom="page">
              <wp14:pctWidth>0</wp14:pctWidth>
            </wp14:sizeRelH>
            <wp14:sizeRelV relativeFrom="page">
              <wp14:pctHeight>0</wp14:pctHeight>
            </wp14:sizeRelV>
          </wp:anchor>
        </w:drawing>
      </w:r>
      <w:r w:rsidR="009D2CE3" w:rsidRPr="005E655B">
        <w:rPr>
          <w:sz w:val="24"/>
          <w:szCs w:val="24"/>
          <w:lang w:val="es-ES"/>
        </w:rPr>
        <w:t xml:space="preserve">Cuadro </w:t>
      </w:r>
      <w:r w:rsidR="009D2CE3" w:rsidRPr="005E655B">
        <w:rPr>
          <w:b w:val="0"/>
          <w:bCs w:val="0"/>
          <w:sz w:val="24"/>
          <w:szCs w:val="24"/>
        </w:rPr>
        <w:fldChar w:fldCharType="begin"/>
      </w:r>
      <w:r w:rsidR="009D2CE3" w:rsidRPr="005E655B">
        <w:rPr>
          <w:sz w:val="24"/>
          <w:szCs w:val="24"/>
          <w:lang w:val="es-ES"/>
        </w:rPr>
        <w:instrText xml:space="preserve"> SEQ Tableau \* ARABIC </w:instrText>
      </w:r>
      <w:r w:rsidR="009D2CE3" w:rsidRPr="005E655B">
        <w:rPr>
          <w:b w:val="0"/>
          <w:bCs w:val="0"/>
          <w:sz w:val="24"/>
          <w:szCs w:val="24"/>
        </w:rPr>
        <w:fldChar w:fldCharType="separate"/>
      </w:r>
      <w:r w:rsidR="00596A07">
        <w:rPr>
          <w:noProof/>
          <w:sz w:val="24"/>
          <w:szCs w:val="24"/>
          <w:lang w:val="es-ES"/>
        </w:rPr>
        <w:t>15</w:t>
      </w:r>
      <w:r w:rsidR="009D2CE3" w:rsidRPr="005E655B">
        <w:rPr>
          <w:b w:val="0"/>
          <w:bCs w:val="0"/>
          <w:sz w:val="24"/>
          <w:szCs w:val="24"/>
        </w:rPr>
        <w:fldChar w:fldCharType="end"/>
      </w:r>
      <w:r w:rsidR="009D2CE3" w:rsidRPr="005E655B">
        <w:rPr>
          <w:sz w:val="24"/>
          <w:szCs w:val="24"/>
          <w:lang w:val="es-ES"/>
        </w:rPr>
        <w:t>. Resultados del Escenario PNCE</w:t>
      </w:r>
    </w:p>
    <w:p w:rsidR="00AE7FBC" w:rsidRPr="000526A1" w:rsidRDefault="00AE7FBC" w:rsidP="000032C5">
      <w:pPr>
        <w:spacing w:before="120" w:after="120" w:line="240" w:lineRule="auto"/>
        <w:rPr>
          <w:rFonts w:ascii="Times New Roman" w:hAnsi="Times New Roman" w:cs="Times New Roman"/>
          <w:sz w:val="24"/>
          <w:szCs w:val="24"/>
          <w:lang w:val="es-ES_tradnl"/>
        </w:rPr>
      </w:pPr>
    </w:p>
    <w:p w:rsidR="00AE7FBC" w:rsidRPr="005E655B" w:rsidRDefault="00AE7FBC" w:rsidP="000032C5">
      <w:pPr>
        <w:pStyle w:val="ListParagraph"/>
        <w:numPr>
          <w:ilvl w:val="1"/>
          <w:numId w:val="1"/>
        </w:numPr>
        <w:autoSpaceDE w:val="0"/>
        <w:autoSpaceDN w:val="0"/>
        <w:adjustRightInd w:val="0"/>
        <w:spacing w:before="120" w:after="120" w:line="240" w:lineRule="auto"/>
        <w:ind w:hanging="578"/>
        <w:jc w:val="both"/>
        <w:rPr>
          <w:rFonts w:ascii="Times New Roman" w:eastAsia="Times New Roman" w:hAnsi="Times New Roman" w:cs="Times New Roman"/>
          <w:sz w:val="24"/>
          <w:szCs w:val="24"/>
        </w:rPr>
      </w:pPr>
      <w:r w:rsidRPr="005E655B">
        <w:rPr>
          <w:rFonts w:ascii="Times New Roman" w:eastAsia="Times New Roman" w:hAnsi="Times New Roman" w:cs="Times New Roman"/>
          <w:sz w:val="24"/>
          <w:szCs w:val="24"/>
        </w:rPr>
        <w:t xml:space="preserve">Por tanto, considerando las hipótesis adicionales del escenario específico del PNCE, la TIR del Programa </w:t>
      </w:r>
      <w:r w:rsidR="00C16E24" w:rsidRPr="005E655B">
        <w:rPr>
          <w:rFonts w:ascii="Times New Roman" w:eastAsia="Times New Roman" w:hAnsi="Times New Roman" w:cs="Times New Roman"/>
          <w:sz w:val="24"/>
          <w:szCs w:val="24"/>
        </w:rPr>
        <w:t>sería</w:t>
      </w:r>
      <w:r w:rsidRPr="005E655B">
        <w:rPr>
          <w:rFonts w:ascii="Times New Roman" w:eastAsia="Times New Roman" w:hAnsi="Times New Roman" w:cs="Times New Roman"/>
          <w:sz w:val="24"/>
          <w:szCs w:val="24"/>
        </w:rPr>
        <w:t xml:space="preserve"> 58,29% y su VAN US</w:t>
      </w:r>
      <w:r w:rsidR="005F2E81">
        <w:rPr>
          <w:rFonts w:ascii="Times New Roman" w:eastAsia="Times New Roman" w:hAnsi="Times New Roman" w:cs="Times New Roman"/>
          <w:sz w:val="24"/>
          <w:szCs w:val="24"/>
        </w:rPr>
        <w:t>D</w:t>
      </w:r>
      <w:r w:rsidRPr="005E655B">
        <w:rPr>
          <w:rFonts w:ascii="Times New Roman" w:eastAsia="Times New Roman" w:hAnsi="Times New Roman" w:cs="Times New Roman"/>
          <w:sz w:val="24"/>
          <w:szCs w:val="24"/>
        </w:rPr>
        <w:t>448</w:t>
      </w:r>
      <w:proofErr w:type="gramStart"/>
      <w:r w:rsidRPr="005E655B">
        <w:rPr>
          <w:rFonts w:ascii="Times New Roman" w:eastAsia="Times New Roman" w:hAnsi="Times New Roman" w:cs="Times New Roman"/>
          <w:sz w:val="24"/>
          <w:szCs w:val="24"/>
        </w:rPr>
        <w:t>,8</w:t>
      </w:r>
      <w:proofErr w:type="gramEnd"/>
      <w:r w:rsidRPr="005E655B">
        <w:rPr>
          <w:rFonts w:ascii="Times New Roman" w:eastAsia="Times New Roman" w:hAnsi="Times New Roman" w:cs="Times New Roman"/>
          <w:sz w:val="24"/>
          <w:szCs w:val="24"/>
        </w:rPr>
        <w:t xml:space="preserve"> millones.</w:t>
      </w:r>
    </w:p>
    <w:p w:rsidR="00C43A69" w:rsidRPr="005E655B" w:rsidRDefault="00C43A69" w:rsidP="000032C5">
      <w:pPr>
        <w:spacing w:before="120" w:after="120" w:line="240" w:lineRule="auto"/>
        <w:rPr>
          <w:rFonts w:ascii="Times New Roman" w:hAnsi="Times New Roman" w:cs="Times New Roman"/>
          <w:sz w:val="24"/>
          <w:szCs w:val="24"/>
        </w:rPr>
      </w:pPr>
    </w:p>
    <w:p w:rsidR="008B3338" w:rsidRPr="005E655B" w:rsidRDefault="008B3338" w:rsidP="000032C5">
      <w:pPr>
        <w:pStyle w:val="Heading1"/>
        <w:spacing w:before="120" w:after="120" w:line="240" w:lineRule="auto"/>
        <w:jc w:val="both"/>
        <w:rPr>
          <w:rFonts w:ascii="Times New Roman" w:hAnsi="Times New Roman" w:cs="Times New Roman"/>
          <w:color w:val="auto"/>
          <w:sz w:val="24"/>
          <w:szCs w:val="24"/>
        </w:rPr>
      </w:pPr>
      <w:bookmarkStart w:id="57" w:name="_Toc415751493"/>
      <w:r w:rsidRPr="005E655B">
        <w:rPr>
          <w:rFonts w:ascii="Times New Roman" w:hAnsi="Times New Roman" w:cs="Times New Roman"/>
          <w:color w:val="auto"/>
          <w:sz w:val="24"/>
          <w:szCs w:val="24"/>
        </w:rPr>
        <w:t>DOCUMENTACIÓN Y FUENTES DE INFORMACIÓN UTILIZADAS</w:t>
      </w:r>
      <w:bookmarkEnd w:id="54"/>
      <w:bookmarkEnd w:id="57"/>
    </w:p>
    <w:p w:rsidR="00006ABB" w:rsidRPr="005E655B" w:rsidRDefault="00EC4E73" w:rsidP="004474CC">
      <w:pPr>
        <w:pStyle w:val="ListParagraph"/>
        <w:numPr>
          <w:ilvl w:val="0"/>
          <w:numId w:val="29"/>
        </w:num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t xml:space="preserve">Archivos de cálculo de las </w:t>
      </w:r>
      <w:r w:rsidR="009F756E" w:rsidRPr="005E655B">
        <w:rPr>
          <w:rFonts w:ascii="Times New Roman" w:hAnsi="Times New Roman" w:cs="Times New Roman"/>
          <w:sz w:val="24"/>
          <w:szCs w:val="24"/>
        </w:rPr>
        <w:t xml:space="preserve">planillas de </w:t>
      </w:r>
      <w:r w:rsidRPr="005E655B">
        <w:rPr>
          <w:rFonts w:ascii="Times New Roman" w:hAnsi="Times New Roman" w:cs="Times New Roman"/>
          <w:sz w:val="24"/>
          <w:szCs w:val="24"/>
        </w:rPr>
        <w:t xml:space="preserve">proyecciones financieras y económicas individuales de cada una de las </w:t>
      </w:r>
      <w:r w:rsidR="001C1520" w:rsidRPr="005E655B">
        <w:rPr>
          <w:rFonts w:ascii="Times New Roman" w:hAnsi="Times New Roman" w:cs="Times New Roman"/>
          <w:sz w:val="24"/>
          <w:szCs w:val="24"/>
        </w:rPr>
        <w:t xml:space="preserve">20 </w:t>
      </w:r>
      <w:r w:rsidRPr="005E655B">
        <w:rPr>
          <w:rFonts w:ascii="Times New Roman" w:hAnsi="Times New Roman" w:cs="Times New Roman"/>
          <w:sz w:val="24"/>
          <w:szCs w:val="24"/>
        </w:rPr>
        <w:t>E</w:t>
      </w:r>
      <w:r w:rsidR="009F756E" w:rsidRPr="005E655B">
        <w:rPr>
          <w:rFonts w:ascii="Times New Roman" w:hAnsi="Times New Roman" w:cs="Times New Roman"/>
          <w:sz w:val="24"/>
          <w:szCs w:val="24"/>
        </w:rPr>
        <w:t xml:space="preserve">mpresas </w:t>
      </w:r>
      <w:r w:rsidRPr="005E655B">
        <w:rPr>
          <w:rFonts w:ascii="Times New Roman" w:hAnsi="Times New Roman" w:cs="Times New Roman"/>
          <w:sz w:val="24"/>
          <w:szCs w:val="24"/>
        </w:rPr>
        <w:t>E</w:t>
      </w:r>
      <w:r w:rsidR="009F756E" w:rsidRPr="005E655B">
        <w:rPr>
          <w:rFonts w:ascii="Times New Roman" w:hAnsi="Times New Roman" w:cs="Times New Roman"/>
          <w:sz w:val="24"/>
          <w:szCs w:val="24"/>
        </w:rPr>
        <w:t xml:space="preserve">léctricas de </w:t>
      </w:r>
      <w:r w:rsidRPr="005E655B">
        <w:rPr>
          <w:rFonts w:ascii="Times New Roman" w:hAnsi="Times New Roman" w:cs="Times New Roman"/>
          <w:sz w:val="24"/>
          <w:szCs w:val="24"/>
        </w:rPr>
        <w:t>D</w:t>
      </w:r>
      <w:r w:rsidR="009F756E" w:rsidRPr="005E655B">
        <w:rPr>
          <w:rFonts w:ascii="Times New Roman" w:hAnsi="Times New Roman" w:cs="Times New Roman"/>
          <w:sz w:val="24"/>
          <w:szCs w:val="24"/>
        </w:rPr>
        <w:t>istribución</w:t>
      </w:r>
      <w:r w:rsidR="001C1520" w:rsidRPr="005E655B">
        <w:rPr>
          <w:rFonts w:ascii="Times New Roman" w:hAnsi="Times New Roman" w:cs="Times New Roman"/>
          <w:sz w:val="24"/>
          <w:szCs w:val="24"/>
        </w:rPr>
        <w:t>,</w:t>
      </w:r>
      <w:r w:rsidRPr="005E655B">
        <w:rPr>
          <w:rFonts w:ascii="Times New Roman" w:hAnsi="Times New Roman" w:cs="Times New Roman"/>
          <w:sz w:val="24"/>
          <w:szCs w:val="24"/>
        </w:rPr>
        <w:t xml:space="preserve"> en relación con los proyectos </w:t>
      </w:r>
      <w:r w:rsidR="009F756E" w:rsidRPr="005E655B">
        <w:rPr>
          <w:rFonts w:ascii="Times New Roman" w:hAnsi="Times New Roman" w:cs="Times New Roman"/>
          <w:sz w:val="24"/>
          <w:szCs w:val="24"/>
        </w:rPr>
        <w:t>de muestra contemplados en</w:t>
      </w:r>
      <w:r w:rsidRPr="005E655B">
        <w:rPr>
          <w:rFonts w:ascii="Times New Roman" w:hAnsi="Times New Roman" w:cs="Times New Roman"/>
          <w:sz w:val="24"/>
          <w:szCs w:val="24"/>
        </w:rPr>
        <w:t xml:space="preserve"> el Programa, </w:t>
      </w:r>
      <w:r w:rsidR="003B42DD" w:rsidRPr="005E655B">
        <w:rPr>
          <w:rFonts w:ascii="Times New Roman" w:hAnsi="Times New Roman" w:cs="Times New Roman"/>
          <w:sz w:val="24"/>
          <w:szCs w:val="24"/>
        </w:rPr>
        <w:t>M</w:t>
      </w:r>
      <w:r w:rsidRPr="005E655B">
        <w:rPr>
          <w:rFonts w:ascii="Times New Roman" w:hAnsi="Times New Roman" w:cs="Times New Roman"/>
          <w:sz w:val="24"/>
          <w:szCs w:val="24"/>
        </w:rPr>
        <w:t>arzo 2015.</w:t>
      </w:r>
    </w:p>
    <w:p w:rsidR="00006ABB" w:rsidRPr="005E655B" w:rsidRDefault="00006ABB" w:rsidP="000032C5">
      <w:pPr>
        <w:pStyle w:val="ListParagraph"/>
        <w:spacing w:before="120" w:after="120" w:line="240" w:lineRule="auto"/>
        <w:jc w:val="both"/>
        <w:rPr>
          <w:rFonts w:ascii="Times New Roman" w:hAnsi="Times New Roman" w:cs="Times New Roman"/>
          <w:sz w:val="24"/>
          <w:szCs w:val="24"/>
        </w:rPr>
      </w:pPr>
    </w:p>
    <w:p w:rsidR="008B3338" w:rsidRPr="005E655B" w:rsidRDefault="00EC4E73" w:rsidP="004474CC">
      <w:pPr>
        <w:pStyle w:val="ListParagraph"/>
        <w:numPr>
          <w:ilvl w:val="0"/>
          <w:numId w:val="29"/>
        </w:numPr>
        <w:spacing w:before="120" w:after="120" w:line="240" w:lineRule="auto"/>
        <w:jc w:val="both"/>
        <w:rPr>
          <w:rFonts w:ascii="Times New Roman" w:hAnsi="Times New Roman" w:cs="Times New Roman"/>
          <w:sz w:val="24"/>
          <w:szCs w:val="24"/>
        </w:rPr>
      </w:pPr>
      <w:r w:rsidRPr="005E655B">
        <w:rPr>
          <w:rFonts w:ascii="Times New Roman" w:hAnsi="Times New Roman" w:cs="Times New Roman"/>
          <w:sz w:val="24"/>
          <w:szCs w:val="24"/>
        </w:rPr>
        <w:t>BID, Abril 2013. Evaluación económica y financiera del Programa de Reforzamiento del Sistema Nacional de Distribución Eléctrica del Ecuador / EC-L1136.</w:t>
      </w:r>
    </w:p>
    <w:p w:rsidR="00160C30" w:rsidRPr="005E655B" w:rsidRDefault="00160C30" w:rsidP="000032C5">
      <w:pPr>
        <w:pStyle w:val="ListParagraph"/>
        <w:spacing w:before="120" w:after="120" w:line="240" w:lineRule="auto"/>
        <w:rPr>
          <w:rFonts w:ascii="Times New Roman" w:hAnsi="Times New Roman" w:cs="Times New Roman"/>
          <w:sz w:val="24"/>
          <w:szCs w:val="24"/>
        </w:rPr>
      </w:pPr>
    </w:p>
    <w:p w:rsidR="00160C30" w:rsidRPr="005E655B" w:rsidRDefault="00EC4E73" w:rsidP="004474CC">
      <w:pPr>
        <w:pStyle w:val="ListParagraph"/>
        <w:numPr>
          <w:ilvl w:val="0"/>
          <w:numId w:val="29"/>
        </w:numPr>
        <w:spacing w:before="120" w:after="120" w:line="240" w:lineRule="auto"/>
        <w:jc w:val="both"/>
        <w:rPr>
          <w:rFonts w:ascii="Times New Roman" w:hAnsi="Times New Roman" w:cs="Times New Roman"/>
          <w:i/>
          <w:sz w:val="24"/>
          <w:szCs w:val="24"/>
        </w:rPr>
      </w:pPr>
      <w:r w:rsidRPr="005E655B">
        <w:rPr>
          <w:rFonts w:ascii="Times New Roman" w:hAnsi="Times New Roman" w:cs="Times New Roman"/>
          <w:sz w:val="24"/>
          <w:szCs w:val="24"/>
        </w:rPr>
        <w:t xml:space="preserve">BID, 2015. Presentación </w:t>
      </w:r>
      <w:r w:rsidR="00371FC0" w:rsidRPr="005E655B">
        <w:rPr>
          <w:rFonts w:ascii="Times New Roman" w:hAnsi="Times New Roman" w:cs="Times New Roman"/>
          <w:sz w:val="24"/>
          <w:szCs w:val="24"/>
        </w:rPr>
        <w:t xml:space="preserve">descriptiva </w:t>
      </w:r>
      <w:r w:rsidRPr="005E655B">
        <w:rPr>
          <w:rFonts w:ascii="Times New Roman" w:hAnsi="Times New Roman" w:cs="Times New Roman"/>
          <w:sz w:val="24"/>
          <w:szCs w:val="24"/>
        </w:rPr>
        <w:t xml:space="preserve">de los componentes del </w:t>
      </w:r>
      <w:r w:rsidR="00904BF9" w:rsidRPr="005E655B">
        <w:rPr>
          <w:rFonts w:ascii="Times New Roman" w:hAnsi="Times New Roman" w:cs="Times New Roman"/>
          <w:sz w:val="24"/>
          <w:szCs w:val="24"/>
        </w:rPr>
        <w:t>Programa de Reforzamiento del Sistema Nacional de Distribución Eléctrica del Ecuador</w:t>
      </w:r>
      <w:r w:rsidRPr="005E655B">
        <w:rPr>
          <w:rFonts w:ascii="Times New Roman" w:hAnsi="Times New Roman" w:cs="Times New Roman"/>
          <w:sz w:val="24"/>
          <w:szCs w:val="24"/>
        </w:rPr>
        <w:t>.</w:t>
      </w:r>
    </w:p>
    <w:p w:rsidR="00E568E0" w:rsidRPr="005E655B" w:rsidRDefault="00E568E0" w:rsidP="000032C5">
      <w:pPr>
        <w:pStyle w:val="ListParagraph"/>
        <w:spacing w:before="120" w:after="120" w:line="240" w:lineRule="auto"/>
        <w:rPr>
          <w:rFonts w:ascii="Times New Roman" w:hAnsi="Times New Roman" w:cs="Times New Roman"/>
          <w:i/>
          <w:sz w:val="24"/>
          <w:szCs w:val="24"/>
        </w:rPr>
      </w:pPr>
    </w:p>
    <w:p w:rsidR="006D6CFE" w:rsidRPr="005E655B" w:rsidRDefault="00904BF9" w:rsidP="004474CC">
      <w:pPr>
        <w:pStyle w:val="ListParagraph"/>
        <w:numPr>
          <w:ilvl w:val="0"/>
          <w:numId w:val="29"/>
        </w:numPr>
        <w:spacing w:before="120" w:after="120" w:line="240" w:lineRule="auto"/>
        <w:jc w:val="both"/>
        <w:rPr>
          <w:rFonts w:ascii="Times New Roman" w:hAnsi="Times New Roman" w:cs="Times New Roman"/>
          <w:i/>
          <w:sz w:val="24"/>
          <w:szCs w:val="24"/>
        </w:rPr>
      </w:pPr>
      <w:r w:rsidRPr="005E655B">
        <w:rPr>
          <w:rFonts w:ascii="Times New Roman" w:hAnsi="Times New Roman" w:cs="Times New Roman"/>
          <w:sz w:val="24"/>
          <w:szCs w:val="24"/>
        </w:rPr>
        <w:t xml:space="preserve">BID, 2013. </w:t>
      </w:r>
      <w:r w:rsidRPr="005E655B">
        <w:rPr>
          <w:rFonts w:ascii="Times New Roman" w:hAnsi="Times New Roman" w:cs="Times New Roman"/>
          <w:sz w:val="24"/>
          <w:szCs w:val="24"/>
          <w:lang w:val="es-ES_tradnl"/>
        </w:rPr>
        <w:t xml:space="preserve">Análisis del Cumplimiento del </w:t>
      </w:r>
      <w:r w:rsidRPr="005E655B">
        <w:rPr>
          <w:rFonts w:ascii="Times New Roman" w:hAnsi="Times New Roman" w:cs="Times New Roman"/>
          <w:sz w:val="24"/>
          <w:szCs w:val="24"/>
        </w:rPr>
        <w:t>Programa de Reforzamiento del Sistema Nacional de Distribución Eléctrica del Ecuador</w:t>
      </w:r>
      <w:r w:rsidRPr="005E655B">
        <w:rPr>
          <w:rFonts w:ascii="Times New Roman" w:hAnsi="Times New Roman" w:cs="Times New Roman"/>
          <w:sz w:val="24"/>
          <w:szCs w:val="24"/>
          <w:lang w:val="es-ES_tradnl"/>
        </w:rPr>
        <w:t xml:space="preserve"> con la Política de Servicios Públicos Domiciliarios (</w:t>
      </w:r>
      <w:r w:rsidRPr="005E655B">
        <w:rPr>
          <w:rFonts w:ascii="Times New Roman" w:hAnsi="Times New Roman" w:cs="Times New Roman"/>
          <w:sz w:val="24"/>
          <w:szCs w:val="24"/>
        </w:rPr>
        <w:t>GN-2716-6</w:t>
      </w:r>
      <w:r w:rsidRPr="005E655B">
        <w:rPr>
          <w:rFonts w:ascii="Times New Roman" w:hAnsi="Times New Roman" w:cs="Times New Roman"/>
          <w:sz w:val="24"/>
          <w:szCs w:val="24"/>
          <w:lang w:val="es-ES_tradnl"/>
        </w:rPr>
        <w:t>) del 4 de Diciembre de 2013.</w:t>
      </w:r>
    </w:p>
    <w:p w:rsidR="00EC4E73" w:rsidRPr="005E655B" w:rsidRDefault="00EC4E73" w:rsidP="000032C5">
      <w:pPr>
        <w:spacing w:before="120" w:after="120" w:line="240" w:lineRule="auto"/>
        <w:rPr>
          <w:rFonts w:ascii="Times New Roman" w:eastAsiaTheme="majorEastAsia" w:hAnsi="Times New Roman" w:cs="Times New Roman"/>
          <w:b/>
          <w:bCs/>
          <w:sz w:val="24"/>
          <w:szCs w:val="24"/>
        </w:rPr>
      </w:pPr>
    </w:p>
    <w:p w:rsidR="00904BF9" w:rsidRPr="005E655B" w:rsidRDefault="00904BF9" w:rsidP="000032C5">
      <w:pPr>
        <w:pStyle w:val="Heading1"/>
        <w:spacing w:before="120" w:after="120" w:line="240" w:lineRule="auto"/>
        <w:jc w:val="left"/>
        <w:rPr>
          <w:rFonts w:ascii="Times New Roman" w:hAnsi="Times New Roman" w:cs="Times New Roman"/>
          <w:color w:val="auto"/>
          <w:sz w:val="24"/>
          <w:szCs w:val="24"/>
        </w:rPr>
        <w:sectPr w:rsidR="00904BF9" w:rsidRPr="005E655B" w:rsidSect="000032C5">
          <w:headerReference w:type="default" r:id="rId25"/>
          <w:footerReference w:type="default" r:id="rId26"/>
          <w:headerReference w:type="first" r:id="rId27"/>
          <w:footerReference w:type="first" r:id="rId28"/>
          <w:pgSz w:w="12240" w:h="15840" w:code="1"/>
          <w:pgMar w:top="1440" w:right="1800" w:bottom="1440" w:left="1800" w:header="709" w:footer="709" w:gutter="0"/>
          <w:cols w:space="708"/>
          <w:titlePg/>
          <w:docGrid w:linePitch="360"/>
        </w:sectPr>
      </w:pPr>
    </w:p>
    <w:p w:rsidR="00E23636" w:rsidRPr="005E655B" w:rsidRDefault="002954E7" w:rsidP="000032C5">
      <w:pPr>
        <w:pStyle w:val="Heading1"/>
        <w:spacing w:before="120" w:after="120" w:line="240" w:lineRule="auto"/>
        <w:jc w:val="left"/>
        <w:rPr>
          <w:rFonts w:ascii="Times New Roman" w:hAnsi="Times New Roman" w:cs="Times New Roman"/>
          <w:color w:val="auto"/>
          <w:sz w:val="24"/>
          <w:szCs w:val="24"/>
        </w:rPr>
      </w:pPr>
      <w:bookmarkStart w:id="58" w:name="_Toc415751494"/>
      <w:r w:rsidRPr="005E655B">
        <w:rPr>
          <w:rFonts w:ascii="Times New Roman" w:hAnsi="Times New Roman" w:cs="Times New Roman"/>
          <w:color w:val="auto"/>
          <w:sz w:val="24"/>
          <w:szCs w:val="24"/>
        </w:rPr>
        <w:t xml:space="preserve">ANEXO </w:t>
      </w:r>
      <w:r w:rsidR="00A23938" w:rsidRPr="005E655B">
        <w:rPr>
          <w:rFonts w:ascii="Times New Roman" w:hAnsi="Times New Roman" w:cs="Times New Roman"/>
          <w:color w:val="auto"/>
          <w:sz w:val="24"/>
          <w:szCs w:val="24"/>
        </w:rPr>
        <w:t>I</w:t>
      </w:r>
      <w:r w:rsidRPr="005E655B">
        <w:rPr>
          <w:rFonts w:ascii="Times New Roman" w:hAnsi="Times New Roman" w:cs="Times New Roman"/>
          <w:color w:val="auto"/>
          <w:sz w:val="24"/>
          <w:szCs w:val="24"/>
        </w:rPr>
        <w:t xml:space="preserve">: </w:t>
      </w:r>
      <w:r w:rsidR="00D830F6" w:rsidRPr="005E655B">
        <w:rPr>
          <w:rFonts w:ascii="Times New Roman" w:hAnsi="Times New Roman" w:cs="Times New Roman"/>
          <w:color w:val="auto"/>
          <w:sz w:val="24"/>
          <w:szCs w:val="24"/>
        </w:rPr>
        <w:t xml:space="preserve">CUADRO </w:t>
      </w:r>
      <w:r w:rsidR="00D94F50" w:rsidRPr="005E655B">
        <w:rPr>
          <w:rFonts w:ascii="Times New Roman" w:hAnsi="Times New Roman" w:cs="Times New Roman"/>
          <w:color w:val="auto"/>
          <w:sz w:val="24"/>
          <w:szCs w:val="24"/>
        </w:rPr>
        <w:t xml:space="preserve">RESUMEN DE </w:t>
      </w:r>
      <w:r w:rsidRPr="005E655B">
        <w:rPr>
          <w:rFonts w:ascii="Times New Roman" w:hAnsi="Times New Roman" w:cs="Times New Roman"/>
          <w:color w:val="auto"/>
          <w:sz w:val="24"/>
          <w:szCs w:val="24"/>
        </w:rPr>
        <w:t>FLUJOS ECONÓMICOS DEL ACB</w:t>
      </w:r>
      <w:bookmarkEnd w:id="55"/>
      <w:bookmarkEnd w:id="58"/>
    </w:p>
    <w:p w:rsidR="00960050" w:rsidRPr="005E655B" w:rsidRDefault="00960050" w:rsidP="000032C5">
      <w:pPr>
        <w:spacing w:before="120" w:after="120" w:line="240" w:lineRule="auto"/>
        <w:rPr>
          <w:rFonts w:ascii="Times New Roman" w:hAnsi="Times New Roman" w:cs="Times New Roman"/>
          <w:sz w:val="24"/>
          <w:szCs w:val="24"/>
        </w:rPr>
      </w:pPr>
    </w:p>
    <w:p w:rsidR="00960050" w:rsidRPr="005E655B" w:rsidRDefault="001D2766" w:rsidP="000032C5">
      <w:pPr>
        <w:spacing w:before="120" w:after="120" w:line="240" w:lineRule="auto"/>
        <w:rPr>
          <w:rFonts w:ascii="Times New Roman" w:hAnsi="Times New Roman" w:cs="Times New Roman"/>
          <w:sz w:val="24"/>
          <w:szCs w:val="24"/>
        </w:rPr>
      </w:pPr>
      <w:r w:rsidRPr="005E655B">
        <w:rPr>
          <w:rFonts w:ascii="Times New Roman" w:hAnsi="Times New Roman" w:cs="Times New Roman"/>
          <w:noProof/>
          <w:sz w:val="24"/>
          <w:szCs w:val="24"/>
          <w:lang w:val="en-US"/>
        </w:rPr>
        <w:drawing>
          <wp:inline distT="0" distB="0" distL="0" distR="0" wp14:anchorId="5238C387" wp14:editId="66B1F9E4">
            <wp:extent cx="8776970" cy="2328577"/>
            <wp:effectExtent l="0" t="0" r="508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776970" cy="2328577"/>
                    </a:xfrm>
                    <a:prstGeom prst="rect">
                      <a:avLst/>
                    </a:prstGeom>
                    <a:noFill/>
                    <a:ln>
                      <a:noFill/>
                    </a:ln>
                  </pic:spPr>
                </pic:pic>
              </a:graphicData>
            </a:graphic>
          </wp:inline>
        </w:drawing>
      </w:r>
    </w:p>
    <w:p w:rsidR="00960050" w:rsidRPr="005E655B" w:rsidRDefault="00960050" w:rsidP="000032C5">
      <w:pPr>
        <w:spacing w:before="120" w:after="120" w:line="240" w:lineRule="auto"/>
        <w:rPr>
          <w:rFonts w:ascii="Times New Roman" w:hAnsi="Times New Roman" w:cs="Times New Roman"/>
          <w:sz w:val="24"/>
          <w:szCs w:val="24"/>
        </w:rPr>
      </w:pPr>
    </w:p>
    <w:p w:rsidR="00960050" w:rsidRPr="005E655B" w:rsidRDefault="00D268D0" w:rsidP="000032C5">
      <w:pPr>
        <w:spacing w:before="120" w:after="120" w:line="240" w:lineRule="auto"/>
        <w:rPr>
          <w:rFonts w:ascii="Times New Roman" w:hAnsi="Times New Roman" w:cs="Times New Roman"/>
          <w:sz w:val="24"/>
          <w:szCs w:val="24"/>
        </w:rPr>
      </w:pPr>
      <w:r w:rsidRPr="005E655B">
        <w:rPr>
          <w:rFonts w:ascii="Times New Roman" w:hAnsi="Times New Roman" w:cs="Times New Roman"/>
          <w:noProof/>
          <w:sz w:val="24"/>
          <w:szCs w:val="24"/>
          <w:lang w:val="en-US"/>
        </w:rPr>
        <w:drawing>
          <wp:inline distT="0" distB="0" distL="0" distR="0" wp14:anchorId="394640FC" wp14:editId="5737E16E">
            <wp:extent cx="8776970" cy="4925061"/>
            <wp:effectExtent l="0" t="0" r="5080" b="889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776970" cy="4925061"/>
                    </a:xfrm>
                    <a:prstGeom prst="rect">
                      <a:avLst/>
                    </a:prstGeom>
                    <a:noFill/>
                    <a:ln>
                      <a:noFill/>
                    </a:ln>
                  </pic:spPr>
                </pic:pic>
              </a:graphicData>
            </a:graphic>
          </wp:inline>
        </w:drawing>
      </w:r>
    </w:p>
    <w:sectPr w:rsidR="00960050" w:rsidRPr="005E655B" w:rsidSect="00C355C3">
      <w:pgSz w:w="16838" w:h="11906" w:orient="landscape" w:code="9"/>
      <w:pgMar w:top="1701" w:right="1418" w:bottom="1701" w:left="159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2C5" w:rsidRDefault="000032C5" w:rsidP="00D65DC3">
      <w:pPr>
        <w:spacing w:line="240" w:lineRule="auto"/>
      </w:pPr>
      <w:r>
        <w:separator/>
      </w:r>
    </w:p>
  </w:endnote>
  <w:endnote w:type="continuationSeparator" w:id="0">
    <w:p w:rsidR="000032C5" w:rsidRDefault="000032C5" w:rsidP="00D65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iberation Serif">
    <w:altName w:val="Times New Roman"/>
    <w:charset w:val="00"/>
    <w:family w:val="roman"/>
    <w:pitch w:val="variable"/>
  </w:font>
  <w:font w:name="DejaVu Sans">
    <w:altName w:val="Times New Roman"/>
    <w:charset w:val="00"/>
    <w:family w:val="auto"/>
    <w:pitch w:val="variable"/>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2C5" w:rsidRPr="005E655B" w:rsidRDefault="00111B63" w:rsidP="00C342AF">
    <w:pPr>
      <w:pStyle w:val="Header"/>
      <w:tabs>
        <w:tab w:val="clear" w:pos="4252"/>
        <w:tab w:val="left" w:pos="5245"/>
        <w:tab w:val="center" w:pos="6804"/>
      </w:tabs>
      <w:ind w:left="6804"/>
      <w:jc w:val="right"/>
      <w:rPr>
        <w:rFonts w:ascii="Times New Roman" w:hAnsi="Times New Roman" w:cs="Times New Roman"/>
        <w:sz w:val="20"/>
        <w:szCs w:val="20"/>
        <w:lang w:val="pt-BR"/>
      </w:rPr>
    </w:pPr>
    <w:sdt>
      <w:sdtPr>
        <w:rPr>
          <w:rFonts w:ascii="Times New Roman" w:hAnsi="Times New Roman" w:cs="Times New Roman"/>
          <w:sz w:val="20"/>
          <w:szCs w:val="20"/>
        </w:rPr>
        <w:id w:val="1288624527"/>
        <w:docPartObj>
          <w:docPartGallery w:val="Page Numbers (Top of Page)"/>
          <w:docPartUnique/>
        </w:docPartObj>
      </w:sdtPr>
      <w:sdtEndPr/>
      <w:sdtContent>
        <w:r w:rsidR="000032C5" w:rsidRPr="005E655B">
          <w:rPr>
            <w:rFonts w:ascii="Times New Roman" w:hAnsi="Times New Roman" w:cs="Times New Roman"/>
            <w:color w:val="808080" w:themeColor="background1" w:themeShade="80"/>
            <w:sz w:val="20"/>
            <w:szCs w:val="20"/>
          </w:rPr>
          <w:t xml:space="preserve">       </w:t>
        </w:r>
        <w:r w:rsidR="000032C5" w:rsidRPr="005E655B">
          <w:rPr>
            <w:rFonts w:ascii="Times New Roman" w:hAnsi="Times New Roman" w:cs="Times New Roman"/>
            <w:color w:val="808080" w:themeColor="background1" w:themeShade="80"/>
            <w:sz w:val="20"/>
            <w:szCs w:val="20"/>
            <w:lang w:val="pt-BR"/>
          </w:rPr>
          <w:t xml:space="preserve">Página </w:t>
        </w:r>
        <w:r w:rsidR="000032C5" w:rsidRPr="005E655B">
          <w:rPr>
            <w:rFonts w:ascii="Times New Roman" w:hAnsi="Times New Roman" w:cs="Times New Roman"/>
            <w:color w:val="808080" w:themeColor="background1" w:themeShade="80"/>
            <w:sz w:val="20"/>
            <w:szCs w:val="20"/>
          </w:rPr>
          <w:fldChar w:fldCharType="begin"/>
        </w:r>
        <w:r w:rsidR="000032C5" w:rsidRPr="005E655B">
          <w:rPr>
            <w:rFonts w:ascii="Times New Roman" w:hAnsi="Times New Roman" w:cs="Times New Roman"/>
            <w:color w:val="808080" w:themeColor="background1" w:themeShade="80"/>
            <w:sz w:val="20"/>
            <w:szCs w:val="20"/>
            <w:lang w:val="pt-BR"/>
          </w:rPr>
          <w:instrText xml:space="preserve"> PAGE </w:instrText>
        </w:r>
        <w:r w:rsidR="000032C5" w:rsidRPr="005E655B">
          <w:rPr>
            <w:rFonts w:ascii="Times New Roman" w:hAnsi="Times New Roman" w:cs="Times New Roman"/>
            <w:color w:val="808080" w:themeColor="background1" w:themeShade="80"/>
            <w:sz w:val="20"/>
            <w:szCs w:val="20"/>
          </w:rPr>
          <w:fldChar w:fldCharType="separate"/>
        </w:r>
        <w:r>
          <w:rPr>
            <w:rFonts w:ascii="Times New Roman" w:hAnsi="Times New Roman" w:cs="Times New Roman"/>
            <w:noProof/>
            <w:color w:val="808080" w:themeColor="background1" w:themeShade="80"/>
            <w:sz w:val="20"/>
            <w:szCs w:val="20"/>
            <w:lang w:val="pt-BR"/>
          </w:rPr>
          <w:t>24</w:t>
        </w:r>
        <w:r w:rsidR="000032C5" w:rsidRPr="005E655B">
          <w:rPr>
            <w:rFonts w:ascii="Times New Roman" w:hAnsi="Times New Roman" w:cs="Times New Roman"/>
            <w:color w:val="808080" w:themeColor="background1" w:themeShade="80"/>
            <w:sz w:val="20"/>
            <w:szCs w:val="20"/>
          </w:rPr>
          <w:fldChar w:fldCharType="end"/>
        </w:r>
        <w:r w:rsidR="000032C5" w:rsidRPr="005E655B">
          <w:rPr>
            <w:rFonts w:ascii="Times New Roman" w:hAnsi="Times New Roman" w:cs="Times New Roman"/>
            <w:color w:val="808080" w:themeColor="background1" w:themeShade="80"/>
            <w:sz w:val="20"/>
            <w:szCs w:val="20"/>
            <w:lang w:val="pt-BR"/>
          </w:rPr>
          <w:t xml:space="preserve"> de </w:t>
        </w:r>
        <w:r w:rsidR="000032C5" w:rsidRPr="005E655B">
          <w:rPr>
            <w:rFonts w:ascii="Times New Roman" w:hAnsi="Times New Roman" w:cs="Times New Roman"/>
            <w:color w:val="808080" w:themeColor="background1" w:themeShade="80"/>
            <w:sz w:val="20"/>
            <w:szCs w:val="20"/>
          </w:rPr>
          <w:fldChar w:fldCharType="begin"/>
        </w:r>
        <w:r w:rsidR="000032C5" w:rsidRPr="005E655B">
          <w:rPr>
            <w:rFonts w:ascii="Times New Roman" w:hAnsi="Times New Roman" w:cs="Times New Roman"/>
            <w:color w:val="808080" w:themeColor="background1" w:themeShade="80"/>
            <w:sz w:val="20"/>
            <w:szCs w:val="20"/>
            <w:lang w:val="pt-BR"/>
          </w:rPr>
          <w:instrText xml:space="preserve"> NUMPAGES  </w:instrText>
        </w:r>
        <w:r w:rsidR="000032C5" w:rsidRPr="005E655B">
          <w:rPr>
            <w:rFonts w:ascii="Times New Roman" w:hAnsi="Times New Roman" w:cs="Times New Roman"/>
            <w:color w:val="808080" w:themeColor="background1" w:themeShade="80"/>
            <w:sz w:val="20"/>
            <w:szCs w:val="20"/>
          </w:rPr>
          <w:fldChar w:fldCharType="separate"/>
        </w:r>
        <w:r>
          <w:rPr>
            <w:rFonts w:ascii="Times New Roman" w:hAnsi="Times New Roman" w:cs="Times New Roman"/>
            <w:noProof/>
            <w:color w:val="808080" w:themeColor="background1" w:themeShade="80"/>
            <w:sz w:val="20"/>
            <w:szCs w:val="20"/>
            <w:lang w:val="pt-BR"/>
          </w:rPr>
          <w:t>24</w:t>
        </w:r>
        <w:r w:rsidR="000032C5" w:rsidRPr="005E655B">
          <w:rPr>
            <w:rFonts w:ascii="Times New Roman" w:hAnsi="Times New Roman" w:cs="Times New Roman"/>
            <w:color w:val="808080" w:themeColor="background1" w:themeShade="80"/>
            <w:sz w:val="20"/>
            <w:szCs w:val="20"/>
          </w:rPr>
          <w:fldChar w:fldCharType="end"/>
        </w:r>
      </w:sdtContent>
    </w:sdt>
  </w:p>
  <w:p w:rsidR="000032C5" w:rsidRDefault="000032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2C5" w:rsidRPr="00370640" w:rsidRDefault="000032C5" w:rsidP="00E67F20">
    <w:pPr>
      <w:pStyle w:val="Header"/>
      <w:tabs>
        <w:tab w:val="clear" w:pos="4252"/>
        <w:tab w:val="left" w:pos="5245"/>
        <w:tab w:val="center" w:pos="6804"/>
      </w:tabs>
      <w:ind w:left="6804"/>
      <w:jc w:val="right"/>
      <w:rPr>
        <w:rFonts w:ascii="Times New Roman" w:hAnsi="Times New Roman" w:cs="Times New Roman"/>
        <w:color w:val="808080" w:themeColor="background1" w:themeShade="80"/>
        <w:sz w:val="18"/>
        <w:lang w:val="pt-BR"/>
      </w:rPr>
    </w:pPr>
    <w:r>
      <w:rPr>
        <w:rFonts w:ascii="Times New Roman" w:hAnsi="Times New Roman" w:cs="Times New Roman"/>
        <w:noProof/>
        <w:sz w:val="20"/>
        <w:lang w:val="en-US"/>
      </w:rPr>
      <mc:AlternateContent>
        <mc:Choice Requires="wps">
          <w:drawing>
            <wp:anchor distT="0" distB="0" distL="114300" distR="114300" simplePos="0" relativeHeight="251658240" behindDoc="0" locked="0" layoutInCell="1" allowOverlap="1" wp14:anchorId="2F4D7476" wp14:editId="49799B79">
              <wp:simplePos x="0" y="0"/>
              <wp:positionH relativeFrom="column">
                <wp:posOffset>-353695</wp:posOffset>
              </wp:positionH>
              <wp:positionV relativeFrom="paragraph">
                <wp:posOffset>-177165</wp:posOffset>
              </wp:positionV>
              <wp:extent cx="4543425" cy="923925"/>
              <wp:effectExtent l="0" t="3810" r="127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7.85pt;margin-top:-13.95pt;width:357.75pt;height:7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" stroked="f"/>
          </w:pict>
        </mc:Fallback>
      </mc:AlternateContent>
    </w:r>
    <w:sdt>
      <w:sdtPr>
        <w:rPr>
          <w:rFonts w:ascii="Times New Roman" w:hAnsi="Times New Roman" w:cs="Times New Roman"/>
          <w:color w:val="808080" w:themeColor="background1" w:themeShade="80"/>
          <w:sz w:val="18"/>
          <w:lang w:val="pt-BR"/>
        </w:rPr>
        <w:id w:val="-1199314677"/>
        <w:docPartObj>
          <w:docPartGallery w:val="Page Numbers (Top of Page)"/>
          <w:docPartUnique/>
        </w:docPartObj>
      </w:sdtPr>
      <w:sdtEndPr/>
      <w:sdtContent>
        <w:r w:rsidRPr="00370640">
          <w:rPr>
            <w:rFonts w:ascii="Times New Roman" w:hAnsi="Times New Roman" w:cs="Times New Roman"/>
            <w:color w:val="808080" w:themeColor="background1" w:themeShade="80"/>
            <w:sz w:val="18"/>
            <w:lang w:val="pt-BR"/>
          </w:rPr>
          <w:t xml:space="preserve">       Página </w:t>
        </w:r>
        <w:r w:rsidRPr="00370640">
          <w:rPr>
            <w:rFonts w:ascii="Times New Roman" w:hAnsi="Times New Roman" w:cs="Times New Roman"/>
            <w:color w:val="808080" w:themeColor="background1" w:themeShade="80"/>
            <w:sz w:val="18"/>
            <w:lang w:val="pt-BR"/>
          </w:rPr>
          <w:fldChar w:fldCharType="begin"/>
        </w:r>
        <w:r w:rsidRPr="00370640">
          <w:rPr>
            <w:rFonts w:ascii="Times New Roman" w:hAnsi="Times New Roman" w:cs="Times New Roman"/>
            <w:color w:val="808080" w:themeColor="background1" w:themeShade="80"/>
            <w:sz w:val="18"/>
            <w:lang w:val="pt-BR"/>
          </w:rPr>
          <w:instrText xml:space="preserve"> PAGE </w:instrText>
        </w:r>
        <w:r w:rsidRPr="00370640">
          <w:rPr>
            <w:rFonts w:ascii="Times New Roman" w:hAnsi="Times New Roman" w:cs="Times New Roman"/>
            <w:color w:val="808080" w:themeColor="background1" w:themeShade="80"/>
            <w:sz w:val="18"/>
            <w:lang w:val="pt-BR"/>
          </w:rPr>
          <w:fldChar w:fldCharType="separate"/>
        </w:r>
        <w:r w:rsidR="00111B63">
          <w:rPr>
            <w:rFonts w:ascii="Times New Roman" w:hAnsi="Times New Roman" w:cs="Times New Roman"/>
            <w:noProof/>
            <w:color w:val="808080" w:themeColor="background1" w:themeShade="80"/>
            <w:sz w:val="18"/>
            <w:lang w:val="pt-BR"/>
          </w:rPr>
          <w:t>1</w:t>
        </w:r>
        <w:r w:rsidRPr="00370640">
          <w:rPr>
            <w:rFonts w:ascii="Times New Roman" w:hAnsi="Times New Roman" w:cs="Times New Roman"/>
            <w:color w:val="808080" w:themeColor="background1" w:themeShade="80"/>
            <w:sz w:val="18"/>
            <w:lang w:val="pt-BR"/>
          </w:rPr>
          <w:fldChar w:fldCharType="end"/>
        </w:r>
        <w:r w:rsidRPr="00370640">
          <w:rPr>
            <w:rFonts w:ascii="Times New Roman" w:hAnsi="Times New Roman" w:cs="Times New Roman"/>
            <w:color w:val="808080" w:themeColor="background1" w:themeShade="80"/>
            <w:sz w:val="18"/>
            <w:lang w:val="pt-BR"/>
          </w:rPr>
          <w:t xml:space="preserve"> de </w:t>
        </w:r>
        <w:r w:rsidRPr="00370640">
          <w:rPr>
            <w:rFonts w:ascii="Times New Roman" w:hAnsi="Times New Roman" w:cs="Times New Roman"/>
            <w:color w:val="808080" w:themeColor="background1" w:themeShade="80"/>
            <w:sz w:val="18"/>
            <w:lang w:val="pt-BR"/>
          </w:rPr>
          <w:fldChar w:fldCharType="begin"/>
        </w:r>
        <w:r w:rsidRPr="00370640">
          <w:rPr>
            <w:rFonts w:ascii="Times New Roman" w:hAnsi="Times New Roman" w:cs="Times New Roman"/>
            <w:color w:val="808080" w:themeColor="background1" w:themeShade="80"/>
            <w:sz w:val="18"/>
            <w:lang w:val="pt-BR"/>
          </w:rPr>
          <w:instrText xml:space="preserve"> NUMPAGES  </w:instrText>
        </w:r>
        <w:r w:rsidRPr="00370640">
          <w:rPr>
            <w:rFonts w:ascii="Times New Roman" w:hAnsi="Times New Roman" w:cs="Times New Roman"/>
            <w:color w:val="808080" w:themeColor="background1" w:themeShade="80"/>
            <w:sz w:val="18"/>
            <w:lang w:val="pt-BR"/>
          </w:rPr>
          <w:fldChar w:fldCharType="separate"/>
        </w:r>
        <w:r w:rsidR="00111B63">
          <w:rPr>
            <w:rFonts w:ascii="Times New Roman" w:hAnsi="Times New Roman" w:cs="Times New Roman"/>
            <w:noProof/>
            <w:color w:val="808080" w:themeColor="background1" w:themeShade="80"/>
            <w:sz w:val="18"/>
            <w:lang w:val="pt-BR"/>
          </w:rPr>
          <w:t>24</w:t>
        </w:r>
        <w:r w:rsidRPr="00370640">
          <w:rPr>
            <w:rFonts w:ascii="Times New Roman" w:hAnsi="Times New Roman" w:cs="Times New Roman"/>
            <w:color w:val="808080" w:themeColor="background1" w:themeShade="80"/>
            <w:sz w:val="18"/>
            <w:lang w:val="pt-BR"/>
          </w:rPr>
          <w:fldChar w:fldCharType="end"/>
        </w:r>
      </w:sdtContent>
    </w:sdt>
  </w:p>
  <w:p w:rsidR="000032C5" w:rsidRPr="00C6484F" w:rsidRDefault="000032C5" w:rsidP="0002333C">
    <w:pPr>
      <w:pStyle w:val="Header"/>
      <w:tabs>
        <w:tab w:val="clear" w:pos="4252"/>
        <w:tab w:val="left" w:pos="5245"/>
        <w:tab w:val="center" w:pos="6804"/>
      </w:tabs>
      <w:ind w:left="6804"/>
      <w:jc w:val="right"/>
      <w:rPr>
        <w:rFonts w:ascii="Times New Roman" w:hAnsi="Times New Roman" w:cs="Times New Roman"/>
        <w:sz w:val="20"/>
        <w:lang w:val="pt-BR"/>
      </w:rPr>
    </w:pPr>
  </w:p>
  <w:p w:rsidR="000032C5" w:rsidRDefault="000032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2C5" w:rsidRDefault="000032C5" w:rsidP="00D65DC3">
      <w:pPr>
        <w:spacing w:line="240" w:lineRule="auto"/>
      </w:pPr>
      <w:r>
        <w:separator/>
      </w:r>
    </w:p>
  </w:footnote>
  <w:footnote w:type="continuationSeparator" w:id="0">
    <w:p w:rsidR="000032C5" w:rsidRDefault="000032C5" w:rsidP="00D65DC3">
      <w:pPr>
        <w:spacing w:line="240" w:lineRule="auto"/>
      </w:pPr>
      <w:r>
        <w:continuationSeparator/>
      </w:r>
    </w:p>
  </w:footnote>
  <w:footnote w:id="1">
    <w:p w:rsidR="000032C5" w:rsidRPr="000032C5" w:rsidRDefault="000032C5" w:rsidP="006102F5">
      <w:pPr>
        <w:pStyle w:val="FootnoteText"/>
        <w:jc w:val="left"/>
        <w:rPr>
          <w:rFonts w:ascii="Times New Roman" w:hAnsi="Times New Roman" w:cs="Times New Roman"/>
        </w:rPr>
      </w:pPr>
      <w:r w:rsidRPr="000032C5">
        <w:rPr>
          <w:rStyle w:val="FootnoteReference"/>
          <w:rFonts w:ascii="Times New Roman" w:hAnsi="Times New Roman" w:cs="Times New Roman"/>
        </w:rPr>
        <w:footnoteRef/>
      </w:r>
      <w:r w:rsidRPr="000032C5">
        <w:rPr>
          <w:rFonts w:ascii="Times New Roman" w:hAnsi="Times New Roman" w:cs="Times New Roman"/>
        </w:rPr>
        <w:t xml:space="preserve"> De 23% a 12,7% en siete años hasta diciembre 2013.</w:t>
      </w:r>
    </w:p>
  </w:footnote>
  <w:footnote w:id="2">
    <w:p w:rsidR="000032C5" w:rsidRDefault="000032C5" w:rsidP="006102F5">
      <w:pPr>
        <w:pStyle w:val="FootnoteText"/>
        <w:jc w:val="left"/>
      </w:pPr>
      <w:r>
        <w:rPr>
          <w:rStyle w:val="FootnoteReference"/>
        </w:rPr>
        <w:footnoteRef/>
      </w:r>
      <w:r w:rsidRPr="00E66F9E">
        <w:rPr>
          <w:rFonts w:ascii="Times New Roman" w:hAnsi="Times New Roman" w:cs="Times New Roman"/>
          <w:sz w:val="18"/>
        </w:rPr>
        <w:t xml:space="preserve"> Mandato Constituyente Núm. 15 (MC-15)</w:t>
      </w:r>
    </w:p>
  </w:footnote>
  <w:footnote w:id="3">
    <w:p w:rsidR="000032C5" w:rsidRPr="005E655B" w:rsidRDefault="000032C5" w:rsidP="005E655B">
      <w:pPr>
        <w:pStyle w:val="FootnoteText"/>
        <w:jc w:val="both"/>
        <w:rPr>
          <w:rFonts w:ascii="Times New Roman" w:hAnsi="Times New Roman" w:cs="Times New Roman"/>
        </w:rPr>
      </w:pPr>
      <w:r w:rsidRPr="005E655B">
        <w:rPr>
          <w:rStyle w:val="FootnoteReference"/>
          <w:rFonts w:ascii="Times New Roman" w:hAnsi="Times New Roman" w:cs="Times New Roman"/>
        </w:rPr>
        <w:footnoteRef/>
      </w:r>
      <w:r w:rsidRPr="005E655B">
        <w:rPr>
          <w:rFonts w:ascii="Times New Roman" w:hAnsi="Times New Roman" w:cs="Times New Roman"/>
        </w:rPr>
        <w:t xml:space="preserve"> </w:t>
      </w:r>
      <w:r w:rsidRPr="005E655B">
        <w:rPr>
          <w:rFonts w:ascii="Times New Roman" w:eastAsia="Times New Roman" w:hAnsi="Times New Roman" w:cs="Times New Roman"/>
        </w:rPr>
        <w:t>El excedente de consumo se define como la diferencia entre la cuantía que los consumidores estarían dispuestos a pagar por la electricidad que consumen y lo que están pagando realmente. Un incremento de la demanda/consumo de electricidad conllevará un aumento del excedente de los consumidores.</w:t>
      </w:r>
    </w:p>
  </w:footnote>
  <w:footnote w:id="4">
    <w:p w:rsidR="000032C5" w:rsidRPr="005E655B" w:rsidRDefault="000032C5" w:rsidP="005E655B">
      <w:pPr>
        <w:pStyle w:val="FootnoteText"/>
        <w:jc w:val="both"/>
        <w:rPr>
          <w:rFonts w:ascii="Times New Roman" w:hAnsi="Times New Roman" w:cs="Times New Roman"/>
        </w:rPr>
      </w:pPr>
      <w:r w:rsidRPr="005E655B">
        <w:rPr>
          <w:rStyle w:val="FootnoteReference"/>
          <w:rFonts w:ascii="Times New Roman" w:hAnsi="Times New Roman" w:cs="Times New Roman"/>
        </w:rPr>
        <w:footnoteRef/>
      </w:r>
      <w:r w:rsidRPr="005E655B">
        <w:rPr>
          <w:rFonts w:ascii="Times New Roman" w:hAnsi="Times New Roman" w:cs="Times New Roman"/>
        </w:rPr>
        <w:t xml:space="preserve"> Alberto </w:t>
      </w:r>
      <w:proofErr w:type="spellStart"/>
      <w:r w:rsidRPr="005E655B">
        <w:rPr>
          <w:rFonts w:ascii="Times New Roman" w:hAnsi="Times New Roman" w:cs="Times New Roman"/>
        </w:rPr>
        <w:t>Brugman</w:t>
      </w:r>
      <w:proofErr w:type="spellEnd"/>
      <w:r w:rsidRPr="005E655B">
        <w:rPr>
          <w:rFonts w:ascii="Times New Roman" w:hAnsi="Times New Roman" w:cs="Times New Roman"/>
        </w:rPr>
        <w:t xml:space="preserve"> Miramón, 2013.</w:t>
      </w:r>
    </w:p>
  </w:footnote>
  <w:footnote w:id="5">
    <w:p w:rsidR="000032C5" w:rsidRPr="005E655B" w:rsidRDefault="000032C5" w:rsidP="00312C07">
      <w:pPr>
        <w:pStyle w:val="FootnoteText"/>
        <w:jc w:val="left"/>
        <w:rPr>
          <w:rFonts w:ascii="Times New Roman" w:hAnsi="Times New Roman" w:cs="Times New Roman"/>
        </w:rPr>
      </w:pPr>
      <w:r w:rsidRPr="005E655B">
        <w:rPr>
          <w:rStyle w:val="FootnoteReference"/>
          <w:rFonts w:ascii="Times New Roman" w:hAnsi="Times New Roman" w:cs="Times New Roman"/>
        </w:rPr>
        <w:footnoteRef/>
      </w:r>
      <w:r w:rsidRPr="005E655B">
        <w:rPr>
          <w:rFonts w:ascii="Times New Roman" w:hAnsi="Times New Roman" w:cs="Times New Roman"/>
        </w:rPr>
        <w:t xml:space="preserve"> Este valor se encuentra analizado y regulado por el Consejo Nacional de Electricidad (CONELEC).</w:t>
      </w:r>
    </w:p>
  </w:footnote>
  <w:footnote w:id="6">
    <w:p w:rsidR="000032C5" w:rsidRDefault="000032C5" w:rsidP="00D268D0">
      <w:pPr>
        <w:pStyle w:val="FootnoteText"/>
        <w:jc w:val="left"/>
      </w:pPr>
      <w:r>
        <w:rPr>
          <w:rStyle w:val="FootnoteReference"/>
        </w:rPr>
        <w:footnoteRef/>
      </w:r>
      <w:r w:rsidRPr="00D268D0">
        <w:rPr>
          <w:rFonts w:ascii="Times New Roman" w:hAnsi="Times New Roman" w:cs="Times New Roman"/>
          <w:sz w:val="18"/>
          <w:szCs w:val="18"/>
        </w:rPr>
        <w:t xml:space="preserve"> </w:t>
      </w:r>
      <w:r>
        <w:rPr>
          <w:rFonts w:ascii="Times New Roman" w:hAnsi="Times New Roman" w:cs="Times New Roman"/>
          <w:sz w:val="18"/>
          <w:szCs w:val="18"/>
        </w:rPr>
        <w:t>A precios de mercado, l</w:t>
      </w:r>
      <w:r w:rsidRPr="00D268D0">
        <w:rPr>
          <w:rFonts w:ascii="Times New Roman" w:hAnsi="Times New Roman" w:cs="Times New Roman"/>
          <w:sz w:val="18"/>
          <w:szCs w:val="18"/>
        </w:rPr>
        <w:t xml:space="preserve">a TIR económica del Programa </w:t>
      </w:r>
      <w:r>
        <w:rPr>
          <w:rFonts w:ascii="Times New Roman" w:hAnsi="Times New Roman" w:cs="Times New Roman"/>
          <w:sz w:val="18"/>
          <w:szCs w:val="18"/>
        </w:rPr>
        <w:t xml:space="preserve">es 25,33% y su VAN </w:t>
      </w:r>
      <w:r w:rsidR="00596A07">
        <w:rPr>
          <w:rFonts w:ascii="Times New Roman" w:hAnsi="Times New Roman" w:cs="Times New Roman"/>
          <w:sz w:val="18"/>
          <w:szCs w:val="18"/>
        </w:rPr>
        <w:t xml:space="preserve"> USD</w:t>
      </w:r>
      <w:r>
        <w:rPr>
          <w:rFonts w:ascii="Times New Roman" w:hAnsi="Times New Roman" w:cs="Times New Roman"/>
          <w:sz w:val="18"/>
          <w:szCs w:val="18"/>
        </w:rPr>
        <w:t xml:space="preserve">189.312.942. </w:t>
      </w:r>
    </w:p>
  </w:footnote>
  <w:footnote w:id="7">
    <w:p w:rsidR="000032C5" w:rsidRDefault="000032C5" w:rsidP="00EF709C">
      <w:pPr>
        <w:pStyle w:val="FootnoteText"/>
        <w:jc w:val="left"/>
      </w:pPr>
      <w:r>
        <w:rPr>
          <w:rStyle w:val="FootnoteReference"/>
        </w:rPr>
        <w:footnoteRef/>
      </w:r>
      <w:r w:rsidRPr="00EF709C">
        <w:rPr>
          <w:rFonts w:ascii="Times New Roman" w:hAnsi="Times New Roman" w:cs="Times New Roman"/>
          <w:sz w:val="18"/>
          <w:szCs w:val="18"/>
        </w:rPr>
        <w:t xml:space="preserve"> Este porcentaje corresponde con el grado de introducción objetivo del MEER.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2C5" w:rsidRPr="0093710C" w:rsidRDefault="000032C5" w:rsidP="00C342AF">
    <w:pPr>
      <w:pStyle w:val="Header"/>
      <w:tabs>
        <w:tab w:val="clear" w:pos="4252"/>
        <w:tab w:val="center" w:pos="6096"/>
      </w:tabs>
      <w:jc w:val="right"/>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EC-L1147</w:t>
    </w:r>
  </w:p>
  <w:p w:rsidR="000032C5" w:rsidRPr="0093710C" w:rsidRDefault="000032C5" w:rsidP="00C342AF">
    <w:pPr>
      <w:pStyle w:val="Header"/>
      <w:tabs>
        <w:tab w:val="clear" w:pos="4252"/>
        <w:tab w:val="clear" w:pos="8504"/>
        <w:tab w:val="center" w:pos="8505"/>
      </w:tabs>
      <w:jc w:val="right"/>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Evaluación Económica</w:t>
    </w:r>
    <w:r w:rsidRPr="0093710C">
      <w:rPr>
        <w:rFonts w:ascii="Times New Roman" w:hAnsi="Times New Roman" w:cs="Times New Roman"/>
        <w:color w:val="808080" w:themeColor="background1" w:themeShade="80"/>
      </w:rPr>
      <w:t xml:space="preserve"> Ex-Ante</w:t>
    </w:r>
    <w:r>
      <w:rPr>
        <w:rFonts w:ascii="Times New Roman" w:hAnsi="Times New Roman" w:cs="Times New Roman"/>
        <w:color w:val="808080" w:themeColor="background1" w:themeShade="80"/>
      </w:rPr>
      <w:t xml:space="preserve"> </w:t>
    </w:r>
  </w:p>
  <w:p w:rsidR="000032C5" w:rsidRDefault="000032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2C5" w:rsidRPr="0093710C" w:rsidRDefault="000032C5" w:rsidP="00C264C4">
    <w:pPr>
      <w:pStyle w:val="Header"/>
      <w:tabs>
        <w:tab w:val="clear" w:pos="4252"/>
        <w:tab w:val="center" w:pos="6096"/>
      </w:tabs>
      <w:jc w:val="right"/>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EC-L1147</w:t>
    </w:r>
  </w:p>
  <w:p w:rsidR="000032C5" w:rsidRPr="0093710C" w:rsidRDefault="000032C5" w:rsidP="00C264C4">
    <w:pPr>
      <w:pStyle w:val="Header"/>
      <w:tabs>
        <w:tab w:val="clear" w:pos="4252"/>
        <w:tab w:val="clear" w:pos="8504"/>
        <w:tab w:val="center" w:pos="8505"/>
      </w:tabs>
      <w:jc w:val="right"/>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Evaluación Económica</w:t>
    </w:r>
    <w:r w:rsidRPr="0093710C">
      <w:rPr>
        <w:rFonts w:ascii="Times New Roman" w:hAnsi="Times New Roman" w:cs="Times New Roman"/>
        <w:color w:val="808080" w:themeColor="background1" w:themeShade="80"/>
      </w:rPr>
      <w:t xml:space="preserve"> Ex-Ante</w:t>
    </w:r>
    <w:r>
      <w:rPr>
        <w:rFonts w:ascii="Times New Roman" w:hAnsi="Times New Roman" w:cs="Times New Roman"/>
        <w:color w:val="808080" w:themeColor="background1" w:themeShade="80"/>
      </w:rPr>
      <w:t xml:space="preserve"> – Informe Final</w:t>
    </w:r>
  </w:p>
  <w:p w:rsidR="000032C5" w:rsidRDefault="000032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634BF"/>
    <w:multiLevelType w:val="hybridMultilevel"/>
    <w:tmpl w:val="2CEA8466"/>
    <w:lvl w:ilvl="0" w:tplc="8A60FA3A">
      <w:start w:val="1"/>
      <w:numFmt w:val="lowerRoman"/>
      <w:lvlText w:val="(%1)"/>
      <w:lvlJc w:val="left"/>
      <w:pPr>
        <w:ind w:left="2137" w:hanging="720"/>
      </w:pPr>
      <w:rPr>
        <w:rFonts w:hint="default"/>
      </w:rPr>
    </w:lvl>
    <w:lvl w:ilvl="1" w:tplc="0C0A0019" w:tentative="1">
      <w:start w:val="1"/>
      <w:numFmt w:val="lowerLetter"/>
      <w:lvlText w:val="%2."/>
      <w:lvlJc w:val="left"/>
      <w:pPr>
        <w:ind w:left="2497" w:hanging="360"/>
      </w:pPr>
    </w:lvl>
    <w:lvl w:ilvl="2" w:tplc="0C0A001B" w:tentative="1">
      <w:start w:val="1"/>
      <w:numFmt w:val="lowerRoman"/>
      <w:lvlText w:val="%3."/>
      <w:lvlJc w:val="right"/>
      <w:pPr>
        <w:ind w:left="3217" w:hanging="180"/>
      </w:pPr>
    </w:lvl>
    <w:lvl w:ilvl="3" w:tplc="0C0A000F" w:tentative="1">
      <w:start w:val="1"/>
      <w:numFmt w:val="decimal"/>
      <w:lvlText w:val="%4."/>
      <w:lvlJc w:val="left"/>
      <w:pPr>
        <w:ind w:left="3937" w:hanging="360"/>
      </w:pPr>
    </w:lvl>
    <w:lvl w:ilvl="4" w:tplc="0C0A0019" w:tentative="1">
      <w:start w:val="1"/>
      <w:numFmt w:val="lowerLetter"/>
      <w:lvlText w:val="%5."/>
      <w:lvlJc w:val="left"/>
      <w:pPr>
        <w:ind w:left="4657" w:hanging="360"/>
      </w:pPr>
    </w:lvl>
    <w:lvl w:ilvl="5" w:tplc="0C0A001B" w:tentative="1">
      <w:start w:val="1"/>
      <w:numFmt w:val="lowerRoman"/>
      <w:lvlText w:val="%6."/>
      <w:lvlJc w:val="right"/>
      <w:pPr>
        <w:ind w:left="5377" w:hanging="180"/>
      </w:pPr>
    </w:lvl>
    <w:lvl w:ilvl="6" w:tplc="0C0A000F" w:tentative="1">
      <w:start w:val="1"/>
      <w:numFmt w:val="decimal"/>
      <w:lvlText w:val="%7."/>
      <w:lvlJc w:val="left"/>
      <w:pPr>
        <w:ind w:left="6097" w:hanging="360"/>
      </w:pPr>
    </w:lvl>
    <w:lvl w:ilvl="7" w:tplc="0C0A0019" w:tentative="1">
      <w:start w:val="1"/>
      <w:numFmt w:val="lowerLetter"/>
      <w:lvlText w:val="%8."/>
      <w:lvlJc w:val="left"/>
      <w:pPr>
        <w:ind w:left="6817" w:hanging="360"/>
      </w:pPr>
    </w:lvl>
    <w:lvl w:ilvl="8" w:tplc="0C0A001B" w:tentative="1">
      <w:start w:val="1"/>
      <w:numFmt w:val="lowerRoman"/>
      <w:lvlText w:val="%9."/>
      <w:lvlJc w:val="right"/>
      <w:pPr>
        <w:ind w:left="7537" w:hanging="180"/>
      </w:pPr>
    </w:lvl>
  </w:abstractNum>
  <w:abstractNum w:abstractNumId="1">
    <w:nsid w:val="0D231ED5"/>
    <w:multiLevelType w:val="multilevel"/>
    <w:tmpl w:val="3F26245A"/>
    <w:lvl w:ilvl="0">
      <w:start w:val="2"/>
      <w:numFmt w:val="upperRoman"/>
      <w:lvlText w:val="%1."/>
      <w:lvlJc w:val="center"/>
      <w:pPr>
        <w:tabs>
          <w:tab w:val="num" w:pos="648"/>
        </w:tabs>
        <w:ind w:left="0" w:firstLine="288"/>
      </w:pPr>
      <w:rPr>
        <w:rFonts w:hint="default"/>
        <w:b/>
        <w:i w:val="0"/>
      </w:rPr>
    </w:lvl>
    <w:lvl w:ilvl="1">
      <w:start w:val="1"/>
      <w:numFmt w:val="lowerRoman"/>
      <w:lvlText w:val="(%2)"/>
      <w:lvlJc w:val="left"/>
      <w:pPr>
        <w:tabs>
          <w:tab w:val="num" w:pos="720"/>
        </w:tabs>
        <w:ind w:left="720" w:hanging="720"/>
      </w:pPr>
      <w:rPr>
        <w:rFonts w:hint="default"/>
        <w:b w:val="0"/>
        <w:i w:val="0"/>
        <w:color w:val="auto"/>
        <w:lang w:val="es-ES"/>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0EB97FE3"/>
    <w:multiLevelType w:val="multilevel"/>
    <w:tmpl w:val="C0421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sz w:val="22"/>
        <w:szCs w:val="22"/>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03C7F17"/>
    <w:multiLevelType w:val="hybridMultilevel"/>
    <w:tmpl w:val="AB82142C"/>
    <w:lvl w:ilvl="0" w:tplc="D9542416">
      <w:start w:val="1"/>
      <w:numFmt w:val="lowerRoman"/>
      <w:lvlText w:val="%1)"/>
      <w:lvlJc w:val="left"/>
      <w:pPr>
        <w:ind w:left="2136" w:hanging="720"/>
      </w:pPr>
      <w:rPr>
        <w:rFonts w:hint="default"/>
        <w:i w:val="0"/>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
    <w:nsid w:val="16B13FA4"/>
    <w:multiLevelType w:val="hybridMultilevel"/>
    <w:tmpl w:val="F7C6F0FE"/>
    <w:lvl w:ilvl="0" w:tplc="B59A5186">
      <w:start w:val="1"/>
      <w:numFmt w:val="lowerRoman"/>
      <w:lvlText w:val="(%1)"/>
      <w:lvlJc w:val="left"/>
      <w:pPr>
        <w:ind w:left="2376" w:hanging="9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5">
    <w:nsid w:val="196B5483"/>
    <w:multiLevelType w:val="hybridMultilevel"/>
    <w:tmpl w:val="61E295DE"/>
    <w:lvl w:ilvl="0" w:tplc="69E4D964">
      <w:start w:val="1"/>
      <w:numFmt w:val="low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nsid w:val="1A34662F"/>
    <w:multiLevelType w:val="multilevel"/>
    <w:tmpl w:val="47D4E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1D2251D9"/>
    <w:multiLevelType w:val="multilevel"/>
    <w:tmpl w:val="C0421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sz w:val="22"/>
        <w:szCs w:val="22"/>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8">
    <w:nsid w:val="23605837"/>
    <w:multiLevelType w:val="multilevel"/>
    <w:tmpl w:val="F45E64FC"/>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pStyle w:val="Heading5"/>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9">
    <w:nsid w:val="245043A7"/>
    <w:multiLevelType w:val="hybridMultilevel"/>
    <w:tmpl w:val="4036BD20"/>
    <w:lvl w:ilvl="0" w:tplc="D8B092F4">
      <w:start w:val="1"/>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ACF7997"/>
    <w:multiLevelType w:val="multilevel"/>
    <w:tmpl w:val="47D4E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1">
    <w:nsid w:val="2DF139E0"/>
    <w:multiLevelType w:val="hybridMultilevel"/>
    <w:tmpl w:val="18A84E9A"/>
    <w:lvl w:ilvl="0" w:tplc="C1D23728">
      <w:start w:val="1"/>
      <w:numFmt w:val="lowerRoman"/>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5B2622"/>
    <w:multiLevelType w:val="multilevel"/>
    <w:tmpl w:val="FC20EA18"/>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3">
    <w:nsid w:val="3B1D1390"/>
    <w:multiLevelType w:val="multilevel"/>
    <w:tmpl w:val="47D4E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4">
    <w:nsid w:val="3D4B2D53"/>
    <w:multiLevelType w:val="hybridMultilevel"/>
    <w:tmpl w:val="4E7EB402"/>
    <w:lvl w:ilvl="0" w:tplc="C1D23728">
      <w:start w:val="1"/>
      <w:numFmt w:val="lowerRoman"/>
      <w:lvlText w:val="(%1)"/>
      <w:lvlJc w:val="left"/>
      <w:pPr>
        <w:ind w:left="2391" w:hanging="975"/>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5">
    <w:nsid w:val="3E8E171E"/>
    <w:multiLevelType w:val="hybridMultilevel"/>
    <w:tmpl w:val="746A7988"/>
    <w:lvl w:ilvl="0" w:tplc="43EC2AA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8C15D3"/>
    <w:multiLevelType w:val="hybridMultilevel"/>
    <w:tmpl w:val="D05AB00A"/>
    <w:lvl w:ilvl="0" w:tplc="BF36096A">
      <w:numFmt w:val="bullet"/>
      <w:lvlText w:val="-"/>
      <w:lvlJc w:val="left"/>
      <w:pPr>
        <w:ind w:left="1800" w:hanging="360"/>
      </w:pPr>
      <w:rPr>
        <w:rFonts w:ascii="Times New Roman" w:eastAsia="Times New Roman" w:hAnsi="Times New Roman" w:cs="Times New Roman"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48BD2DCC"/>
    <w:multiLevelType w:val="multilevel"/>
    <w:tmpl w:val="F7E6BF3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8">
    <w:nsid w:val="51532E44"/>
    <w:multiLevelType w:val="multilevel"/>
    <w:tmpl w:val="C0421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sz w:val="22"/>
        <w:szCs w:val="22"/>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9">
    <w:nsid w:val="5D166D94"/>
    <w:multiLevelType w:val="multilevel"/>
    <w:tmpl w:val="6C268BAC"/>
    <w:lvl w:ilvl="0">
      <w:start w:val="2"/>
      <w:numFmt w:val="upperRoman"/>
      <w:lvlText w:val="%1."/>
      <w:lvlJc w:val="center"/>
      <w:pPr>
        <w:tabs>
          <w:tab w:val="num" w:pos="648"/>
        </w:tabs>
        <w:ind w:left="0" w:firstLine="288"/>
      </w:pPr>
      <w:rPr>
        <w:rFonts w:hint="default"/>
        <w:b/>
        <w:i w:val="0"/>
      </w:rPr>
    </w:lvl>
    <w:lvl w:ilvl="1">
      <w:start w:val="17"/>
      <w:numFmt w:val="decimal"/>
      <w:isLgl/>
      <w:lvlText w:val="%1.%2"/>
      <w:lvlJc w:val="left"/>
      <w:pPr>
        <w:tabs>
          <w:tab w:val="num" w:pos="720"/>
        </w:tabs>
        <w:ind w:left="720" w:hanging="720"/>
      </w:pPr>
      <w:rPr>
        <w:rFonts w:ascii="Times New Roman" w:hAnsi="Times New Roman" w:cs="Times New Roman" w:hint="default"/>
        <w:b w:val="0"/>
        <w:i w:val="0"/>
        <w:color w:val="auto"/>
        <w:lang w:val="en-US"/>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nsid w:val="5E534D85"/>
    <w:multiLevelType w:val="hybridMultilevel"/>
    <w:tmpl w:val="BC046C2C"/>
    <w:lvl w:ilvl="0" w:tplc="2102A118">
      <w:start w:val="244"/>
      <w:numFmt w:val="bullet"/>
      <w:lvlText w:val="-"/>
      <w:lvlJc w:val="left"/>
      <w:pPr>
        <w:ind w:left="720" w:hanging="360"/>
      </w:pPr>
      <w:rPr>
        <w:rFonts w:ascii="Times New Roman" w:eastAsiaTheme="minorHAnsi" w:hAnsi="Times New Roman" w:cs="Times New Roman"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F601E34"/>
    <w:multiLevelType w:val="hybridMultilevel"/>
    <w:tmpl w:val="E7E8738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2884D7F"/>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nsid w:val="66CD08D3"/>
    <w:multiLevelType w:val="hybridMultilevel"/>
    <w:tmpl w:val="72A6A4FE"/>
    <w:lvl w:ilvl="0" w:tplc="FEF0052A">
      <w:start w:val="1"/>
      <w:numFmt w:val="lowerRoman"/>
      <w:lvlText w:val="(%1)"/>
      <w:lvlJc w:val="left"/>
      <w:pPr>
        <w:ind w:left="1588" w:hanging="88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6CE3DC8"/>
    <w:multiLevelType w:val="hybridMultilevel"/>
    <w:tmpl w:val="4E7EB402"/>
    <w:lvl w:ilvl="0" w:tplc="C1D23728">
      <w:start w:val="1"/>
      <w:numFmt w:val="lowerRoman"/>
      <w:lvlText w:val="(%1)"/>
      <w:lvlJc w:val="left"/>
      <w:pPr>
        <w:ind w:left="2391" w:hanging="975"/>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5">
    <w:nsid w:val="68FE1758"/>
    <w:multiLevelType w:val="hybridMultilevel"/>
    <w:tmpl w:val="84985F9E"/>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F8D5232"/>
    <w:multiLevelType w:val="hybridMultilevel"/>
    <w:tmpl w:val="01A8E4E0"/>
    <w:lvl w:ilvl="0" w:tplc="CFB008DC">
      <w:start w:val="1"/>
      <w:numFmt w:val="upperLetter"/>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7">
    <w:nsid w:val="752966A0"/>
    <w:multiLevelType w:val="hybridMultilevel"/>
    <w:tmpl w:val="236E921E"/>
    <w:lvl w:ilvl="0" w:tplc="2B6C5804">
      <w:start w:val="1"/>
      <w:numFmt w:val="low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nsid w:val="7AD17C5D"/>
    <w:multiLevelType w:val="multilevel"/>
    <w:tmpl w:val="47D4E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num w:numId="1">
    <w:abstractNumId w:val="8"/>
  </w:num>
  <w:num w:numId="2">
    <w:abstractNumId w:val="9"/>
  </w:num>
  <w:num w:numId="3">
    <w:abstractNumId w:val="17"/>
  </w:num>
  <w:num w:numId="4">
    <w:abstractNumId w:val="16"/>
  </w:num>
  <w:num w:numId="5">
    <w:abstractNumId w:val="7"/>
  </w:num>
  <w:num w:numId="6">
    <w:abstractNumId w:val="15"/>
  </w:num>
  <w:num w:numId="7">
    <w:abstractNumId w:val="14"/>
  </w:num>
  <w:num w:numId="8">
    <w:abstractNumId w:val="24"/>
  </w:num>
  <w:num w:numId="9">
    <w:abstractNumId w:val="3"/>
  </w:num>
  <w:num w:numId="10">
    <w:abstractNumId w:val="19"/>
  </w:num>
  <w:num w:numId="11">
    <w:abstractNumId w:val="26"/>
  </w:num>
  <w:num w:numId="12">
    <w:abstractNumId w:val="28"/>
  </w:num>
  <w:num w:numId="13">
    <w:abstractNumId w:val="21"/>
  </w:num>
  <w:num w:numId="14">
    <w:abstractNumId w:val="6"/>
  </w:num>
  <w:num w:numId="15">
    <w:abstractNumId w:val="0"/>
  </w:num>
  <w:num w:numId="16">
    <w:abstractNumId w:val="23"/>
  </w:num>
  <w:num w:numId="17">
    <w:abstractNumId w:val="20"/>
  </w:num>
  <w:num w:numId="18">
    <w:abstractNumId w:val="10"/>
  </w:num>
  <w:num w:numId="19">
    <w:abstractNumId w:val="4"/>
  </w:num>
  <w:num w:numId="20">
    <w:abstractNumId w:val="13"/>
  </w:num>
  <w:num w:numId="21">
    <w:abstractNumId w:val="1"/>
  </w:num>
  <w:num w:numId="22">
    <w:abstractNumId w:val="12"/>
  </w:num>
  <w:num w:numId="23">
    <w:abstractNumId w:val="5"/>
  </w:num>
  <w:num w:numId="24">
    <w:abstractNumId w:val="22"/>
  </w:num>
  <w:num w:numId="25">
    <w:abstractNumId w:val="27"/>
  </w:num>
  <w:num w:numId="26">
    <w:abstractNumId w:val="18"/>
  </w:num>
  <w:num w:numId="27">
    <w:abstractNumId w:val="2"/>
  </w:num>
  <w:num w:numId="28">
    <w:abstractNumId w:val="11"/>
  </w:num>
  <w:num w:numId="29">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2E0"/>
    <w:rsid w:val="00002389"/>
    <w:rsid w:val="000032C5"/>
    <w:rsid w:val="00005890"/>
    <w:rsid w:val="00006AB9"/>
    <w:rsid w:val="00006ABB"/>
    <w:rsid w:val="00007277"/>
    <w:rsid w:val="00010D91"/>
    <w:rsid w:val="00014452"/>
    <w:rsid w:val="000153F5"/>
    <w:rsid w:val="00015681"/>
    <w:rsid w:val="000175B4"/>
    <w:rsid w:val="00022D7B"/>
    <w:rsid w:val="0002333C"/>
    <w:rsid w:val="00026B8A"/>
    <w:rsid w:val="00026D12"/>
    <w:rsid w:val="00030895"/>
    <w:rsid w:val="000311F8"/>
    <w:rsid w:val="000312EA"/>
    <w:rsid w:val="00031914"/>
    <w:rsid w:val="00032A7E"/>
    <w:rsid w:val="00032B68"/>
    <w:rsid w:val="00032D5A"/>
    <w:rsid w:val="000339A2"/>
    <w:rsid w:val="0003522A"/>
    <w:rsid w:val="00035BF5"/>
    <w:rsid w:val="0003636B"/>
    <w:rsid w:val="000375FF"/>
    <w:rsid w:val="0003765E"/>
    <w:rsid w:val="00037BAD"/>
    <w:rsid w:val="000404AF"/>
    <w:rsid w:val="00041091"/>
    <w:rsid w:val="00041BC5"/>
    <w:rsid w:val="00042509"/>
    <w:rsid w:val="00045F69"/>
    <w:rsid w:val="000462C8"/>
    <w:rsid w:val="00046CDF"/>
    <w:rsid w:val="000507EE"/>
    <w:rsid w:val="000526A1"/>
    <w:rsid w:val="00053734"/>
    <w:rsid w:val="00054712"/>
    <w:rsid w:val="00056974"/>
    <w:rsid w:val="00057439"/>
    <w:rsid w:val="0006315D"/>
    <w:rsid w:val="00063D85"/>
    <w:rsid w:val="0006740C"/>
    <w:rsid w:val="0006774C"/>
    <w:rsid w:val="00067948"/>
    <w:rsid w:val="00070651"/>
    <w:rsid w:val="000722A2"/>
    <w:rsid w:val="0007233B"/>
    <w:rsid w:val="00073178"/>
    <w:rsid w:val="00073198"/>
    <w:rsid w:val="00074776"/>
    <w:rsid w:val="00075715"/>
    <w:rsid w:val="00076EF9"/>
    <w:rsid w:val="00081FD8"/>
    <w:rsid w:val="00082625"/>
    <w:rsid w:val="00083FA8"/>
    <w:rsid w:val="000847D6"/>
    <w:rsid w:val="000867BD"/>
    <w:rsid w:val="0008696F"/>
    <w:rsid w:val="00086B7D"/>
    <w:rsid w:val="00087F80"/>
    <w:rsid w:val="000901F3"/>
    <w:rsid w:val="000904BF"/>
    <w:rsid w:val="00090650"/>
    <w:rsid w:val="000906A8"/>
    <w:rsid w:val="00090F4A"/>
    <w:rsid w:val="00091996"/>
    <w:rsid w:val="000924F6"/>
    <w:rsid w:val="000926C9"/>
    <w:rsid w:val="00092F5C"/>
    <w:rsid w:val="00095E29"/>
    <w:rsid w:val="00096D87"/>
    <w:rsid w:val="00097FCE"/>
    <w:rsid w:val="000A06C1"/>
    <w:rsid w:val="000A132F"/>
    <w:rsid w:val="000A1BE6"/>
    <w:rsid w:val="000A3D63"/>
    <w:rsid w:val="000A4121"/>
    <w:rsid w:val="000A5B8D"/>
    <w:rsid w:val="000A6742"/>
    <w:rsid w:val="000B3A32"/>
    <w:rsid w:val="000B3AB6"/>
    <w:rsid w:val="000B4765"/>
    <w:rsid w:val="000B4BEF"/>
    <w:rsid w:val="000B4CA0"/>
    <w:rsid w:val="000B5526"/>
    <w:rsid w:val="000C5B57"/>
    <w:rsid w:val="000C72B7"/>
    <w:rsid w:val="000D1661"/>
    <w:rsid w:val="000D2C4B"/>
    <w:rsid w:val="000D4355"/>
    <w:rsid w:val="000D579F"/>
    <w:rsid w:val="000D6CC8"/>
    <w:rsid w:val="000E2A6C"/>
    <w:rsid w:val="000E2B33"/>
    <w:rsid w:val="000E3302"/>
    <w:rsid w:val="000E3825"/>
    <w:rsid w:val="000E3ACE"/>
    <w:rsid w:val="000E4377"/>
    <w:rsid w:val="000E52C9"/>
    <w:rsid w:val="000E5E41"/>
    <w:rsid w:val="000F0F13"/>
    <w:rsid w:val="000F13B4"/>
    <w:rsid w:val="000F160D"/>
    <w:rsid w:val="000F2708"/>
    <w:rsid w:val="000F2DE5"/>
    <w:rsid w:val="000F4FD9"/>
    <w:rsid w:val="000F681B"/>
    <w:rsid w:val="000F70A1"/>
    <w:rsid w:val="00101D6F"/>
    <w:rsid w:val="00103C23"/>
    <w:rsid w:val="00103DD0"/>
    <w:rsid w:val="00104489"/>
    <w:rsid w:val="00104556"/>
    <w:rsid w:val="00110094"/>
    <w:rsid w:val="0011058E"/>
    <w:rsid w:val="00111B63"/>
    <w:rsid w:val="00112226"/>
    <w:rsid w:val="00112C24"/>
    <w:rsid w:val="001142D5"/>
    <w:rsid w:val="00114DD2"/>
    <w:rsid w:val="001150A9"/>
    <w:rsid w:val="0011546A"/>
    <w:rsid w:val="00115DB3"/>
    <w:rsid w:val="00116814"/>
    <w:rsid w:val="00117791"/>
    <w:rsid w:val="0012066B"/>
    <w:rsid w:val="001223F2"/>
    <w:rsid w:val="00122BB9"/>
    <w:rsid w:val="001243CC"/>
    <w:rsid w:val="00124405"/>
    <w:rsid w:val="00124D4F"/>
    <w:rsid w:val="00125F9E"/>
    <w:rsid w:val="001303CE"/>
    <w:rsid w:val="00131187"/>
    <w:rsid w:val="001312AC"/>
    <w:rsid w:val="001324F1"/>
    <w:rsid w:val="00134A58"/>
    <w:rsid w:val="001361B4"/>
    <w:rsid w:val="00136AA1"/>
    <w:rsid w:val="00137CAB"/>
    <w:rsid w:val="0014036B"/>
    <w:rsid w:val="00140B1B"/>
    <w:rsid w:val="00141213"/>
    <w:rsid w:val="00141B14"/>
    <w:rsid w:val="00143542"/>
    <w:rsid w:val="001449A8"/>
    <w:rsid w:val="00147C38"/>
    <w:rsid w:val="001515A5"/>
    <w:rsid w:val="00151749"/>
    <w:rsid w:val="00152D3D"/>
    <w:rsid w:val="00160C30"/>
    <w:rsid w:val="00161738"/>
    <w:rsid w:val="0016255F"/>
    <w:rsid w:val="00163A92"/>
    <w:rsid w:val="0016416B"/>
    <w:rsid w:val="00165B31"/>
    <w:rsid w:val="00166320"/>
    <w:rsid w:val="00167B83"/>
    <w:rsid w:val="00167DD7"/>
    <w:rsid w:val="00170143"/>
    <w:rsid w:val="00170E39"/>
    <w:rsid w:val="00172339"/>
    <w:rsid w:val="00182379"/>
    <w:rsid w:val="00183428"/>
    <w:rsid w:val="001841D1"/>
    <w:rsid w:val="00186A4A"/>
    <w:rsid w:val="00186E8F"/>
    <w:rsid w:val="00187045"/>
    <w:rsid w:val="00187080"/>
    <w:rsid w:val="001905EE"/>
    <w:rsid w:val="00190ADA"/>
    <w:rsid w:val="00191D3B"/>
    <w:rsid w:val="001946F7"/>
    <w:rsid w:val="00194E80"/>
    <w:rsid w:val="00195033"/>
    <w:rsid w:val="00197B80"/>
    <w:rsid w:val="001A017C"/>
    <w:rsid w:val="001A1D54"/>
    <w:rsid w:val="001A2976"/>
    <w:rsid w:val="001A3235"/>
    <w:rsid w:val="001A3536"/>
    <w:rsid w:val="001A3F2B"/>
    <w:rsid w:val="001A4344"/>
    <w:rsid w:val="001B28FB"/>
    <w:rsid w:val="001B2956"/>
    <w:rsid w:val="001B2BAE"/>
    <w:rsid w:val="001B3FEC"/>
    <w:rsid w:val="001B4C97"/>
    <w:rsid w:val="001B57C1"/>
    <w:rsid w:val="001B57ED"/>
    <w:rsid w:val="001B5B35"/>
    <w:rsid w:val="001B5BA9"/>
    <w:rsid w:val="001B7384"/>
    <w:rsid w:val="001B7D22"/>
    <w:rsid w:val="001B7FB6"/>
    <w:rsid w:val="001C1520"/>
    <w:rsid w:val="001C199B"/>
    <w:rsid w:val="001C2D43"/>
    <w:rsid w:val="001C59CC"/>
    <w:rsid w:val="001D02E3"/>
    <w:rsid w:val="001D0302"/>
    <w:rsid w:val="001D094D"/>
    <w:rsid w:val="001D10EB"/>
    <w:rsid w:val="001D1861"/>
    <w:rsid w:val="001D2766"/>
    <w:rsid w:val="001D34E9"/>
    <w:rsid w:val="001D3FF0"/>
    <w:rsid w:val="001D4314"/>
    <w:rsid w:val="001D446D"/>
    <w:rsid w:val="001D5096"/>
    <w:rsid w:val="001D5CAA"/>
    <w:rsid w:val="001D5DC4"/>
    <w:rsid w:val="001D5E90"/>
    <w:rsid w:val="001D77D5"/>
    <w:rsid w:val="001E1019"/>
    <w:rsid w:val="001E1B19"/>
    <w:rsid w:val="001E28B2"/>
    <w:rsid w:val="001E2A52"/>
    <w:rsid w:val="001E42C0"/>
    <w:rsid w:val="001E44C4"/>
    <w:rsid w:val="001E62C5"/>
    <w:rsid w:val="001E6376"/>
    <w:rsid w:val="001E65B5"/>
    <w:rsid w:val="001E71CB"/>
    <w:rsid w:val="001E7AC0"/>
    <w:rsid w:val="001E7F39"/>
    <w:rsid w:val="001F0145"/>
    <w:rsid w:val="001F1C4E"/>
    <w:rsid w:val="001F2D11"/>
    <w:rsid w:val="001F3448"/>
    <w:rsid w:val="001F3AE8"/>
    <w:rsid w:val="001F4758"/>
    <w:rsid w:val="001F492B"/>
    <w:rsid w:val="001F5148"/>
    <w:rsid w:val="001F545D"/>
    <w:rsid w:val="001F6923"/>
    <w:rsid w:val="00202426"/>
    <w:rsid w:val="002035C8"/>
    <w:rsid w:val="00205DC8"/>
    <w:rsid w:val="002063F7"/>
    <w:rsid w:val="00207A89"/>
    <w:rsid w:val="002110AC"/>
    <w:rsid w:val="00212CC9"/>
    <w:rsid w:val="00215924"/>
    <w:rsid w:val="00215B86"/>
    <w:rsid w:val="00215F0B"/>
    <w:rsid w:val="002174FB"/>
    <w:rsid w:val="002220AB"/>
    <w:rsid w:val="0022430E"/>
    <w:rsid w:val="00226343"/>
    <w:rsid w:val="002276F2"/>
    <w:rsid w:val="00231828"/>
    <w:rsid w:val="0023341A"/>
    <w:rsid w:val="00234705"/>
    <w:rsid w:val="00236C9F"/>
    <w:rsid w:val="00237059"/>
    <w:rsid w:val="00237BEA"/>
    <w:rsid w:val="0024313B"/>
    <w:rsid w:val="00243302"/>
    <w:rsid w:val="002443BA"/>
    <w:rsid w:val="00246E7B"/>
    <w:rsid w:val="00250E65"/>
    <w:rsid w:val="00251F98"/>
    <w:rsid w:val="00252803"/>
    <w:rsid w:val="0025476C"/>
    <w:rsid w:val="00257AE0"/>
    <w:rsid w:val="00261001"/>
    <w:rsid w:val="00263EC1"/>
    <w:rsid w:val="0026437F"/>
    <w:rsid w:val="00264403"/>
    <w:rsid w:val="002645D8"/>
    <w:rsid w:val="00264D9B"/>
    <w:rsid w:val="00265615"/>
    <w:rsid w:val="00266CE5"/>
    <w:rsid w:val="00270087"/>
    <w:rsid w:val="00271CC4"/>
    <w:rsid w:val="00273268"/>
    <w:rsid w:val="00274282"/>
    <w:rsid w:val="00274F99"/>
    <w:rsid w:val="00275DD4"/>
    <w:rsid w:val="00280913"/>
    <w:rsid w:val="00282FA9"/>
    <w:rsid w:val="002834DF"/>
    <w:rsid w:val="00283B26"/>
    <w:rsid w:val="0028594D"/>
    <w:rsid w:val="00286425"/>
    <w:rsid w:val="002901D7"/>
    <w:rsid w:val="00291814"/>
    <w:rsid w:val="00293299"/>
    <w:rsid w:val="0029361E"/>
    <w:rsid w:val="002944C4"/>
    <w:rsid w:val="002954E7"/>
    <w:rsid w:val="002970C9"/>
    <w:rsid w:val="002A4E24"/>
    <w:rsid w:val="002A6A0F"/>
    <w:rsid w:val="002B113A"/>
    <w:rsid w:val="002B3024"/>
    <w:rsid w:val="002B3087"/>
    <w:rsid w:val="002B4901"/>
    <w:rsid w:val="002B4E64"/>
    <w:rsid w:val="002C0BCC"/>
    <w:rsid w:val="002C1CD9"/>
    <w:rsid w:val="002C2079"/>
    <w:rsid w:val="002C2BB8"/>
    <w:rsid w:val="002C3F20"/>
    <w:rsid w:val="002C4263"/>
    <w:rsid w:val="002C45C2"/>
    <w:rsid w:val="002C58FF"/>
    <w:rsid w:val="002D24DE"/>
    <w:rsid w:val="002D2DAB"/>
    <w:rsid w:val="002D7812"/>
    <w:rsid w:val="002E1667"/>
    <w:rsid w:val="002E36E1"/>
    <w:rsid w:val="002E5197"/>
    <w:rsid w:val="002F099C"/>
    <w:rsid w:val="002F0CBB"/>
    <w:rsid w:val="002F1E42"/>
    <w:rsid w:val="002F2679"/>
    <w:rsid w:val="002F3232"/>
    <w:rsid w:val="002F3479"/>
    <w:rsid w:val="002F3BE0"/>
    <w:rsid w:val="00300E56"/>
    <w:rsid w:val="00302605"/>
    <w:rsid w:val="003028AE"/>
    <w:rsid w:val="003029CC"/>
    <w:rsid w:val="00306015"/>
    <w:rsid w:val="00307B77"/>
    <w:rsid w:val="00307EE1"/>
    <w:rsid w:val="00310E26"/>
    <w:rsid w:val="0031100B"/>
    <w:rsid w:val="00311398"/>
    <w:rsid w:val="003127D1"/>
    <w:rsid w:val="00312AEA"/>
    <w:rsid w:val="00312C07"/>
    <w:rsid w:val="00313565"/>
    <w:rsid w:val="003157DE"/>
    <w:rsid w:val="0031744E"/>
    <w:rsid w:val="003209E8"/>
    <w:rsid w:val="00321EB9"/>
    <w:rsid w:val="003222B9"/>
    <w:rsid w:val="00322422"/>
    <w:rsid w:val="003227A7"/>
    <w:rsid w:val="00324041"/>
    <w:rsid w:val="003255AF"/>
    <w:rsid w:val="00326925"/>
    <w:rsid w:val="0032736D"/>
    <w:rsid w:val="0033109A"/>
    <w:rsid w:val="00331551"/>
    <w:rsid w:val="0033293D"/>
    <w:rsid w:val="00333EE0"/>
    <w:rsid w:val="00337C90"/>
    <w:rsid w:val="00340C36"/>
    <w:rsid w:val="00352394"/>
    <w:rsid w:val="003551A6"/>
    <w:rsid w:val="00355285"/>
    <w:rsid w:val="003556B0"/>
    <w:rsid w:val="0035576C"/>
    <w:rsid w:val="003558D0"/>
    <w:rsid w:val="00356888"/>
    <w:rsid w:val="00356957"/>
    <w:rsid w:val="00360001"/>
    <w:rsid w:val="003619C0"/>
    <w:rsid w:val="003637A2"/>
    <w:rsid w:val="003673A9"/>
    <w:rsid w:val="0037052A"/>
    <w:rsid w:val="00370640"/>
    <w:rsid w:val="00371E79"/>
    <w:rsid w:val="00371FC0"/>
    <w:rsid w:val="00372B0E"/>
    <w:rsid w:val="003735A8"/>
    <w:rsid w:val="00377083"/>
    <w:rsid w:val="00377CF8"/>
    <w:rsid w:val="00380FD5"/>
    <w:rsid w:val="0038147F"/>
    <w:rsid w:val="00382BC1"/>
    <w:rsid w:val="00383C3E"/>
    <w:rsid w:val="00384845"/>
    <w:rsid w:val="00386F7B"/>
    <w:rsid w:val="00387CE3"/>
    <w:rsid w:val="00390450"/>
    <w:rsid w:val="003916FA"/>
    <w:rsid w:val="00394304"/>
    <w:rsid w:val="0039603B"/>
    <w:rsid w:val="003966E2"/>
    <w:rsid w:val="003A046C"/>
    <w:rsid w:val="003A5D20"/>
    <w:rsid w:val="003A5DBF"/>
    <w:rsid w:val="003B073F"/>
    <w:rsid w:val="003B2C8A"/>
    <w:rsid w:val="003B3513"/>
    <w:rsid w:val="003B42DD"/>
    <w:rsid w:val="003B454F"/>
    <w:rsid w:val="003B4BB0"/>
    <w:rsid w:val="003B66BF"/>
    <w:rsid w:val="003B7152"/>
    <w:rsid w:val="003C0350"/>
    <w:rsid w:val="003C0F95"/>
    <w:rsid w:val="003C307C"/>
    <w:rsid w:val="003C3783"/>
    <w:rsid w:val="003C4049"/>
    <w:rsid w:val="003C7832"/>
    <w:rsid w:val="003C7D3A"/>
    <w:rsid w:val="003C7E2F"/>
    <w:rsid w:val="003D1974"/>
    <w:rsid w:val="003D4D37"/>
    <w:rsid w:val="003D506C"/>
    <w:rsid w:val="003D6068"/>
    <w:rsid w:val="003D6AFA"/>
    <w:rsid w:val="003D7ED7"/>
    <w:rsid w:val="003E2BE7"/>
    <w:rsid w:val="003E343E"/>
    <w:rsid w:val="003E3A39"/>
    <w:rsid w:val="003E3B91"/>
    <w:rsid w:val="003E44C6"/>
    <w:rsid w:val="003E44C7"/>
    <w:rsid w:val="003E6172"/>
    <w:rsid w:val="003E6316"/>
    <w:rsid w:val="003F100A"/>
    <w:rsid w:val="003F280D"/>
    <w:rsid w:val="003F2A13"/>
    <w:rsid w:val="003F2FBC"/>
    <w:rsid w:val="003F48B8"/>
    <w:rsid w:val="003F6525"/>
    <w:rsid w:val="003F72ED"/>
    <w:rsid w:val="004009DC"/>
    <w:rsid w:val="0040329E"/>
    <w:rsid w:val="00404591"/>
    <w:rsid w:val="00405915"/>
    <w:rsid w:val="00407F87"/>
    <w:rsid w:val="00411CB8"/>
    <w:rsid w:val="00412852"/>
    <w:rsid w:val="00413644"/>
    <w:rsid w:val="004147D6"/>
    <w:rsid w:val="00416AF9"/>
    <w:rsid w:val="004177E2"/>
    <w:rsid w:val="0042009D"/>
    <w:rsid w:val="00423617"/>
    <w:rsid w:val="00423BBE"/>
    <w:rsid w:val="0042636D"/>
    <w:rsid w:val="00426E0D"/>
    <w:rsid w:val="0042788E"/>
    <w:rsid w:val="0043015D"/>
    <w:rsid w:val="004316CC"/>
    <w:rsid w:val="00431E97"/>
    <w:rsid w:val="00432CD2"/>
    <w:rsid w:val="004335AE"/>
    <w:rsid w:val="00433C9E"/>
    <w:rsid w:val="00433FEE"/>
    <w:rsid w:val="00437879"/>
    <w:rsid w:val="004416BA"/>
    <w:rsid w:val="00441C74"/>
    <w:rsid w:val="004436E5"/>
    <w:rsid w:val="00445648"/>
    <w:rsid w:val="00445A31"/>
    <w:rsid w:val="00446BCB"/>
    <w:rsid w:val="004474CC"/>
    <w:rsid w:val="0045032F"/>
    <w:rsid w:val="00451333"/>
    <w:rsid w:val="00452FF5"/>
    <w:rsid w:val="00457AE5"/>
    <w:rsid w:val="00457CF9"/>
    <w:rsid w:val="00460693"/>
    <w:rsid w:val="00460878"/>
    <w:rsid w:val="0046375E"/>
    <w:rsid w:val="00466474"/>
    <w:rsid w:val="00466536"/>
    <w:rsid w:val="00470C8D"/>
    <w:rsid w:val="00471133"/>
    <w:rsid w:val="00471188"/>
    <w:rsid w:val="00473D84"/>
    <w:rsid w:val="00474E83"/>
    <w:rsid w:val="00475BBC"/>
    <w:rsid w:val="0047672A"/>
    <w:rsid w:val="00476ADF"/>
    <w:rsid w:val="00476C76"/>
    <w:rsid w:val="00480304"/>
    <w:rsid w:val="0048275B"/>
    <w:rsid w:val="00482CB0"/>
    <w:rsid w:val="00482F01"/>
    <w:rsid w:val="00483008"/>
    <w:rsid w:val="004831DD"/>
    <w:rsid w:val="00485040"/>
    <w:rsid w:val="004850E4"/>
    <w:rsid w:val="004869AF"/>
    <w:rsid w:val="00487990"/>
    <w:rsid w:val="004879C2"/>
    <w:rsid w:val="00487A47"/>
    <w:rsid w:val="004901C8"/>
    <w:rsid w:val="004901F6"/>
    <w:rsid w:val="00492019"/>
    <w:rsid w:val="00492383"/>
    <w:rsid w:val="00493C54"/>
    <w:rsid w:val="004951B1"/>
    <w:rsid w:val="00496662"/>
    <w:rsid w:val="004A0489"/>
    <w:rsid w:val="004A1AA1"/>
    <w:rsid w:val="004A1F08"/>
    <w:rsid w:val="004A2E81"/>
    <w:rsid w:val="004A3E4E"/>
    <w:rsid w:val="004A3E64"/>
    <w:rsid w:val="004A4C83"/>
    <w:rsid w:val="004A582D"/>
    <w:rsid w:val="004A634D"/>
    <w:rsid w:val="004B0F50"/>
    <w:rsid w:val="004B54BC"/>
    <w:rsid w:val="004B5515"/>
    <w:rsid w:val="004B57CC"/>
    <w:rsid w:val="004B67B5"/>
    <w:rsid w:val="004B67D6"/>
    <w:rsid w:val="004B6A21"/>
    <w:rsid w:val="004B6E24"/>
    <w:rsid w:val="004B7914"/>
    <w:rsid w:val="004C03B8"/>
    <w:rsid w:val="004C06DC"/>
    <w:rsid w:val="004C44F3"/>
    <w:rsid w:val="004C4E91"/>
    <w:rsid w:val="004C5875"/>
    <w:rsid w:val="004C638A"/>
    <w:rsid w:val="004C67DB"/>
    <w:rsid w:val="004D0103"/>
    <w:rsid w:val="004D04EA"/>
    <w:rsid w:val="004D2C21"/>
    <w:rsid w:val="004D409B"/>
    <w:rsid w:val="004D6441"/>
    <w:rsid w:val="004D6C2D"/>
    <w:rsid w:val="004E0EEA"/>
    <w:rsid w:val="004E2F80"/>
    <w:rsid w:val="004E53B6"/>
    <w:rsid w:val="004E5781"/>
    <w:rsid w:val="004E5B20"/>
    <w:rsid w:val="004E76F7"/>
    <w:rsid w:val="004E7BB2"/>
    <w:rsid w:val="004F1AA1"/>
    <w:rsid w:val="004F233B"/>
    <w:rsid w:val="004F27E7"/>
    <w:rsid w:val="00502277"/>
    <w:rsid w:val="00502F60"/>
    <w:rsid w:val="005043AB"/>
    <w:rsid w:val="005051E2"/>
    <w:rsid w:val="005060F8"/>
    <w:rsid w:val="00506E20"/>
    <w:rsid w:val="00507062"/>
    <w:rsid w:val="0050765A"/>
    <w:rsid w:val="005078ED"/>
    <w:rsid w:val="0051010A"/>
    <w:rsid w:val="0051176E"/>
    <w:rsid w:val="00511F4D"/>
    <w:rsid w:val="00514563"/>
    <w:rsid w:val="00515A0B"/>
    <w:rsid w:val="0051673E"/>
    <w:rsid w:val="00517E8E"/>
    <w:rsid w:val="00520822"/>
    <w:rsid w:val="00522EBF"/>
    <w:rsid w:val="005231AD"/>
    <w:rsid w:val="00525EB0"/>
    <w:rsid w:val="00526DBC"/>
    <w:rsid w:val="00527A7F"/>
    <w:rsid w:val="00527BE2"/>
    <w:rsid w:val="005311C0"/>
    <w:rsid w:val="00531C64"/>
    <w:rsid w:val="00533EA9"/>
    <w:rsid w:val="00540BD0"/>
    <w:rsid w:val="0054145F"/>
    <w:rsid w:val="00544C7A"/>
    <w:rsid w:val="0054779B"/>
    <w:rsid w:val="00547C88"/>
    <w:rsid w:val="00547D94"/>
    <w:rsid w:val="00550227"/>
    <w:rsid w:val="00551EF6"/>
    <w:rsid w:val="00552405"/>
    <w:rsid w:val="005526DB"/>
    <w:rsid w:val="00552BE3"/>
    <w:rsid w:val="00553C65"/>
    <w:rsid w:val="00554B9A"/>
    <w:rsid w:val="00555967"/>
    <w:rsid w:val="0055624E"/>
    <w:rsid w:val="00556A11"/>
    <w:rsid w:val="00557562"/>
    <w:rsid w:val="005577AD"/>
    <w:rsid w:val="00557F13"/>
    <w:rsid w:val="0056172B"/>
    <w:rsid w:val="005617F1"/>
    <w:rsid w:val="00563E3B"/>
    <w:rsid w:val="00565A4A"/>
    <w:rsid w:val="00570C93"/>
    <w:rsid w:val="00572968"/>
    <w:rsid w:val="00573825"/>
    <w:rsid w:val="00580021"/>
    <w:rsid w:val="00582160"/>
    <w:rsid w:val="0058230C"/>
    <w:rsid w:val="005842DF"/>
    <w:rsid w:val="005859E7"/>
    <w:rsid w:val="00585C16"/>
    <w:rsid w:val="00586084"/>
    <w:rsid w:val="00586465"/>
    <w:rsid w:val="005867F9"/>
    <w:rsid w:val="0059345C"/>
    <w:rsid w:val="005942CD"/>
    <w:rsid w:val="00594E80"/>
    <w:rsid w:val="0059610C"/>
    <w:rsid w:val="00596A07"/>
    <w:rsid w:val="005A1AB3"/>
    <w:rsid w:val="005A2921"/>
    <w:rsid w:val="005A2D12"/>
    <w:rsid w:val="005A3769"/>
    <w:rsid w:val="005A537E"/>
    <w:rsid w:val="005B0308"/>
    <w:rsid w:val="005B1C82"/>
    <w:rsid w:val="005B4884"/>
    <w:rsid w:val="005B553F"/>
    <w:rsid w:val="005C09CF"/>
    <w:rsid w:val="005C0D6C"/>
    <w:rsid w:val="005C1012"/>
    <w:rsid w:val="005C1B00"/>
    <w:rsid w:val="005C1E9E"/>
    <w:rsid w:val="005C47AF"/>
    <w:rsid w:val="005C6CED"/>
    <w:rsid w:val="005D16B3"/>
    <w:rsid w:val="005D3925"/>
    <w:rsid w:val="005D6427"/>
    <w:rsid w:val="005D6730"/>
    <w:rsid w:val="005D7319"/>
    <w:rsid w:val="005D73C6"/>
    <w:rsid w:val="005D7E4F"/>
    <w:rsid w:val="005E023A"/>
    <w:rsid w:val="005E048F"/>
    <w:rsid w:val="005E0DB9"/>
    <w:rsid w:val="005E407F"/>
    <w:rsid w:val="005E655B"/>
    <w:rsid w:val="005F07E7"/>
    <w:rsid w:val="005F1087"/>
    <w:rsid w:val="005F169E"/>
    <w:rsid w:val="005F1DE8"/>
    <w:rsid w:val="005F1FCC"/>
    <w:rsid w:val="005F2DC1"/>
    <w:rsid w:val="005F2E81"/>
    <w:rsid w:val="005F7422"/>
    <w:rsid w:val="00602A24"/>
    <w:rsid w:val="006049BC"/>
    <w:rsid w:val="006102F5"/>
    <w:rsid w:val="00610A52"/>
    <w:rsid w:val="006114BB"/>
    <w:rsid w:val="00613D2E"/>
    <w:rsid w:val="00614EA6"/>
    <w:rsid w:val="0061640E"/>
    <w:rsid w:val="00617880"/>
    <w:rsid w:val="00617FFA"/>
    <w:rsid w:val="00620945"/>
    <w:rsid w:val="00621239"/>
    <w:rsid w:val="00621F68"/>
    <w:rsid w:val="00622083"/>
    <w:rsid w:val="00622478"/>
    <w:rsid w:val="00622987"/>
    <w:rsid w:val="00622E5C"/>
    <w:rsid w:val="0062372E"/>
    <w:rsid w:val="00624EB1"/>
    <w:rsid w:val="006260C8"/>
    <w:rsid w:val="006300CC"/>
    <w:rsid w:val="006313EF"/>
    <w:rsid w:val="00631A13"/>
    <w:rsid w:val="0063229B"/>
    <w:rsid w:val="006355E4"/>
    <w:rsid w:val="00635864"/>
    <w:rsid w:val="00636760"/>
    <w:rsid w:val="00637B79"/>
    <w:rsid w:val="0064177F"/>
    <w:rsid w:val="00641E39"/>
    <w:rsid w:val="00642D79"/>
    <w:rsid w:val="00643349"/>
    <w:rsid w:val="00643496"/>
    <w:rsid w:val="006439F5"/>
    <w:rsid w:val="00644110"/>
    <w:rsid w:val="00644BE8"/>
    <w:rsid w:val="00647950"/>
    <w:rsid w:val="00651396"/>
    <w:rsid w:val="00651CE2"/>
    <w:rsid w:val="00653023"/>
    <w:rsid w:val="006533F2"/>
    <w:rsid w:val="0065415D"/>
    <w:rsid w:val="00656B69"/>
    <w:rsid w:val="006573C2"/>
    <w:rsid w:val="006578BC"/>
    <w:rsid w:val="00660FC1"/>
    <w:rsid w:val="006637EA"/>
    <w:rsid w:val="0066419B"/>
    <w:rsid w:val="00664381"/>
    <w:rsid w:val="006647E1"/>
    <w:rsid w:val="00666B06"/>
    <w:rsid w:val="006672EA"/>
    <w:rsid w:val="00671840"/>
    <w:rsid w:val="00674677"/>
    <w:rsid w:val="00674DC0"/>
    <w:rsid w:val="00675336"/>
    <w:rsid w:val="00676057"/>
    <w:rsid w:val="0068016C"/>
    <w:rsid w:val="00681CBE"/>
    <w:rsid w:val="00685D73"/>
    <w:rsid w:val="00686BA2"/>
    <w:rsid w:val="00690F8D"/>
    <w:rsid w:val="006915D1"/>
    <w:rsid w:val="00694444"/>
    <w:rsid w:val="0069686B"/>
    <w:rsid w:val="00696A34"/>
    <w:rsid w:val="006A0462"/>
    <w:rsid w:val="006A1996"/>
    <w:rsid w:val="006A1B4C"/>
    <w:rsid w:val="006A1BB6"/>
    <w:rsid w:val="006A3653"/>
    <w:rsid w:val="006A4C9D"/>
    <w:rsid w:val="006A713A"/>
    <w:rsid w:val="006A74B6"/>
    <w:rsid w:val="006A785A"/>
    <w:rsid w:val="006A7E25"/>
    <w:rsid w:val="006B0BC1"/>
    <w:rsid w:val="006B109A"/>
    <w:rsid w:val="006B1F7D"/>
    <w:rsid w:val="006B2D6E"/>
    <w:rsid w:val="006B4FEA"/>
    <w:rsid w:val="006B5A95"/>
    <w:rsid w:val="006B5EB5"/>
    <w:rsid w:val="006B6ED0"/>
    <w:rsid w:val="006B7DDD"/>
    <w:rsid w:val="006C1317"/>
    <w:rsid w:val="006C14A1"/>
    <w:rsid w:val="006C156B"/>
    <w:rsid w:val="006C16C1"/>
    <w:rsid w:val="006C1BB5"/>
    <w:rsid w:val="006C40C7"/>
    <w:rsid w:val="006C41D7"/>
    <w:rsid w:val="006C47CD"/>
    <w:rsid w:val="006C4EC0"/>
    <w:rsid w:val="006C5219"/>
    <w:rsid w:val="006C618E"/>
    <w:rsid w:val="006C7663"/>
    <w:rsid w:val="006C7C0C"/>
    <w:rsid w:val="006C7C4D"/>
    <w:rsid w:val="006D0F08"/>
    <w:rsid w:val="006D20CD"/>
    <w:rsid w:val="006D4045"/>
    <w:rsid w:val="006D4B50"/>
    <w:rsid w:val="006D4BB8"/>
    <w:rsid w:val="006D6CFE"/>
    <w:rsid w:val="006D6E4C"/>
    <w:rsid w:val="006D7E58"/>
    <w:rsid w:val="006D7F86"/>
    <w:rsid w:val="006E09DD"/>
    <w:rsid w:val="006E0A36"/>
    <w:rsid w:val="006E1CF2"/>
    <w:rsid w:val="006E4BD0"/>
    <w:rsid w:val="006E59AC"/>
    <w:rsid w:val="006E5EF4"/>
    <w:rsid w:val="006F0AB5"/>
    <w:rsid w:val="006F14A8"/>
    <w:rsid w:val="006F16AC"/>
    <w:rsid w:val="006F247C"/>
    <w:rsid w:val="006F3B63"/>
    <w:rsid w:val="006F470B"/>
    <w:rsid w:val="006F4DD4"/>
    <w:rsid w:val="006F58E5"/>
    <w:rsid w:val="006F72EC"/>
    <w:rsid w:val="006F7D4F"/>
    <w:rsid w:val="006F7EFA"/>
    <w:rsid w:val="00700F88"/>
    <w:rsid w:val="00702976"/>
    <w:rsid w:val="00702B53"/>
    <w:rsid w:val="00703039"/>
    <w:rsid w:val="0070513D"/>
    <w:rsid w:val="00705DBD"/>
    <w:rsid w:val="00706969"/>
    <w:rsid w:val="00706CF4"/>
    <w:rsid w:val="00706D2B"/>
    <w:rsid w:val="007071DA"/>
    <w:rsid w:val="00710D32"/>
    <w:rsid w:val="0071187A"/>
    <w:rsid w:val="00714269"/>
    <w:rsid w:val="00714C49"/>
    <w:rsid w:val="00717588"/>
    <w:rsid w:val="0072070D"/>
    <w:rsid w:val="00720842"/>
    <w:rsid w:val="00720ECC"/>
    <w:rsid w:val="00725C51"/>
    <w:rsid w:val="00726E5B"/>
    <w:rsid w:val="00727507"/>
    <w:rsid w:val="00730541"/>
    <w:rsid w:val="007327DA"/>
    <w:rsid w:val="00732F01"/>
    <w:rsid w:val="0073335B"/>
    <w:rsid w:val="00734BF4"/>
    <w:rsid w:val="00735D47"/>
    <w:rsid w:val="00736CBA"/>
    <w:rsid w:val="00736D24"/>
    <w:rsid w:val="007373CE"/>
    <w:rsid w:val="00741F6F"/>
    <w:rsid w:val="00743E08"/>
    <w:rsid w:val="0074419C"/>
    <w:rsid w:val="00744CBA"/>
    <w:rsid w:val="00744CD0"/>
    <w:rsid w:val="007460EE"/>
    <w:rsid w:val="007463B7"/>
    <w:rsid w:val="0074666E"/>
    <w:rsid w:val="00753F4A"/>
    <w:rsid w:val="007621FA"/>
    <w:rsid w:val="00763526"/>
    <w:rsid w:val="007649A8"/>
    <w:rsid w:val="00765601"/>
    <w:rsid w:val="00765FE0"/>
    <w:rsid w:val="00766C98"/>
    <w:rsid w:val="00766F83"/>
    <w:rsid w:val="00767440"/>
    <w:rsid w:val="007700FD"/>
    <w:rsid w:val="007709CC"/>
    <w:rsid w:val="00771CB2"/>
    <w:rsid w:val="00772C9B"/>
    <w:rsid w:val="00773DBB"/>
    <w:rsid w:val="007754C8"/>
    <w:rsid w:val="00777687"/>
    <w:rsid w:val="00777E6F"/>
    <w:rsid w:val="007809AA"/>
    <w:rsid w:val="0078102C"/>
    <w:rsid w:val="00781678"/>
    <w:rsid w:val="007816AB"/>
    <w:rsid w:val="00781A4E"/>
    <w:rsid w:val="00784DEC"/>
    <w:rsid w:val="00785452"/>
    <w:rsid w:val="0078710B"/>
    <w:rsid w:val="00787375"/>
    <w:rsid w:val="00787AD6"/>
    <w:rsid w:val="00787D09"/>
    <w:rsid w:val="00790052"/>
    <w:rsid w:val="0079022D"/>
    <w:rsid w:val="007903FB"/>
    <w:rsid w:val="00792A2B"/>
    <w:rsid w:val="00792BD1"/>
    <w:rsid w:val="00793682"/>
    <w:rsid w:val="00794BA6"/>
    <w:rsid w:val="007952E8"/>
    <w:rsid w:val="007955D6"/>
    <w:rsid w:val="00796598"/>
    <w:rsid w:val="0079700F"/>
    <w:rsid w:val="00797319"/>
    <w:rsid w:val="007A0077"/>
    <w:rsid w:val="007A1177"/>
    <w:rsid w:val="007A1559"/>
    <w:rsid w:val="007A2F16"/>
    <w:rsid w:val="007A39F6"/>
    <w:rsid w:val="007A3E35"/>
    <w:rsid w:val="007A4C5A"/>
    <w:rsid w:val="007A5306"/>
    <w:rsid w:val="007A5C3F"/>
    <w:rsid w:val="007A5CBC"/>
    <w:rsid w:val="007A60B4"/>
    <w:rsid w:val="007A6216"/>
    <w:rsid w:val="007A7140"/>
    <w:rsid w:val="007B2282"/>
    <w:rsid w:val="007B484B"/>
    <w:rsid w:val="007B6525"/>
    <w:rsid w:val="007B6DA9"/>
    <w:rsid w:val="007C0463"/>
    <w:rsid w:val="007C0511"/>
    <w:rsid w:val="007C0D39"/>
    <w:rsid w:val="007C12CF"/>
    <w:rsid w:val="007C1A5B"/>
    <w:rsid w:val="007C1BEF"/>
    <w:rsid w:val="007C1F83"/>
    <w:rsid w:val="007C2D3F"/>
    <w:rsid w:val="007C335B"/>
    <w:rsid w:val="007C3AC1"/>
    <w:rsid w:val="007C4916"/>
    <w:rsid w:val="007C6593"/>
    <w:rsid w:val="007D0DCA"/>
    <w:rsid w:val="007D11FE"/>
    <w:rsid w:val="007D294D"/>
    <w:rsid w:val="007D2EB4"/>
    <w:rsid w:val="007D3570"/>
    <w:rsid w:val="007D3BEB"/>
    <w:rsid w:val="007D57DC"/>
    <w:rsid w:val="007D7347"/>
    <w:rsid w:val="007E0560"/>
    <w:rsid w:val="007E29BD"/>
    <w:rsid w:val="007E3241"/>
    <w:rsid w:val="007E35BF"/>
    <w:rsid w:val="007E5765"/>
    <w:rsid w:val="007E70F0"/>
    <w:rsid w:val="007E7BA4"/>
    <w:rsid w:val="007F1A1D"/>
    <w:rsid w:val="007F1AC4"/>
    <w:rsid w:val="007F2B21"/>
    <w:rsid w:val="007F49F4"/>
    <w:rsid w:val="007F51CE"/>
    <w:rsid w:val="007F5227"/>
    <w:rsid w:val="007F585F"/>
    <w:rsid w:val="007F69B0"/>
    <w:rsid w:val="0080237B"/>
    <w:rsid w:val="0080276D"/>
    <w:rsid w:val="00807819"/>
    <w:rsid w:val="00807FCD"/>
    <w:rsid w:val="00810474"/>
    <w:rsid w:val="008106BB"/>
    <w:rsid w:val="00810A3D"/>
    <w:rsid w:val="00810F8D"/>
    <w:rsid w:val="00811A01"/>
    <w:rsid w:val="0081310C"/>
    <w:rsid w:val="00813908"/>
    <w:rsid w:val="008141C2"/>
    <w:rsid w:val="00814D72"/>
    <w:rsid w:val="00814FA2"/>
    <w:rsid w:val="00815899"/>
    <w:rsid w:val="00815A05"/>
    <w:rsid w:val="0081748B"/>
    <w:rsid w:val="00820DF5"/>
    <w:rsid w:val="00822CF2"/>
    <w:rsid w:val="008250FB"/>
    <w:rsid w:val="008269D3"/>
    <w:rsid w:val="00826F9A"/>
    <w:rsid w:val="008274B0"/>
    <w:rsid w:val="00830211"/>
    <w:rsid w:val="00831AF3"/>
    <w:rsid w:val="00831B59"/>
    <w:rsid w:val="008329CB"/>
    <w:rsid w:val="00832D26"/>
    <w:rsid w:val="008341C0"/>
    <w:rsid w:val="00836CD8"/>
    <w:rsid w:val="0084083E"/>
    <w:rsid w:val="00840A85"/>
    <w:rsid w:val="00840A9F"/>
    <w:rsid w:val="0084126E"/>
    <w:rsid w:val="00843034"/>
    <w:rsid w:val="00843B73"/>
    <w:rsid w:val="008445B8"/>
    <w:rsid w:val="00844C59"/>
    <w:rsid w:val="00845A8F"/>
    <w:rsid w:val="0084718F"/>
    <w:rsid w:val="008476FD"/>
    <w:rsid w:val="00850E90"/>
    <w:rsid w:val="00850F60"/>
    <w:rsid w:val="00852ED0"/>
    <w:rsid w:val="00854319"/>
    <w:rsid w:val="00861232"/>
    <w:rsid w:val="0086154F"/>
    <w:rsid w:val="00861936"/>
    <w:rsid w:val="00862854"/>
    <w:rsid w:val="00863EA4"/>
    <w:rsid w:val="008654A9"/>
    <w:rsid w:val="00865A53"/>
    <w:rsid w:val="008700E7"/>
    <w:rsid w:val="00872BD4"/>
    <w:rsid w:val="00873826"/>
    <w:rsid w:val="00876166"/>
    <w:rsid w:val="00876B75"/>
    <w:rsid w:val="008800D4"/>
    <w:rsid w:val="008802F3"/>
    <w:rsid w:val="00880E9E"/>
    <w:rsid w:val="00882221"/>
    <w:rsid w:val="00883A5E"/>
    <w:rsid w:val="008844F1"/>
    <w:rsid w:val="00886367"/>
    <w:rsid w:val="00890329"/>
    <w:rsid w:val="00890483"/>
    <w:rsid w:val="00893A61"/>
    <w:rsid w:val="008944BD"/>
    <w:rsid w:val="00894C02"/>
    <w:rsid w:val="00896D38"/>
    <w:rsid w:val="00897E77"/>
    <w:rsid w:val="008A17B6"/>
    <w:rsid w:val="008A2620"/>
    <w:rsid w:val="008A545E"/>
    <w:rsid w:val="008A5650"/>
    <w:rsid w:val="008A73A2"/>
    <w:rsid w:val="008A7E89"/>
    <w:rsid w:val="008B22BE"/>
    <w:rsid w:val="008B286C"/>
    <w:rsid w:val="008B3338"/>
    <w:rsid w:val="008B3571"/>
    <w:rsid w:val="008B456A"/>
    <w:rsid w:val="008B4BFA"/>
    <w:rsid w:val="008C2B9A"/>
    <w:rsid w:val="008C426F"/>
    <w:rsid w:val="008D0022"/>
    <w:rsid w:val="008D0428"/>
    <w:rsid w:val="008D0C50"/>
    <w:rsid w:val="008D1995"/>
    <w:rsid w:val="008D1EF5"/>
    <w:rsid w:val="008D556A"/>
    <w:rsid w:val="008D5908"/>
    <w:rsid w:val="008D76DD"/>
    <w:rsid w:val="008D7FA8"/>
    <w:rsid w:val="008E1426"/>
    <w:rsid w:val="008E1745"/>
    <w:rsid w:val="008E4A3D"/>
    <w:rsid w:val="008E6013"/>
    <w:rsid w:val="008E7EE8"/>
    <w:rsid w:val="008F1965"/>
    <w:rsid w:val="008F244B"/>
    <w:rsid w:val="008F3FF4"/>
    <w:rsid w:val="008F4193"/>
    <w:rsid w:val="008F55BC"/>
    <w:rsid w:val="008F7145"/>
    <w:rsid w:val="008F7870"/>
    <w:rsid w:val="009000C6"/>
    <w:rsid w:val="009014DE"/>
    <w:rsid w:val="009024DA"/>
    <w:rsid w:val="00902D47"/>
    <w:rsid w:val="0090316D"/>
    <w:rsid w:val="00903564"/>
    <w:rsid w:val="00903D82"/>
    <w:rsid w:val="00904BF9"/>
    <w:rsid w:val="00904CE4"/>
    <w:rsid w:val="009051D5"/>
    <w:rsid w:val="00905B9C"/>
    <w:rsid w:val="00905E48"/>
    <w:rsid w:val="0091179F"/>
    <w:rsid w:val="00912F83"/>
    <w:rsid w:val="00913B4C"/>
    <w:rsid w:val="009148FA"/>
    <w:rsid w:val="00914B70"/>
    <w:rsid w:val="00915370"/>
    <w:rsid w:val="00915555"/>
    <w:rsid w:val="00920E8D"/>
    <w:rsid w:val="00921318"/>
    <w:rsid w:val="00922CAE"/>
    <w:rsid w:val="00925C42"/>
    <w:rsid w:val="00926967"/>
    <w:rsid w:val="00927AA5"/>
    <w:rsid w:val="00927DD9"/>
    <w:rsid w:val="009305AE"/>
    <w:rsid w:val="00930630"/>
    <w:rsid w:val="00931332"/>
    <w:rsid w:val="00933FC2"/>
    <w:rsid w:val="00935736"/>
    <w:rsid w:val="0093725F"/>
    <w:rsid w:val="00937B57"/>
    <w:rsid w:val="00937ECC"/>
    <w:rsid w:val="00943EF0"/>
    <w:rsid w:val="00944B4D"/>
    <w:rsid w:val="00945023"/>
    <w:rsid w:val="00947069"/>
    <w:rsid w:val="00947FB0"/>
    <w:rsid w:val="0095017D"/>
    <w:rsid w:val="00951C3C"/>
    <w:rsid w:val="00955C2E"/>
    <w:rsid w:val="00957B47"/>
    <w:rsid w:val="00960050"/>
    <w:rsid w:val="009618F3"/>
    <w:rsid w:val="009625A1"/>
    <w:rsid w:val="00964417"/>
    <w:rsid w:val="009652B2"/>
    <w:rsid w:val="00970BD6"/>
    <w:rsid w:val="00970FCB"/>
    <w:rsid w:val="009738A3"/>
    <w:rsid w:val="00975078"/>
    <w:rsid w:val="0097584D"/>
    <w:rsid w:val="009777F5"/>
    <w:rsid w:val="00980C68"/>
    <w:rsid w:val="0098152F"/>
    <w:rsid w:val="0098252A"/>
    <w:rsid w:val="009865E7"/>
    <w:rsid w:val="00990AFA"/>
    <w:rsid w:val="00992AF7"/>
    <w:rsid w:val="00993051"/>
    <w:rsid w:val="00994C95"/>
    <w:rsid w:val="0099652F"/>
    <w:rsid w:val="009A1559"/>
    <w:rsid w:val="009A1967"/>
    <w:rsid w:val="009A40E9"/>
    <w:rsid w:val="009A4118"/>
    <w:rsid w:val="009A4290"/>
    <w:rsid w:val="009A67A9"/>
    <w:rsid w:val="009A69AD"/>
    <w:rsid w:val="009A69E8"/>
    <w:rsid w:val="009B0816"/>
    <w:rsid w:val="009B152D"/>
    <w:rsid w:val="009B1847"/>
    <w:rsid w:val="009B333B"/>
    <w:rsid w:val="009B5B3E"/>
    <w:rsid w:val="009B66F9"/>
    <w:rsid w:val="009B6895"/>
    <w:rsid w:val="009B6DD1"/>
    <w:rsid w:val="009C060D"/>
    <w:rsid w:val="009C0ECE"/>
    <w:rsid w:val="009C0F0F"/>
    <w:rsid w:val="009C234D"/>
    <w:rsid w:val="009C319F"/>
    <w:rsid w:val="009C3935"/>
    <w:rsid w:val="009C47DA"/>
    <w:rsid w:val="009C51D5"/>
    <w:rsid w:val="009C55AA"/>
    <w:rsid w:val="009C66C3"/>
    <w:rsid w:val="009D0D92"/>
    <w:rsid w:val="009D2364"/>
    <w:rsid w:val="009D274E"/>
    <w:rsid w:val="009D2B2E"/>
    <w:rsid w:val="009D2CE3"/>
    <w:rsid w:val="009D3D6A"/>
    <w:rsid w:val="009D4152"/>
    <w:rsid w:val="009D71C8"/>
    <w:rsid w:val="009D77A9"/>
    <w:rsid w:val="009E0827"/>
    <w:rsid w:val="009E17C4"/>
    <w:rsid w:val="009E1CA7"/>
    <w:rsid w:val="009E1D77"/>
    <w:rsid w:val="009E2077"/>
    <w:rsid w:val="009E3035"/>
    <w:rsid w:val="009E75A1"/>
    <w:rsid w:val="009E79C7"/>
    <w:rsid w:val="009E7D39"/>
    <w:rsid w:val="009F01F9"/>
    <w:rsid w:val="009F0C65"/>
    <w:rsid w:val="009F17EA"/>
    <w:rsid w:val="009F38E1"/>
    <w:rsid w:val="009F444F"/>
    <w:rsid w:val="009F5D40"/>
    <w:rsid w:val="009F6539"/>
    <w:rsid w:val="009F6ED3"/>
    <w:rsid w:val="009F756E"/>
    <w:rsid w:val="009F7604"/>
    <w:rsid w:val="00A01F75"/>
    <w:rsid w:val="00A01FA0"/>
    <w:rsid w:val="00A032D7"/>
    <w:rsid w:val="00A03D77"/>
    <w:rsid w:val="00A05124"/>
    <w:rsid w:val="00A054AA"/>
    <w:rsid w:val="00A10F90"/>
    <w:rsid w:val="00A11A9E"/>
    <w:rsid w:val="00A1274E"/>
    <w:rsid w:val="00A1389E"/>
    <w:rsid w:val="00A146BD"/>
    <w:rsid w:val="00A15238"/>
    <w:rsid w:val="00A15962"/>
    <w:rsid w:val="00A15D6F"/>
    <w:rsid w:val="00A16FEA"/>
    <w:rsid w:val="00A178D4"/>
    <w:rsid w:val="00A22FAD"/>
    <w:rsid w:val="00A234C7"/>
    <w:rsid w:val="00A23938"/>
    <w:rsid w:val="00A253C4"/>
    <w:rsid w:val="00A262E6"/>
    <w:rsid w:val="00A2678E"/>
    <w:rsid w:val="00A32760"/>
    <w:rsid w:val="00A3385E"/>
    <w:rsid w:val="00A3508F"/>
    <w:rsid w:val="00A3575E"/>
    <w:rsid w:val="00A37948"/>
    <w:rsid w:val="00A37B31"/>
    <w:rsid w:val="00A4014A"/>
    <w:rsid w:val="00A423C3"/>
    <w:rsid w:val="00A44551"/>
    <w:rsid w:val="00A452E5"/>
    <w:rsid w:val="00A455D1"/>
    <w:rsid w:val="00A47DD8"/>
    <w:rsid w:val="00A50B58"/>
    <w:rsid w:val="00A54338"/>
    <w:rsid w:val="00A54D75"/>
    <w:rsid w:val="00A55E0B"/>
    <w:rsid w:val="00A56358"/>
    <w:rsid w:val="00A56E29"/>
    <w:rsid w:val="00A57841"/>
    <w:rsid w:val="00A57F2B"/>
    <w:rsid w:val="00A60C54"/>
    <w:rsid w:val="00A61431"/>
    <w:rsid w:val="00A616F0"/>
    <w:rsid w:val="00A618F7"/>
    <w:rsid w:val="00A624BF"/>
    <w:rsid w:val="00A63452"/>
    <w:rsid w:val="00A644CF"/>
    <w:rsid w:val="00A64A4A"/>
    <w:rsid w:val="00A64BC4"/>
    <w:rsid w:val="00A650D4"/>
    <w:rsid w:val="00A677AA"/>
    <w:rsid w:val="00A67DB5"/>
    <w:rsid w:val="00A70BE0"/>
    <w:rsid w:val="00A70CC7"/>
    <w:rsid w:val="00A72FAD"/>
    <w:rsid w:val="00A74A66"/>
    <w:rsid w:val="00A812D1"/>
    <w:rsid w:val="00A84319"/>
    <w:rsid w:val="00A84CA4"/>
    <w:rsid w:val="00A85184"/>
    <w:rsid w:val="00A87E2A"/>
    <w:rsid w:val="00A901D5"/>
    <w:rsid w:val="00A90969"/>
    <w:rsid w:val="00A91426"/>
    <w:rsid w:val="00A918AE"/>
    <w:rsid w:val="00A92E86"/>
    <w:rsid w:val="00A93B49"/>
    <w:rsid w:val="00A941EE"/>
    <w:rsid w:val="00A966B2"/>
    <w:rsid w:val="00A9761D"/>
    <w:rsid w:val="00AA3503"/>
    <w:rsid w:val="00AA527E"/>
    <w:rsid w:val="00AA75A1"/>
    <w:rsid w:val="00AB0AD1"/>
    <w:rsid w:val="00AB13E0"/>
    <w:rsid w:val="00AB1D7D"/>
    <w:rsid w:val="00AB26CA"/>
    <w:rsid w:val="00AB32E5"/>
    <w:rsid w:val="00AB3591"/>
    <w:rsid w:val="00AB40FB"/>
    <w:rsid w:val="00AB4184"/>
    <w:rsid w:val="00AB5589"/>
    <w:rsid w:val="00AC14E3"/>
    <w:rsid w:val="00AC17B4"/>
    <w:rsid w:val="00AC1E66"/>
    <w:rsid w:val="00AC65D3"/>
    <w:rsid w:val="00AC6B29"/>
    <w:rsid w:val="00AC7FC1"/>
    <w:rsid w:val="00AD03AD"/>
    <w:rsid w:val="00AD1598"/>
    <w:rsid w:val="00AD1EBC"/>
    <w:rsid w:val="00AD3366"/>
    <w:rsid w:val="00AD4C43"/>
    <w:rsid w:val="00AD6620"/>
    <w:rsid w:val="00AE1453"/>
    <w:rsid w:val="00AE222A"/>
    <w:rsid w:val="00AE515C"/>
    <w:rsid w:val="00AE59AF"/>
    <w:rsid w:val="00AE5F5A"/>
    <w:rsid w:val="00AE7FBC"/>
    <w:rsid w:val="00AF04FA"/>
    <w:rsid w:val="00AF2026"/>
    <w:rsid w:val="00AF4EAA"/>
    <w:rsid w:val="00B00043"/>
    <w:rsid w:val="00B00E1F"/>
    <w:rsid w:val="00B103C8"/>
    <w:rsid w:val="00B10BF6"/>
    <w:rsid w:val="00B11907"/>
    <w:rsid w:val="00B12403"/>
    <w:rsid w:val="00B127BF"/>
    <w:rsid w:val="00B137B6"/>
    <w:rsid w:val="00B15B1F"/>
    <w:rsid w:val="00B16A87"/>
    <w:rsid w:val="00B21E25"/>
    <w:rsid w:val="00B22612"/>
    <w:rsid w:val="00B231CC"/>
    <w:rsid w:val="00B239AD"/>
    <w:rsid w:val="00B24807"/>
    <w:rsid w:val="00B24903"/>
    <w:rsid w:val="00B24A65"/>
    <w:rsid w:val="00B259BC"/>
    <w:rsid w:val="00B25DF8"/>
    <w:rsid w:val="00B25F51"/>
    <w:rsid w:val="00B3026B"/>
    <w:rsid w:val="00B322C7"/>
    <w:rsid w:val="00B325CB"/>
    <w:rsid w:val="00B3287A"/>
    <w:rsid w:val="00B33F54"/>
    <w:rsid w:val="00B34717"/>
    <w:rsid w:val="00B356B0"/>
    <w:rsid w:val="00B358EF"/>
    <w:rsid w:val="00B377AF"/>
    <w:rsid w:val="00B40601"/>
    <w:rsid w:val="00B40822"/>
    <w:rsid w:val="00B40872"/>
    <w:rsid w:val="00B41358"/>
    <w:rsid w:val="00B416CC"/>
    <w:rsid w:val="00B41FC4"/>
    <w:rsid w:val="00B43E16"/>
    <w:rsid w:val="00B44EF2"/>
    <w:rsid w:val="00B46480"/>
    <w:rsid w:val="00B474E9"/>
    <w:rsid w:val="00B47E19"/>
    <w:rsid w:val="00B47F55"/>
    <w:rsid w:val="00B50FE6"/>
    <w:rsid w:val="00B516CA"/>
    <w:rsid w:val="00B53B19"/>
    <w:rsid w:val="00B557F4"/>
    <w:rsid w:val="00B5676F"/>
    <w:rsid w:val="00B56957"/>
    <w:rsid w:val="00B57E78"/>
    <w:rsid w:val="00B605A9"/>
    <w:rsid w:val="00B611EF"/>
    <w:rsid w:val="00B623A1"/>
    <w:rsid w:val="00B62D2E"/>
    <w:rsid w:val="00B65184"/>
    <w:rsid w:val="00B651F5"/>
    <w:rsid w:val="00B66832"/>
    <w:rsid w:val="00B66842"/>
    <w:rsid w:val="00B66995"/>
    <w:rsid w:val="00B67B43"/>
    <w:rsid w:val="00B67F4F"/>
    <w:rsid w:val="00B70A40"/>
    <w:rsid w:val="00B72FBE"/>
    <w:rsid w:val="00B744A0"/>
    <w:rsid w:val="00B759A1"/>
    <w:rsid w:val="00B77CA2"/>
    <w:rsid w:val="00B80A13"/>
    <w:rsid w:val="00B84633"/>
    <w:rsid w:val="00B9211B"/>
    <w:rsid w:val="00B93471"/>
    <w:rsid w:val="00B935F1"/>
    <w:rsid w:val="00B944FC"/>
    <w:rsid w:val="00B965F8"/>
    <w:rsid w:val="00BA3965"/>
    <w:rsid w:val="00BA46E3"/>
    <w:rsid w:val="00BA5BFC"/>
    <w:rsid w:val="00BA73B2"/>
    <w:rsid w:val="00BB064C"/>
    <w:rsid w:val="00BB13A5"/>
    <w:rsid w:val="00BB1D96"/>
    <w:rsid w:val="00BB290C"/>
    <w:rsid w:val="00BB4859"/>
    <w:rsid w:val="00BB4A05"/>
    <w:rsid w:val="00BB5FD4"/>
    <w:rsid w:val="00BC1C69"/>
    <w:rsid w:val="00BC1F9F"/>
    <w:rsid w:val="00BC279D"/>
    <w:rsid w:val="00BC308E"/>
    <w:rsid w:val="00BC461C"/>
    <w:rsid w:val="00BC4E8E"/>
    <w:rsid w:val="00BC5D9A"/>
    <w:rsid w:val="00BD0202"/>
    <w:rsid w:val="00BD1496"/>
    <w:rsid w:val="00BD2891"/>
    <w:rsid w:val="00BD309B"/>
    <w:rsid w:val="00BD418E"/>
    <w:rsid w:val="00BD649A"/>
    <w:rsid w:val="00BE3020"/>
    <w:rsid w:val="00BE3075"/>
    <w:rsid w:val="00BE3DB6"/>
    <w:rsid w:val="00BE4D19"/>
    <w:rsid w:val="00BE525F"/>
    <w:rsid w:val="00BE5A19"/>
    <w:rsid w:val="00BF1081"/>
    <w:rsid w:val="00BF1499"/>
    <w:rsid w:val="00BF154B"/>
    <w:rsid w:val="00BF1CEA"/>
    <w:rsid w:val="00BF1D22"/>
    <w:rsid w:val="00BF1E5F"/>
    <w:rsid w:val="00BF1ED6"/>
    <w:rsid w:val="00BF45E4"/>
    <w:rsid w:val="00BF5589"/>
    <w:rsid w:val="00C003C4"/>
    <w:rsid w:val="00C013FF"/>
    <w:rsid w:val="00C04196"/>
    <w:rsid w:val="00C041BB"/>
    <w:rsid w:val="00C04498"/>
    <w:rsid w:val="00C0464E"/>
    <w:rsid w:val="00C052E0"/>
    <w:rsid w:val="00C07176"/>
    <w:rsid w:val="00C07521"/>
    <w:rsid w:val="00C07A28"/>
    <w:rsid w:val="00C10865"/>
    <w:rsid w:val="00C11090"/>
    <w:rsid w:val="00C11963"/>
    <w:rsid w:val="00C12E58"/>
    <w:rsid w:val="00C13A2C"/>
    <w:rsid w:val="00C13CB1"/>
    <w:rsid w:val="00C15A35"/>
    <w:rsid w:val="00C15BCE"/>
    <w:rsid w:val="00C16E24"/>
    <w:rsid w:val="00C203AB"/>
    <w:rsid w:val="00C2155B"/>
    <w:rsid w:val="00C21645"/>
    <w:rsid w:val="00C2269E"/>
    <w:rsid w:val="00C22743"/>
    <w:rsid w:val="00C22A7D"/>
    <w:rsid w:val="00C22D3C"/>
    <w:rsid w:val="00C236EE"/>
    <w:rsid w:val="00C23C0E"/>
    <w:rsid w:val="00C24EBE"/>
    <w:rsid w:val="00C264C4"/>
    <w:rsid w:val="00C30D26"/>
    <w:rsid w:val="00C30F0F"/>
    <w:rsid w:val="00C31C93"/>
    <w:rsid w:val="00C33B55"/>
    <w:rsid w:val="00C342AF"/>
    <w:rsid w:val="00C34EBC"/>
    <w:rsid w:val="00C355C3"/>
    <w:rsid w:val="00C37448"/>
    <w:rsid w:val="00C407AF"/>
    <w:rsid w:val="00C40B45"/>
    <w:rsid w:val="00C415EE"/>
    <w:rsid w:val="00C417A0"/>
    <w:rsid w:val="00C42F41"/>
    <w:rsid w:val="00C43A69"/>
    <w:rsid w:val="00C44972"/>
    <w:rsid w:val="00C4529C"/>
    <w:rsid w:val="00C46E34"/>
    <w:rsid w:val="00C46F75"/>
    <w:rsid w:val="00C5086F"/>
    <w:rsid w:val="00C51531"/>
    <w:rsid w:val="00C519B3"/>
    <w:rsid w:val="00C52081"/>
    <w:rsid w:val="00C52278"/>
    <w:rsid w:val="00C52A25"/>
    <w:rsid w:val="00C533F7"/>
    <w:rsid w:val="00C5355B"/>
    <w:rsid w:val="00C535E8"/>
    <w:rsid w:val="00C53A18"/>
    <w:rsid w:val="00C54A51"/>
    <w:rsid w:val="00C54DE5"/>
    <w:rsid w:val="00C56332"/>
    <w:rsid w:val="00C564A8"/>
    <w:rsid w:val="00C56D98"/>
    <w:rsid w:val="00C570BA"/>
    <w:rsid w:val="00C6020E"/>
    <w:rsid w:val="00C6484F"/>
    <w:rsid w:val="00C64A3B"/>
    <w:rsid w:val="00C64E01"/>
    <w:rsid w:val="00C653CB"/>
    <w:rsid w:val="00C659D3"/>
    <w:rsid w:val="00C66CD9"/>
    <w:rsid w:val="00C6760C"/>
    <w:rsid w:val="00C72A82"/>
    <w:rsid w:val="00C72B9B"/>
    <w:rsid w:val="00C73C2E"/>
    <w:rsid w:val="00C73F05"/>
    <w:rsid w:val="00C74177"/>
    <w:rsid w:val="00C74239"/>
    <w:rsid w:val="00C778FC"/>
    <w:rsid w:val="00C81887"/>
    <w:rsid w:val="00C81B3E"/>
    <w:rsid w:val="00C82B86"/>
    <w:rsid w:val="00C831B8"/>
    <w:rsid w:val="00C84888"/>
    <w:rsid w:val="00C9016A"/>
    <w:rsid w:val="00C905DE"/>
    <w:rsid w:val="00C91415"/>
    <w:rsid w:val="00C93333"/>
    <w:rsid w:val="00C93906"/>
    <w:rsid w:val="00C97AF6"/>
    <w:rsid w:val="00C97BDE"/>
    <w:rsid w:val="00CA0A80"/>
    <w:rsid w:val="00CA1A08"/>
    <w:rsid w:val="00CA2BEA"/>
    <w:rsid w:val="00CA2CBF"/>
    <w:rsid w:val="00CA2CF6"/>
    <w:rsid w:val="00CA41F0"/>
    <w:rsid w:val="00CA4460"/>
    <w:rsid w:val="00CA6599"/>
    <w:rsid w:val="00CA6626"/>
    <w:rsid w:val="00CA6810"/>
    <w:rsid w:val="00CA6DCB"/>
    <w:rsid w:val="00CB01F3"/>
    <w:rsid w:val="00CB0BF8"/>
    <w:rsid w:val="00CB220F"/>
    <w:rsid w:val="00CB3119"/>
    <w:rsid w:val="00CB5008"/>
    <w:rsid w:val="00CC05A4"/>
    <w:rsid w:val="00CC125A"/>
    <w:rsid w:val="00CC2507"/>
    <w:rsid w:val="00CC4766"/>
    <w:rsid w:val="00CC729D"/>
    <w:rsid w:val="00CD61FC"/>
    <w:rsid w:val="00CD6DDE"/>
    <w:rsid w:val="00CD7DF9"/>
    <w:rsid w:val="00CE0223"/>
    <w:rsid w:val="00CE0467"/>
    <w:rsid w:val="00CE17B0"/>
    <w:rsid w:val="00CE1E07"/>
    <w:rsid w:val="00CE2870"/>
    <w:rsid w:val="00CE3F59"/>
    <w:rsid w:val="00CE4B4D"/>
    <w:rsid w:val="00CE4D20"/>
    <w:rsid w:val="00CE5C04"/>
    <w:rsid w:val="00CE5C6C"/>
    <w:rsid w:val="00CE6513"/>
    <w:rsid w:val="00CE6706"/>
    <w:rsid w:val="00CF0B8F"/>
    <w:rsid w:val="00CF277E"/>
    <w:rsid w:val="00D01259"/>
    <w:rsid w:val="00D02E58"/>
    <w:rsid w:val="00D03FA4"/>
    <w:rsid w:val="00D0486A"/>
    <w:rsid w:val="00D0684C"/>
    <w:rsid w:val="00D10D58"/>
    <w:rsid w:val="00D1184A"/>
    <w:rsid w:val="00D11885"/>
    <w:rsid w:val="00D132D7"/>
    <w:rsid w:val="00D1541A"/>
    <w:rsid w:val="00D21167"/>
    <w:rsid w:val="00D22673"/>
    <w:rsid w:val="00D24D89"/>
    <w:rsid w:val="00D268D0"/>
    <w:rsid w:val="00D2737D"/>
    <w:rsid w:val="00D308D2"/>
    <w:rsid w:val="00D34626"/>
    <w:rsid w:val="00D34733"/>
    <w:rsid w:val="00D350E0"/>
    <w:rsid w:val="00D37079"/>
    <w:rsid w:val="00D3787E"/>
    <w:rsid w:val="00D40786"/>
    <w:rsid w:val="00D431C2"/>
    <w:rsid w:val="00D473D3"/>
    <w:rsid w:val="00D47E37"/>
    <w:rsid w:val="00D50E68"/>
    <w:rsid w:val="00D5104E"/>
    <w:rsid w:val="00D515A0"/>
    <w:rsid w:val="00D51667"/>
    <w:rsid w:val="00D53523"/>
    <w:rsid w:val="00D53D9A"/>
    <w:rsid w:val="00D53E1E"/>
    <w:rsid w:val="00D546DC"/>
    <w:rsid w:val="00D55223"/>
    <w:rsid w:val="00D558E9"/>
    <w:rsid w:val="00D55A4D"/>
    <w:rsid w:val="00D6146E"/>
    <w:rsid w:val="00D625A2"/>
    <w:rsid w:val="00D625A9"/>
    <w:rsid w:val="00D65DC3"/>
    <w:rsid w:val="00D70A95"/>
    <w:rsid w:val="00D71895"/>
    <w:rsid w:val="00D71AE8"/>
    <w:rsid w:val="00D72ABD"/>
    <w:rsid w:val="00D7401E"/>
    <w:rsid w:val="00D74F65"/>
    <w:rsid w:val="00D75188"/>
    <w:rsid w:val="00D830F6"/>
    <w:rsid w:val="00D8324D"/>
    <w:rsid w:val="00D84F40"/>
    <w:rsid w:val="00D91C37"/>
    <w:rsid w:val="00D9213C"/>
    <w:rsid w:val="00D9316E"/>
    <w:rsid w:val="00D9362A"/>
    <w:rsid w:val="00D94F50"/>
    <w:rsid w:val="00D95F53"/>
    <w:rsid w:val="00D96B59"/>
    <w:rsid w:val="00D97994"/>
    <w:rsid w:val="00DA0628"/>
    <w:rsid w:val="00DA358B"/>
    <w:rsid w:val="00DA35CA"/>
    <w:rsid w:val="00DA3FC1"/>
    <w:rsid w:val="00DA4069"/>
    <w:rsid w:val="00DA54E2"/>
    <w:rsid w:val="00DA56B9"/>
    <w:rsid w:val="00DA57DD"/>
    <w:rsid w:val="00DA60F7"/>
    <w:rsid w:val="00DA64B9"/>
    <w:rsid w:val="00DB0F5A"/>
    <w:rsid w:val="00DB37CB"/>
    <w:rsid w:val="00DB430B"/>
    <w:rsid w:val="00DB526D"/>
    <w:rsid w:val="00DB64BC"/>
    <w:rsid w:val="00DB78A2"/>
    <w:rsid w:val="00DC242D"/>
    <w:rsid w:val="00DC26FC"/>
    <w:rsid w:val="00DC4532"/>
    <w:rsid w:val="00DD213E"/>
    <w:rsid w:val="00DD3D76"/>
    <w:rsid w:val="00DD3F63"/>
    <w:rsid w:val="00DD4F34"/>
    <w:rsid w:val="00DD6066"/>
    <w:rsid w:val="00DD62F2"/>
    <w:rsid w:val="00DD6376"/>
    <w:rsid w:val="00DD66A9"/>
    <w:rsid w:val="00DD6D4A"/>
    <w:rsid w:val="00DE0849"/>
    <w:rsid w:val="00DE1C66"/>
    <w:rsid w:val="00DE2D06"/>
    <w:rsid w:val="00DE596C"/>
    <w:rsid w:val="00DE666E"/>
    <w:rsid w:val="00DE7F94"/>
    <w:rsid w:val="00DF0978"/>
    <w:rsid w:val="00DF0FB0"/>
    <w:rsid w:val="00DF15CD"/>
    <w:rsid w:val="00DF26D2"/>
    <w:rsid w:val="00DF3247"/>
    <w:rsid w:val="00DF50C5"/>
    <w:rsid w:val="00DF5141"/>
    <w:rsid w:val="00E000C2"/>
    <w:rsid w:val="00E002CE"/>
    <w:rsid w:val="00E0249E"/>
    <w:rsid w:val="00E0388A"/>
    <w:rsid w:val="00E0717F"/>
    <w:rsid w:val="00E07583"/>
    <w:rsid w:val="00E077A1"/>
    <w:rsid w:val="00E078A9"/>
    <w:rsid w:val="00E07AE1"/>
    <w:rsid w:val="00E114E7"/>
    <w:rsid w:val="00E12F59"/>
    <w:rsid w:val="00E138EE"/>
    <w:rsid w:val="00E17176"/>
    <w:rsid w:val="00E200BC"/>
    <w:rsid w:val="00E200E9"/>
    <w:rsid w:val="00E21E64"/>
    <w:rsid w:val="00E22615"/>
    <w:rsid w:val="00E23636"/>
    <w:rsid w:val="00E23CB5"/>
    <w:rsid w:val="00E2506D"/>
    <w:rsid w:val="00E25BB5"/>
    <w:rsid w:val="00E34C91"/>
    <w:rsid w:val="00E351A1"/>
    <w:rsid w:val="00E360DC"/>
    <w:rsid w:val="00E36379"/>
    <w:rsid w:val="00E376FC"/>
    <w:rsid w:val="00E40EB6"/>
    <w:rsid w:val="00E41551"/>
    <w:rsid w:val="00E4199F"/>
    <w:rsid w:val="00E41DED"/>
    <w:rsid w:val="00E42CA1"/>
    <w:rsid w:val="00E43777"/>
    <w:rsid w:val="00E4394B"/>
    <w:rsid w:val="00E452A9"/>
    <w:rsid w:val="00E5003D"/>
    <w:rsid w:val="00E50181"/>
    <w:rsid w:val="00E51637"/>
    <w:rsid w:val="00E523F8"/>
    <w:rsid w:val="00E52D24"/>
    <w:rsid w:val="00E55281"/>
    <w:rsid w:val="00E568E0"/>
    <w:rsid w:val="00E573A7"/>
    <w:rsid w:val="00E57409"/>
    <w:rsid w:val="00E61F66"/>
    <w:rsid w:val="00E62294"/>
    <w:rsid w:val="00E63C9A"/>
    <w:rsid w:val="00E66F55"/>
    <w:rsid w:val="00E66F9E"/>
    <w:rsid w:val="00E67559"/>
    <w:rsid w:val="00E67F20"/>
    <w:rsid w:val="00E701BE"/>
    <w:rsid w:val="00E730D8"/>
    <w:rsid w:val="00E74489"/>
    <w:rsid w:val="00E76811"/>
    <w:rsid w:val="00E76879"/>
    <w:rsid w:val="00E80729"/>
    <w:rsid w:val="00E81E1F"/>
    <w:rsid w:val="00E82EBC"/>
    <w:rsid w:val="00E82FCB"/>
    <w:rsid w:val="00E83ED7"/>
    <w:rsid w:val="00E855DA"/>
    <w:rsid w:val="00E8589F"/>
    <w:rsid w:val="00E85B50"/>
    <w:rsid w:val="00E866B1"/>
    <w:rsid w:val="00E87DFD"/>
    <w:rsid w:val="00E91689"/>
    <w:rsid w:val="00E916E1"/>
    <w:rsid w:val="00E91BE7"/>
    <w:rsid w:val="00E91DF8"/>
    <w:rsid w:val="00E93724"/>
    <w:rsid w:val="00E93F58"/>
    <w:rsid w:val="00E95CBB"/>
    <w:rsid w:val="00E96733"/>
    <w:rsid w:val="00EA0DFE"/>
    <w:rsid w:val="00EA0F34"/>
    <w:rsid w:val="00EA15F7"/>
    <w:rsid w:val="00EA1610"/>
    <w:rsid w:val="00EA4240"/>
    <w:rsid w:val="00EB109C"/>
    <w:rsid w:val="00EB220C"/>
    <w:rsid w:val="00EB2A10"/>
    <w:rsid w:val="00EB2C8B"/>
    <w:rsid w:val="00EB319A"/>
    <w:rsid w:val="00EB365E"/>
    <w:rsid w:val="00EB46E0"/>
    <w:rsid w:val="00EB53DF"/>
    <w:rsid w:val="00EC0972"/>
    <w:rsid w:val="00EC0D85"/>
    <w:rsid w:val="00EC2664"/>
    <w:rsid w:val="00EC403A"/>
    <w:rsid w:val="00EC45AE"/>
    <w:rsid w:val="00EC495B"/>
    <w:rsid w:val="00EC4E73"/>
    <w:rsid w:val="00EC6D4A"/>
    <w:rsid w:val="00EC71FA"/>
    <w:rsid w:val="00ED3E0F"/>
    <w:rsid w:val="00ED5B44"/>
    <w:rsid w:val="00ED7153"/>
    <w:rsid w:val="00ED7C2D"/>
    <w:rsid w:val="00EE0A28"/>
    <w:rsid w:val="00EE18A9"/>
    <w:rsid w:val="00EE1AB7"/>
    <w:rsid w:val="00EE1F70"/>
    <w:rsid w:val="00EE23C9"/>
    <w:rsid w:val="00EE2935"/>
    <w:rsid w:val="00EE38F6"/>
    <w:rsid w:val="00EE3C46"/>
    <w:rsid w:val="00EE41BE"/>
    <w:rsid w:val="00EE6D05"/>
    <w:rsid w:val="00EF0DAA"/>
    <w:rsid w:val="00EF28E7"/>
    <w:rsid w:val="00EF2951"/>
    <w:rsid w:val="00EF3BD3"/>
    <w:rsid w:val="00EF3DE4"/>
    <w:rsid w:val="00EF50B7"/>
    <w:rsid w:val="00EF709C"/>
    <w:rsid w:val="00EF78C9"/>
    <w:rsid w:val="00F00D03"/>
    <w:rsid w:val="00F016CA"/>
    <w:rsid w:val="00F0345F"/>
    <w:rsid w:val="00F0418A"/>
    <w:rsid w:val="00F043B9"/>
    <w:rsid w:val="00F055E4"/>
    <w:rsid w:val="00F05CD3"/>
    <w:rsid w:val="00F0605B"/>
    <w:rsid w:val="00F06886"/>
    <w:rsid w:val="00F07181"/>
    <w:rsid w:val="00F100BE"/>
    <w:rsid w:val="00F119B8"/>
    <w:rsid w:val="00F14B3A"/>
    <w:rsid w:val="00F15FAC"/>
    <w:rsid w:val="00F1658D"/>
    <w:rsid w:val="00F16A1E"/>
    <w:rsid w:val="00F17041"/>
    <w:rsid w:val="00F17EBA"/>
    <w:rsid w:val="00F2077B"/>
    <w:rsid w:val="00F20A93"/>
    <w:rsid w:val="00F25559"/>
    <w:rsid w:val="00F25DFC"/>
    <w:rsid w:val="00F25E72"/>
    <w:rsid w:val="00F2678B"/>
    <w:rsid w:val="00F270AE"/>
    <w:rsid w:val="00F32668"/>
    <w:rsid w:val="00F3273D"/>
    <w:rsid w:val="00F33C37"/>
    <w:rsid w:val="00F3413D"/>
    <w:rsid w:val="00F345ED"/>
    <w:rsid w:val="00F34762"/>
    <w:rsid w:val="00F34C03"/>
    <w:rsid w:val="00F3768B"/>
    <w:rsid w:val="00F37ED5"/>
    <w:rsid w:val="00F43800"/>
    <w:rsid w:val="00F45026"/>
    <w:rsid w:val="00F45E56"/>
    <w:rsid w:val="00F4728C"/>
    <w:rsid w:val="00F50D33"/>
    <w:rsid w:val="00F5107E"/>
    <w:rsid w:val="00F5383F"/>
    <w:rsid w:val="00F5591C"/>
    <w:rsid w:val="00F55B28"/>
    <w:rsid w:val="00F570A5"/>
    <w:rsid w:val="00F6086F"/>
    <w:rsid w:val="00F6096F"/>
    <w:rsid w:val="00F60AA9"/>
    <w:rsid w:val="00F60B7F"/>
    <w:rsid w:val="00F6268A"/>
    <w:rsid w:val="00F63DD4"/>
    <w:rsid w:val="00F65757"/>
    <w:rsid w:val="00F65BD0"/>
    <w:rsid w:val="00F66BE0"/>
    <w:rsid w:val="00F67935"/>
    <w:rsid w:val="00F7143F"/>
    <w:rsid w:val="00F728F0"/>
    <w:rsid w:val="00F72CE3"/>
    <w:rsid w:val="00F72D27"/>
    <w:rsid w:val="00F73D8C"/>
    <w:rsid w:val="00F74538"/>
    <w:rsid w:val="00F751C1"/>
    <w:rsid w:val="00F75CFE"/>
    <w:rsid w:val="00F764DE"/>
    <w:rsid w:val="00F80E04"/>
    <w:rsid w:val="00F821D3"/>
    <w:rsid w:val="00F828D8"/>
    <w:rsid w:val="00F84705"/>
    <w:rsid w:val="00F84C26"/>
    <w:rsid w:val="00F855F0"/>
    <w:rsid w:val="00F85C96"/>
    <w:rsid w:val="00F85FB8"/>
    <w:rsid w:val="00F8735C"/>
    <w:rsid w:val="00F90109"/>
    <w:rsid w:val="00F9054C"/>
    <w:rsid w:val="00F90922"/>
    <w:rsid w:val="00F92B4D"/>
    <w:rsid w:val="00F92E3F"/>
    <w:rsid w:val="00F94389"/>
    <w:rsid w:val="00F94C35"/>
    <w:rsid w:val="00F96C05"/>
    <w:rsid w:val="00FA018E"/>
    <w:rsid w:val="00FA1158"/>
    <w:rsid w:val="00FA1A3A"/>
    <w:rsid w:val="00FA43E7"/>
    <w:rsid w:val="00FA4E7F"/>
    <w:rsid w:val="00FA5C28"/>
    <w:rsid w:val="00FA7290"/>
    <w:rsid w:val="00FB1A10"/>
    <w:rsid w:val="00FB252F"/>
    <w:rsid w:val="00FB7368"/>
    <w:rsid w:val="00FC0041"/>
    <w:rsid w:val="00FC462B"/>
    <w:rsid w:val="00FC6AD4"/>
    <w:rsid w:val="00FD02FE"/>
    <w:rsid w:val="00FD3D6E"/>
    <w:rsid w:val="00FD6403"/>
    <w:rsid w:val="00FE04A1"/>
    <w:rsid w:val="00FE2D14"/>
    <w:rsid w:val="00FE3773"/>
    <w:rsid w:val="00FE3A70"/>
    <w:rsid w:val="00FE3CAA"/>
    <w:rsid w:val="00FE3D37"/>
    <w:rsid w:val="00FE4C3E"/>
    <w:rsid w:val="00FF1514"/>
    <w:rsid w:val="00FF204E"/>
    <w:rsid w:val="00FF2C1C"/>
    <w:rsid w:val="00FF69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B45"/>
  </w:style>
  <w:style w:type="paragraph" w:styleId="Heading1">
    <w:name w:val="heading 1"/>
    <w:basedOn w:val="Normal"/>
    <w:next w:val="Normal"/>
    <w:link w:val="Heading1Char"/>
    <w:uiPriority w:val="9"/>
    <w:qFormat/>
    <w:rsid w:val="005A37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7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7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7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5227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219"/>
    <w:pPr>
      <w:ind w:left="720"/>
      <w:contextualSpacing/>
    </w:pPr>
  </w:style>
  <w:style w:type="character" w:styleId="CommentReference">
    <w:name w:val="annotation reference"/>
    <w:basedOn w:val="DefaultParagraphFont"/>
    <w:uiPriority w:val="99"/>
    <w:semiHidden/>
    <w:unhideWhenUsed/>
    <w:rsid w:val="00D65DC3"/>
    <w:rPr>
      <w:sz w:val="16"/>
      <w:szCs w:val="16"/>
    </w:rPr>
  </w:style>
  <w:style w:type="paragraph" w:styleId="CommentText">
    <w:name w:val="annotation text"/>
    <w:basedOn w:val="Normal"/>
    <w:link w:val="CommentTextChar"/>
    <w:uiPriority w:val="99"/>
    <w:semiHidden/>
    <w:unhideWhenUsed/>
    <w:rsid w:val="00D65DC3"/>
    <w:pPr>
      <w:spacing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D65DC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D65DC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DC3"/>
    <w:rPr>
      <w:rFonts w:ascii="Tahoma" w:hAnsi="Tahoma" w:cs="Tahoma"/>
      <w:sz w:val="16"/>
      <w:szCs w:val="16"/>
    </w:rPr>
  </w:style>
  <w:style w:type="paragraph" w:styleId="Header">
    <w:name w:val="header"/>
    <w:basedOn w:val="Normal"/>
    <w:link w:val="HeaderChar"/>
    <w:uiPriority w:val="99"/>
    <w:unhideWhenUsed/>
    <w:rsid w:val="00D65DC3"/>
    <w:pPr>
      <w:tabs>
        <w:tab w:val="center" w:pos="4252"/>
        <w:tab w:val="right" w:pos="8504"/>
      </w:tabs>
      <w:spacing w:line="240" w:lineRule="auto"/>
    </w:pPr>
  </w:style>
  <w:style w:type="character" w:customStyle="1" w:styleId="HeaderChar">
    <w:name w:val="Header Char"/>
    <w:basedOn w:val="DefaultParagraphFont"/>
    <w:link w:val="Header"/>
    <w:uiPriority w:val="99"/>
    <w:rsid w:val="00D65DC3"/>
  </w:style>
  <w:style w:type="paragraph" w:styleId="Footer">
    <w:name w:val="footer"/>
    <w:basedOn w:val="Normal"/>
    <w:link w:val="FooterChar"/>
    <w:uiPriority w:val="99"/>
    <w:unhideWhenUsed/>
    <w:rsid w:val="00D65DC3"/>
    <w:pPr>
      <w:tabs>
        <w:tab w:val="center" w:pos="4252"/>
        <w:tab w:val="right" w:pos="8504"/>
      </w:tabs>
      <w:spacing w:line="240" w:lineRule="auto"/>
    </w:pPr>
  </w:style>
  <w:style w:type="character" w:customStyle="1" w:styleId="FooterChar">
    <w:name w:val="Footer Char"/>
    <w:basedOn w:val="DefaultParagraphFont"/>
    <w:link w:val="Footer"/>
    <w:uiPriority w:val="99"/>
    <w:rsid w:val="00D65DC3"/>
  </w:style>
  <w:style w:type="paragraph" w:styleId="FootnoteText">
    <w:name w:val="footnote text"/>
    <w:aliases w:val="fn,Texto de rodapé,nota_rodapé,nota de rodapé,footnote,single space,FOOTNOTES,Footnote Text Char Char,Footnote Text Char,ft,Footnote Text Char1 Char,Footnote Text Char Char Char1,Footnote Text Char1 Char Char Char1,ADB,fn1"/>
    <w:basedOn w:val="Normal"/>
    <w:link w:val="FootnoteTextChar1"/>
    <w:uiPriority w:val="99"/>
    <w:unhideWhenUsed/>
    <w:rsid w:val="000A1BE6"/>
    <w:pPr>
      <w:spacing w:line="240" w:lineRule="auto"/>
    </w:pPr>
    <w:rPr>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Footnote Text Char1 Char Char,ADB Char,fn1 Char"/>
    <w:basedOn w:val="DefaultParagraphFont"/>
    <w:link w:val="FootnoteText"/>
    <w:uiPriority w:val="99"/>
    <w:rsid w:val="000A1BE6"/>
    <w:rPr>
      <w:sz w:val="20"/>
      <w:szCs w:val="20"/>
    </w:rPr>
  </w:style>
  <w:style w:type="character" w:styleId="FootnoteReference">
    <w:name w:val="footnote reference"/>
    <w:aliases w:val="ftref,Char Char,Carattere Char1,Carattere Char Char Carattere Carattere Char Char,Appel note de bas de page,titulo 2"/>
    <w:basedOn w:val="DefaultParagraphFont"/>
    <w:uiPriority w:val="99"/>
    <w:semiHidden/>
    <w:unhideWhenUsed/>
    <w:rsid w:val="000A1BE6"/>
    <w:rPr>
      <w:vertAlign w:val="superscript"/>
    </w:rPr>
  </w:style>
  <w:style w:type="character" w:customStyle="1" w:styleId="Heading5Char">
    <w:name w:val="Heading 5 Char"/>
    <w:basedOn w:val="DefaultParagraphFont"/>
    <w:link w:val="Heading5"/>
    <w:uiPriority w:val="9"/>
    <w:semiHidden/>
    <w:rsid w:val="00C52278"/>
    <w:rPr>
      <w:rFonts w:asciiTheme="majorHAnsi" w:eastAsiaTheme="majorEastAsia" w:hAnsiTheme="majorHAnsi" w:cstheme="majorBidi"/>
      <w:color w:val="243F60" w:themeColor="accent1" w:themeShade="7F"/>
    </w:rPr>
  </w:style>
  <w:style w:type="paragraph" w:styleId="CommentSubject">
    <w:name w:val="annotation subject"/>
    <w:basedOn w:val="CommentText"/>
    <w:next w:val="CommentText"/>
    <w:link w:val="CommentSubjectChar"/>
    <w:uiPriority w:val="99"/>
    <w:semiHidden/>
    <w:unhideWhenUsed/>
    <w:rsid w:val="00C52278"/>
    <w:rPr>
      <w:rFonts w:asciiTheme="minorHAnsi" w:eastAsiaTheme="minorHAnsi" w:hAnsiTheme="minorHAnsi" w:cstheme="minorBidi"/>
      <w:b/>
      <w:bCs/>
      <w:lang w:val="es-ES"/>
    </w:rPr>
  </w:style>
  <w:style w:type="character" w:customStyle="1" w:styleId="CommentSubjectChar">
    <w:name w:val="Comment Subject Char"/>
    <w:basedOn w:val="CommentTextChar"/>
    <w:link w:val="CommentSubject"/>
    <w:uiPriority w:val="99"/>
    <w:semiHidden/>
    <w:rsid w:val="00C52278"/>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5A37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7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37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769"/>
    <w:rPr>
      <w:rFonts w:asciiTheme="majorHAnsi" w:eastAsiaTheme="majorEastAsia" w:hAnsiTheme="majorHAnsi" w:cstheme="majorBidi"/>
      <w:b/>
      <w:bCs/>
      <w:i/>
      <w:iCs/>
      <w:color w:val="4F81BD" w:themeColor="accent1"/>
    </w:rPr>
  </w:style>
  <w:style w:type="paragraph" w:styleId="Date">
    <w:name w:val="Date"/>
    <w:basedOn w:val="Normal"/>
    <w:next w:val="Normal"/>
    <w:link w:val="DateChar"/>
    <w:uiPriority w:val="99"/>
    <w:unhideWhenUsed/>
    <w:rsid w:val="005A3769"/>
  </w:style>
  <w:style w:type="character" w:customStyle="1" w:styleId="DateChar">
    <w:name w:val="Date Char"/>
    <w:basedOn w:val="DefaultParagraphFont"/>
    <w:link w:val="Date"/>
    <w:uiPriority w:val="99"/>
    <w:rsid w:val="005A3769"/>
  </w:style>
  <w:style w:type="paragraph" w:styleId="ListContinue2">
    <w:name w:val="List Continue 2"/>
    <w:basedOn w:val="Normal"/>
    <w:uiPriority w:val="99"/>
    <w:unhideWhenUsed/>
    <w:rsid w:val="005A3769"/>
    <w:pPr>
      <w:spacing w:after="120"/>
      <w:ind w:left="566"/>
      <w:contextualSpacing/>
    </w:pPr>
  </w:style>
  <w:style w:type="paragraph" w:styleId="Title">
    <w:name w:val="Title"/>
    <w:basedOn w:val="Normal"/>
    <w:next w:val="Normal"/>
    <w:link w:val="TitleChar"/>
    <w:uiPriority w:val="10"/>
    <w:qFormat/>
    <w:rsid w:val="005A37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769"/>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5A3769"/>
    <w:pPr>
      <w:spacing w:after="120"/>
    </w:pPr>
  </w:style>
  <w:style w:type="character" w:customStyle="1" w:styleId="BodyTextChar">
    <w:name w:val="Body Text Char"/>
    <w:basedOn w:val="DefaultParagraphFont"/>
    <w:link w:val="BodyText"/>
    <w:uiPriority w:val="99"/>
    <w:rsid w:val="005A3769"/>
  </w:style>
  <w:style w:type="table" w:styleId="TableGrid">
    <w:name w:val="Table Grid"/>
    <w:basedOn w:val="TableNormal"/>
    <w:uiPriority w:val="59"/>
    <w:rsid w:val="0054779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55223"/>
    <w:pPr>
      <w:spacing w:line="240" w:lineRule="auto"/>
    </w:pPr>
    <w:rPr>
      <w:rFonts w:ascii="Times New Roman" w:eastAsia="Times New Roman" w:hAnsi="Times New Roman" w:cs="Times New Roman"/>
      <w:b/>
      <w:bCs/>
      <w:sz w:val="20"/>
      <w:szCs w:val="20"/>
      <w:lang w:val="es-ES_tradnl" w:eastAsia="es-ES_tradnl"/>
    </w:rPr>
  </w:style>
  <w:style w:type="table" w:customStyle="1" w:styleId="Sombreadomedio1-nfasis11">
    <w:name w:val="Sombreado medio 1 - Énfasis 11"/>
    <w:basedOn w:val="TableNormal"/>
    <w:uiPriority w:val="63"/>
    <w:rsid w:val="00D55223"/>
    <w:pPr>
      <w:spacing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Prrafodelista1">
    <w:name w:val="Párrafo de lista1"/>
    <w:basedOn w:val="Normal"/>
    <w:uiPriority w:val="34"/>
    <w:qFormat/>
    <w:rsid w:val="00D55223"/>
    <w:pPr>
      <w:widowControl w:val="0"/>
      <w:adjustRightInd w:val="0"/>
      <w:spacing w:line="360" w:lineRule="atLeast"/>
      <w:ind w:left="720"/>
      <w:jc w:val="both"/>
      <w:textAlignment w:val="baseline"/>
    </w:pPr>
    <w:rPr>
      <w:rFonts w:ascii="Cambria" w:eastAsia="SimSun" w:hAnsi="Cambria" w:cs="Cambria"/>
      <w:sz w:val="24"/>
      <w:szCs w:val="24"/>
      <w:lang w:val="de-DE"/>
    </w:rPr>
  </w:style>
  <w:style w:type="paragraph" w:styleId="ListBullet">
    <w:name w:val="List Bullet"/>
    <w:basedOn w:val="Normal"/>
    <w:rsid w:val="00D55223"/>
    <w:pPr>
      <w:tabs>
        <w:tab w:val="num" w:pos="360"/>
        <w:tab w:val="left" w:pos="1134"/>
      </w:tabs>
      <w:spacing w:line="240" w:lineRule="auto"/>
      <w:ind w:left="360" w:hanging="360"/>
      <w:jc w:val="both"/>
    </w:pPr>
    <w:rPr>
      <w:rFonts w:ascii="Times New Roman" w:eastAsia="Times New Roman" w:hAnsi="Times New Roman" w:cs="Times New Roman"/>
      <w:sz w:val="23"/>
      <w:szCs w:val="20"/>
      <w:lang w:val="en-GB" w:eastAsia="en-GB"/>
    </w:rPr>
  </w:style>
  <w:style w:type="paragraph" w:styleId="TOCHeading">
    <w:name w:val="TOC Heading"/>
    <w:basedOn w:val="Heading1"/>
    <w:next w:val="Normal"/>
    <w:uiPriority w:val="39"/>
    <w:semiHidden/>
    <w:unhideWhenUsed/>
    <w:qFormat/>
    <w:rsid w:val="00E138EE"/>
    <w:pPr>
      <w:outlineLvl w:val="9"/>
    </w:pPr>
  </w:style>
  <w:style w:type="paragraph" w:styleId="TOC1">
    <w:name w:val="toc 1"/>
    <w:basedOn w:val="Normal"/>
    <w:next w:val="Normal"/>
    <w:autoRedefine/>
    <w:uiPriority w:val="39"/>
    <w:unhideWhenUsed/>
    <w:rsid w:val="00FE4C3E"/>
    <w:pPr>
      <w:tabs>
        <w:tab w:val="left" w:pos="567"/>
        <w:tab w:val="right" w:leader="dot" w:pos="8494"/>
      </w:tabs>
      <w:spacing w:after="100"/>
      <w:jc w:val="left"/>
    </w:pPr>
  </w:style>
  <w:style w:type="paragraph" w:styleId="TOC3">
    <w:name w:val="toc 3"/>
    <w:basedOn w:val="Normal"/>
    <w:next w:val="Normal"/>
    <w:autoRedefine/>
    <w:uiPriority w:val="39"/>
    <w:unhideWhenUsed/>
    <w:rsid w:val="00E138EE"/>
    <w:pPr>
      <w:spacing w:after="100"/>
      <w:ind w:left="440"/>
    </w:pPr>
  </w:style>
  <w:style w:type="paragraph" w:styleId="TOC2">
    <w:name w:val="toc 2"/>
    <w:basedOn w:val="Normal"/>
    <w:next w:val="Normal"/>
    <w:autoRedefine/>
    <w:uiPriority w:val="39"/>
    <w:unhideWhenUsed/>
    <w:rsid w:val="00554B9A"/>
    <w:pPr>
      <w:tabs>
        <w:tab w:val="left" w:pos="1320"/>
        <w:tab w:val="right" w:leader="dot" w:pos="8494"/>
      </w:tabs>
      <w:spacing w:after="100"/>
      <w:ind w:left="220"/>
      <w:jc w:val="left"/>
    </w:pPr>
  </w:style>
  <w:style w:type="character" w:styleId="Hyperlink">
    <w:name w:val="Hyperlink"/>
    <w:basedOn w:val="DefaultParagraphFont"/>
    <w:uiPriority w:val="99"/>
    <w:unhideWhenUsed/>
    <w:rsid w:val="00E138EE"/>
    <w:rPr>
      <w:color w:val="0000FF" w:themeColor="hyperlink"/>
      <w:u w:val="single"/>
    </w:rPr>
  </w:style>
  <w:style w:type="paragraph" w:styleId="DocumentMap">
    <w:name w:val="Document Map"/>
    <w:basedOn w:val="Normal"/>
    <w:link w:val="DocumentMapChar"/>
    <w:uiPriority w:val="99"/>
    <w:semiHidden/>
    <w:unhideWhenUsed/>
    <w:rsid w:val="00E138EE"/>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138EE"/>
    <w:rPr>
      <w:rFonts w:ascii="Tahoma" w:hAnsi="Tahoma" w:cs="Tahoma"/>
      <w:sz w:val="16"/>
      <w:szCs w:val="16"/>
    </w:rPr>
  </w:style>
  <w:style w:type="paragraph" w:styleId="Revision">
    <w:name w:val="Revision"/>
    <w:hidden/>
    <w:uiPriority w:val="99"/>
    <w:semiHidden/>
    <w:rsid w:val="00F270AE"/>
    <w:pPr>
      <w:spacing w:line="240" w:lineRule="auto"/>
    </w:pPr>
  </w:style>
  <w:style w:type="paragraph" w:styleId="Subtitle">
    <w:name w:val="Subtitle"/>
    <w:basedOn w:val="Normal"/>
    <w:next w:val="Normal"/>
    <w:link w:val="SubtitleChar"/>
    <w:uiPriority w:val="11"/>
    <w:qFormat/>
    <w:rsid w:val="004E5B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5B20"/>
    <w:rPr>
      <w:rFonts w:asciiTheme="majorHAnsi" w:eastAsiaTheme="majorEastAsia" w:hAnsiTheme="majorHAnsi" w:cstheme="majorBidi"/>
      <w:i/>
      <w:iCs/>
      <w:color w:val="4F81BD" w:themeColor="accent1"/>
      <w:spacing w:val="15"/>
      <w:sz w:val="24"/>
      <w:szCs w:val="24"/>
    </w:rPr>
  </w:style>
  <w:style w:type="paragraph" w:customStyle="1" w:styleId="Standard">
    <w:name w:val="Standard"/>
    <w:rsid w:val="001D5096"/>
    <w:pPr>
      <w:widowControl w:val="0"/>
      <w:suppressAutoHyphens/>
      <w:autoSpaceDN w:val="0"/>
      <w:spacing w:line="240" w:lineRule="auto"/>
      <w:textAlignment w:val="baseline"/>
    </w:pPr>
    <w:rPr>
      <w:rFonts w:ascii="Liberation Serif" w:eastAsia="DejaVu Sans" w:hAnsi="Liberation Serif" w:cs="DejaVu Sans"/>
      <w:kern w:val="3"/>
      <w:sz w:val="24"/>
      <w:szCs w:val="24"/>
      <w:lang w:val="pt-BR" w:eastAsia="zh-CN" w:bidi="hi-IN"/>
    </w:rPr>
  </w:style>
  <w:style w:type="character" w:styleId="PageNumber">
    <w:name w:val="page number"/>
    <w:basedOn w:val="DefaultParagraphFont"/>
    <w:rsid w:val="004901F6"/>
  </w:style>
  <w:style w:type="paragraph" w:customStyle="1" w:styleId="Default">
    <w:name w:val="Default"/>
    <w:rsid w:val="000B3A32"/>
    <w:pPr>
      <w:autoSpaceDE w:val="0"/>
      <w:autoSpaceDN w:val="0"/>
      <w:adjustRightInd w:val="0"/>
      <w:spacing w:line="240" w:lineRule="auto"/>
      <w:jc w:val="left"/>
    </w:pPr>
    <w:rPr>
      <w:rFonts w:ascii="Times New Roman" w:eastAsia="Times New Roman" w:hAnsi="Times New Roman" w:cs="Times New Roman"/>
      <w:color w:val="000000"/>
      <w:sz w:val="24"/>
      <w:szCs w:val="24"/>
      <w:lang w:val="en-US"/>
    </w:rPr>
  </w:style>
  <w:style w:type="paragraph" w:styleId="PlainText">
    <w:name w:val="Plain Text"/>
    <w:basedOn w:val="Normal"/>
    <w:link w:val="PlainTextChar"/>
    <w:uiPriority w:val="99"/>
    <w:semiHidden/>
    <w:unhideWhenUsed/>
    <w:rsid w:val="00843034"/>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843034"/>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B45"/>
  </w:style>
  <w:style w:type="paragraph" w:styleId="Heading1">
    <w:name w:val="heading 1"/>
    <w:basedOn w:val="Normal"/>
    <w:next w:val="Normal"/>
    <w:link w:val="Heading1Char"/>
    <w:uiPriority w:val="9"/>
    <w:qFormat/>
    <w:rsid w:val="005A37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7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7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7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5227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219"/>
    <w:pPr>
      <w:ind w:left="720"/>
      <w:contextualSpacing/>
    </w:pPr>
  </w:style>
  <w:style w:type="character" w:styleId="CommentReference">
    <w:name w:val="annotation reference"/>
    <w:basedOn w:val="DefaultParagraphFont"/>
    <w:uiPriority w:val="99"/>
    <w:semiHidden/>
    <w:unhideWhenUsed/>
    <w:rsid w:val="00D65DC3"/>
    <w:rPr>
      <w:sz w:val="16"/>
      <w:szCs w:val="16"/>
    </w:rPr>
  </w:style>
  <w:style w:type="paragraph" w:styleId="CommentText">
    <w:name w:val="annotation text"/>
    <w:basedOn w:val="Normal"/>
    <w:link w:val="CommentTextChar"/>
    <w:uiPriority w:val="99"/>
    <w:semiHidden/>
    <w:unhideWhenUsed/>
    <w:rsid w:val="00D65DC3"/>
    <w:pPr>
      <w:spacing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D65DC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D65DC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DC3"/>
    <w:rPr>
      <w:rFonts w:ascii="Tahoma" w:hAnsi="Tahoma" w:cs="Tahoma"/>
      <w:sz w:val="16"/>
      <w:szCs w:val="16"/>
    </w:rPr>
  </w:style>
  <w:style w:type="paragraph" w:styleId="Header">
    <w:name w:val="header"/>
    <w:basedOn w:val="Normal"/>
    <w:link w:val="HeaderChar"/>
    <w:uiPriority w:val="99"/>
    <w:unhideWhenUsed/>
    <w:rsid w:val="00D65DC3"/>
    <w:pPr>
      <w:tabs>
        <w:tab w:val="center" w:pos="4252"/>
        <w:tab w:val="right" w:pos="8504"/>
      </w:tabs>
      <w:spacing w:line="240" w:lineRule="auto"/>
    </w:pPr>
  </w:style>
  <w:style w:type="character" w:customStyle="1" w:styleId="HeaderChar">
    <w:name w:val="Header Char"/>
    <w:basedOn w:val="DefaultParagraphFont"/>
    <w:link w:val="Header"/>
    <w:uiPriority w:val="99"/>
    <w:rsid w:val="00D65DC3"/>
  </w:style>
  <w:style w:type="paragraph" w:styleId="Footer">
    <w:name w:val="footer"/>
    <w:basedOn w:val="Normal"/>
    <w:link w:val="FooterChar"/>
    <w:uiPriority w:val="99"/>
    <w:unhideWhenUsed/>
    <w:rsid w:val="00D65DC3"/>
    <w:pPr>
      <w:tabs>
        <w:tab w:val="center" w:pos="4252"/>
        <w:tab w:val="right" w:pos="8504"/>
      </w:tabs>
      <w:spacing w:line="240" w:lineRule="auto"/>
    </w:pPr>
  </w:style>
  <w:style w:type="character" w:customStyle="1" w:styleId="FooterChar">
    <w:name w:val="Footer Char"/>
    <w:basedOn w:val="DefaultParagraphFont"/>
    <w:link w:val="Footer"/>
    <w:uiPriority w:val="99"/>
    <w:rsid w:val="00D65DC3"/>
  </w:style>
  <w:style w:type="paragraph" w:styleId="FootnoteText">
    <w:name w:val="footnote text"/>
    <w:aliases w:val="fn,Texto de rodapé,nota_rodapé,nota de rodapé,footnote,single space,FOOTNOTES,Footnote Text Char Char,Footnote Text Char,ft,Footnote Text Char1 Char,Footnote Text Char Char Char1,Footnote Text Char1 Char Char Char1,ADB,fn1"/>
    <w:basedOn w:val="Normal"/>
    <w:link w:val="FootnoteTextChar1"/>
    <w:uiPriority w:val="99"/>
    <w:unhideWhenUsed/>
    <w:rsid w:val="000A1BE6"/>
    <w:pPr>
      <w:spacing w:line="240" w:lineRule="auto"/>
    </w:pPr>
    <w:rPr>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Footnote Text Char1 Char Char,ADB Char,fn1 Char"/>
    <w:basedOn w:val="DefaultParagraphFont"/>
    <w:link w:val="FootnoteText"/>
    <w:uiPriority w:val="99"/>
    <w:rsid w:val="000A1BE6"/>
    <w:rPr>
      <w:sz w:val="20"/>
      <w:szCs w:val="20"/>
    </w:rPr>
  </w:style>
  <w:style w:type="character" w:styleId="FootnoteReference">
    <w:name w:val="footnote reference"/>
    <w:aliases w:val="ftref,Char Char,Carattere Char1,Carattere Char Char Carattere Carattere Char Char,Appel note de bas de page,titulo 2"/>
    <w:basedOn w:val="DefaultParagraphFont"/>
    <w:uiPriority w:val="99"/>
    <w:semiHidden/>
    <w:unhideWhenUsed/>
    <w:rsid w:val="000A1BE6"/>
    <w:rPr>
      <w:vertAlign w:val="superscript"/>
    </w:rPr>
  </w:style>
  <w:style w:type="character" w:customStyle="1" w:styleId="Heading5Char">
    <w:name w:val="Heading 5 Char"/>
    <w:basedOn w:val="DefaultParagraphFont"/>
    <w:link w:val="Heading5"/>
    <w:uiPriority w:val="9"/>
    <w:semiHidden/>
    <w:rsid w:val="00C52278"/>
    <w:rPr>
      <w:rFonts w:asciiTheme="majorHAnsi" w:eastAsiaTheme="majorEastAsia" w:hAnsiTheme="majorHAnsi" w:cstheme="majorBidi"/>
      <w:color w:val="243F60" w:themeColor="accent1" w:themeShade="7F"/>
    </w:rPr>
  </w:style>
  <w:style w:type="paragraph" w:styleId="CommentSubject">
    <w:name w:val="annotation subject"/>
    <w:basedOn w:val="CommentText"/>
    <w:next w:val="CommentText"/>
    <w:link w:val="CommentSubjectChar"/>
    <w:uiPriority w:val="99"/>
    <w:semiHidden/>
    <w:unhideWhenUsed/>
    <w:rsid w:val="00C52278"/>
    <w:rPr>
      <w:rFonts w:asciiTheme="minorHAnsi" w:eastAsiaTheme="minorHAnsi" w:hAnsiTheme="minorHAnsi" w:cstheme="minorBidi"/>
      <w:b/>
      <w:bCs/>
      <w:lang w:val="es-ES"/>
    </w:rPr>
  </w:style>
  <w:style w:type="character" w:customStyle="1" w:styleId="CommentSubjectChar">
    <w:name w:val="Comment Subject Char"/>
    <w:basedOn w:val="CommentTextChar"/>
    <w:link w:val="CommentSubject"/>
    <w:uiPriority w:val="99"/>
    <w:semiHidden/>
    <w:rsid w:val="00C52278"/>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5A37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7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37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769"/>
    <w:rPr>
      <w:rFonts w:asciiTheme="majorHAnsi" w:eastAsiaTheme="majorEastAsia" w:hAnsiTheme="majorHAnsi" w:cstheme="majorBidi"/>
      <w:b/>
      <w:bCs/>
      <w:i/>
      <w:iCs/>
      <w:color w:val="4F81BD" w:themeColor="accent1"/>
    </w:rPr>
  </w:style>
  <w:style w:type="paragraph" w:styleId="Date">
    <w:name w:val="Date"/>
    <w:basedOn w:val="Normal"/>
    <w:next w:val="Normal"/>
    <w:link w:val="DateChar"/>
    <w:uiPriority w:val="99"/>
    <w:unhideWhenUsed/>
    <w:rsid w:val="005A3769"/>
  </w:style>
  <w:style w:type="character" w:customStyle="1" w:styleId="DateChar">
    <w:name w:val="Date Char"/>
    <w:basedOn w:val="DefaultParagraphFont"/>
    <w:link w:val="Date"/>
    <w:uiPriority w:val="99"/>
    <w:rsid w:val="005A3769"/>
  </w:style>
  <w:style w:type="paragraph" w:styleId="ListContinue2">
    <w:name w:val="List Continue 2"/>
    <w:basedOn w:val="Normal"/>
    <w:uiPriority w:val="99"/>
    <w:unhideWhenUsed/>
    <w:rsid w:val="005A3769"/>
    <w:pPr>
      <w:spacing w:after="120"/>
      <w:ind w:left="566"/>
      <w:contextualSpacing/>
    </w:pPr>
  </w:style>
  <w:style w:type="paragraph" w:styleId="Title">
    <w:name w:val="Title"/>
    <w:basedOn w:val="Normal"/>
    <w:next w:val="Normal"/>
    <w:link w:val="TitleChar"/>
    <w:uiPriority w:val="10"/>
    <w:qFormat/>
    <w:rsid w:val="005A37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769"/>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5A3769"/>
    <w:pPr>
      <w:spacing w:after="120"/>
    </w:pPr>
  </w:style>
  <w:style w:type="character" w:customStyle="1" w:styleId="BodyTextChar">
    <w:name w:val="Body Text Char"/>
    <w:basedOn w:val="DefaultParagraphFont"/>
    <w:link w:val="BodyText"/>
    <w:uiPriority w:val="99"/>
    <w:rsid w:val="005A3769"/>
  </w:style>
  <w:style w:type="table" w:styleId="TableGrid">
    <w:name w:val="Table Grid"/>
    <w:basedOn w:val="TableNormal"/>
    <w:uiPriority w:val="59"/>
    <w:rsid w:val="0054779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55223"/>
    <w:pPr>
      <w:spacing w:line="240" w:lineRule="auto"/>
    </w:pPr>
    <w:rPr>
      <w:rFonts w:ascii="Times New Roman" w:eastAsia="Times New Roman" w:hAnsi="Times New Roman" w:cs="Times New Roman"/>
      <w:b/>
      <w:bCs/>
      <w:sz w:val="20"/>
      <w:szCs w:val="20"/>
      <w:lang w:val="es-ES_tradnl" w:eastAsia="es-ES_tradnl"/>
    </w:rPr>
  </w:style>
  <w:style w:type="table" w:customStyle="1" w:styleId="Sombreadomedio1-nfasis11">
    <w:name w:val="Sombreado medio 1 - Énfasis 11"/>
    <w:basedOn w:val="TableNormal"/>
    <w:uiPriority w:val="63"/>
    <w:rsid w:val="00D55223"/>
    <w:pPr>
      <w:spacing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Prrafodelista1">
    <w:name w:val="Párrafo de lista1"/>
    <w:basedOn w:val="Normal"/>
    <w:uiPriority w:val="34"/>
    <w:qFormat/>
    <w:rsid w:val="00D55223"/>
    <w:pPr>
      <w:widowControl w:val="0"/>
      <w:adjustRightInd w:val="0"/>
      <w:spacing w:line="360" w:lineRule="atLeast"/>
      <w:ind w:left="720"/>
      <w:jc w:val="both"/>
      <w:textAlignment w:val="baseline"/>
    </w:pPr>
    <w:rPr>
      <w:rFonts w:ascii="Cambria" w:eastAsia="SimSun" w:hAnsi="Cambria" w:cs="Cambria"/>
      <w:sz w:val="24"/>
      <w:szCs w:val="24"/>
      <w:lang w:val="de-DE"/>
    </w:rPr>
  </w:style>
  <w:style w:type="paragraph" w:styleId="ListBullet">
    <w:name w:val="List Bullet"/>
    <w:basedOn w:val="Normal"/>
    <w:rsid w:val="00D55223"/>
    <w:pPr>
      <w:tabs>
        <w:tab w:val="num" w:pos="360"/>
        <w:tab w:val="left" w:pos="1134"/>
      </w:tabs>
      <w:spacing w:line="240" w:lineRule="auto"/>
      <w:ind w:left="360" w:hanging="360"/>
      <w:jc w:val="both"/>
    </w:pPr>
    <w:rPr>
      <w:rFonts w:ascii="Times New Roman" w:eastAsia="Times New Roman" w:hAnsi="Times New Roman" w:cs="Times New Roman"/>
      <w:sz w:val="23"/>
      <w:szCs w:val="20"/>
      <w:lang w:val="en-GB" w:eastAsia="en-GB"/>
    </w:rPr>
  </w:style>
  <w:style w:type="paragraph" w:styleId="TOCHeading">
    <w:name w:val="TOC Heading"/>
    <w:basedOn w:val="Heading1"/>
    <w:next w:val="Normal"/>
    <w:uiPriority w:val="39"/>
    <w:semiHidden/>
    <w:unhideWhenUsed/>
    <w:qFormat/>
    <w:rsid w:val="00E138EE"/>
    <w:pPr>
      <w:outlineLvl w:val="9"/>
    </w:pPr>
  </w:style>
  <w:style w:type="paragraph" w:styleId="TOC1">
    <w:name w:val="toc 1"/>
    <w:basedOn w:val="Normal"/>
    <w:next w:val="Normal"/>
    <w:autoRedefine/>
    <w:uiPriority w:val="39"/>
    <w:unhideWhenUsed/>
    <w:rsid w:val="00FE4C3E"/>
    <w:pPr>
      <w:tabs>
        <w:tab w:val="left" w:pos="567"/>
        <w:tab w:val="right" w:leader="dot" w:pos="8494"/>
      </w:tabs>
      <w:spacing w:after="100"/>
      <w:jc w:val="left"/>
    </w:pPr>
  </w:style>
  <w:style w:type="paragraph" w:styleId="TOC3">
    <w:name w:val="toc 3"/>
    <w:basedOn w:val="Normal"/>
    <w:next w:val="Normal"/>
    <w:autoRedefine/>
    <w:uiPriority w:val="39"/>
    <w:unhideWhenUsed/>
    <w:rsid w:val="00E138EE"/>
    <w:pPr>
      <w:spacing w:after="100"/>
      <w:ind w:left="440"/>
    </w:pPr>
  </w:style>
  <w:style w:type="paragraph" w:styleId="TOC2">
    <w:name w:val="toc 2"/>
    <w:basedOn w:val="Normal"/>
    <w:next w:val="Normal"/>
    <w:autoRedefine/>
    <w:uiPriority w:val="39"/>
    <w:unhideWhenUsed/>
    <w:rsid w:val="00554B9A"/>
    <w:pPr>
      <w:tabs>
        <w:tab w:val="left" w:pos="1320"/>
        <w:tab w:val="right" w:leader="dot" w:pos="8494"/>
      </w:tabs>
      <w:spacing w:after="100"/>
      <w:ind w:left="220"/>
      <w:jc w:val="left"/>
    </w:pPr>
  </w:style>
  <w:style w:type="character" w:styleId="Hyperlink">
    <w:name w:val="Hyperlink"/>
    <w:basedOn w:val="DefaultParagraphFont"/>
    <w:uiPriority w:val="99"/>
    <w:unhideWhenUsed/>
    <w:rsid w:val="00E138EE"/>
    <w:rPr>
      <w:color w:val="0000FF" w:themeColor="hyperlink"/>
      <w:u w:val="single"/>
    </w:rPr>
  </w:style>
  <w:style w:type="paragraph" w:styleId="DocumentMap">
    <w:name w:val="Document Map"/>
    <w:basedOn w:val="Normal"/>
    <w:link w:val="DocumentMapChar"/>
    <w:uiPriority w:val="99"/>
    <w:semiHidden/>
    <w:unhideWhenUsed/>
    <w:rsid w:val="00E138EE"/>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138EE"/>
    <w:rPr>
      <w:rFonts w:ascii="Tahoma" w:hAnsi="Tahoma" w:cs="Tahoma"/>
      <w:sz w:val="16"/>
      <w:szCs w:val="16"/>
    </w:rPr>
  </w:style>
  <w:style w:type="paragraph" w:styleId="Revision">
    <w:name w:val="Revision"/>
    <w:hidden/>
    <w:uiPriority w:val="99"/>
    <w:semiHidden/>
    <w:rsid w:val="00F270AE"/>
    <w:pPr>
      <w:spacing w:line="240" w:lineRule="auto"/>
    </w:pPr>
  </w:style>
  <w:style w:type="paragraph" w:styleId="Subtitle">
    <w:name w:val="Subtitle"/>
    <w:basedOn w:val="Normal"/>
    <w:next w:val="Normal"/>
    <w:link w:val="SubtitleChar"/>
    <w:uiPriority w:val="11"/>
    <w:qFormat/>
    <w:rsid w:val="004E5B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5B20"/>
    <w:rPr>
      <w:rFonts w:asciiTheme="majorHAnsi" w:eastAsiaTheme="majorEastAsia" w:hAnsiTheme="majorHAnsi" w:cstheme="majorBidi"/>
      <w:i/>
      <w:iCs/>
      <w:color w:val="4F81BD" w:themeColor="accent1"/>
      <w:spacing w:val="15"/>
      <w:sz w:val="24"/>
      <w:szCs w:val="24"/>
    </w:rPr>
  </w:style>
  <w:style w:type="paragraph" w:customStyle="1" w:styleId="Standard">
    <w:name w:val="Standard"/>
    <w:rsid w:val="001D5096"/>
    <w:pPr>
      <w:widowControl w:val="0"/>
      <w:suppressAutoHyphens/>
      <w:autoSpaceDN w:val="0"/>
      <w:spacing w:line="240" w:lineRule="auto"/>
      <w:textAlignment w:val="baseline"/>
    </w:pPr>
    <w:rPr>
      <w:rFonts w:ascii="Liberation Serif" w:eastAsia="DejaVu Sans" w:hAnsi="Liberation Serif" w:cs="DejaVu Sans"/>
      <w:kern w:val="3"/>
      <w:sz w:val="24"/>
      <w:szCs w:val="24"/>
      <w:lang w:val="pt-BR" w:eastAsia="zh-CN" w:bidi="hi-IN"/>
    </w:rPr>
  </w:style>
  <w:style w:type="character" w:styleId="PageNumber">
    <w:name w:val="page number"/>
    <w:basedOn w:val="DefaultParagraphFont"/>
    <w:rsid w:val="004901F6"/>
  </w:style>
  <w:style w:type="paragraph" w:customStyle="1" w:styleId="Default">
    <w:name w:val="Default"/>
    <w:rsid w:val="000B3A32"/>
    <w:pPr>
      <w:autoSpaceDE w:val="0"/>
      <w:autoSpaceDN w:val="0"/>
      <w:adjustRightInd w:val="0"/>
      <w:spacing w:line="240" w:lineRule="auto"/>
      <w:jc w:val="left"/>
    </w:pPr>
    <w:rPr>
      <w:rFonts w:ascii="Times New Roman" w:eastAsia="Times New Roman" w:hAnsi="Times New Roman" w:cs="Times New Roman"/>
      <w:color w:val="000000"/>
      <w:sz w:val="24"/>
      <w:szCs w:val="24"/>
      <w:lang w:val="en-US"/>
    </w:rPr>
  </w:style>
  <w:style w:type="paragraph" w:styleId="PlainText">
    <w:name w:val="Plain Text"/>
    <w:basedOn w:val="Normal"/>
    <w:link w:val="PlainTextChar"/>
    <w:uiPriority w:val="99"/>
    <w:semiHidden/>
    <w:unhideWhenUsed/>
    <w:rsid w:val="00843034"/>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843034"/>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79334">
      <w:bodyDiv w:val="1"/>
      <w:marLeft w:val="0"/>
      <w:marRight w:val="0"/>
      <w:marTop w:val="0"/>
      <w:marBottom w:val="0"/>
      <w:divBdr>
        <w:top w:val="none" w:sz="0" w:space="0" w:color="auto"/>
        <w:left w:val="none" w:sz="0" w:space="0" w:color="auto"/>
        <w:bottom w:val="none" w:sz="0" w:space="0" w:color="auto"/>
        <w:right w:val="none" w:sz="0" w:space="0" w:color="auto"/>
      </w:divBdr>
    </w:div>
    <w:div w:id="57095094">
      <w:bodyDiv w:val="1"/>
      <w:marLeft w:val="0"/>
      <w:marRight w:val="0"/>
      <w:marTop w:val="0"/>
      <w:marBottom w:val="0"/>
      <w:divBdr>
        <w:top w:val="none" w:sz="0" w:space="0" w:color="auto"/>
        <w:left w:val="none" w:sz="0" w:space="0" w:color="auto"/>
        <w:bottom w:val="none" w:sz="0" w:space="0" w:color="auto"/>
        <w:right w:val="none" w:sz="0" w:space="0" w:color="auto"/>
      </w:divBdr>
    </w:div>
    <w:div w:id="107434842">
      <w:bodyDiv w:val="1"/>
      <w:marLeft w:val="0"/>
      <w:marRight w:val="0"/>
      <w:marTop w:val="0"/>
      <w:marBottom w:val="0"/>
      <w:divBdr>
        <w:top w:val="none" w:sz="0" w:space="0" w:color="auto"/>
        <w:left w:val="none" w:sz="0" w:space="0" w:color="auto"/>
        <w:bottom w:val="none" w:sz="0" w:space="0" w:color="auto"/>
        <w:right w:val="none" w:sz="0" w:space="0" w:color="auto"/>
      </w:divBdr>
    </w:div>
    <w:div w:id="124082861">
      <w:bodyDiv w:val="1"/>
      <w:marLeft w:val="0"/>
      <w:marRight w:val="0"/>
      <w:marTop w:val="0"/>
      <w:marBottom w:val="0"/>
      <w:divBdr>
        <w:top w:val="none" w:sz="0" w:space="0" w:color="auto"/>
        <w:left w:val="none" w:sz="0" w:space="0" w:color="auto"/>
        <w:bottom w:val="none" w:sz="0" w:space="0" w:color="auto"/>
        <w:right w:val="none" w:sz="0" w:space="0" w:color="auto"/>
      </w:divBdr>
    </w:div>
    <w:div w:id="167139877">
      <w:bodyDiv w:val="1"/>
      <w:marLeft w:val="0"/>
      <w:marRight w:val="0"/>
      <w:marTop w:val="0"/>
      <w:marBottom w:val="0"/>
      <w:divBdr>
        <w:top w:val="none" w:sz="0" w:space="0" w:color="auto"/>
        <w:left w:val="none" w:sz="0" w:space="0" w:color="auto"/>
        <w:bottom w:val="none" w:sz="0" w:space="0" w:color="auto"/>
        <w:right w:val="none" w:sz="0" w:space="0" w:color="auto"/>
      </w:divBdr>
    </w:div>
    <w:div w:id="176189471">
      <w:bodyDiv w:val="1"/>
      <w:marLeft w:val="0"/>
      <w:marRight w:val="0"/>
      <w:marTop w:val="0"/>
      <w:marBottom w:val="0"/>
      <w:divBdr>
        <w:top w:val="none" w:sz="0" w:space="0" w:color="auto"/>
        <w:left w:val="none" w:sz="0" w:space="0" w:color="auto"/>
        <w:bottom w:val="none" w:sz="0" w:space="0" w:color="auto"/>
        <w:right w:val="none" w:sz="0" w:space="0" w:color="auto"/>
      </w:divBdr>
    </w:div>
    <w:div w:id="197744179">
      <w:bodyDiv w:val="1"/>
      <w:marLeft w:val="0"/>
      <w:marRight w:val="0"/>
      <w:marTop w:val="0"/>
      <w:marBottom w:val="0"/>
      <w:divBdr>
        <w:top w:val="none" w:sz="0" w:space="0" w:color="auto"/>
        <w:left w:val="none" w:sz="0" w:space="0" w:color="auto"/>
        <w:bottom w:val="none" w:sz="0" w:space="0" w:color="auto"/>
        <w:right w:val="none" w:sz="0" w:space="0" w:color="auto"/>
      </w:divBdr>
    </w:div>
    <w:div w:id="251741193">
      <w:bodyDiv w:val="1"/>
      <w:marLeft w:val="0"/>
      <w:marRight w:val="0"/>
      <w:marTop w:val="0"/>
      <w:marBottom w:val="0"/>
      <w:divBdr>
        <w:top w:val="none" w:sz="0" w:space="0" w:color="auto"/>
        <w:left w:val="none" w:sz="0" w:space="0" w:color="auto"/>
        <w:bottom w:val="none" w:sz="0" w:space="0" w:color="auto"/>
        <w:right w:val="none" w:sz="0" w:space="0" w:color="auto"/>
      </w:divBdr>
    </w:div>
    <w:div w:id="283270538">
      <w:bodyDiv w:val="1"/>
      <w:marLeft w:val="0"/>
      <w:marRight w:val="0"/>
      <w:marTop w:val="0"/>
      <w:marBottom w:val="0"/>
      <w:divBdr>
        <w:top w:val="none" w:sz="0" w:space="0" w:color="auto"/>
        <w:left w:val="none" w:sz="0" w:space="0" w:color="auto"/>
        <w:bottom w:val="none" w:sz="0" w:space="0" w:color="auto"/>
        <w:right w:val="none" w:sz="0" w:space="0" w:color="auto"/>
      </w:divBdr>
    </w:div>
    <w:div w:id="308019514">
      <w:bodyDiv w:val="1"/>
      <w:marLeft w:val="0"/>
      <w:marRight w:val="0"/>
      <w:marTop w:val="0"/>
      <w:marBottom w:val="0"/>
      <w:divBdr>
        <w:top w:val="none" w:sz="0" w:space="0" w:color="auto"/>
        <w:left w:val="none" w:sz="0" w:space="0" w:color="auto"/>
        <w:bottom w:val="none" w:sz="0" w:space="0" w:color="auto"/>
        <w:right w:val="none" w:sz="0" w:space="0" w:color="auto"/>
      </w:divBdr>
    </w:div>
    <w:div w:id="380788747">
      <w:bodyDiv w:val="1"/>
      <w:marLeft w:val="0"/>
      <w:marRight w:val="0"/>
      <w:marTop w:val="0"/>
      <w:marBottom w:val="0"/>
      <w:divBdr>
        <w:top w:val="none" w:sz="0" w:space="0" w:color="auto"/>
        <w:left w:val="none" w:sz="0" w:space="0" w:color="auto"/>
        <w:bottom w:val="none" w:sz="0" w:space="0" w:color="auto"/>
        <w:right w:val="none" w:sz="0" w:space="0" w:color="auto"/>
      </w:divBdr>
    </w:div>
    <w:div w:id="383799043">
      <w:bodyDiv w:val="1"/>
      <w:marLeft w:val="0"/>
      <w:marRight w:val="0"/>
      <w:marTop w:val="0"/>
      <w:marBottom w:val="0"/>
      <w:divBdr>
        <w:top w:val="none" w:sz="0" w:space="0" w:color="auto"/>
        <w:left w:val="none" w:sz="0" w:space="0" w:color="auto"/>
        <w:bottom w:val="none" w:sz="0" w:space="0" w:color="auto"/>
        <w:right w:val="none" w:sz="0" w:space="0" w:color="auto"/>
      </w:divBdr>
    </w:div>
    <w:div w:id="504176651">
      <w:bodyDiv w:val="1"/>
      <w:marLeft w:val="0"/>
      <w:marRight w:val="0"/>
      <w:marTop w:val="0"/>
      <w:marBottom w:val="0"/>
      <w:divBdr>
        <w:top w:val="none" w:sz="0" w:space="0" w:color="auto"/>
        <w:left w:val="none" w:sz="0" w:space="0" w:color="auto"/>
        <w:bottom w:val="none" w:sz="0" w:space="0" w:color="auto"/>
        <w:right w:val="none" w:sz="0" w:space="0" w:color="auto"/>
      </w:divBdr>
    </w:div>
    <w:div w:id="534317014">
      <w:bodyDiv w:val="1"/>
      <w:marLeft w:val="0"/>
      <w:marRight w:val="0"/>
      <w:marTop w:val="0"/>
      <w:marBottom w:val="0"/>
      <w:divBdr>
        <w:top w:val="none" w:sz="0" w:space="0" w:color="auto"/>
        <w:left w:val="none" w:sz="0" w:space="0" w:color="auto"/>
        <w:bottom w:val="none" w:sz="0" w:space="0" w:color="auto"/>
        <w:right w:val="none" w:sz="0" w:space="0" w:color="auto"/>
      </w:divBdr>
    </w:div>
    <w:div w:id="624314639">
      <w:bodyDiv w:val="1"/>
      <w:marLeft w:val="0"/>
      <w:marRight w:val="0"/>
      <w:marTop w:val="0"/>
      <w:marBottom w:val="0"/>
      <w:divBdr>
        <w:top w:val="none" w:sz="0" w:space="0" w:color="auto"/>
        <w:left w:val="none" w:sz="0" w:space="0" w:color="auto"/>
        <w:bottom w:val="none" w:sz="0" w:space="0" w:color="auto"/>
        <w:right w:val="none" w:sz="0" w:space="0" w:color="auto"/>
      </w:divBdr>
    </w:div>
    <w:div w:id="713391167">
      <w:bodyDiv w:val="1"/>
      <w:marLeft w:val="0"/>
      <w:marRight w:val="0"/>
      <w:marTop w:val="0"/>
      <w:marBottom w:val="0"/>
      <w:divBdr>
        <w:top w:val="none" w:sz="0" w:space="0" w:color="auto"/>
        <w:left w:val="none" w:sz="0" w:space="0" w:color="auto"/>
        <w:bottom w:val="none" w:sz="0" w:space="0" w:color="auto"/>
        <w:right w:val="none" w:sz="0" w:space="0" w:color="auto"/>
      </w:divBdr>
    </w:div>
    <w:div w:id="804546898">
      <w:bodyDiv w:val="1"/>
      <w:marLeft w:val="0"/>
      <w:marRight w:val="0"/>
      <w:marTop w:val="0"/>
      <w:marBottom w:val="0"/>
      <w:divBdr>
        <w:top w:val="none" w:sz="0" w:space="0" w:color="auto"/>
        <w:left w:val="none" w:sz="0" w:space="0" w:color="auto"/>
        <w:bottom w:val="none" w:sz="0" w:space="0" w:color="auto"/>
        <w:right w:val="none" w:sz="0" w:space="0" w:color="auto"/>
      </w:divBdr>
    </w:div>
    <w:div w:id="824667865">
      <w:bodyDiv w:val="1"/>
      <w:marLeft w:val="0"/>
      <w:marRight w:val="0"/>
      <w:marTop w:val="0"/>
      <w:marBottom w:val="0"/>
      <w:divBdr>
        <w:top w:val="none" w:sz="0" w:space="0" w:color="auto"/>
        <w:left w:val="none" w:sz="0" w:space="0" w:color="auto"/>
        <w:bottom w:val="none" w:sz="0" w:space="0" w:color="auto"/>
        <w:right w:val="none" w:sz="0" w:space="0" w:color="auto"/>
      </w:divBdr>
    </w:div>
    <w:div w:id="831458027">
      <w:bodyDiv w:val="1"/>
      <w:marLeft w:val="0"/>
      <w:marRight w:val="0"/>
      <w:marTop w:val="0"/>
      <w:marBottom w:val="0"/>
      <w:divBdr>
        <w:top w:val="none" w:sz="0" w:space="0" w:color="auto"/>
        <w:left w:val="none" w:sz="0" w:space="0" w:color="auto"/>
        <w:bottom w:val="none" w:sz="0" w:space="0" w:color="auto"/>
        <w:right w:val="none" w:sz="0" w:space="0" w:color="auto"/>
      </w:divBdr>
    </w:div>
    <w:div w:id="892615304">
      <w:bodyDiv w:val="1"/>
      <w:marLeft w:val="0"/>
      <w:marRight w:val="0"/>
      <w:marTop w:val="0"/>
      <w:marBottom w:val="0"/>
      <w:divBdr>
        <w:top w:val="none" w:sz="0" w:space="0" w:color="auto"/>
        <w:left w:val="none" w:sz="0" w:space="0" w:color="auto"/>
        <w:bottom w:val="none" w:sz="0" w:space="0" w:color="auto"/>
        <w:right w:val="none" w:sz="0" w:space="0" w:color="auto"/>
      </w:divBdr>
    </w:div>
    <w:div w:id="959609448">
      <w:bodyDiv w:val="1"/>
      <w:marLeft w:val="0"/>
      <w:marRight w:val="0"/>
      <w:marTop w:val="0"/>
      <w:marBottom w:val="0"/>
      <w:divBdr>
        <w:top w:val="none" w:sz="0" w:space="0" w:color="auto"/>
        <w:left w:val="none" w:sz="0" w:space="0" w:color="auto"/>
        <w:bottom w:val="none" w:sz="0" w:space="0" w:color="auto"/>
        <w:right w:val="none" w:sz="0" w:space="0" w:color="auto"/>
      </w:divBdr>
    </w:div>
    <w:div w:id="1017537788">
      <w:bodyDiv w:val="1"/>
      <w:marLeft w:val="0"/>
      <w:marRight w:val="0"/>
      <w:marTop w:val="0"/>
      <w:marBottom w:val="0"/>
      <w:divBdr>
        <w:top w:val="none" w:sz="0" w:space="0" w:color="auto"/>
        <w:left w:val="none" w:sz="0" w:space="0" w:color="auto"/>
        <w:bottom w:val="none" w:sz="0" w:space="0" w:color="auto"/>
        <w:right w:val="none" w:sz="0" w:space="0" w:color="auto"/>
      </w:divBdr>
    </w:div>
    <w:div w:id="1037970289">
      <w:bodyDiv w:val="1"/>
      <w:marLeft w:val="0"/>
      <w:marRight w:val="0"/>
      <w:marTop w:val="0"/>
      <w:marBottom w:val="0"/>
      <w:divBdr>
        <w:top w:val="none" w:sz="0" w:space="0" w:color="auto"/>
        <w:left w:val="none" w:sz="0" w:space="0" w:color="auto"/>
        <w:bottom w:val="none" w:sz="0" w:space="0" w:color="auto"/>
        <w:right w:val="none" w:sz="0" w:space="0" w:color="auto"/>
      </w:divBdr>
    </w:div>
    <w:div w:id="1101949766">
      <w:bodyDiv w:val="1"/>
      <w:marLeft w:val="0"/>
      <w:marRight w:val="0"/>
      <w:marTop w:val="0"/>
      <w:marBottom w:val="0"/>
      <w:divBdr>
        <w:top w:val="none" w:sz="0" w:space="0" w:color="auto"/>
        <w:left w:val="none" w:sz="0" w:space="0" w:color="auto"/>
        <w:bottom w:val="none" w:sz="0" w:space="0" w:color="auto"/>
        <w:right w:val="none" w:sz="0" w:space="0" w:color="auto"/>
      </w:divBdr>
    </w:div>
    <w:div w:id="1106005928">
      <w:bodyDiv w:val="1"/>
      <w:marLeft w:val="0"/>
      <w:marRight w:val="0"/>
      <w:marTop w:val="0"/>
      <w:marBottom w:val="0"/>
      <w:divBdr>
        <w:top w:val="none" w:sz="0" w:space="0" w:color="auto"/>
        <w:left w:val="none" w:sz="0" w:space="0" w:color="auto"/>
        <w:bottom w:val="none" w:sz="0" w:space="0" w:color="auto"/>
        <w:right w:val="none" w:sz="0" w:space="0" w:color="auto"/>
      </w:divBdr>
    </w:div>
    <w:div w:id="1119301067">
      <w:bodyDiv w:val="1"/>
      <w:marLeft w:val="0"/>
      <w:marRight w:val="0"/>
      <w:marTop w:val="0"/>
      <w:marBottom w:val="0"/>
      <w:divBdr>
        <w:top w:val="none" w:sz="0" w:space="0" w:color="auto"/>
        <w:left w:val="none" w:sz="0" w:space="0" w:color="auto"/>
        <w:bottom w:val="none" w:sz="0" w:space="0" w:color="auto"/>
        <w:right w:val="none" w:sz="0" w:space="0" w:color="auto"/>
      </w:divBdr>
    </w:div>
    <w:div w:id="1211310175">
      <w:bodyDiv w:val="1"/>
      <w:marLeft w:val="0"/>
      <w:marRight w:val="0"/>
      <w:marTop w:val="0"/>
      <w:marBottom w:val="0"/>
      <w:divBdr>
        <w:top w:val="none" w:sz="0" w:space="0" w:color="auto"/>
        <w:left w:val="none" w:sz="0" w:space="0" w:color="auto"/>
        <w:bottom w:val="none" w:sz="0" w:space="0" w:color="auto"/>
        <w:right w:val="none" w:sz="0" w:space="0" w:color="auto"/>
      </w:divBdr>
    </w:div>
    <w:div w:id="1272592155">
      <w:bodyDiv w:val="1"/>
      <w:marLeft w:val="0"/>
      <w:marRight w:val="0"/>
      <w:marTop w:val="0"/>
      <w:marBottom w:val="0"/>
      <w:divBdr>
        <w:top w:val="none" w:sz="0" w:space="0" w:color="auto"/>
        <w:left w:val="none" w:sz="0" w:space="0" w:color="auto"/>
        <w:bottom w:val="none" w:sz="0" w:space="0" w:color="auto"/>
        <w:right w:val="none" w:sz="0" w:space="0" w:color="auto"/>
      </w:divBdr>
    </w:div>
    <w:div w:id="1294217524">
      <w:bodyDiv w:val="1"/>
      <w:marLeft w:val="0"/>
      <w:marRight w:val="0"/>
      <w:marTop w:val="0"/>
      <w:marBottom w:val="0"/>
      <w:divBdr>
        <w:top w:val="none" w:sz="0" w:space="0" w:color="auto"/>
        <w:left w:val="none" w:sz="0" w:space="0" w:color="auto"/>
        <w:bottom w:val="none" w:sz="0" w:space="0" w:color="auto"/>
        <w:right w:val="none" w:sz="0" w:space="0" w:color="auto"/>
      </w:divBdr>
    </w:div>
    <w:div w:id="1417172127">
      <w:bodyDiv w:val="1"/>
      <w:marLeft w:val="0"/>
      <w:marRight w:val="0"/>
      <w:marTop w:val="0"/>
      <w:marBottom w:val="0"/>
      <w:divBdr>
        <w:top w:val="none" w:sz="0" w:space="0" w:color="auto"/>
        <w:left w:val="none" w:sz="0" w:space="0" w:color="auto"/>
        <w:bottom w:val="none" w:sz="0" w:space="0" w:color="auto"/>
        <w:right w:val="none" w:sz="0" w:space="0" w:color="auto"/>
      </w:divBdr>
    </w:div>
    <w:div w:id="1453864388">
      <w:bodyDiv w:val="1"/>
      <w:marLeft w:val="0"/>
      <w:marRight w:val="0"/>
      <w:marTop w:val="0"/>
      <w:marBottom w:val="0"/>
      <w:divBdr>
        <w:top w:val="none" w:sz="0" w:space="0" w:color="auto"/>
        <w:left w:val="none" w:sz="0" w:space="0" w:color="auto"/>
        <w:bottom w:val="none" w:sz="0" w:space="0" w:color="auto"/>
        <w:right w:val="none" w:sz="0" w:space="0" w:color="auto"/>
      </w:divBdr>
    </w:div>
    <w:div w:id="1476750740">
      <w:bodyDiv w:val="1"/>
      <w:marLeft w:val="0"/>
      <w:marRight w:val="0"/>
      <w:marTop w:val="0"/>
      <w:marBottom w:val="0"/>
      <w:divBdr>
        <w:top w:val="none" w:sz="0" w:space="0" w:color="auto"/>
        <w:left w:val="none" w:sz="0" w:space="0" w:color="auto"/>
        <w:bottom w:val="none" w:sz="0" w:space="0" w:color="auto"/>
        <w:right w:val="none" w:sz="0" w:space="0" w:color="auto"/>
      </w:divBdr>
    </w:div>
    <w:div w:id="1495292085">
      <w:bodyDiv w:val="1"/>
      <w:marLeft w:val="0"/>
      <w:marRight w:val="0"/>
      <w:marTop w:val="0"/>
      <w:marBottom w:val="0"/>
      <w:divBdr>
        <w:top w:val="none" w:sz="0" w:space="0" w:color="auto"/>
        <w:left w:val="none" w:sz="0" w:space="0" w:color="auto"/>
        <w:bottom w:val="none" w:sz="0" w:space="0" w:color="auto"/>
        <w:right w:val="none" w:sz="0" w:space="0" w:color="auto"/>
      </w:divBdr>
    </w:div>
    <w:div w:id="1520974677">
      <w:bodyDiv w:val="1"/>
      <w:marLeft w:val="0"/>
      <w:marRight w:val="0"/>
      <w:marTop w:val="0"/>
      <w:marBottom w:val="0"/>
      <w:divBdr>
        <w:top w:val="none" w:sz="0" w:space="0" w:color="auto"/>
        <w:left w:val="none" w:sz="0" w:space="0" w:color="auto"/>
        <w:bottom w:val="none" w:sz="0" w:space="0" w:color="auto"/>
        <w:right w:val="none" w:sz="0" w:space="0" w:color="auto"/>
      </w:divBdr>
    </w:div>
    <w:div w:id="1585264602">
      <w:bodyDiv w:val="1"/>
      <w:marLeft w:val="0"/>
      <w:marRight w:val="0"/>
      <w:marTop w:val="0"/>
      <w:marBottom w:val="0"/>
      <w:divBdr>
        <w:top w:val="none" w:sz="0" w:space="0" w:color="auto"/>
        <w:left w:val="none" w:sz="0" w:space="0" w:color="auto"/>
        <w:bottom w:val="none" w:sz="0" w:space="0" w:color="auto"/>
        <w:right w:val="none" w:sz="0" w:space="0" w:color="auto"/>
      </w:divBdr>
    </w:div>
    <w:div w:id="1621033936">
      <w:bodyDiv w:val="1"/>
      <w:marLeft w:val="0"/>
      <w:marRight w:val="0"/>
      <w:marTop w:val="0"/>
      <w:marBottom w:val="0"/>
      <w:divBdr>
        <w:top w:val="none" w:sz="0" w:space="0" w:color="auto"/>
        <w:left w:val="none" w:sz="0" w:space="0" w:color="auto"/>
        <w:bottom w:val="none" w:sz="0" w:space="0" w:color="auto"/>
        <w:right w:val="none" w:sz="0" w:space="0" w:color="auto"/>
      </w:divBdr>
    </w:div>
    <w:div w:id="1647395905">
      <w:bodyDiv w:val="1"/>
      <w:marLeft w:val="0"/>
      <w:marRight w:val="0"/>
      <w:marTop w:val="0"/>
      <w:marBottom w:val="0"/>
      <w:divBdr>
        <w:top w:val="none" w:sz="0" w:space="0" w:color="auto"/>
        <w:left w:val="none" w:sz="0" w:space="0" w:color="auto"/>
        <w:bottom w:val="none" w:sz="0" w:space="0" w:color="auto"/>
        <w:right w:val="none" w:sz="0" w:space="0" w:color="auto"/>
      </w:divBdr>
    </w:div>
    <w:div w:id="1670864896">
      <w:bodyDiv w:val="1"/>
      <w:marLeft w:val="0"/>
      <w:marRight w:val="0"/>
      <w:marTop w:val="0"/>
      <w:marBottom w:val="0"/>
      <w:divBdr>
        <w:top w:val="none" w:sz="0" w:space="0" w:color="auto"/>
        <w:left w:val="none" w:sz="0" w:space="0" w:color="auto"/>
        <w:bottom w:val="none" w:sz="0" w:space="0" w:color="auto"/>
        <w:right w:val="none" w:sz="0" w:space="0" w:color="auto"/>
      </w:divBdr>
    </w:div>
    <w:div w:id="1692608850">
      <w:bodyDiv w:val="1"/>
      <w:marLeft w:val="0"/>
      <w:marRight w:val="0"/>
      <w:marTop w:val="0"/>
      <w:marBottom w:val="0"/>
      <w:divBdr>
        <w:top w:val="none" w:sz="0" w:space="0" w:color="auto"/>
        <w:left w:val="none" w:sz="0" w:space="0" w:color="auto"/>
        <w:bottom w:val="none" w:sz="0" w:space="0" w:color="auto"/>
        <w:right w:val="none" w:sz="0" w:space="0" w:color="auto"/>
      </w:divBdr>
    </w:div>
    <w:div w:id="1698773310">
      <w:bodyDiv w:val="1"/>
      <w:marLeft w:val="0"/>
      <w:marRight w:val="0"/>
      <w:marTop w:val="0"/>
      <w:marBottom w:val="0"/>
      <w:divBdr>
        <w:top w:val="none" w:sz="0" w:space="0" w:color="auto"/>
        <w:left w:val="none" w:sz="0" w:space="0" w:color="auto"/>
        <w:bottom w:val="none" w:sz="0" w:space="0" w:color="auto"/>
        <w:right w:val="none" w:sz="0" w:space="0" w:color="auto"/>
      </w:divBdr>
    </w:div>
    <w:div w:id="1722436770">
      <w:bodyDiv w:val="1"/>
      <w:marLeft w:val="0"/>
      <w:marRight w:val="0"/>
      <w:marTop w:val="0"/>
      <w:marBottom w:val="0"/>
      <w:divBdr>
        <w:top w:val="none" w:sz="0" w:space="0" w:color="auto"/>
        <w:left w:val="none" w:sz="0" w:space="0" w:color="auto"/>
        <w:bottom w:val="none" w:sz="0" w:space="0" w:color="auto"/>
        <w:right w:val="none" w:sz="0" w:space="0" w:color="auto"/>
      </w:divBdr>
    </w:div>
    <w:div w:id="1811940025">
      <w:bodyDiv w:val="1"/>
      <w:marLeft w:val="0"/>
      <w:marRight w:val="0"/>
      <w:marTop w:val="0"/>
      <w:marBottom w:val="0"/>
      <w:divBdr>
        <w:top w:val="none" w:sz="0" w:space="0" w:color="auto"/>
        <w:left w:val="none" w:sz="0" w:space="0" w:color="auto"/>
        <w:bottom w:val="none" w:sz="0" w:space="0" w:color="auto"/>
        <w:right w:val="none" w:sz="0" w:space="0" w:color="auto"/>
      </w:divBdr>
    </w:div>
    <w:div w:id="1813979749">
      <w:bodyDiv w:val="1"/>
      <w:marLeft w:val="0"/>
      <w:marRight w:val="0"/>
      <w:marTop w:val="0"/>
      <w:marBottom w:val="0"/>
      <w:divBdr>
        <w:top w:val="none" w:sz="0" w:space="0" w:color="auto"/>
        <w:left w:val="none" w:sz="0" w:space="0" w:color="auto"/>
        <w:bottom w:val="none" w:sz="0" w:space="0" w:color="auto"/>
        <w:right w:val="none" w:sz="0" w:space="0" w:color="auto"/>
      </w:divBdr>
    </w:div>
    <w:div w:id="1852600306">
      <w:bodyDiv w:val="1"/>
      <w:marLeft w:val="0"/>
      <w:marRight w:val="0"/>
      <w:marTop w:val="0"/>
      <w:marBottom w:val="0"/>
      <w:divBdr>
        <w:top w:val="none" w:sz="0" w:space="0" w:color="auto"/>
        <w:left w:val="none" w:sz="0" w:space="0" w:color="auto"/>
        <w:bottom w:val="none" w:sz="0" w:space="0" w:color="auto"/>
        <w:right w:val="none" w:sz="0" w:space="0" w:color="auto"/>
      </w:divBdr>
    </w:div>
    <w:div w:id="1911646292">
      <w:bodyDiv w:val="1"/>
      <w:marLeft w:val="0"/>
      <w:marRight w:val="0"/>
      <w:marTop w:val="0"/>
      <w:marBottom w:val="0"/>
      <w:divBdr>
        <w:top w:val="none" w:sz="0" w:space="0" w:color="auto"/>
        <w:left w:val="none" w:sz="0" w:space="0" w:color="auto"/>
        <w:bottom w:val="none" w:sz="0" w:space="0" w:color="auto"/>
        <w:right w:val="none" w:sz="0" w:space="0" w:color="auto"/>
      </w:divBdr>
    </w:div>
    <w:div w:id="1916738609">
      <w:bodyDiv w:val="1"/>
      <w:marLeft w:val="0"/>
      <w:marRight w:val="0"/>
      <w:marTop w:val="0"/>
      <w:marBottom w:val="0"/>
      <w:divBdr>
        <w:top w:val="none" w:sz="0" w:space="0" w:color="auto"/>
        <w:left w:val="none" w:sz="0" w:space="0" w:color="auto"/>
        <w:bottom w:val="none" w:sz="0" w:space="0" w:color="auto"/>
        <w:right w:val="none" w:sz="0" w:space="0" w:color="auto"/>
      </w:divBdr>
    </w:div>
    <w:div w:id="1953970972">
      <w:bodyDiv w:val="1"/>
      <w:marLeft w:val="0"/>
      <w:marRight w:val="0"/>
      <w:marTop w:val="0"/>
      <w:marBottom w:val="0"/>
      <w:divBdr>
        <w:top w:val="none" w:sz="0" w:space="0" w:color="auto"/>
        <w:left w:val="none" w:sz="0" w:space="0" w:color="auto"/>
        <w:bottom w:val="none" w:sz="0" w:space="0" w:color="auto"/>
        <w:right w:val="none" w:sz="0" w:space="0" w:color="auto"/>
      </w:divBdr>
    </w:div>
    <w:div w:id="1992824878">
      <w:bodyDiv w:val="1"/>
      <w:marLeft w:val="0"/>
      <w:marRight w:val="0"/>
      <w:marTop w:val="0"/>
      <w:marBottom w:val="0"/>
      <w:divBdr>
        <w:top w:val="none" w:sz="0" w:space="0" w:color="auto"/>
        <w:left w:val="none" w:sz="0" w:space="0" w:color="auto"/>
        <w:bottom w:val="none" w:sz="0" w:space="0" w:color="auto"/>
        <w:right w:val="none" w:sz="0" w:space="0" w:color="auto"/>
      </w:divBdr>
    </w:div>
    <w:div w:id="1997608572">
      <w:bodyDiv w:val="1"/>
      <w:marLeft w:val="0"/>
      <w:marRight w:val="0"/>
      <w:marTop w:val="0"/>
      <w:marBottom w:val="0"/>
      <w:divBdr>
        <w:top w:val="none" w:sz="0" w:space="0" w:color="auto"/>
        <w:left w:val="none" w:sz="0" w:space="0" w:color="auto"/>
        <w:bottom w:val="none" w:sz="0" w:space="0" w:color="auto"/>
        <w:right w:val="none" w:sz="0" w:space="0" w:color="auto"/>
      </w:divBdr>
    </w:div>
    <w:div w:id="2011636561">
      <w:bodyDiv w:val="1"/>
      <w:marLeft w:val="0"/>
      <w:marRight w:val="0"/>
      <w:marTop w:val="0"/>
      <w:marBottom w:val="0"/>
      <w:divBdr>
        <w:top w:val="none" w:sz="0" w:space="0" w:color="auto"/>
        <w:left w:val="none" w:sz="0" w:space="0" w:color="auto"/>
        <w:bottom w:val="none" w:sz="0" w:space="0" w:color="auto"/>
        <w:right w:val="none" w:sz="0" w:space="0" w:color="auto"/>
      </w:divBdr>
    </w:div>
    <w:div w:id="2020428716">
      <w:bodyDiv w:val="1"/>
      <w:marLeft w:val="0"/>
      <w:marRight w:val="0"/>
      <w:marTop w:val="0"/>
      <w:marBottom w:val="0"/>
      <w:divBdr>
        <w:top w:val="none" w:sz="0" w:space="0" w:color="auto"/>
        <w:left w:val="none" w:sz="0" w:space="0" w:color="auto"/>
        <w:bottom w:val="none" w:sz="0" w:space="0" w:color="auto"/>
        <w:right w:val="none" w:sz="0" w:space="0" w:color="auto"/>
      </w:divBdr>
    </w:div>
    <w:div w:id="2070178683">
      <w:bodyDiv w:val="1"/>
      <w:marLeft w:val="0"/>
      <w:marRight w:val="0"/>
      <w:marTop w:val="0"/>
      <w:marBottom w:val="0"/>
      <w:divBdr>
        <w:top w:val="none" w:sz="0" w:space="0" w:color="auto"/>
        <w:left w:val="none" w:sz="0" w:space="0" w:color="auto"/>
        <w:bottom w:val="none" w:sz="0" w:space="0" w:color="auto"/>
        <w:right w:val="none" w:sz="0" w:space="0" w:color="auto"/>
      </w:divBdr>
    </w:div>
    <w:div w:id="2110155004">
      <w:bodyDiv w:val="1"/>
      <w:marLeft w:val="0"/>
      <w:marRight w:val="0"/>
      <w:marTop w:val="0"/>
      <w:marBottom w:val="0"/>
      <w:divBdr>
        <w:top w:val="none" w:sz="0" w:space="0" w:color="auto"/>
        <w:left w:val="none" w:sz="0" w:space="0" w:color="auto"/>
        <w:bottom w:val="none" w:sz="0" w:space="0" w:color="auto"/>
        <w:right w:val="none" w:sz="0" w:space="0" w:color="auto"/>
      </w:divBdr>
    </w:div>
    <w:div w:id="213447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9.emf"/><Relationship Id="rId26" Type="http://schemas.openxmlformats.org/officeDocument/2006/relationships/footer" Target="footer1.xml"/><Relationship Id="rId21" Type="http://schemas.openxmlformats.org/officeDocument/2006/relationships/image" Target="media/image12.emf"/><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8.emf"/><Relationship Id="rId25" Type="http://schemas.openxmlformats.org/officeDocument/2006/relationships/header" Target="header1.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5.emf"/><Relationship Id="rId32" Type="http://schemas.openxmlformats.org/officeDocument/2006/relationships/theme" Target="theme/theme1.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footer" Target="footer2.xml"/><Relationship Id="rId36" Type="http://schemas.openxmlformats.org/officeDocument/2006/relationships/customXml" Target="../customXml/item5.xml"/><Relationship Id="rId10" Type="http://schemas.openxmlformats.org/officeDocument/2006/relationships/image" Target="media/image2.emf"/><Relationship Id="rId19" Type="http://schemas.openxmlformats.org/officeDocument/2006/relationships/image" Target="media/image10.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header" Target="header2.xml"/><Relationship Id="rId30" Type="http://schemas.openxmlformats.org/officeDocument/2006/relationships/image" Target="media/image17.emf"/><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F27F22D5ADCC34C9DB8FF1D5557C2E0" ma:contentTypeVersion="0" ma:contentTypeDescription="A content type to manage public (operations) IDB documents" ma:contentTypeScope="" ma:versionID="85368d40553553374ef4b95fb777225b">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39515624</IDBDocs_x0020_Number>
    <Document_x0020_Author xmlns="9c571b2f-e523-4ab2-ba2e-09e151a03ef4">Cova Leon,Haydemar</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EC-L1147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Proposal&lt;/USER_STAGE&gt;&lt;APPROVAL_CODE&gt;CHF&lt;/APPROVAL_CODE&gt;&lt;APPROVAL_DESC&gt;Chief&lt;/APPROVAL_DESC&gt;&lt;PD_OBJ_TYPE&gt;0&lt;/PD_OBJ_TYPE&gt;&lt;MAKERECORD&gt;Y&lt;/MAKERECORD&gt;&lt;/Data&gt;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EN-ENG</Webtopic>
    <Identifier xmlns="9c571b2f-e523-4ab2-ba2e-09e151a03ef4"> FULL DOC</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2DC775B-08CA-4363-8923-16C219727A3B}"/>
</file>

<file path=customXml/itemProps2.xml><?xml version="1.0" encoding="utf-8"?>
<ds:datastoreItem xmlns:ds="http://schemas.openxmlformats.org/officeDocument/2006/customXml" ds:itemID="{3A9B8D91-DCF4-40D0-88B2-4D720B9113C7}"/>
</file>

<file path=customXml/itemProps3.xml><?xml version="1.0" encoding="utf-8"?>
<ds:datastoreItem xmlns:ds="http://schemas.openxmlformats.org/officeDocument/2006/customXml" ds:itemID="{A19BB6A8-7208-4373-A4E0-B1D653CA7625}"/>
</file>

<file path=customXml/itemProps4.xml><?xml version="1.0" encoding="utf-8"?>
<ds:datastoreItem xmlns:ds="http://schemas.openxmlformats.org/officeDocument/2006/customXml" ds:itemID="{06DC703B-257C-4233-97EF-66EE803824B9}"/>
</file>

<file path=customXml/itemProps5.xml><?xml version="1.0" encoding="utf-8"?>
<ds:datastoreItem xmlns:ds="http://schemas.openxmlformats.org/officeDocument/2006/customXml" ds:itemID="{D287790B-2F8F-4451-BE90-4C2F83580CEB}"/>
</file>

<file path=customXml/itemProps6.xml><?xml version="1.0" encoding="utf-8"?>
<ds:datastoreItem xmlns:ds="http://schemas.openxmlformats.org/officeDocument/2006/customXml" ds:itemID="{82BE19F3-E022-41B3-BB63-1892CF8ECAE2}"/>
</file>

<file path=docProps/app.xml><?xml version="1.0" encoding="utf-8"?>
<Properties xmlns="http://schemas.openxmlformats.org/officeDocument/2006/extended-properties" xmlns:vt="http://schemas.openxmlformats.org/officeDocument/2006/docPropsVTypes">
  <Template>Normal.dotm</Template>
  <TotalTime>1</TotalTime>
  <Pages>24</Pages>
  <Words>5217</Words>
  <Characters>29741</Characters>
  <Application>Microsoft Office Word</Application>
  <DocSecurity>4</DocSecurity>
  <Lines>247</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Analisis Costo Beneficio EC-L1147</dc:title>
  <dc:creator>Alexis</dc:creator>
  <cp:lastModifiedBy>Virginia Snyder</cp:lastModifiedBy>
  <cp:revision>2</cp:revision>
  <cp:lastPrinted>2015-04-02T21:12:00Z</cp:lastPrinted>
  <dcterms:created xsi:type="dcterms:W3CDTF">2015-04-24T19:58:00Z</dcterms:created>
  <dcterms:modified xsi:type="dcterms:W3CDTF">2015-04-24T19:58:00Z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0x01010046CF21643EE8D14686A648AA6DAD0892006F27F22D5ADCC34C9DB8FF1D5557C2E0</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