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2"/>
          <w:szCs w:val="22"/>
        </w:rPr>
        <w:id w:val="1440497907"/>
        <w:docPartObj>
          <w:docPartGallery w:val="Cover Pages"/>
          <w:docPartUnique/>
        </w:docPartObj>
      </w:sdtPr>
      <w:sdtEndPr>
        <w:rPr>
          <w:rFonts w:ascii="Times New Roman" w:eastAsia="Times New Roman" w:hAnsi="Times New Roman" w:cs="Times New Roman"/>
          <w:caps w:val="0"/>
        </w:rPr>
      </w:sdtEndPr>
      <w:sdtContent>
        <w:tbl>
          <w:tblPr>
            <w:tblW w:w="5000" w:type="pct"/>
            <w:jc w:val="center"/>
            <w:tblLook w:val="04A0" w:firstRow="1" w:lastRow="0" w:firstColumn="1" w:lastColumn="0" w:noHBand="0" w:noVBand="1"/>
          </w:tblPr>
          <w:tblGrid>
            <w:gridCol w:w="9620"/>
          </w:tblGrid>
          <w:tr w:rsidR="0043483C" w:rsidTr="0043483C">
            <w:trPr>
              <w:trHeight w:val="1128"/>
              <w:jc w:val="center"/>
            </w:trPr>
            <w:tc>
              <w:tcPr>
                <w:tcW w:w="5000" w:type="pct"/>
              </w:tcPr>
              <w:p w:rsidR="0043483C" w:rsidRDefault="0043483C" w:rsidP="00661854">
                <w:pPr>
                  <w:pStyle w:val="NoSpacing"/>
                  <w:jc w:val="center"/>
                  <w:rPr>
                    <w:rFonts w:asciiTheme="majorHAnsi" w:eastAsiaTheme="majorEastAsia" w:hAnsiTheme="majorHAnsi" w:cstheme="majorBidi"/>
                    <w:caps/>
                    <w:sz w:val="22"/>
                    <w:szCs w:val="22"/>
                  </w:rPr>
                </w:pPr>
              </w:p>
            </w:tc>
          </w:tr>
          <w:tr w:rsidR="00661854" w:rsidTr="0043483C">
            <w:trPr>
              <w:trHeight w:val="1128"/>
              <w:jc w:val="center"/>
            </w:trPr>
            <w:sdt>
              <w:sdtPr>
                <w:rPr>
                  <w:rFonts w:asciiTheme="majorHAnsi" w:eastAsiaTheme="majorEastAsia" w:hAnsiTheme="majorHAnsi"/>
                  <w:b/>
                  <w:smallCaps/>
                  <w:sz w:val="40"/>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Pr>
                  <w:p w:rsidR="00661854" w:rsidRPr="0043483C" w:rsidRDefault="001146B1" w:rsidP="00A80E90">
                    <w:pPr>
                      <w:pStyle w:val="NoSpacing"/>
                      <w:jc w:val="center"/>
                      <w:rPr>
                        <w:rFonts w:asciiTheme="majorHAnsi" w:eastAsiaTheme="majorEastAsia" w:hAnsiTheme="majorHAnsi" w:cstheme="majorBidi"/>
                        <w:caps/>
                        <w:sz w:val="40"/>
                      </w:rPr>
                    </w:pPr>
                    <w:r>
                      <w:rPr>
                        <w:rFonts w:asciiTheme="majorHAnsi" w:eastAsiaTheme="majorEastAsia" w:hAnsiTheme="majorHAnsi"/>
                        <w:b/>
                        <w:smallCaps/>
                        <w:sz w:val="40"/>
                        <w:szCs w:val="80"/>
                      </w:rPr>
                      <w:t>Programa de modernización de la gestión financiera pública</w:t>
                    </w:r>
                  </w:p>
                </w:tc>
              </w:sdtContent>
            </w:sdt>
          </w:tr>
          <w:tr w:rsidR="0043483C" w:rsidTr="00AC3E44">
            <w:trPr>
              <w:trHeight w:val="720"/>
              <w:jc w:val="center"/>
            </w:trPr>
            <w:tc>
              <w:tcPr>
                <w:tcW w:w="5000" w:type="pct"/>
                <w:vAlign w:val="center"/>
              </w:tcPr>
              <w:p w:rsidR="0043483C" w:rsidRPr="00661854" w:rsidRDefault="0043483C" w:rsidP="00A80E90">
                <w:pPr>
                  <w:pStyle w:val="NoSpacing"/>
                  <w:jc w:val="center"/>
                  <w:rPr>
                    <w:rFonts w:asciiTheme="majorHAnsi" w:eastAsiaTheme="majorEastAsia" w:hAnsiTheme="majorHAnsi" w:cstheme="majorBidi"/>
                    <w:sz w:val="28"/>
                    <w:szCs w:val="44"/>
                  </w:rPr>
                </w:pPr>
                <w:r w:rsidRPr="00661854">
                  <w:rPr>
                    <w:rFonts w:asciiTheme="majorHAnsi" w:eastAsiaTheme="majorEastAsia" w:hAnsiTheme="majorHAnsi" w:cstheme="majorBidi"/>
                    <w:b/>
                    <w:sz w:val="28"/>
                    <w:szCs w:val="44"/>
                  </w:rPr>
                  <w:t>(</w:t>
                </w:r>
                <w:r w:rsidR="00A80E90">
                  <w:rPr>
                    <w:rFonts w:asciiTheme="majorHAnsi" w:eastAsiaTheme="majorEastAsia" w:hAnsiTheme="majorHAnsi" w:cstheme="majorBidi"/>
                    <w:b/>
                    <w:sz w:val="28"/>
                    <w:szCs w:val="44"/>
                  </w:rPr>
                  <w:t>UR</w:t>
                </w:r>
                <w:r w:rsidR="00F55FE4">
                  <w:rPr>
                    <w:rFonts w:asciiTheme="majorHAnsi" w:eastAsiaTheme="majorEastAsia" w:hAnsiTheme="majorHAnsi" w:cstheme="majorBidi"/>
                    <w:b/>
                    <w:sz w:val="28"/>
                    <w:szCs w:val="44"/>
                  </w:rPr>
                  <w:t xml:space="preserve"> – L1089</w:t>
                </w:r>
                <w:r w:rsidR="00A80E90">
                  <w:rPr>
                    <w:rFonts w:asciiTheme="majorHAnsi" w:eastAsiaTheme="majorEastAsia" w:hAnsiTheme="majorHAnsi" w:cstheme="majorBidi"/>
                    <w:b/>
                    <w:sz w:val="28"/>
                    <w:szCs w:val="44"/>
                  </w:rPr>
                  <w:t>)</w:t>
                </w:r>
              </w:p>
            </w:tc>
          </w:tr>
          <w:tr w:rsidR="00661854" w:rsidTr="00661854">
            <w:trPr>
              <w:trHeight w:val="1440"/>
              <w:jc w:val="center"/>
            </w:trPr>
            <w:tc>
              <w:tcPr>
                <w:tcW w:w="5000" w:type="pct"/>
                <w:vAlign w:val="center"/>
              </w:tcPr>
              <w:p w:rsidR="00661854" w:rsidRPr="0043483C" w:rsidRDefault="00661854" w:rsidP="00661854">
                <w:pPr>
                  <w:pStyle w:val="NoSpacing"/>
                  <w:jc w:val="center"/>
                  <w:rPr>
                    <w:rFonts w:asciiTheme="majorHAnsi" w:eastAsiaTheme="majorEastAsia" w:hAnsiTheme="majorHAnsi"/>
                    <w:b/>
                    <w:sz w:val="36"/>
                    <w:szCs w:val="80"/>
                  </w:rPr>
                </w:pPr>
              </w:p>
            </w:tc>
          </w:tr>
          <w:tr w:rsidR="0043483C" w:rsidTr="00661854">
            <w:trPr>
              <w:trHeight w:val="720"/>
              <w:jc w:val="center"/>
            </w:trPr>
            <w:tc>
              <w:tcPr>
                <w:tcW w:w="5000" w:type="pct"/>
                <w:vAlign w:val="center"/>
              </w:tcPr>
              <w:p w:rsidR="0043483C" w:rsidRPr="0043483C" w:rsidRDefault="0043483C" w:rsidP="00AC3E44">
                <w:pPr>
                  <w:pStyle w:val="NoSpacing"/>
                  <w:jc w:val="center"/>
                  <w:rPr>
                    <w:rFonts w:asciiTheme="majorHAnsi" w:eastAsiaTheme="majorEastAsia" w:hAnsiTheme="majorHAnsi"/>
                    <w:b/>
                    <w:sz w:val="36"/>
                    <w:szCs w:val="80"/>
                  </w:rPr>
                </w:pPr>
                <w:r w:rsidRPr="0043483C">
                  <w:rPr>
                    <w:rFonts w:asciiTheme="majorHAnsi" w:eastAsiaTheme="majorEastAsia" w:hAnsiTheme="majorHAnsi"/>
                    <w:b/>
                    <w:sz w:val="36"/>
                    <w:szCs w:val="80"/>
                  </w:rPr>
                  <w:t>ANÁLISIS ECONÓMICO</w:t>
                </w:r>
              </w:p>
            </w:tc>
          </w:tr>
          <w:tr w:rsidR="0043483C" w:rsidTr="00661854">
            <w:trPr>
              <w:trHeight w:val="720"/>
              <w:jc w:val="center"/>
            </w:trPr>
            <w:tc>
              <w:tcPr>
                <w:tcW w:w="5000" w:type="pct"/>
                <w:vAlign w:val="center"/>
              </w:tcPr>
              <w:p w:rsidR="0043483C" w:rsidRPr="00661854" w:rsidRDefault="0043483C" w:rsidP="00661854">
                <w:pPr>
                  <w:pStyle w:val="NoSpacing"/>
                  <w:jc w:val="center"/>
                  <w:rPr>
                    <w:rFonts w:asciiTheme="majorHAnsi" w:eastAsiaTheme="majorEastAsia" w:hAnsiTheme="majorHAnsi" w:cstheme="majorBidi"/>
                    <w:sz w:val="28"/>
                    <w:szCs w:val="44"/>
                  </w:rPr>
                </w:pPr>
              </w:p>
            </w:tc>
          </w:tr>
          <w:tr w:rsidR="0043483C" w:rsidTr="00661854">
            <w:trPr>
              <w:trHeight w:val="720"/>
              <w:jc w:val="center"/>
            </w:trPr>
            <w:tc>
              <w:tcPr>
                <w:tcW w:w="5000" w:type="pct"/>
                <w:vAlign w:val="center"/>
              </w:tcPr>
              <w:p w:rsidR="0043483C" w:rsidRPr="00661854" w:rsidRDefault="0043483C" w:rsidP="000B7263">
                <w:pPr>
                  <w:pStyle w:val="NoSpacing"/>
                  <w:jc w:val="center"/>
                  <w:rPr>
                    <w:rFonts w:asciiTheme="majorHAnsi" w:eastAsiaTheme="majorEastAsia" w:hAnsiTheme="majorHAnsi" w:cstheme="majorBidi"/>
                    <w:b/>
                    <w:szCs w:val="44"/>
                  </w:rPr>
                </w:pPr>
              </w:p>
            </w:tc>
          </w:tr>
          <w:tr w:rsidR="0043483C">
            <w:trPr>
              <w:trHeight w:val="360"/>
              <w:jc w:val="center"/>
            </w:trPr>
            <w:tc>
              <w:tcPr>
                <w:tcW w:w="5000" w:type="pct"/>
                <w:vAlign w:val="center"/>
              </w:tcPr>
              <w:p w:rsidR="0043483C" w:rsidRDefault="0043483C">
                <w:pPr>
                  <w:pStyle w:val="NoSpacing"/>
                  <w:jc w:val="center"/>
                </w:pPr>
              </w:p>
            </w:tc>
          </w:tr>
          <w:tr w:rsidR="0043483C">
            <w:trPr>
              <w:trHeight w:val="360"/>
              <w:jc w:val="center"/>
            </w:trPr>
            <w:tc>
              <w:tcPr>
                <w:tcW w:w="5000" w:type="pct"/>
                <w:vAlign w:val="center"/>
              </w:tcPr>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p w:rsidR="0043483C" w:rsidRDefault="0043483C" w:rsidP="00661854">
                <w:pPr>
                  <w:pStyle w:val="NoSpacing"/>
                  <w:jc w:val="center"/>
                  <w:rPr>
                    <w:b/>
                    <w:bCs/>
                  </w:rPr>
                </w:pPr>
              </w:p>
            </w:tc>
          </w:tr>
          <w:tr w:rsidR="0043483C">
            <w:trPr>
              <w:trHeight w:val="360"/>
              <w:jc w:val="center"/>
            </w:trPr>
            <w:tc>
              <w:tcPr>
                <w:tcW w:w="5000" w:type="pct"/>
                <w:vAlign w:val="center"/>
              </w:tcPr>
              <w:p w:rsidR="0043483C" w:rsidRDefault="0043483C" w:rsidP="00661854">
                <w:pPr>
                  <w:pStyle w:val="NoSpacing"/>
                  <w:jc w:val="right"/>
                  <w:rPr>
                    <w:b/>
                    <w:bCs/>
                  </w:rPr>
                </w:pPr>
              </w:p>
            </w:tc>
          </w:tr>
          <w:tr w:rsidR="0043483C">
            <w:trPr>
              <w:trHeight w:val="360"/>
              <w:jc w:val="center"/>
            </w:trPr>
            <w:tc>
              <w:tcPr>
                <w:tcW w:w="5000" w:type="pct"/>
                <w:vAlign w:val="center"/>
              </w:tcPr>
              <w:p w:rsidR="0043483C" w:rsidRDefault="0043483C" w:rsidP="00661854">
                <w:pPr>
                  <w:pStyle w:val="NoSpacing"/>
                  <w:jc w:val="right"/>
                  <w:rPr>
                    <w:b/>
                    <w:bCs/>
                  </w:rPr>
                </w:pPr>
              </w:p>
            </w:tc>
          </w:tr>
          <w:tr w:rsidR="0043483C">
            <w:trPr>
              <w:trHeight w:val="360"/>
              <w:jc w:val="center"/>
            </w:trPr>
            <w:tc>
              <w:tcPr>
                <w:tcW w:w="5000" w:type="pct"/>
                <w:vAlign w:val="center"/>
              </w:tcPr>
              <w:p w:rsidR="0043483C" w:rsidRDefault="0043483C" w:rsidP="00661854">
                <w:pPr>
                  <w:pStyle w:val="NoSpacing"/>
                  <w:jc w:val="right"/>
                  <w:rPr>
                    <w:b/>
                    <w:bCs/>
                  </w:rPr>
                </w:pPr>
              </w:p>
            </w:tc>
          </w:tr>
          <w:tr w:rsidR="0043483C">
            <w:trPr>
              <w:trHeight w:val="360"/>
              <w:jc w:val="center"/>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43483C" w:rsidRDefault="00CE09BD" w:rsidP="00661854">
                    <w:pPr>
                      <w:pStyle w:val="NoSpacing"/>
                      <w:jc w:val="right"/>
                      <w:rPr>
                        <w:b/>
                        <w:bCs/>
                      </w:rPr>
                    </w:pPr>
                    <w:r>
                      <w:rPr>
                        <w:b/>
                        <w:bCs/>
                      </w:rPr>
                      <w:t>Fernando Grafe</w:t>
                    </w:r>
                  </w:p>
                </w:tc>
              </w:sdtContent>
            </w:sdt>
          </w:tr>
          <w:tr w:rsidR="0043483C">
            <w:trPr>
              <w:trHeight w:val="360"/>
              <w:jc w:val="center"/>
            </w:trPr>
            <w:sdt>
              <w:sdtPr>
                <w:rPr>
                  <w:b/>
                  <w:bCs/>
                </w:rPr>
                <w:alias w:val="Fecha"/>
                <w:id w:val="516659546"/>
                <w:dataBinding w:prefixMappings="xmlns:ns0='http://schemas.microsoft.com/office/2006/coverPageProps'" w:xpath="/ns0:CoverPageProperties[1]/ns0:PublishDate[1]" w:storeItemID="{55AF091B-3C7A-41E3-B477-F2FDAA23CFDA}"/>
                <w:date w:fullDate="2013-11-01T00:00:00Z">
                  <w:dateFormat w:val="dd/MM/yyyy"/>
                  <w:lid w:val="es-ES"/>
                  <w:storeMappedDataAs w:val="dateTime"/>
                  <w:calendar w:val="gregorian"/>
                </w:date>
              </w:sdtPr>
              <w:sdtEndPr/>
              <w:sdtContent>
                <w:tc>
                  <w:tcPr>
                    <w:tcW w:w="5000" w:type="pct"/>
                    <w:vAlign w:val="center"/>
                  </w:tcPr>
                  <w:p w:rsidR="0043483C" w:rsidRDefault="00592DF1" w:rsidP="00661854">
                    <w:pPr>
                      <w:pStyle w:val="NoSpacing"/>
                      <w:jc w:val="right"/>
                      <w:rPr>
                        <w:b/>
                        <w:bCs/>
                      </w:rPr>
                    </w:pPr>
                    <w:r>
                      <w:rPr>
                        <w:b/>
                        <w:bCs/>
                      </w:rPr>
                      <w:t>01/11/2013</w:t>
                    </w:r>
                  </w:p>
                </w:tc>
              </w:sdtContent>
            </w:sdt>
          </w:tr>
        </w:tbl>
        <w:p w:rsidR="00661854" w:rsidRDefault="00E42B11"/>
      </w:sdtContent>
    </w:sdt>
    <w:p w:rsidR="00661854" w:rsidRDefault="00661854" w:rsidP="00D04EC0"/>
    <w:p w:rsidR="00661854" w:rsidRDefault="00661854" w:rsidP="00D04EC0"/>
    <w:p w:rsidR="00661854" w:rsidRDefault="00661854" w:rsidP="00D04EC0">
      <w:pPr>
        <w:sectPr w:rsidR="00661854" w:rsidSect="0043483C">
          <w:footerReference w:type="default" r:id="rId10"/>
          <w:type w:val="continuous"/>
          <w:pgSz w:w="12240" w:h="15840" w:code="1"/>
          <w:pgMar w:top="1702" w:right="1418" w:bottom="1418" w:left="1418" w:header="709" w:footer="856" w:gutter="0"/>
          <w:pgNumType w:start="0"/>
          <w:cols w:space="708"/>
          <w:titlePg/>
          <w:docGrid w:linePitch="360"/>
        </w:sectPr>
      </w:pPr>
    </w:p>
    <w:p w:rsidR="00661854" w:rsidRDefault="00661854" w:rsidP="00D04EC0"/>
    <w:sdt>
      <w:sdtPr>
        <w:rPr>
          <w:rFonts w:ascii="Times New Roman" w:hAnsi="Times New Roman"/>
          <w:b w:val="0"/>
          <w:bCs w:val="0"/>
          <w:color w:val="auto"/>
          <w:sz w:val="22"/>
          <w:szCs w:val="22"/>
          <w:lang w:eastAsia="es-ES"/>
        </w:rPr>
        <w:id w:val="-166784796"/>
        <w:docPartObj>
          <w:docPartGallery w:val="Table of Contents"/>
          <w:docPartUnique/>
        </w:docPartObj>
      </w:sdtPr>
      <w:sdtEndPr/>
      <w:sdtContent>
        <w:p w:rsidR="00661854" w:rsidRDefault="00661854" w:rsidP="00310721">
          <w:pPr>
            <w:pStyle w:val="TOCHeading"/>
          </w:pPr>
          <w:r>
            <w:t>Contenido</w:t>
          </w:r>
        </w:p>
        <w:p w:rsidR="00FE4D92" w:rsidRDefault="009B7F87">
          <w:pPr>
            <w:pStyle w:val="TOC1"/>
            <w:rPr>
              <w:rFonts w:asciiTheme="minorHAnsi" w:eastAsiaTheme="minorEastAsia" w:hAnsiTheme="minorHAnsi" w:cstheme="minorBidi"/>
              <w:b w:val="0"/>
              <w:szCs w:val="22"/>
            </w:rPr>
          </w:pPr>
          <w:r>
            <w:rPr>
              <w:b w:val="0"/>
            </w:rPr>
            <w:fldChar w:fldCharType="begin"/>
          </w:r>
          <w:r>
            <w:rPr>
              <w:b w:val="0"/>
            </w:rPr>
            <w:instrText xml:space="preserve"> TOC \h \z \t "Título 1;1;Título 2;2;Título 3;3;Títular;1;Anexo;1" </w:instrText>
          </w:r>
          <w:r>
            <w:rPr>
              <w:b w:val="0"/>
            </w:rPr>
            <w:fldChar w:fldCharType="separate"/>
          </w:r>
          <w:hyperlink w:anchor="_Toc373498434" w:history="1">
            <w:r w:rsidR="00FE4D92" w:rsidRPr="00FE1918">
              <w:rPr>
                <w:rStyle w:val="Hyperlink"/>
              </w:rPr>
              <w:t>1.</w:t>
            </w:r>
            <w:r w:rsidR="00FE4D92">
              <w:rPr>
                <w:rFonts w:asciiTheme="minorHAnsi" w:eastAsiaTheme="minorEastAsia" w:hAnsiTheme="minorHAnsi" w:cstheme="minorBidi"/>
                <w:b w:val="0"/>
                <w:szCs w:val="22"/>
              </w:rPr>
              <w:tab/>
            </w:r>
            <w:r w:rsidR="00FE4D92" w:rsidRPr="00FE1918">
              <w:rPr>
                <w:rStyle w:val="Hyperlink"/>
              </w:rPr>
              <w:t>Introducción</w:t>
            </w:r>
            <w:r w:rsidR="00FE4D92">
              <w:rPr>
                <w:webHidden/>
              </w:rPr>
              <w:tab/>
            </w:r>
            <w:r w:rsidR="00FE4D92">
              <w:rPr>
                <w:webHidden/>
              </w:rPr>
              <w:fldChar w:fldCharType="begin"/>
            </w:r>
            <w:r w:rsidR="00FE4D92">
              <w:rPr>
                <w:webHidden/>
              </w:rPr>
              <w:instrText xml:space="preserve"> PAGEREF _Toc373498434 \h </w:instrText>
            </w:r>
            <w:r w:rsidR="00FE4D92">
              <w:rPr>
                <w:webHidden/>
              </w:rPr>
            </w:r>
            <w:r w:rsidR="00FE4D92">
              <w:rPr>
                <w:webHidden/>
              </w:rPr>
              <w:fldChar w:fldCharType="separate"/>
            </w:r>
            <w:r w:rsidR="00FE4D92">
              <w:rPr>
                <w:webHidden/>
              </w:rPr>
              <w:t>1</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35" w:history="1">
            <w:r w:rsidR="00FE4D92" w:rsidRPr="00FE1918">
              <w:rPr>
                <w:rStyle w:val="Hyperlink"/>
              </w:rPr>
              <w:t>1.1</w:t>
            </w:r>
            <w:r w:rsidR="00FE4D92">
              <w:rPr>
                <w:rFonts w:asciiTheme="minorHAnsi" w:eastAsiaTheme="minorEastAsia" w:hAnsiTheme="minorHAnsi" w:cstheme="minorBidi"/>
                <w:szCs w:val="22"/>
              </w:rPr>
              <w:tab/>
            </w:r>
            <w:r w:rsidR="00FE4D92" w:rsidRPr="00FE1918">
              <w:rPr>
                <w:rStyle w:val="Hyperlink"/>
              </w:rPr>
              <w:t>Breve descripción del Programa</w:t>
            </w:r>
            <w:r w:rsidR="00FE4D92">
              <w:rPr>
                <w:webHidden/>
              </w:rPr>
              <w:tab/>
            </w:r>
            <w:r w:rsidR="00FE4D92">
              <w:rPr>
                <w:webHidden/>
              </w:rPr>
              <w:fldChar w:fldCharType="begin"/>
            </w:r>
            <w:r w:rsidR="00FE4D92">
              <w:rPr>
                <w:webHidden/>
              </w:rPr>
              <w:instrText xml:space="preserve"> PAGEREF _Toc373498435 \h </w:instrText>
            </w:r>
            <w:r w:rsidR="00FE4D92">
              <w:rPr>
                <w:webHidden/>
              </w:rPr>
            </w:r>
            <w:r w:rsidR="00FE4D92">
              <w:rPr>
                <w:webHidden/>
              </w:rPr>
              <w:fldChar w:fldCharType="separate"/>
            </w:r>
            <w:r w:rsidR="00FE4D92">
              <w:rPr>
                <w:webHidden/>
              </w:rPr>
              <w:t>1</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36" w:history="1">
            <w:r w:rsidR="00FE4D92" w:rsidRPr="00FE1918">
              <w:rPr>
                <w:rStyle w:val="Hyperlink"/>
              </w:rPr>
              <w:t>1.2</w:t>
            </w:r>
            <w:r w:rsidR="00FE4D92">
              <w:rPr>
                <w:rFonts w:asciiTheme="minorHAnsi" w:eastAsiaTheme="minorEastAsia" w:hAnsiTheme="minorHAnsi" w:cstheme="minorBidi"/>
                <w:szCs w:val="22"/>
              </w:rPr>
              <w:tab/>
            </w:r>
            <w:r w:rsidR="00FE4D92" w:rsidRPr="00FE1918">
              <w:rPr>
                <w:rStyle w:val="Hyperlink"/>
              </w:rPr>
              <w:t>Principales beneficios esperados del Programa</w:t>
            </w:r>
            <w:r w:rsidR="00FE4D92">
              <w:rPr>
                <w:webHidden/>
              </w:rPr>
              <w:tab/>
            </w:r>
            <w:r w:rsidR="00FE4D92">
              <w:rPr>
                <w:webHidden/>
              </w:rPr>
              <w:fldChar w:fldCharType="begin"/>
            </w:r>
            <w:r w:rsidR="00FE4D92">
              <w:rPr>
                <w:webHidden/>
              </w:rPr>
              <w:instrText xml:space="preserve"> PAGEREF _Toc373498436 \h </w:instrText>
            </w:r>
            <w:r w:rsidR="00FE4D92">
              <w:rPr>
                <w:webHidden/>
              </w:rPr>
            </w:r>
            <w:r w:rsidR="00FE4D92">
              <w:rPr>
                <w:webHidden/>
              </w:rPr>
              <w:fldChar w:fldCharType="separate"/>
            </w:r>
            <w:r w:rsidR="00FE4D92">
              <w:rPr>
                <w:webHidden/>
              </w:rPr>
              <w:t>2</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37" w:history="1">
            <w:r w:rsidR="00FE4D92" w:rsidRPr="00FE1918">
              <w:rPr>
                <w:rStyle w:val="Hyperlink"/>
              </w:rPr>
              <w:t>1.3</w:t>
            </w:r>
            <w:r w:rsidR="00FE4D92">
              <w:rPr>
                <w:rFonts w:asciiTheme="minorHAnsi" w:eastAsiaTheme="minorEastAsia" w:hAnsiTheme="minorHAnsi" w:cstheme="minorBidi"/>
                <w:szCs w:val="22"/>
              </w:rPr>
              <w:tab/>
            </w:r>
            <w:r w:rsidR="00FE4D92" w:rsidRPr="00FE1918">
              <w:rPr>
                <w:rStyle w:val="Hyperlink"/>
              </w:rPr>
              <w:t>Indicadores seleccionados</w:t>
            </w:r>
            <w:r w:rsidR="00FE4D92">
              <w:rPr>
                <w:webHidden/>
              </w:rPr>
              <w:tab/>
            </w:r>
            <w:r w:rsidR="00FE4D92">
              <w:rPr>
                <w:webHidden/>
              </w:rPr>
              <w:fldChar w:fldCharType="begin"/>
            </w:r>
            <w:r w:rsidR="00FE4D92">
              <w:rPr>
                <w:webHidden/>
              </w:rPr>
              <w:instrText xml:space="preserve"> PAGEREF _Toc373498437 \h </w:instrText>
            </w:r>
            <w:r w:rsidR="00FE4D92">
              <w:rPr>
                <w:webHidden/>
              </w:rPr>
            </w:r>
            <w:r w:rsidR="00FE4D92">
              <w:rPr>
                <w:webHidden/>
              </w:rPr>
              <w:fldChar w:fldCharType="separate"/>
            </w:r>
            <w:r w:rsidR="00FE4D92">
              <w:rPr>
                <w:webHidden/>
              </w:rPr>
              <w:t>3</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38" w:history="1">
            <w:r w:rsidR="00FE4D92" w:rsidRPr="00FE1918">
              <w:rPr>
                <w:rStyle w:val="Hyperlink"/>
              </w:rPr>
              <w:t>1.4</w:t>
            </w:r>
            <w:r w:rsidR="00FE4D92">
              <w:rPr>
                <w:rFonts w:asciiTheme="minorHAnsi" w:eastAsiaTheme="minorEastAsia" w:hAnsiTheme="minorHAnsi" w:cstheme="minorBidi"/>
                <w:szCs w:val="22"/>
              </w:rPr>
              <w:tab/>
            </w:r>
            <w:r w:rsidR="00FE4D92" w:rsidRPr="00FE1918">
              <w:rPr>
                <w:rStyle w:val="Hyperlink"/>
              </w:rPr>
              <w:t>Tipo de análisis aplicado para la valoración económica</w:t>
            </w:r>
            <w:r w:rsidR="00FE4D92">
              <w:rPr>
                <w:webHidden/>
              </w:rPr>
              <w:tab/>
            </w:r>
            <w:r w:rsidR="00FE4D92">
              <w:rPr>
                <w:webHidden/>
              </w:rPr>
              <w:fldChar w:fldCharType="begin"/>
            </w:r>
            <w:r w:rsidR="00FE4D92">
              <w:rPr>
                <w:webHidden/>
              </w:rPr>
              <w:instrText xml:space="preserve"> PAGEREF _Toc373498438 \h </w:instrText>
            </w:r>
            <w:r w:rsidR="00FE4D92">
              <w:rPr>
                <w:webHidden/>
              </w:rPr>
            </w:r>
            <w:r w:rsidR="00FE4D92">
              <w:rPr>
                <w:webHidden/>
              </w:rPr>
              <w:fldChar w:fldCharType="separate"/>
            </w:r>
            <w:r w:rsidR="00FE4D92">
              <w:rPr>
                <w:webHidden/>
              </w:rPr>
              <w:t>4</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39" w:history="1">
            <w:r w:rsidR="00FE4D92" w:rsidRPr="00FE1918">
              <w:rPr>
                <w:rStyle w:val="Hyperlink"/>
              </w:rPr>
              <w:t>2.</w:t>
            </w:r>
            <w:r w:rsidR="00FE4D92">
              <w:rPr>
                <w:rFonts w:asciiTheme="minorHAnsi" w:eastAsiaTheme="minorEastAsia" w:hAnsiTheme="minorHAnsi" w:cstheme="minorBidi"/>
                <w:b w:val="0"/>
                <w:szCs w:val="22"/>
              </w:rPr>
              <w:tab/>
            </w:r>
            <w:r w:rsidR="00FE4D92" w:rsidRPr="00FE1918">
              <w:rPr>
                <w:rStyle w:val="Hyperlink"/>
              </w:rPr>
              <w:t>Supuestos y metodología</w:t>
            </w:r>
            <w:r w:rsidR="00FE4D92">
              <w:rPr>
                <w:webHidden/>
              </w:rPr>
              <w:tab/>
            </w:r>
            <w:r w:rsidR="00FE4D92">
              <w:rPr>
                <w:webHidden/>
              </w:rPr>
              <w:fldChar w:fldCharType="begin"/>
            </w:r>
            <w:r w:rsidR="00FE4D92">
              <w:rPr>
                <w:webHidden/>
              </w:rPr>
              <w:instrText xml:space="preserve"> PAGEREF _Toc373498439 \h </w:instrText>
            </w:r>
            <w:r w:rsidR="00FE4D92">
              <w:rPr>
                <w:webHidden/>
              </w:rPr>
            </w:r>
            <w:r w:rsidR="00FE4D92">
              <w:rPr>
                <w:webHidden/>
              </w:rPr>
              <w:fldChar w:fldCharType="separate"/>
            </w:r>
            <w:r w:rsidR="00FE4D92">
              <w:rPr>
                <w:webHidden/>
              </w:rPr>
              <w:t>5</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40" w:history="1">
            <w:r w:rsidR="00FE4D92" w:rsidRPr="00FE1918">
              <w:rPr>
                <w:rStyle w:val="Hyperlink"/>
              </w:rPr>
              <w:t>2.1</w:t>
            </w:r>
            <w:r w:rsidR="00FE4D92">
              <w:rPr>
                <w:rFonts w:asciiTheme="minorHAnsi" w:eastAsiaTheme="minorEastAsia" w:hAnsiTheme="minorHAnsi" w:cstheme="minorBidi"/>
                <w:szCs w:val="22"/>
              </w:rPr>
              <w:tab/>
            </w:r>
            <w:r w:rsidR="00FE4D92" w:rsidRPr="00FE1918">
              <w:rPr>
                <w:rStyle w:val="Hyperlink"/>
              </w:rPr>
              <w:t>Alternativas consideradas</w:t>
            </w:r>
            <w:r w:rsidR="00FE4D92">
              <w:rPr>
                <w:webHidden/>
              </w:rPr>
              <w:tab/>
            </w:r>
            <w:r w:rsidR="00FE4D92">
              <w:rPr>
                <w:webHidden/>
              </w:rPr>
              <w:fldChar w:fldCharType="begin"/>
            </w:r>
            <w:r w:rsidR="00FE4D92">
              <w:rPr>
                <w:webHidden/>
              </w:rPr>
              <w:instrText xml:space="preserve"> PAGEREF _Toc373498440 \h </w:instrText>
            </w:r>
            <w:r w:rsidR="00FE4D92">
              <w:rPr>
                <w:webHidden/>
              </w:rPr>
            </w:r>
            <w:r w:rsidR="00FE4D92">
              <w:rPr>
                <w:webHidden/>
              </w:rPr>
              <w:fldChar w:fldCharType="separate"/>
            </w:r>
            <w:r w:rsidR="00FE4D92">
              <w:rPr>
                <w:webHidden/>
              </w:rPr>
              <w:t>5</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41" w:history="1">
            <w:r w:rsidR="00FE4D92" w:rsidRPr="00FE1918">
              <w:rPr>
                <w:rStyle w:val="Hyperlink"/>
              </w:rPr>
              <w:t>2.2</w:t>
            </w:r>
            <w:r w:rsidR="00FE4D92">
              <w:rPr>
                <w:rFonts w:asciiTheme="minorHAnsi" w:eastAsiaTheme="minorEastAsia" w:hAnsiTheme="minorHAnsi" w:cstheme="minorBidi"/>
                <w:szCs w:val="22"/>
              </w:rPr>
              <w:tab/>
            </w:r>
            <w:r w:rsidR="00FE4D92" w:rsidRPr="00FE1918">
              <w:rPr>
                <w:rStyle w:val="Hyperlink"/>
              </w:rPr>
              <w:t>Supuestos</w:t>
            </w:r>
            <w:r w:rsidR="00FE4D92">
              <w:rPr>
                <w:webHidden/>
              </w:rPr>
              <w:tab/>
            </w:r>
            <w:r w:rsidR="00FE4D92">
              <w:rPr>
                <w:webHidden/>
              </w:rPr>
              <w:fldChar w:fldCharType="begin"/>
            </w:r>
            <w:r w:rsidR="00FE4D92">
              <w:rPr>
                <w:webHidden/>
              </w:rPr>
              <w:instrText xml:space="preserve"> PAGEREF _Toc373498441 \h </w:instrText>
            </w:r>
            <w:r w:rsidR="00FE4D92">
              <w:rPr>
                <w:webHidden/>
              </w:rPr>
            </w:r>
            <w:r w:rsidR="00FE4D92">
              <w:rPr>
                <w:webHidden/>
              </w:rPr>
              <w:fldChar w:fldCharType="separate"/>
            </w:r>
            <w:r w:rsidR="00FE4D92">
              <w:rPr>
                <w:webHidden/>
              </w:rPr>
              <w:t>6</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42" w:history="1">
            <w:r w:rsidR="00FE4D92" w:rsidRPr="00FE1918">
              <w:rPr>
                <w:rStyle w:val="Hyperlink"/>
              </w:rPr>
              <w:t>2.3</w:t>
            </w:r>
            <w:r w:rsidR="00FE4D92">
              <w:rPr>
                <w:rFonts w:asciiTheme="minorHAnsi" w:eastAsiaTheme="minorEastAsia" w:hAnsiTheme="minorHAnsi" w:cstheme="minorBidi"/>
                <w:szCs w:val="22"/>
              </w:rPr>
              <w:tab/>
            </w:r>
            <w:r w:rsidR="00FE4D92" w:rsidRPr="00FE1918">
              <w:rPr>
                <w:rStyle w:val="Hyperlink"/>
              </w:rPr>
              <w:t>Cuantificación de los costos y beneficios</w:t>
            </w:r>
            <w:r w:rsidR="00FE4D92">
              <w:rPr>
                <w:webHidden/>
              </w:rPr>
              <w:tab/>
            </w:r>
            <w:r w:rsidR="00FE4D92">
              <w:rPr>
                <w:webHidden/>
              </w:rPr>
              <w:fldChar w:fldCharType="begin"/>
            </w:r>
            <w:r w:rsidR="00FE4D92">
              <w:rPr>
                <w:webHidden/>
              </w:rPr>
              <w:instrText xml:space="preserve"> PAGEREF _Toc373498442 \h </w:instrText>
            </w:r>
            <w:r w:rsidR="00FE4D92">
              <w:rPr>
                <w:webHidden/>
              </w:rPr>
            </w:r>
            <w:r w:rsidR="00FE4D92">
              <w:rPr>
                <w:webHidden/>
              </w:rPr>
              <w:fldChar w:fldCharType="separate"/>
            </w:r>
            <w:r w:rsidR="00FE4D92">
              <w:rPr>
                <w:webHidden/>
              </w:rPr>
              <w:t>7</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43" w:history="1">
            <w:r w:rsidR="00FE4D92" w:rsidRPr="00FE1918">
              <w:rPr>
                <w:rStyle w:val="Hyperlink"/>
              </w:rPr>
              <w:t>2.4</w:t>
            </w:r>
            <w:r w:rsidR="00FE4D92">
              <w:rPr>
                <w:rFonts w:asciiTheme="minorHAnsi" w:eastAsiaTheme="minorEastAsia" w:hAnsiTheme="minorHAnsi" w:cstheme="minorBidi"/>
                <w:szCs w:val="22"/>
              </w:rPr>
              <w:tab/>
            </w:r>
            <w:r w:rsidR="00FE4D92" w:rsidRPr="00FE1918">
              <w:rPr>
                <w:rStyle w:val="Hyperlink"/>
              </w:rPr>
              <w:t>Tasa de descuento</w:t>
            </w:r>
            <w:r w:rsidR="00FE4D92">
              <w:rPr>
                <w:webHidden/>
              </w:rPr>
              <w:tab/>
            </w:r>
            <w:r w:rsidR="00FE4D92">
              <w:rPr>
                <w:webHidden/>
              </w:rPr>
              <w:fldChar w:fldCharType="begin"/>
            </w:r>
            <w:r w:rsidR="00FE4D92">
              <w:rPr>
                <w:webHidden/>
              </w:rPr>
              <w:instrText xml:space="preserve"> PAGEREF _Toc373498443 \h </w:instrText>
            </w:r>
            <w:r w:rsidR="00FE4D92">
              <w:rPr>
                <w:webHidden/>
              </w:rPr>
            </w:r>
            <w:r w:rsidR="00FE4D92">
              <w:rPr>
                <w:webHidden/>
              </w:rPr>
              <w:fldChar w:fldCharType="separate"/>
            </w:r>
            <w:r w:rsidR="00FE4D92">
              <w:rPr>
                <w:webHidden/>
              </w:rPr>
              <w:t>7</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44" w:history="1">
            <w:r w:rsidR="00FE4D92" w:rsidRPr="00FE1918">
              <w:rPr>
                <w:rStyle w:val="Hyperlink"/>
              </w:rPr>
              <w:t>3.</w:t>
            </w:r>
            <w:r w:rsidR="00FE4D92">
              <w:rPr>
                <w:rFonts w:asciiTheme="minorHAnsi" w:eastAsiaTheme="minorEastAsia" w:hAnsiTheme="minorHAnsi" w:cstheme="minorBidi"/>
                <w:b w:val="0"/>
                <w:szCs w:val="22"/>
              </w:rPr>
              <w:tab/>
            </w:r>
            <w:r w:rsidR="00FE4D92" w:rsidRPr="00FE1918">
              <w:rPr>
                <w:rStyle w:val="Hyperlink"/>
              </w:rPr>
              <w:t>Beneficios económicos: supuestos de partida</w:t>
            </w:r>
            <w:r w:rsidR="00FE4D92">
              <w:rPr>
                <w:webHidden/>
              </w:rPr>
              <w:tab/>
            </w:r>
            <w:r w:rsidR="00FE4D92">
              <w:rPr>
                <w:webHidden/>
              </w:rPr>
              <w:fldChar w:fldCharType="begin"/>
            </w:r>
            <w:r w:rsidR="00FE4D92">
              <w:rPr>
                <w:webHidden/>
              </w:rPr>
              <w:instrText xml:space="preserve"> PAGEREF _Toc373498444 \h </w:instrText>
            </w:r>
            <w:r w:rsidR="00FE4D92">
              <w:rPr>
                <w:webHidden/>
              </w:rPr>
            </w:r>
            <w:r w:rsidR="00FE4D92">
              <w:rPr>
                <w:webHidden/>
              </w:rPr>
              <w:fldChar w:fldCharType="separate"/>
            </w:r>
            <w:r w:rsidR="00FE4D92">
              <w:rPr>
                <w:webHidden/>
              </w:rPr>
              <w:t>8</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45" w:history="1">
            <w:r w:rsidR="00FE4D92" w:rsidRPr="00FE1918">
              <w:rPr>
                <w:rStyle w:val="Hyperlink"/>
              </w:rPr>
              <w:t>3.1</w:t>
            </w:r>
            <w:r w:rsidR="00FE4D92">
              <w:rPr>
                <w:rFonts w:asciiTheme="minorHAnsi" w:eastAsiaTheme="minorEastAsia" w:hAnsiTheme="minorHAnsi" w:cstheme="minorBidi"/>
                <w:szCs w:val="22"/>
              </w:rPr>
              <w:tab/>
            </w:r>
            <w:r w:rsidR="00FE4D92" w:rsidRPr="00FE1918">
              <w:rPr>
                <w:rStyle w:val="Hyperlink"/>
              </w:rPr>
              <w:t>Reducción de los costos financieros asociados a las demoras en los pagos del Estado</w:t>
            </w:r>
            <w:r w:rsidR="00FE4D92">
              <w:rPr>
                <w:webHidden/>
              </w:rPr>
              <w:tab/>
            </w:r>
            <w:r w:rsidR="00FE4D92">
              <w:rPr>
                <w:webHidden/>
              </w:rPr>
              <w:fldChar w:fldCharType="begin"/>
            </w:r>
            <w:r w:rsidR="00FE4D92">
              <w:rPr>
                <w:webHidden/>
              </w:rPr>
              <w:instrText xml:space="preserve"> PAGEREF _Toc373498445 \h </w:instrText>
            </w:r>
            <w:r w:rsidR="00FE4D92">
              <w:rPr>
                <w:webHidden/>
              </w:rPr>
            </w:r>
            <w:r w:rsidR="00FE4D92">
              <w:rPr>
                <w:webHidden/>
              </w:rPr>
              <w:fldChar w:fldCharType="separate"/>
            </w:r>
            <w:r w:rsidR="00FE4D92">
              <w:rPr>
                <w:webHidden/>
              </w:rPr>
              <w:t>8</w:t>
            </w:r>
            <w:r w:rsidR="00FE4D92">
              <w:rPr>
                <w:webHidden/>
              </w:rPr>
              <w:fldChar w:fldCharType="end"/>
            </w:r>
          </w:hyperlink>
        </w:p>
        <w:p w:rsidR="00FE4D92" w:rsidRDefault="00E42B11">
          <w:pPr>
            <w:pStyle w:val="TOC3"/>
            <w:rPr>
              <w:rFonts w:asciiTheme="minorHAnsi" w:hAnsiTheme="minorHAnsi" w:cstheme="minorBidi"/>
            </w:rPr>
          </w:pPr>
          <w:hyperlink w:anchor="_Toc373498446" w:history="1">
            <w:r w:rsidR="00FE4D92" w:rsidRPr="00FE1918">
              <w:rPr>
                <w:rStyle w:val="Hyperlink"/>
              </w:rPr>
              <w:t>a)</w:t>
            </w:r>
            <w:r w:rsidR="00FE4D92">
              <w:rPr>
                <w:rFonts w:asciiTheme="minorHAnsi" w:hAnsiTheme="minorHAnsi" w:cstheme="minorBidi"/>
              </w:rPr>
              <w:tab/>
            </w:r>
            <w:r w:rsidR="00FE4D92" w:rsidRPr="00FE1918">
              <w:rPr>
                <w:rStyle w:val="Hyperlink"/>
              </w:rPr>
              <w:t>Plazo meta de referencia</w:t>
            </w:r>
            <w:r w:rsidR="00FE4D92">
              <w:rPr>
                <w:webHidden/>
              </w:rPr>
              <w:tab/>
            </w:r>
            <w:r w:rsidR="00FE4D92">
              <w:rPr>
                <w:webHidden/>
              </w:rPr>
              <w:fldChar w:fldCharType="begin"/>
            </w:r>
            <w:r w:rsidR="00FE4D92">
              <w:rPr>
                <w:webHidden/>
              </w:rPr>
              <w:instrText xml:space="preserve"> PAGEREF _Toc373498446 \h </w:instrText>
            </w:r>
            <w:r w:rsidR="00FE4D92">
              <w:rPr>
                <w:webHidden/>
              </w:rPr>
            </w:r>
            <w:r w:rsidR="00FE4D92">
              <w:rPr>
                <w:webHidden/>
              </w:rPr>
              <w:fldChar w:fldCharType="separate"/>
            </w:r>
            <w:r w:rsidR="00FE4D92">
              <w:rPr>
                <w:webHidden/>
              </w:rPr>
              <w:t>8</w:t>
            </w:r>
            <w:r w:rsidR="00FE4D92">
              <w:rPr>
                <w:webHidden/>
              </w:rPr>
              <w:fldChar w:fldCharType="end"/>
            </w:r>
          </w:hyperlink>
        </w:p>
        <w:p w:rsidR="00FE4D92" w:rsidRDefault="00E42B11">
          <w:pPr>
            <w:pStyle w:val="TOC3"/>
            <w:rPr>
              <w:rFonts w:asciiTheme="minorHAnsi" w:hAnsiTheme="minorHAnsi" w:cstheme="minorBidi"/>
            </w:rPr>
          </w:pPr>
          <w:hyperlink w:anchor="_Toc373498447" w:history="1">
            <w:r w:rsidR="00FE4D92" w:rsidRPr="00FE1918">
              <w:rPr>
                <w:rStyle w:val="Hyperlink"/>
              </w:rPr>
              <w:t>b)</w:t>
            </w:r>
            <w:r w:rsidR="00FE4D92">
              <w:rPr>
                <w:rFonts w:asciiTheme="minorHAnsi" w:hAnsiTheme="minorHAnsi" w:cstheme="minorBidi"/>
              </w:rPr>
              <w:tab/>
            </w:r>
            <w:r w:rsidR="00FE4D92" w:rsidRPr="00FE1918">
              <w:rPr>
                <w:rStyle w:val="Hyperlink"/>
              </w:rPr>
              <w:t>Montos y plazos observados</w:t>
            </w:r>
            <w:r w:rsidR="00FE4D92">
              <w:rPr>
                <w:webHidden/>
              </w:rPr>
              <w:tab/>
            </w:r>
            <w:r w:rsidR="00FE4D92">
              <w:rPr>
                <w:webHidden/>
              </w:rPr>
              <w:fldChar w:fldCharType="begin"/>
            </w:r>
            <w:r w:rsidR="00FE4D92">
              <w:rPr>
                <w:webHidden/>
              </w:rPr>
              <w:instrText xml:space="preserve"> PAGEREF _Toc373498447 \h </w:instrText>
            </w:r>
            <w:r w:rsidR="00FE4D92">
              <w:rPr>
                <w:webHidden/>
              </w:rPr>
            </w:r>
            <w:r w:rsidR="00FE4D92">
              <w:rPr>
                <w:webHidden/>
              </w:rPr>
              <w:fldChar w:fldCharType="separate"/>
            </w:r>
            <w:r w:rsidR="00FE4D92">
              <w:rPr>
                <w:webHidden/>
              </w:rPr>
              <w:t>10</w:t>
            </w:r>
            <w:r w:rsidR="00FE4D92">
              <w:rPr>
                <w:webHidden/>
              </w:rPr>
              <w:fldChar w:fldCharType="end"/>
            </w:r>
          </w:hyperlink>
        </w:p>
        <w:p w:rsidR="00FE4D92" w:rsidRDefault="00E42B11">
          <w:pPr>
            <w:pStyle w:val="TOC3"/>
            <w:rPr>
              <w:rFonts w:asciiTheme="minorHAnsi" w:hAnsiTheme="minorHAnsi" w:cstheme="minorBidi"/>
            </w:rPr>
          </w:pPr>
          <w:hyperlink w:anchor="_Toc373498448" w:history="1">
            <w:r w:rsidR="00FE4D92" w:rsidRPr="00FE1918">
              <w:rPr>
                <w:rStyle w:val="Hyperlink"/>
              </w:rPr>
              <w:t>c)</w:t>
            </w:r>
            <w:r w:rsidR="00FE4D92">
              <w:rPr>
                <w:rFonts w:asciiTheme="minorHAnsi" w:hAnsiTheme="minorHAnsi" w:cstheme="minorBidi"/>
              </w:rPr>
              <w:tab/>
            </w:r>
            <w:r w:rsidR="00FE4D92" w:rsidRPr="00FE1918">
              <w:rPr>
                <w:rStyle w:val="Hyperlink"/>
              </w:rPr>
              <w:t>Análisis de diferencias (observado versus referencia)</w:t>
            </w:r>
            <w:r w:rsidR="00FE4D92">
              <w:rPr>
                <w:webHidden/>
              </w:rPr>
              <w:tab/>
            </w:r>
            <w:r w:rsidR="00FE4D92">
              <w:rPr>
                <w:webHidden/>
              </w:rPr>
              <w:fldChar w:fldCharType="begin"/>
            </w:r>
            <w:r w:rsidR="00FE4D92">
              <w:rPr>
                <w:webHidden/>
              </w:rPr>
              <w:instrText xml:space="preserve"> PAGEREF _Toc373498448 \h </w:instrText>
            </w:r>
            <w:r w:rsidR="00FE4D92">
              <w:rPr>
                <w:webHidden/>
              </w:rPr>
            </w:r>
            <w:r w:rsidR="00FE4D92">
              <w:rPr>
                <w:webHidden/>
              </w:rPr>
              <w:fldChar w:fldCharType="separate"/>
            </w:r>
            <w:r w:rsidR="00FE4D92">
              <w:rPr>
                <w:webHidden/>
              </w:rPr>
              <w:t>10</w:t>
            </w:r>
            <w:r w:rsidR="00FE4D92">
              <w:rPr>
                <w:webHidden/>
              </w:rPr>
              <w:fldChar w:fldCharType="end"/>
            </w:r>
          </w:hyperlink>
        </w:p>
        <w:p w:rsidR="00FE4D92" w:rsidRDefault="00E42B11">
          <w:pPr>
            <w:pStyle w:val="TOC3"/>
            <w:rPr>
              <w:rFonts w:asciiTheme="minorHAnsi" w:hAnsiTheme="minorHAnsi" w:cstheme="minorBidi"/>
            </w:rPr>
          </w:pPr>
          <w:hyperlink w:anchor="_Toc373498449" w:history="1">
            <w:r w:rsidR="00FE4D92" w:rsidRPr="00FE1918">
              <w:rPr>
                <w:rStyle w:val="Hyperlink"/>
              </w:rPr>
              <w:t>d)</w:t>
            </w:r>
            <w:r w:rsidR="00FE4D92">
              <w:rPr>
                <w:rFonts w:asciiTheme="minorHAnsi" w:hAnsiTheme="minorHAnsi" w:cstheme="minorBidi"/>
              </w:rPr>
              <w:tab/>
            </w:r>
            <w:r w:rsidR="00FE4D92" w:rsidRPr="00FE1918">
              <w:rPr>
                <w:rStyle w:val="Hyperlink"/>
              </w:rPr>
              <w:t>Estimación del costo</w:t>
            </w:r>
            <w:r w:rsidR="00FE4D92">
              <w:rPr>
                <w:webHidden/>
              </w:rPr>
              <w:tab/>
            </w:r>
            <w:r w:rsidR="00FE4D92">
              <w:rPr>
                <w:webHidden/>
              </w:rPr>
              <w:fldChar w:fldCharType="begin"/>
            </w:r>
            <w:r w:rsidR="00FE4D92">
              <w:rPr>
                <w:webHidden/>
              </w:rPr>
              <w:instrText xml:space="preserve"> PAGEREF _Toc373498449 \h </w:instrText>
            </w:r>
            <w:r w:rsidR="00FE4D92">
              <w:rPr>
                <w:webHidden/>
              </w:rPr>
            </w:r>
            <w:r w:rsidR="00FE4D92">
              <w:rPr>
                <w:webHidden/>
              </w:rPr>
              <w:fldChar w:fldCharType="separate"/>
            </w:r>
            <w:r w:rsidR="00FE4D92">
              <w:rPr>
                <w:webHidden/>
              </w:rPr>
              <w:t>10</w:t>
            </w:r>
            <w:r w:rsidR="00FE4D92">
              <w:rPr>
                <w:webHidden/>
              </w:rPr>
              <w:fldChar w:fldCharType="end"/>
            </w:r>
          </w:hyperlink>
        </w:p>
        <w:p w:rsidR="00FE4D92" w:rsidRDefault="00E42B11">
          <w:pPr>
            <w:pStyle w:val="TOC3"/>
            <w:rPr>
              <w:rFonts w:asciiTheme="minorHAnsi" w:hAnsiTheme="minorHAnsi" w:cstheme="minorBidi"/>
            </w:rPr>
          </w:pPr>
          <w:hyperlink w:anchor="_Toc373498450" w:history="1">
            <w:r w:rsidR="00FE4D92" w:rsidRPr="00FE1918">
              <w:rPr>
                <w:rStyle w:val="Hyperlink"/>
              </w:rPr>
              <w:t>e)</w:t>
            </w:r>
            <w:r w:rsidR="00FE4D92">
              <w:rPr>
                <w:rFonts w:asciiTheme="minorHAnsi" w:hAnsiTheme="minorHAnsi" w:cstheme="minorBidi"/>
              </w:rPr>
              <w:tab/>
            </w:r>
            <w:r w:rsidR="00FE4D92" w:rsidRPr="00FE1918">
              <w:rPr>
                <w:rStyle w:val="Hyperlink"/>
              </w:rPr>
              <w:t>Estimación del ahorro</w:t>
            </w:r>
            <w:r w:rsidR="00FE4D92">
              <w:rPr>
                <w:webHidden/>
              </w:rPr>
              <w:tab/>
            </w:r>
            <w:r w:rsidR="00FE4D92">
              <w:rPr>
                <w:webHidden/>
              </w:rPr>
              <w:fldChar w:fldCharType="begin"/>
            </w:r>
            <w:r w:rsidR="00FE4D92">
              <w:rPr>
                <w:webHidden/>
              </w:rPr>
              <w:instrText xml:space="preserve"> PAGEREF _Toc373498450 \h </w:instrText>
            </w:r>
            <w:r w:rsidR="00FE4D92">
              <w:rPr>
                <w:webHidden/>
              </w:rPr>
            </w:r>
            <w:r w:rsidR="00FE4D92">
              <w:rPr>
                <w:webHidden/>
              </w:rPr>
              <w:fldChar w:fldCharType="separate"/>
            </w:r>
            <w:r w:rsidR="00FE4D92">
              <w:rPr>
                <w:webHidden/>
              </w:rPr>
              <w:t>12</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51" w:history="1">
            <w:r w:rsidR="00FE4D92" w:rsidRPr="00FE1918">
              <w:rPr>
                <w:rStyle w:val="Hyperlink"/>
              </w:rPr>
              <w:t>3.2</w:t>
            </w:r>
            <w:r w:rsidR="00FE4D92">
              <w:rPr>
                <w:rFonts w:asciiTheme="minorHAnsi" w:eastAsiaTheme="minorEastAsia" w:hAnsiTheme="minorHAnsi" w:cstheme="minorBidi"/>
                <w:szCs w:val="22"/>
              </w:rPr>
              <w:tab/>
            </w:r>
            <w:r w:rsidR="00FE4D92" w:rsidRPr="00FE1918">
              <w:rPr>
                <w:rStyle w:val="Hyperlink"/>
              </w:rPr>
              <w:t>Ahorro generado por la reducción de costos por mantenimiento de cuentas y saldos</w:t>
            </w:r>
            <w:r w:rsidR="00FE4D92">
              <w:rPr>
                <w:webHidden/>
              </w:rPr>
              <w:tab/>
            </w:r>
            <w:r w:rsidR="00FE4D92">
              <w:rPr>
                <w:webHidden/>
              </w:rPr>
              <w:fldChar w:fldCharType="begin"/>
            </w:r>
            <w:r w:rsidR="00FE4D92">
              <w:rPr>
                <w:webHidden/>
              </w:rPr>
              <w:instrText xml:space="preserve"> PAGEREF _Toc373498451 \h </w:instrText>
            </w:r>
            <w:r w:rsidR="00FE4D92">
              <w:rPr>
                <w:webHidden/>
              </w:rPr>
            </w:r>
            <w:r w:rsidR="00FE4D92">
              <w:rPr>
                <w:webHidden/>
              </w:rPr>
              <w:fldChar w:fldCharType="separate"/>
            </w:r>
            <w:r w:rsidR="00FE4D92">
              <w:rPr>
                <w:webHidden/>
              </w:rPr>
              <w:t>12</w:t>
            </w:r>
            <w:r w:rsidR="00FE4D92">
              <w:rPr>
                <w:webHidden/>
              </w:rPr>
              <w:fldChar w:fldCharType="end"/>
            </w:r>
          </w:hyperlink>
        </w:p>
        <w:p w:rsidR="00FE4D92" w:rsidRDefault="00E42B11">
          <w:pPr>
            <w:pStyle w:val="TOC3"/>
            <w:rPr>
              <w:rFonts w:asciiTheme="minorHAnsi" w:hAnsiTheme="minorHAnsi" w:cstheme="minorBidi"/>
            </w:rPr>
          </w:pPr>
          <w:hyperlink w:anchor="_Toc373498452" w:history="1">
            <w:r w:rsidR="00FE4D92" w:rsidRPr="00FE1918">
              <w:rPr>
                <w:rStyle w:val="Hyperlink"/>
              </w:rPr>
              <w:t>a)</w:t>
            </w:r>
            <w:r w:rsidR="00FE4D92">
              <w:rPr>
                <w:rFonts w:asciiTheme="minorHAnsi" w:hAnsiTheme="minorHAnsi" w:cstheme="minorBidi"/>
              </w:rPr>
              <w:tab/>
            </w:r>
            <w:r w:rsidR="00FE4D92" w:rsidRPr="00FE1918">
              <w:rPr>
                <w:rStyle w:val="Hyperlink"/>
              </w:rPr>
              <w:t>Planteamiento general</w:t>
            </w:r>
            <w:r w:rsidR="00FE4D92">
              <w:rPr>
                <w:webHidden/>
              </w:rPr>
              <w:tab/>
            </w:r>
            <w:r w:rsidR="00FE4D92">
              <w:rPr>
                <w:webHidden/>
              </w:rPr>
              <w:fldChar w:fldCharType="begin"/>
            </w:r>
            <w:r w:rsidR="00FE4D92">
              <w:rPr>
                <w:webHidden/>
              </w:rPr>
              <w:instrText xml:space="preserve"> PAGEREF _Toc373498452 \h </w:instrText>
            </w:r>
            <w:r w:rsidR="00FE4D92">
              <w:rPr>
                <w:webHidden/>
              </w:rPr>
            </w:r>
            <w:r w:rsidR="00FE4D92">
              <w:rPr>
                <w:webHidden/>
              </w:rPr>
              <w:fldChar w:fldCharType="separate"/>
            </w:r>
            <w:r w:rsidR="00FE4D92">
              <w:rPr>
                <w:webHidden/>
              </w:rPr>
              <w:t>12</w:t>
            </w:r>
            <w:r w:rsidR="00FE4D92">
              <w:rPr>
                <w:webHidden/>
              </w:rPr>
              <w:fldChar w:fldCharType="end"/>
            </w:r>
          </w:hyperlink>
        </w:p>
        <w:p w:rsidR="00FE4D92" w:rsidRDefault="00E42B11">
          <w:pPr>
            <w:pStyle w:val="TOC3"/>
            <w:rPr>
              <w:rFonts w:asciiTheme="minorHAnsi" w:hAnsiTheme="minorHAnsi" w:cstheme="minorBidi"/>
            </w:rPr>
          </w:pPr>
          <w:hyperlink w:anchor="_Toc373498453" w:history="1">
            <w:r w:rsidR="00FE4D92" w:rsidRPr="00FE1918">
              <w:rPr>
                <w:rStyle w:val="Hyperlink"/>
              </w:rPr>
              <w:t>b)</w:t>
            </w:r>
            <w:r w:rsidR="00FE4D92">
              <w:rPr>
                <w:rFonts w:asciiTheme="minorHAnsi" w:hAnsiTheme="minorHAnsi" w:cstheme="minorBidi"/>
              </w:rPr>
              <w:tab/>
            </w:r>
            <w:r w:rsidR="00FE4D92" w:rsidRPr="00FE1918">
              <w:rPr>
                <w:rStyle w:val="Hyperlink"/>
              </w:rPr>
              <w:t>Estimación de los ahorros</w:t>
            </w:r>
            <w:r w:rsidR="00FE4D92">
              <w:rPr>
                <w:webHidden/>
              </w:rPr>
              <w:tab/>
            </w:r>
            <w:r w:rsidR="00FE4D92">
              <w:rPr>
                <w:webHidden/>
              </w:rPr>
              <w:fldChar w:fldCharType="begin"/>
            </w:r>
            <w:r w:rsidR="00FE4D92">
              <w:rPr>
                <w:webHidden/>
              </w:rPr>
              <w:instrText xml:space="preserve"> PAGEREF _Toc373498453 \h </w:instrText>
            </w:r>
            <w:r w:rsidR="00FE4D92">
              <w:rPr>
                <w:webHidden/>
              </w:rPr>
            </w:r>
            <w:r w:rsidR="00FE4D92">
              <w:rPr>
                <w:webHidden/>
              </w:rPr>
              <w:fldChar w:fldCharType="separate"/>
            </w:r>
            <w:r w:rsidR="00FE4D92">
              <w:rPr>
                <w:webHidden/>
              </w:rPr>
              <w:t>13</w:t>
            </w:r>
            <w:r w:rsidR="00FE4D92">
              <w:rPr>
                <w:webHidden/>
              </w:rPr>
              <w:fldChar w:fldCharType="end"/>
            </w:r>
          </w:hyperlink>
        </w:p>
        <w:p w:rsidR="00FE4D92" w:rsidRDefault="00E42B11">
          <w:pPr>
            <w:pStyle w:val="TOC2"/>
            <w:rPr>
              <w:rFonts w:asciiTheme="minorHAnsi" w:eastAsiaTheme="minorEastAsia" w:hAnsiTheme="minorHAnsi" w:cstheme="minorBidi"/>
              <w:szCs w:val="22"/>
            </w:rPr>
          </w:pPr>
          <w:hyperlink w:anchor="_Toc373498454" w:history="1">
            <w:r w:rsidR="00FE4D92" w:rsidRPr="00FE1918">
              <w:rPr>
                <w:rStyle w:val="Hyperlink"/>
              </w:rPr>
              <w:t>3.3</w:t>
            </w:r>
            <w:r w:rsidR="00FE4D92">
              <w:rPr>
                <w:rFonts w:asciiTheme="minorHAnsi" w:eastAsiaTheme="minorEastAsia" w:hAnsiTheme="minorHAnsi" w:cstheme="minorBidi"/>
                <w:szCs w:val="22"/>
              </w:rPr>
              <w:tab/>
            </w:r>
            <w:r w:rsidR="00FE4D92" w:rsidRPr="00FE1918">
              <w:rPr>
                <w:rStyle w:val="Hyperlink"/>
              </w:rPr>
              <w:t>Flujos previstos de beneficios</w:t>
            </w:r>
            <w:r w:rsidR="00FE4D92">
              <w:rPr>
                <w:webHidden/>
              </w:rPr>
              <w:tab/>
            </w:r>
            <w:r w:rsidR="00FE4D92">
              <w:rPr>
                <w:webHidden/>
              </w:rPr>
              <w:fldChar w:fldCharType="begin"/>
            </w:r>
            <w:r w:rsidR="00FE4D92">
              <w:rPr>
                <w:webHidden/>
              </w:rPr>
              <w:instrText xml:space="preserve"> PAGEREF _Toc373498454 \h </w:instrText>
            </w:r>
            <w:r w:rsidR="00FE4D92">
              <w:rPr>
                <w:webHidden/>
              </w:rPr>
            </w:r>
            <w:r w:rsidR="00FE4D92">
              <w:rPr>
                <w:webHidden/>
              </w:rPr>
              <w:fldChar w:fldCharType="separate"/>
            </w:r>
            <w:r w:rsidR="00FE4D92">
              <w:rPr>
                <w:webHidden/>
              </w:rPr>
              <w:t>13</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55" w:history="1">
            <w:r w:rsidR="00FE4D92" w:rsidRPr="00FE1918">
              <w:rPr>
                <w:rStyle w:val="Hyperlink"/>
              </w:rPr>
              <w:t>4.</w:t>
            </w:r>
            <w:r w:rsidR="00FE4D92">
              <w:rPr>
                <w:rFonts w:asciiTheme="minorHAnsi" w:eastAsiaTheme="minorEastAsia" w:hAnsiTheme="minorHAnsi" w:cstheme="minorBidi"/>
                <w:b w:val="0"/>
                <w:szCs w:val="22"/>
              </w:rPr>
              <w:tab/>
            </w:r>
            <w:r w:rsidR="00FE4D92" w:rsidRPr="00FE1918">
              <w:rPr>
                <w:rStyle w:val="Hyperlink"/>
              </w:rPr>
              <w:t>Costos considerados en el análisis costo-beneficio</w:t>
            </w:r>
            <w:r w:rsidR="00FE4D92">
              <w:rPr>
                <w:webHidden/>
              </w:rPr>
              <w:tab/>
            </w:r>
            <w:r w:rsidR="00FE4D92">
              <w:rPr>
                <w:webHidden/>
              </w:rPr>
              <w:fldChar w:fldCharType="begin"/>
            </w:r>
            <w:r w:rsidR="00FE4D92">
              <w:rPr>
                <w:webHidden/>
              </w:rPr>
              <w:instrText xml:space="preserve"> PAGEREF _Toc373498455 \h </w:instrText>
            </w:r>
            <w:r w:rsidR="00FE4D92">
              <w:rPr>
                <w:webHidden/>
              </w:rPr>
            </w:r>
            <w:r w:rsidR="00FE4D92">
              <w:rPr>
                <w:webHidden/>
              </w:rPr>
              <w:fldChar w:fldCharType="separate"/>
            </w:r>
            <w:r w:rsidR="00FE4D92">
              <w:rPr>
                <w:webHidden/>
              </w:rPr>
              <w:t>15</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56" w:history="1">
            <w:r w:rsidR="00FE4D92" w:rsidRPr="00FE1918">
              <w:rPr>
                <w:rStyle w:val="Hyperlink"/>
              </w:rPr>
              <w:t>5.</w:t>
            </w:r>
            <w:r w:rsidR="00FE4D92">
              <w:rPr>
                <w:rFonts w:asciiTheme="minorHAnsi" w:eastAsiaTheme="minorEastAsia" w:hAnsiTheme="minorHAnsi" w:cstheme="minorBidi"/>
                <w:b w:val="0"/>
                <w:szCs w:val="22"/>
              </w:rPr>
              <w:tab/>
            </w:r>
            <w:r w:rsidR="00FE4D92" w:rsidRPr="00FE1918">
              <w:rPr>
                <w:rStyle w:val="Hyperlink"/>
              </w:rPr>
              <w:t>Resultados del análisis económico</w:t>
            </w:r>
            <w:r w:rsidR="00FE4D92">
              <w:rPr>
                <w:webHidden/>
              </w:rPr>
              <w:tab/>
            </w:r>
            <w:r w:rsidR="00FE4D92">
              <w:rPr>
                <w:webHidden/>
              </w:rPr>
              <w:fldChar w:fldCharType="begin"/>
            </w:r>
            <w:r w:rsidR="00FE4D92">
              <w:rPr>
                <w:webHidden/>
              </w:rPr>
              <w:instrText xml:space="preserve"> PAGEREF _Toc373498456 \h </w:instrText>
            </w:r>
            <w:r w:rsidR="00FE4D92">
              <w:rPr>
                <w:webHidden/>
              </w:rPr>
            </w:r>
            <w:r w:rsidR="00FE4D92">
              <w:rPr>
                <w:webHidden/>
              </w:rPr>
              <w:fldChar w:fldCharType="separate"/>
            </w:r>
            <w:r w:rsidR="00FE4D92">
              <w:rPr>
                <w:webHidden/>
              </w:rPr>
              <w:t>16</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57" w:history="1">
            <w:r w:rsidR="00FE4D92" w:rsidRPr="00FE1918">
              <w:rPr>
                <w:rStyle w:val="Hyperlink"/>
              </w:rPr>
              <w:t>6.</w:t>
            </w:r>
            <w:r w:rsidR="00FE4D92">
              <w:rPr>
                <w:rFonts w:asciiTheme="minorHAnsi" w:eastAsiaTheme="minorEastAsia" w:hAnsiTheme="minorHAnsi" w:cstheme="minorBidi"/>
                <w:b w:val="0"/>
                <w:szCs w:val="22"/>
              </w:rPr>
              <w:tab/>
            </w:r>
            <w:r w:rsidR="00FE4D92" w:rsidRPr="00FE1918">
              <w:rPr>
                <w:rStyle w:val="Hyperlink"/>
              </w:rPr>
              <w:t>Análisis de sensibilidad</w:t>
            </w:r>
            <w:r w:rsidR="00FE4D92">
              <w:rPr>
                <w:webHidden/>
              </w:rPr>
              <w:tab/>
            </w:r>
            <w:r w:rsidR="00FE4D92">
              <w:rPr>
                <w:webHidden/>
              </w:rPr>
              <w:fldChar w:fldCharType="begin"/>
            </w:r>
            <w:r w:rsidR="00FE4D92">
              <w:rPr>
                <w:webHidden/>
              </w:rPr>
              <w:instrText xml:space="preserve"> PAGEREF _Toc373498457 \h </w:instrText>
            </w:r>
            <w:r w:rsidR="00FE4D92">
              <w:rPr>
                <w:webHidden/>
              </w:rPr>
            </w:r>
            <w:r w:rsidR="00FE4D92">
              <w:rPr>
                <w:webHidden/>
              </w:rPr>
              <w:fldChar w:fldCharType="separate"/>
            </w:r>
            <w:r w:rsidR="00FE4D92">
              <w:rPr>
                <w:webHidden/>
              </w:rPr>
              <w:t>17</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58" w:history="1">
            <w:r w:rsidR="00FE4D92" w:rsidRPr="00FE1918">
              <w:rPr>
                <w:rStyle w:val="Hyperlink"/>
              </w:rPr>
              <w:t>7.</w:t>
            </w:r>
            <w:r w:rsidR="00FE4D92">
              <w:rPr>
                <w:rFonts w:asciiTheme="minorHAnsi" w:eastAsiaTheme="minorEastAsia" w:hAnsiTheme="minorHAnsi" w:cstheme="minorBidi"/>
                <w:b w:val="0"/>
                <w:szCs w:val="22"/>
              </w:rPr>
              <w:tab/>
            </w:r>
            <w:r w:rsidR="00FE4D92" w:rsidRPr="00FE1918">
              <w:rPr>
                <w:rStyle w:val="Hyperlink"/>
              </w:rPr>
              <w:t>Conclusiones</w:t>
            </w:r>
            <w:r w:rsidR="00FE4D92">
              <w:rPr>
                <w:webHidden/>
              </w:rPr>
              <w:tab/>
            </w:r>
            <w:r w:rsidR="00FE4D92">
              <w:rPr>
                <w:webHidden/>
              </w:rPr>
              <w:fldChar w:fldCharType="begin"/>
            </w:r>
            <w:r w:rsidR="00FE4D92">
              <w:rPr>
                <w:webHidden/>
              </w:rPr>
              <w:instrText xml:space="preserve"> PAGEREF _Toc373498458 \h </w:instrText>
            </w:r>
            <w:r w:rsidR="00FE4D92">
              <w:rPr>
                <w:webHidden/>
              </w:rPr>
            </w:r>
            <w:r w:rsidR="00FE4D92">
              <w:rPr>
                <w:webHidden/>
              </w:rPr>
              <w:fldChar w:fldCharType="separate"/>
            </w:r>
            <w:r w:rsidR="00FE4D92">
              <w:rPr>
                <w:webHidden/>
              </w:rPr>
              <w:t>18</w:t>
            </w:r>
            <w:r w:rsidR="00FE4D92">
              <w:rPr>
                <w:webHidden/>
              </w:rPr>
              <w:fldChar w:fldCharType="end"/>
            </w:r>
          </w:hyperlink>
        </w:p>
        <w:p w:rsidR="00FE4D92" w:rsidRDefault="00E42B11">
          <w:pPr>
            <w:pStyle w:val="TOC1"/>
            <w:rPr>
              <w:rFonts w:asciiTheme="minorHAnsi" w:eastAsiaTheme="minorEastAsia" w:hAnsiTheme="minorHAnsi" w:cstheme="minorBidi"/>
              <w:b w:val="0"/>
              <w:szCs w:val="22"/>
            </w:rPr>
          </w:pPr>
          <w:hyperlink w:anchor="_Toc373498459" w:history="1">
            <w:r w:rsidR="00FE4D92" w:rsidRPr="00FE1918">
              <w:rPr>
                <w:rStyle w:val="Hyperlink"/>
                <w:lang w:val="en-US"/>
              </w:rPr>
              <w:t>ANEXOS</w:t>
            </w:r>
            <w:r w:rsidR="00FE4D92">
              <w:rPr>
                <w:webHidden/>
              </w:rPr>
              <w:tab/>
            </w:r>
            <w:r w:rsidR="00FE4D92">
              <w:rPr>
                <w:webHidden/>
              </w:rPr>
              <w:fldChar w:fldCharType="begin"/>
            </w:r>
            <w:r w:rsidR="00FE4D92">
              <w:rPr>
                <w:webHidden/>
              </w:rPr>
              <w:instrText xml:space="preserve"> PAGEREF _Toc373498459 \h </w:instrText>
            </w:r>
            <w:r w:rsidR="00FE4D92">
              <w:rPr>
                <w:webHidden/>
              </w:rPr>
            </w:r>
            <w:r w:rsidR="00FE4D92">
              <w:rPr>
                <w:webHidden/>
              </w:rPr>
              <w:fldChar w:fldCharType="separate"/>
            </w:r>
            <w:r w:rsidR="00FE4D92">
              <w:rPr>
                <w:webHidden/>
              </w:rPr>
              <w:t>19</w:t>
            </w:r>
            <w:r w:rsidR="00FE4D92">
              <w:rPr>
                <w:webHidden/>
              </w:rPr>
              <w:fldChar w:fldCharType="end"/>
            </w:r>
          </w:hyperlink>
        </w:p>
        <w:p w:rsidR="00661854" w:rsidRDefault="009B7F87">
          <w:r>
            <w:rPr>
              <w:b/>
              <w:noProof/>
              <w:szCs w:val="18"/>
            </w:rPr>
            <w:fldChar w:fldCharType="end"/>
          </w:r>
        </w:p>
      </w:sdtContent>
    </w:sdt>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 w:rsidR="00661854" w:rsidRDefault="00661854" w:rsidP="00D04EC0">
      <w:pPr>
        <w:sectPr w:rsidR="00661854" w:rsidSect="00661854">
          <w:pgSz w:w="12240" w:h="15840" w:code="1"/>
          <w:pgMar w:top="1418" w:right="1418" w:bottom="1418" w:left="1418" w:header="709" w:footer="856" w:gutter="0"/>
          <w:cols w:space="708"/>
          <w:docGrid w:linePitch="360"/>
        </w:sectPr>
      </w:pPr>
    </w:p>
    <w:p w:rsidR="004433C4" w:rsidRPr="00310721" w:rsidRDefault="00966F4C" w:rsidP="00310721">
      <w:pPr>
        <w:pStyle w:val="Heading1"/>
      </w:pPr>
      <w:bookmarkStart w:id="0" w:name="_Ref303769233"/>
      <w:bookmarkStart w:id="1" w:name="_Toc373498434"/>
      <w:r w:rsidRPr="00310721">
        <w:lastRenderedPageBreak/>
        <w:t>Introducción</w:t>
      </w:r>
      <w:bookmarkEnd w:id="0"/>
      <w:bookmarkEnd w:id="1"/>
    </w:p>
    <w:p w:rsidR="00966F4C" w:rsidRPr="00310721" w:rsidRDefault="00966F4C" w:rsidP="00310721">
      <w:pPr>
        <w:pStyle w:val="Heading2"/>
      </w:pPr>
      <w:bookmarkStart w:id="2" w:name="_Toc373498435"/>
      <w:r w:rsidRPr="00310721">
        <w:t>Breve descripción del Programa</w:t>
      </w:r>
      <w:bookmarkEnd w:id="2"/>
    </w:p>
    <w:p w:rsidR="00D75313" w:rsidRPr="00BE7ED9" w:rsidRDefault="00BE7ED9" w:rsidP="005012F5">
      <w:pPr>
        <w:pStyle w:val="ListParagraph"/>
        <w:numPr>
          <w:ilvl w:val="0"/>
          <w:numId w:val="12"/>
        </w:numPr>
        <w:ind w:left="567" w:hanging="567"/>
        <w:rPr>
          <w:noProof/>
          <w:lang w:val="es-ES_tradnl"/>
        </w:rPr>
      </w:pPr>
      <w:r w:rsidRPr="00BE7ED9">
        <w:rPr>
          <w:spacing w:val="-6"/>
        </w:rPr>
        <w:t xml:space="preserve">El objetivo del programa es mejorar el proceso de asignación de recursos en las etapas de formulación </w:t>
      </w:r>
      <w:r w:rsidRPr="00BE7ED9">
        <w:t>presupuestaria</w:t>
      </w:r>
      <w:r w:rsidRPr="00BE7ED9">
        <w:rPr>
          <w:spacing w:val="-6"/>
        </w:rPr>
        <w:t>, monitoreo y evaluación de la ejecución presupuestal mediante la implementación de un SIAF de nueva generación</w:t>
      </w:r>
      <w:r w:rsidR="00D75313" w:rsidRPr="00BE7ED9">
        <w:rPr>
          <w:spacing w:val="-6"/>
        </w:rPr>
        <w:t xml:space="preserve">. Esto significa: </w:t>
      </w:r>
    </w:p>
    <w:p w:rsidR="00D75313" w:rsidRPr="00D75313" w:rsidRDefault="00D75313" w:rsidP="00D75313">
      <w:pPr>
        <w:pStyle w:val="ListParagraph"/>
        <w:ind w:left="567"/>
        <w:rPr>
          <w:noProof/>
          <w:lang w:val="es-ES_tradnl"/>
        </w:rPr>
      </w:pPr>
    </w:p>
    <w:p w:rsidR="00D75313" w:rsidRPr="00D75313" w:rsidRDefault="00856AED" w:rsidP="005012F5">
      <w:pPr>
        <w:pStyle w:val="ListParagraph"/>
        <w:numPr>
          <w:ilvl w:val="0"/>
          <w:numId w:val="14"/>
        </w:numPr>
        <w:rPr>
          <w:noProof/>
          <w:lang w:val="es-ES_tradnl"/>
        </w:rPr>
      </w:pPr>
      <w:r>
        <w:rPr>
          <w:spacing w:val="-6"/>
        </w:rPr>
        <w:t>Concebir</w:t>
      </w:r>
      <w:r w:rsidR="00D75313" w:rsidRPr="00D75313">
        <w:rPr>
          <w:spacing w:val="-6"/>
        </w:rPr>
        <w:t>la gestión presupuestal de forma integral, es decir, considerar todo el ciclo de la misma (formulación, ejecución y monitoreo, contabilidad, control y evaluación)</w:t>
      </w:r>
      <w:r>
        <w:rPr>
          <w:spacing w:val="-6"/>
        </w:rPr>
        <w:t>, para lo cual está prevista una optimización de los procesos</w:t>
      </w:r>
      <w:r w:rsidR="00D75313" w:rsidRPr="00D75313">
        <w:rPr>
          <w:spacing w:val="-6"/>
        </w:rPr>
        <w:t xml:space="preserve">; </w:t>
      </w:r>
    </w:p>
    <w:p w:rsidR="00856AED" w:rsidRPr="00856AED" w:rsidRDefault="00D75313" w:rsidP="005012F5">
      <w:pPr>
        <w:pStyle w:val="ListParagraph"/>
        <w:numPr>
          <w:ilvl w:val="0"/>
          <w:numId w:val="14"/>
        </w:numPr>
        <w:rPr>
          <w:noProof/>
          <w:lang w:val="es-ES_tradnl"/>
        </w:rPr>
      </w:pPr>
      <w:r>
        <w:rPr>
          <w:spacing w:val="-6"/>
        </w:rPr>
        <w:t>D</w:t>
      </w:r>
      <w:r w:rsidRPr="00D75313">
        <w:rPr>
          <w:spacing w:val="-6"/>
        </w:rPr>
        <w:t xml:space="preserve">esarrollar e implementar un sistema informático que permita realizar las transacciones financieras y contables  sobre una única base documental, y no registral, y la generación de información (reportes, etc.) de alto valor agregado; y </w:t>
      </w:r>
    </w:p>
    <w:p w:rsidR="00856AED" w:rsidRPr="00856AED" w:rsidRDefault="00856AED" w:rsidP="005012F5">
      <w:pPr>
        <w:pStyle w:val="ListParagraph"/>
        <w:numPr>
          <w:ilvl w:val="0"/>
          <w:numId w:val="14"/>
        </w:numPr>
        <w:rPr>
          <w:noProof/>
          <w:lang w:val="es-ES_tradnl"/>
        </w:rPr>
      </w:pPr>
      <w:r>
        <w:rPr>
          <w:spacing w:val="-6"/>
        </w:rPr>
        <w:t>F</w:t>
      </w:r>
      <w:r w:rsidR="00D75313" w:rsidRPr="00D75313">
        <w:rPr>
          <w:spacing w:val="-6"/>
        </w:rPr>
        <w:t>ortalecer las capacidades técnicas instaladas, tanto en los servicios centrales, como en las unidades responsables de la gestión financiar-contable de los ministerios, unidades ejecutoras y otros organismos</w:t>
      </w:r>
      <w:r>
        <w:rPr>
          <w:spacing w:val="-6"/>
        </w:rPr>
        <w:t>.</w:t>
      </w:r>
    </w:p>
    <w:p w:rsidR="00856AED" w:rsidRPr="00856AED" w:rsidRDefault="00856AED" w:rsidP="00856AED">
      <w:pPr>
        <w:ind w:left="567"/>
        <w:rPr>
          <w:noProof/>
          <w:lang w:val="es-ES_tradnl"/>
        </w:rPr>
      </w:pPr>
    </w:p>
    <w:p w:rsidR="00EE2ED7" w:rsidRDefault="000B1D4C" w:rsidP="005012F5">
      <w:pPr>
        <w:pStyle w:val="ListParagraph"/>
        <w:numPr>
          <w:ilvl w:val="0"/>
          <w:numId w:val="12"/>
        </w:numPr>
        <w:ind w:left="567" w:hanging="567"/>
      </w:pPr>
      <w:r>
        <w:t>El programa</w:t>
      </w:r>
      <w:r w:rsidR="0033646A">
        <w:t xml:space="preserve"> debe permitir resolver los problemas detectados en </w:t>
      </w:r>
      <w:r w:rsidR="00856AED">
        <w:t>el proceso de gestión presupuestaria y en el actual sistema SIIF instala</w:t>
      </w:r>
      <w:r w:rsidR="00613D30">
        <w:t>do en la Administración Central e incisos</w:t>
      </w:r>
      <w:r w:rsidR="00891F67">
        <w:t xml:space="preserve"> (entidades)</w:t>
      </w:r>
      <w:r w:rsidR="00613D30">
        <w:t xml:space="preserve"> del artículo 220 de la Constitución</w:t>
      </w:r>
      <w:r w:rsidR="00613D30">
        <w:rPr>
          <w:rStyle w:val="FootnoteReference"/>
        </w:rPr>
        <w:footnoteReference w:id="1"/>
      </w:r>
      <w:r w:rsidR="00856AED">
        <w:t xml:space="preserve">, </w:t>
      </w:r>
      <w:r w:rsidR="0033646A">
        <w:t>actuando sobre las causas de los mismos.</w:t>
      </w:r>
      <w:r>
        <w:t xml:space="preserve"> Para ello, en el diseño del </w:t>
      </w:r>
      <w:r w:rsidR="00856AED">
        <w:t xml:space="preserve">Programa </w:t>
      </w:r>
      <w:r w:rsidR="005F4F43">
        <w:t>se ha</w:t>
      </w:r>
      <w:r>
        <w:t xml:space="preserve"> incorporado un conjunto de acciones </w:t>
      </w:r>
      <w:r w:rsidR="00856AED">
        <w:t>estructurados en dos grandes componentes:</w:t>
      </w:r>
    </w:p>
    <w:p w:rsidR="00EE2ED7" w:rsidRDefault="00EE2ED7" w:rsidP="00EE2ED7">
      <w:pPr>
        <w:pStyle w:val="ListParagraph"/>
        <w:ind w:left="567"/>
      </w:pPr>
    </w:p>
    <w:p w:rsidR="00581CB5" w:rsidRDefault="001B78EB" w:rsidP="005012F5">
      <w:pPr>
        <w:pStyle w:val="ListParagraph"/>
        <w:numPr>
          <w:ilvl w:val="0"/>
          <w:numId w:val="17"/>
        </w:numPr>
        <w:ind w:left="1276" w:hanging="709"/>
      </w:pPr>
      <w:r>
        <w:t xml:space="preserve">El componente </w:t>
      </w:r>
      <w:r w:rsidR="005F4F43">
        <w:t xml:space="preserve">1, denominado </w:t>
      </w:r>
      <w:r w:rsidR="00613D30">
        <w:t xml:space="preserve">“Desarrollo e Implementación del SIIF2”, </w:t>
      </w:r>
      <w:r w:rsidR="005F4F43">
        <w:t>incorpora</w:t>
      </w:r>
      <w:r w:rsidR="00581CB5">
        <w:t xml:space="preserve"> dos grandes tareas:</w:t>
      </w:r>
    </w:p>
    <w:p w:rsidR="00581CB5" w:rsidRDefault="00581CB5" w:rsidP="00581CB5">
      <w:pPr>
        <w:pStyle w:val="ListParagraph"/>
        <w:ind w:left="1276"/>
      </w:pPr>
    </w:p>
    <w:p w:rsidR="00797A1D" w:rsidRDefault="001B78EB" w:rsidP="005012F5">
      <w:pPr>
        <w:pStyle w:val="ListParagraph"/>
        <w:numPr>
          <w:ilvl w:val="0"/>
          <w:numId w:val="18"/>
        </w:numPr>
      </w:pPr>
      <w:r>
        <w:t>La primera de ellas consiste en una revisión en profundidad de los actuales procesos de gestión del presupuesto de las finanzas públicas uruguayas</w:t>
      </w:r>
      <w:r w:rsidR="00581CB5">
        <w:t xml:space="preserve"> y su optimización</w:t>
      </w:r>
      <w:r>
        <w:t xml:space="preserve">. </w:t>
      </w:r>
      <w:r w:rsidR="00581CB5">
        <w:t>El resultado esperado es una gestión más eficiente del presupuesto, contabilidad, tesorería y deuda pública</w:t>
      </w:r>
      <w:r w:rsidR="00613D30">
        <w:t>, con una normativa renovada que mejora los clasificadores presupuestarios y con un nuevo plan contable ajustado a las Normas Internacionales de Contabilidad del Sector Público (NICSP)</w:t>
      </w:r>
      <w:r w:rsidR="00581CB5">
        <w:t xml:space="preserve">. </w:t>
      </w:r>
    </w:p>
    <w:p w:rsidR="00581CB5" w:rsidRDefault="00581CB5" w:rsidP="005012F5">
      <w:pPr>
        <w:pStyle w:val="ListParagraph"/>
        <w:numPr>
          <w:ilvl w:val="0"/>
          <w:numId w:val="18"/>
        </w:numPr>
      </w:pPr>
      <w:r>
        <w:t xml:space="preserve">La segunda de las tareas </w:t>
      </w:r>
      <w:r w:rsidR="00613D30">
        <w:t xml:space="preserve">consiste básicamente en el desarrollo e implementación de un nuevo sistema de gestión </w:t>
      </w:r>
      <w:r w:rsidR="008D1236">
        <w:t xml:space="preserve">informatizado que brinde </w:t>
      </w:r>
      <w:r w:rsidR="00613D30">
        <w:t>soporte a la gestión presupuestaria y financiera</w:t>
      </w:r>
      <w:r w:rsidR="008D1236">
        <w:t>. Este nuevo sistema</w:t>
      </w:r>
      <w:r w:rsidR="00613D30">
        <w:t xml:space="preserve"> sustituiría al Sistema Integrado de Información Financiera</w:t>
      </w:r>
      <w:r w:rsidR="00891F67">
        <w:t xml:space="preserve"> (SIIF)</w:t>
      </w:r>
      <w:r w:rsidR="008D1236">
        <w:t xml:space="preserve"> actualmente en funcionamiento</w:t>
      </w:r>
      <w:r w:rsidR="00613D30">
        <w:t xml:space="preserve">. </w:t>
      </w:r>
      <w:r w:rsidR="00891F67">
        <w:t xml:space="preserve">El propósito de esta tarea sería que al final del programa la Administración Central y los incisos del </w:t>
      </w:r>
      <w:r w:rsidR="008D1236">
        <w:t>artículo 220 tengan en producción un nuevo sistema de gestión, denominado SIIF2.</w:t>
      </w:r>
    </w:p>
    <w:p w:rsidR="00797A1D" w:rsidRDefault="00797A1D" w:rsidP="00EE2ED7">
      <w:pPr>
        <w:pStyle w:val="ListParagraph"/>
        <w:ind w:left="567"/>
      </w:pPr>
    </w:p>
    <w:p w:rsidR="00613D30" w:rsidRDefault="008D1236" w:rsidP="005012F5">
      <w:pPr>
        <w:pStyle w:val="ListParagraph"/>
        <w:numPr>
          <w:ilvl w:val="0"/>
          <w:numId w:val="17"/>
        </w:numPr>
        <w:ind w:left="1276" w:hanging="709"/>
      </w:pPr>
      <w:r>
        <w:t>El componente 2, denominado “</w:t>
      </w:r>
      <w:r w:rsidRPr="008D1236">
        <w:t>Fortalecimiento institucional de las unidades del MEF y organismos públicos</w:t>
      </w:r>
      <w:r>
        <w:t xml:space="preserve">”, pretende </w:t>
      </w:r>
      <w:r w:rsidR="000B519A">
        <w:t xml:space="preserve">mejorar el funcionamiento de las unidades del Ministerio de Economía y Finanzas (MEF) directamente responsables de la gestión del presupuesto: Contaduría General de la Nación (CGN), Tesorería General de la Nación (TGN) y </w:t>
      </w:r>
      <w:r w:rsidR="000478CC">
        <w:t xml:space="preserve">Unidad de Presupuesto Nacional (UPN). </w:t>
      </w:r>
      <w:r w:rsidR="001C78A0">
        <w:t>Para ello se proponen actividades de capacitación, mejora de procesos y adquisición de equipamiento tecnológico.</w:t>
      </w:r>
    </w:p>
    <w:p w:rsidR="00613D30" w:rsidRDefault="00613D30" w:rsidP="00EE2ED7">
      <w:pPr>
        <w:pStyle w:val="ListParagraph"/>
        <w:ind w:left="567"/>
      </w:pPr>
    </w:p>
    <w:p w:rsidR="0033646A" w:rsidRDefault="001C78A0" w:rsidP="005012F5">
      <w:pPr>
        <w:pStyle w:val="ListParagraph"/>
        <w:numPr>
          <w:ilvl w:val="0"/>
          <w:numId w:val="12"/>
        </w:numPr>
        <w:ind w:left="567" w:hanging="567"/>
      </w:pPr>
      <w:r>
        <w:lastRenderedPageBreak/>
        <w:t xml:space="preserve">Estos dos </w:t>
      </w:r>
      <w:r w:rsidR="00EE2ED7">
        <w:t xml:space="preserve">grandes grupos de </w:t>
      </w:r>
      <w:r>
        <w:t>actividades</w:t>
      </w:r>
      <w:r w:rsidR="0002356C">
        <w:t xml:space="preserve">, </w:t>
      </w:r>
      <w:r w:rsidR="00EE2ED7">
        <w:t>articuladas</w:t>
      </w:r>
      <w:r w:rsidR="0002356C">
        <w:t xml:space="preserve"> en </w:t>
      </w:r>
      <w:r w:rsidR="00EE2ED7">
        <w:t>los</w:t>
      </w:r>
      <w:r w:rsidR="0002356C">
        <w:t xml:space="preserve"> componentes </w:t>
      </w:r>
      <w:r w:rsidR="00EE2ED7">
        <w:t>1 y 2</w:t>
      </w:r>
      <w:r w:rsidR="00AA3B49">
        <w:t xml:space="preserve"> del Programa</w:t>
      </w:r>
      <w:r w:rsidR="00EE2ED7">
        <w:t>,</w:t>
      </w:r>
      <w:r w:rsidR="001A0C14">
        <w:t xml:space="preserve"> inciden</w:t>
      </w:r>
      <w:r w:rsidR="0002356C">
        <w:t xml:space="preserve"> de manera directa en la corrección de las disfuncionalidades </w:t>
      </w:r>
      <w:r w:rsidR="00EE2ED7">
        <w:t xml:space="preserve">observada en la gestión </w:t>
      </w:r>
      <w:r>
        <w:t>del presupuesto</w:t>
      </w:r>
      <w:r w:rsidR="00CC2DF6">
        <w:t xml:space="preserve"> </w:t>
      </w:r>
      <w:r w:rsidR="0002356C">
        <w:t xml:space="preserve">y en la </w:t>
      </w:r>
      <w:r w:rsidR="00EE2ED7">
        <w:t xml:space="preserve">gestión de </w:t>
      </w:r>
      <w:r>
        <w:t>las unidades organizacionales más directamente involucradas</w:t>
      </w:r>
      <w:r w:rsidR="0002356C">
        <w:t>.</w:t>
      </w:r>
      <w:r w:rsidR="001A0C14">
        <w:t xml:space="preserve"> El componente 3, </w:t>
      </w:r>
      <w:r>
        <w:t xml:space="preserve">de administración del </w:t>
      </w:r>
      <w:r w:rsidR="00DF203B">
        <w:t>Programa (</w:t>
      </w:r>
      <w:r>
        <w:t>dirección estratégica del Programa, unidad ejecutora, etc.),</w:t>
      </w:r>
      <w:r w:rsidR="001A0694">
        <w:t xml:space="preserve"> no tiene un impacto directo al no incidir</w:t>
      </w:r>
      <w:r>
        <w:t xml:space="preserve"> sobre los procesos sustantivos, </w:t>
      </w:r>
      <w:r w:rsidR="001A0694">
        <w:t>pero es relevante en la medida en que garantiza el adecuado funcionamiento de los servicios de apoyo</w:t>
      </w:r>
      <w:r w:rsidR="00966F4C">
        <w:t xml:space="preserve"> y, por tanto, de la provisión de forma eficaz y eficiente de los recursos necesarios para la </w:t>
      </w:r>
      <w:r>
        <w:t>ejecución del Programa</w:t>
      </w:r>
      <w:r w:rsidR="001A0694">
        <w:t>.</w:t>
      </w:r>
    </w:p>
    <w:p w:rsidR="00D85F7B" w:rsidRDefault="00D85F7B" w:rsidP="00D85F7B">
      <w:pPr>
        <w:pStyle w:val="ListParagraph"/>
        <w:ind w:left="360"/>
      </w:pPr>
    </w:p>
    <w:p w:rsidR="00B54136" w:rsidRDefault="00B54136" w:rsidP="00D85F7B">
      <w:pPr>
        <w:pStyle w:val="ListParagraph"/>
        <w:ind w:left="360"/>
      </w:pPr>
    </w:p>
    <w:p w:rsidR="00B54136" w:rsidRDefault="00B54136" w:rsidP="00310721">
      <w:pPr>
        <w:pStyle w:val="Heading2"/>
      </w:pPr>
      <w:bookmarkStart w:id="3" w:name="_Toc373498436"/>
      <w:r>
        <w:t>Principales beneficios esperados</w:t>
      </w:r>
      <w:r w:rsidR="00BE7ED9">
        <w:t xml:space="preserve"> del Programa</w:t>
      </w:r>
      <w:bookmarkEnd w:id="3"/>
    </w:p>
    <w:p w:rsidR="0033646A" w:rsidRDefault="0002356C" w:rsidP="005012F5">
      <w:pPr>
        <w:pStyle w:val="ListParagraph"/>
        <w:numPr>
          <w:ilvl w:val="0"/>
          <w:numId w:val="12"/>
        </w:numPr>
        <w:ind w:left="567" w:hanging="567"/>
      </w:pPr>
      <w:r>
        <w:t xml:space="preserve">Desde un punto de vista económico y </w:t>
      </w:r>
      <w:r w:rsidR="000D5296">
        <w:t>de gestión</w:t>
      </w:r>
      <w:r>
        <w:t xml:space="preserve">, </w:t>
      </w:r>
      <w:r w:rsidR="000B275B">
        <w:t xml:space="preserve">pueden identificarse diversos </w:t>
      </w:r>
      <w:r w:rsidR="00B54136">
        <w:t>beneficios</w:t>
      </w:r>
      <w:r w:rsidR="000B275B">
        <w:t xml:space="preserve"> </w:t>
      </w:r>
      <w:r w:rsidR="00DF203B">
        <w:t>potenciales directos</w:t>
      </w:r>
      <w:r>
        <w:t xml:space="preserve"> como consecuencia </w:t>
      </w:r>
      <w:r w:rsidR="001A0C14">
        <w:t>de las acciones del</w:t>
      </w:r>
      <w:r>
        <w:t xml:space="preserve"> programa</w:t>
      </w:r>
      <w:r w:rsidR="001A0C14">
        <w:t xml:space="preserve"> sobre los procesos de trabajo sustantivos</w:t>
      </w:r>
      <w:r w:rsidR="002F6BF4">
        <w:t>:</w:t>
      </w:r>
      <w:r w:rsidR="000C1629">
        <w:rPr>
          <w:rStyle w:val="FootnoteReference"/>
        </w:rPr>
        <w:footnoteReference w:id="2"/>
      </w:r>
    </w:p>
    <w:p w:rsidR="002F6BF4" w:rsidRDefault="002F6BF4" w:rsidP="008534E8">
      <w:pPr>
        <w:pStyle w:val="ListParagraph"/>
        <w:ind w:left="0"/>
      </w:pPr>
    </w:p>
    <w:p w:rsidR="00615072" w:rsidRPr="00615072" w:rsidRDefault="000C1629" w:rsidP="000C1629">
      <w:pPr>
        <w:pStyle w:val="ListParagraph"/>
        <w:numPr>
          <w:ilvl w:val="0"/>
          <w:numId w:val="34"/>
        </w:numPr>
        <w:rPr>
          <w:lang w:val="es-ES_tradnl"/>
        </w:rPr>
      </w:pPr>
      <w:r>
        <w:rPr>
          <w:b/>
          <w:lang w:val="es-ES_tradnl"/>
        </w:rPr>
        <w:t>Mejora de</w:t>
      </w:r>
      <w:r w:rsidR="00615072" w:rsidRPr="00615072">
        <w:rPr>
          <w:b/>
          <w:lang w:val="es-ES_tradnl"/>
        </w:rPr>
        <w:t xml:space="preserve"> la disponibilidad y calidad de </w:t>
      </w:r>
      <w:r>
        <w:rPr>
          <w:b/>
          <w:lang w:val="es-ES_tradnl"/>
        </w:rPr>
        <w:t xml:space="preserve">la </w:t>
      </w:r>
      <w:r w:rsidR="00615072" w:rsidRPr="00615072">
        <w:rPr>
          <w:b/>
          <w:lang w:val="es-ES_tradnl"/>
        </w:rPr>
        <w:t xml:space="preserve">información para realizar la formulación presupuestal. </w:t>
      </w:r>
      <w:r w:rsidR="00615072" w:rsidRPr="00615072">
        <w:rPr>
          <w:lang w:val="es-ES_tradnl"/>
        </w:rPr>
        <w:t>En la actualidad el SIIF no provee información oportuna y confiable para realizar los procesos de asignación de recursos en la etapa de formulación financiera, como se muestran en: i) sólo se cuenta con información del Presupuesto Quinquenal en línea y actualizada durante el primer año del quinquenio;</w:t>
      </w:r>
      <w:r w:rsidR="00615072" w:rsidRPr="00615072">
        <w:rPr>
          <w:vertAlign w:val="superscript"/>
          <w:lang w:val="es-ES_tradnl"/>
        </w:rPr>
        <w:footnoteReference w:id="3"/>
      </w:r>
      <w:r w:rsidR="00615072" w:rsidRPr="00615072">
        <w:rPr>
          <w:lang w:val="es-ES_tradnl"/>
        </w:rPr>
        <w:t xml:space="preserve"> ii) la ejecución financiera del presupuesto no está asociada a metas, indicadores de resultados y el avance físico de la ejecución de obras establecidos por los distintos organismos;</w:t>
      </w:r>
      <w:r w:rsidR="00615072" w:rsidRPr="00615072">
        <w:rPr>
          <w:vertAlign w:val="superscript"/>
          <w:lang w:val="es-ES_tradnl"/>
        </w:rPr>
        <w:footnoteReference w:id="4"/>
      </w:r>
      <w:r w:rsidR="00615072" w:rsidRPr="00615072">
        <w:rPr>
          <w:lang w:val="es-ES_tradnl"/>
        </w:rPr>
        <w:t xml:space="preserve"> y iii)</w:t>
      </w:r>
      <w:r w:rsidR="00615072" w:rsidRPr="00615072">
        <w:t xml:space="preserve"> la información de formulación y ejecución presupuestaria están disociadas lo que implica que existan dos fuentes de información respecto al Presupuesto Nacional que no son coincidentes.</w:t>
      </w:r>
      <w:r w:rsidR="00615072" w:rsidRPr="00615072">
        <w:rPr>
          <w:vertAlign w:val="superscript"/>
          <w:lang w:val="es-ES_tradnl"/>
        </w:rPr>
        <w:footnoteReference w:id="5"/>
      </w:r>
      <w:r w:rsidR="00615072" w:rsidRPr="00615072">
        <w:rPr>
          <w:lang w:val="es-ES_tradnl"/>
        </w:rPr>
        <w:t xml:space="preserve"> </w:t>
      </w:r>
    </w:p>
    <w:p w:rsidR="00615072" w:rsidRPr="00615072" w:rsidRDefault="00615072" w:rsidP="000C1629">
      <w:pPr>
        <w:pStyle w:val="ListParagraph"/>
        <w:numPr>
          <w:ilvl w:val="0"/>
          <w:numId w:val="34"/>
        </w:numPr>
        <w:rPr>
          <w:lang w:val="es-ES_tradnl"/>
        </w:rPr>
      </w:pPr>
      <w:r w:rsidRPr="00615072">
        <w:rPr>
          <w:b/>
          <w:lang w:val="es-ES_tradnl"/>
        </w:rPr>
        <w:t>Mejora</w:t>
      </w:r>
      <w:r w:rsidR="000C1629">
        <w:rPr>
          <w:b/>
          <w:lang w:val="es-ES_tradnl"/>
        </w:rPr>
        <w:t xml:space="preserve"> de</w:t>
      </w:r>
      <w:r w:rsidRPr="00615072">
        <w:rPr>
          <w:b/>
          <w:lang w:val="es-ES_tradnl"/>
        </w:rPr>
        <w:t xml:space="preserve"> la eficiencia operacional a nivel de ministerios y agencias. </w:t>
      </w:r>
      <w:r w:rsidRPr="00615072">
        <w:rPr>
          <w:lang w:val="es-ES_tradnl"/>
        </w:rPr>
        <w:t>Estas ineficiencias están expresadas en forma de demoras excesivas en la gestión del presupuesto. Un ejemplo de ello es el tiempo promedio de demora para el pago y tra</w:t>
      </w:r>
      <w:r w:rsidR="000C1629">
        <w:rPr>
          <w:lang w:val="es-ES_tradnl"/>
        </w:rPr>
        <w:t>mitación de una factura es de 50,</w:t>
      </w:r>
      <w:r w:rsidRPr="00615072">
        <w:rPr>
          <w:lang w:val="es-ES_tradnl"/>
        </w:rPr>
        <w:t>95 días</w:t>
      </w:r>
      <w:r w:rsidR="000C1629">
        <w:rPr>
          <w:lang w:val="es-ES_tradnl"/>
        </w:rPr>
        <w:t xml:space="preserve"> calendario</w:t>
      </w:r>
      <w:r w:rsidRPr="00615072">
        <w:rPr>
          <w:lang w:val="es-ES_tradnl"/>
        </w:rPr>
        <w:t xml:space="preserve">, </w:t>
      </w:r>
      <w:r w:rsidR="000C1629">
        <w:rPr>
          <w:lang w:val="es-ES_tradnl"/>
        </w:rPr>
        <w:t xml:space="preserve">en parte como resultado </w:t>
      </w:r>
      <w:r w:rsidRPr="00615072">
        <w:rPr>
          <w:lang w:val="es-ES_tradnl"/>
        </w:rPr>
        <w:t xml:space="preserve">de que no existe </w:t>
      </w:r>
      <w:r w:rsidRPr="00A21237">
        <w:rPr>
          <w:lang w:val="es-ES_tradnl"/>
        </w:rPr>
        <w:t>interoperabilidad</w:t>
      </w:r>
      <w:r w:rsidRPr="00615072">
        <w:rPr>
          <w:lang w:val="es-ES_tradnl"/>
        </w:rPr>
        <w:t xml:space="preserve"> entre el SIIF y el Sistema de Compras Estatales (SICE) y por lo tanto es necesario ingresar manualmente en el SIIF los datos de las facturas ya ingresadas en el SICE.</w:t>
      </w:r>
      <w:r w:rsidRPr="00615072">
        <w:rPr>
          <w:vertAlign w:val="superscript"/>
          <w:lang w:val="es-ES_tradnl"/>
        </w:rPr>
        <w:footnoteReference w:id="6"/>
      </w:r>
      <w:r w:rsidRPr="00615072">
        <w:rPr>
          <w:lang w:val="es-ES_tradnl"/>
        </w:rPr>
        <w:t xml:space="preserve"> </w:t>
      </w:r>
    </w:p>
    <w:p w:rsidR="00615072" w:rsidRPr="00615072" w:rsidRDefault="000C1629" w:rsidP="000C1629">
      <w:pPr>
        <w:pStyle w:val="ListParagraph"/>
        <w:numPr>
          <w:ilvl w:val="0"/>
          <w:numId w:val="34"/>
        </w:numPr>
        <w:rPr>
          <w:lang w:val="es-ES_tradnl"/>
        </w:rPr>
      </w:pPr>
      <w:r>
        <w:rPr>
          <w:b/>
          <w:lang w:val="es-ES_tradnl"/>
        </w:rPr>
        <w:t xml:space="preserve">Mejora de </w:t>
      </w:r>
      <w:r w:rsidR="00615072" w:rsidRPr="00615072">
        <w:rPr>
          <w:b/>
          <w:lang w:val="es-ES_tradnl"/>
        </w:rPr>
        <w:t>la capacidad de monitoreo de la ejecución presupuestal</w:t>
      </w:r>
      <w:r w:rsidR="00615072" w:rsidRPr="00615072">
        <w:rPr>
          <w:lang w:val="es-ES_tradnl"/>
        </w:rPr>
        <w:t xml:space="preserve">. </w:t>
      </w:r>
      <w:r w:rsidR="00615072" w:rsidRPr="00615072">
        <w:t xml:space="preserve">A la fecha los pagos de la administración central no pueden ser desagregados por objeto del gasto conforme a la clasificación presupuestaria en tiempo real. Esto dificulta enormemente el seguimiento de los fondos depositados por la Tesorería </w:t>
      </w:r>
      <w:r w:rsidR="00615072" w:rsidRPr="00A21237">
        <w:rPr>
          <w:lang w:val="es-ES_tradnl"/>
        </w:rPr>
        <w:t>General</w:t>
      </w:r>
      <w:r w:rsidR="00615072" w:rsidRPr="00615072">
        <w:t xml:space="preserve"> de la Nación (TGN) en las unidades ejecutoras.</w:t>
      </w:r>
      <w:r w:rsidR="00615072" w:rsidRPr="00615072">
        <w:rPr>
          <w:lang w:val="es-ES_tradnl"/>
        </w:rPr>
        <w:t xml:space="preserve"> Adicionalmente el SIIF no mantiene información confiable y oportuna respecto a la totalidad de los rubros de ingresos que componen las Finanzas Públicas producto de que éste no es inter-operable con los sistemas de la Dirección General Impositiva (DGI). </w:t>
      </w:r>
    </w:p>
    <w:p w:rsidR="00615072" w:rsidRPr="00615072" w:rsidRDefault="000C1629" w:rsidP="000C1629">
      <w:pPr>
        <w:pStyle w:val="ListParagraph"/>
        <w:numPr>
          <w:ilvl w:val="0"/>
          <w:numId w:val="34"/>
        </w:numPr>
        <w:rPr>
          <w:lang w:val="es-ES_tradnl"/>
        </w:rPr>
      </w:pPr>
      <w:r>
        <w:rPr>
          <w:b/>
          <w:lang w:val="es-ES_tradnl"/>
        </w:rPr>
        <w:t>Mejora de</w:t>
      </w:r>
      <w:r w:rsidR="00615072" w:rsidRPr="00615072">
        <w:rPr>
          <w:b/>
          <w:lang w:val="es-ES_tradnl"/>
        </w:rPr>
        <w:t xml:space="preserve"> la generación de Estados Financieros en forma oportuna</w:t>
      </w:r>
      <w:r w:rsidR="00615072" w:rsidRPr="00615072">
        <w:rPr>
          <w:lang w:val="es-ES_tradnl"/>
        </w:rPr>
        <w:t xml:space="preserve">. En la actualidad sólo dos Estados Financieros –Ejecución Presupuestaria del Gasto y de Recursos Principales– de los </w:t>
      </w:r>
      <w:r>
        <w:rPr>
          <w:lang w:val="es-ES_tradnl"/>
        </w:rPr>
        <w:t>siete</w:t>
      </w:r>
      <w:r w:rsidR="00615072" w:rsidRPr="00615072">
        <w:rPr>
          <w:lang w:val="es-ES_tradnl"/>
        </w:rPr>
        <w:t xml:space="preserve"> estados </w:t>
      </w:r>
      <w:r w:rsidR="00615072" w:rsidRPr="000C1629">
        <w:rPr>
          <w:lang w:val="es-ES_tradnl"/>
        </w:rPr>
        <w:t>financieros</w:t>
      </w:r>
      <w:r w:rsidR="00615072" w:rsidRPr="00615072">
        <w:rPr>
          <w:lang w:val="es-ES_tradnl"/>
        </w:rPr>
        <w:t xml:space="preserve"> establecidos por las Normas Internacionales de Contabilidad para el </w:t>
      </w:r>
      <w:r w:rsidR="00615072" w:rsidRPr="00615072">
        <w:rPr>
          <w:lang w:val="es-ES_tradnl"/>
        </w:rPr>
        <w:lastRenderedPageBreak/>
        <w:t>Sector Público (NICSP) son generados de forma automática. Esto provoca la ausencia de una Contabilidad Patrimonial completa y dificulta las labores de supervisión y control desarrolladas por el Tribunal de Cuentas.</w:t>
      </w:r>
      <w:r w:rsidR="00615072" w:rsidRPr="00615072">
        <w:rPr>
          <w:vertAlign w:val="superscript"/>
          <w:lang w:val="es-ES_tradnl"/>
        </w:rPr>
        <w:footnoteReference w:id="7"/>
      </w:r>
    </w:p>
    <w:p w:rsidR="00A87F45" w:rsidRDefault="00A87F45" w:rsidP="001A0694">
      <w:pPr>
        <w:pStyle w:val="ListParagraph"/>
        <w:rPr>
          <w:lang w:val="es-ES_tradnl"/>
        </w:rPr>
      </w:pPr>
    </w:p>
    <w:p w:rsidR="008D589D" w:rsidRPr="00615072" w:rsidRDefault="008D589D" w:rsidP="008D589D">
      <w:pPr>
        <w:pStyle w:val="ListParagraph"/>
        <w:numPr>
          <w:ilvl w:val="0"/>
          <w:numId w:val="12"/>
        </w:numPr>
        <w:ind w:left="567" w:hanging="567"/>
        <w:rPr>
          <w:lang w:val="es-ES_tradnl"/>
        </w:rPr>
      </w:pPr>
      <w:r>
        <w:rPr>
          <w:lang w:val="es-ES_tradnl"/>
        </w:rPr>
        <w:t xml:space="preserve">Muchos de estos beneficios </w:t>
      </w:r>
      <w:r w:rsidRPr="008D589D">
        <w:t>están</w:t>
      </w:r>
      <w:r>
        <w:rPr>
          <w:lang w:val="es-ES_tradnl"/>
        </w:rPr>
        <w:t xml:space="preserve"> recogidos en la matriz de resultados del Programa, pero como se verá a continuación</w:t>
      </w:r>
      <w:r w:rsidR="00D076A4">
        <w:rPr>
          <w:lang w:val="es-ES_tradnl"/>
        </w:rPr>
        <w:t>, a efectos del análisis solamente se retienen los</w:t>
      </w:r>
      <w:r>
        <w:rPr>
          <w:lang w:val="es-ES_tradnl"/>
        </w:rPr>
        <w:t xml:space="preserve"> dos </w:t>
      </w:r>
      <w:r w:rsidR="00D076A4">
        <w:rPr>
          <w:lang w:val="es-ES_tradnl"/>
        </w:rPr>
        <w:t>indicadores directamente vinculados con los resultados.</w:t>
      </w:r>
    </w:p>
    <w:p w:rsidR="00BA7828" w:rsidRDefault="00BA7828" w:rsidP="001A0694">
      <w:pPr>
        <w:pStyle w:val="ListParagraph"/>
      </w:pPr>
    </w:p>
    <w:p w:rsidR="008D589D" w:rsidRDefault="008D589D" w:rsidP="001A0694">
      <w:pPr>
        <w:pStyle w:val="ListParagraph"/>
      </w:pPr>
    </w:p>
    <w:p w:rsidR="00BA7828" w:rsidRDefault="00BA7828" w:rsidP="00310721">
      <w:pPr>
        <w:pStyle w:val="Heading2"/>
      </w:pPr>
      <w:bookmarkStart w:id="4" w:name="_Ref294199644"/>
      <w:bookmarkStart w:id="5" w:name="_Toc373498437"/>
      <w:r>
        <w:t>Indicadores seleccionados</w:t>
      </w:r>
      <w:bookmarkEnd w:id="4"/>
      <w:bookmarkEnd w:id="5"/>
    </w:p>
    <w:p w:rsidR="00921E6B" w:rsidRDefault="00D45041" w:rsidP="005012F5">
      <w:pPr>
        <w:pStyle w:val="ListParagraph"/>
        <w:numPr>
          <w:ilvl w:val="0"/>
          <w:numId w:val="12"/>
        </w:numPr>
        <w:ind w:left="567" w:hanging="567"/>
      </w:pPr>
      <w:r>
        <w:t xml:space="preserve">Para la elaboración del análisis costo-beneficio se han seleccionado </w:t>
      </w:r>
      <w:r w:rsidR="00615072">
        <w:t xml:space="preserve">dos indicadores </w:t>
      </w:r>
      <w:r>
        <w:t xml:space="preserve">de </w:t>
      </w:r>
      <w:r w:rsidR="005B7BE9">
        <w:t xml:space="preserve">la matriz de resultados del </w:t>
      </w:r>
      <w:r w:rsidR="00615072">
        <w:t>Programa</w:t>
      </w:r>
      <w:r w:rsidR="005B7BE9">
        <w:t xml:space="preserve">, ambos </w:t>
      </w:r>
      <w:r w:rsidR="003F2555">
        <w:t xml:space="preserve">directamente </w:t>
      </w:r>
      <w:r w:rsidR="005B7BE9">
        <w:t xml:space="preserve">relacionados </w:t>
      </w:r>
      <w:r w:rsidR="003F2555">
        <w:t xml:space="preserve">con los </w:t>
      </w:r>
      <w:r w:rsidR="00592DF1">
        <w:t>impacto</w:t>
      </w:r>
      <w:r w:rsidR="00941FE4">
        <w:t>s</w:t>
      </w:r>
      <w:r w:rsidR="00CC2DF6">
        <w:t xml:space="preserve"> </w:t>
      </w:r>
      <w:r w:rsidR="00DF203B">
        <w:t>esperados por</w:t>
      </w:r>
      <w:r w:rsidR="00723773">
        <w:t xml:space="preserve"> las actividades de los componentes </w:t>
      </w:r>
      <w:r w:rsidR="00D160BE">
        <w:t>(ver cuadro 1</w:t>
      </w:r>
      <w:r w:rsidR="00D177C1">
        <w:t>)</w:t>
      </w:r>
      <w:r w:rsidR="003F2555">
        <w:t xml:space="preserve">. </w:t>
      </w:r>
    </w:p>
    <w:p w:rsidR="00921E6B" w:rsidRDefault="00921E6B" w:rsidP="00921E6B">
      <w:pPr>
        <w:pStyle w:val="ListParagraph"/>
        <w:ind w:left="567"/>
      </w:pPr>
    </w:p>
    <w:p w:rsidR="00024096" w:rsidRDefault="00941FE4" w:rsidP="00941FE4">
      <w:pPr>
        <w:pStyle w:val="ListParagraph"/>
        <w:numPr>
          <w:ilvl w:val="0"/>
          <w:numId w:val="12"/>
        </w:numPr>
        <w:ind w:left="567" w:hanging="567"/>
        <w:rPr>
          <w:lang w:val="es-ES_tradnl"/>
        </w:rPr>
      </w:pPr>
      <w:r w:rsidRPr="00941FE4">
        <w:rPr>
          <w:lang w:val="es-ES_tradnl"/>
        </w:rPr>
        <w:t>El primer indicador es “</w:t>
      </w:r>
      <w:r w:rsidRPr="0096632A">
        <w:rPr>
          <w:i/>
          <w:lang w:val="es-ES_tradnl"/>
        </w:rPr>
        <w:t>Tiempo de demora en el proceso de tramitación de facturas para estar en condiciones de ser pagadas (priorizadas)</w:t>
      </w:r>
      <w:r w:rsidRPr="00941FE4">
        <w:rPr>
          <w:lang w:val="es-ES_tradnl"/>
        </w:rPr>
        <w:t xml:space="preserve">”. En el marco del Programa está prevista la optimización de los procesos con el fin de lograr una gestión más eficiente del presupuesto y, más en concreto, en reducir los tiempos de demora en la tramitación de facturas para su priorización en el pago a los proveedores del Estado. Se entiende que en ausencia de tensiones de tesorería, que pueden condicionar los plazos de pago, las demoras que se producen se explican básicamente por ineficiencias en la tramitación de las facturas y su posterior pago. </w:t>
      </w:r>
    </w:p>
    <w:p w:rsidR="00024096" w:rsidRPr="00024096" w:rsidRDefault="00024096" w:rsidP="00024096">
      <w:pPr>
        <w:pStyle w:val="ListParagraph"/>
        <w:rPr>
          <w:lang w:val="es-ES_tradnl"/>
        </w:rPr>
      </w:pPr>
    </w:p>
    <w:p w:rsidR="00941FE4" w:rsidRDefault="00941FE4" w:rsidP="00941FE4">
      <w:pPr>
        <w:pStyle w:val="ListParagraph"/>
        <w:numPr>
          <w:ilvl w:val="0"/>
          <w:numId w:val="12"/>
        </w:numPr>
        <w:ind w:left="567" w:hanging="567"/>
        <w:rPr>
          <w:lang w:val="es-ES_tradnl"/>
        </w:rPr>
      </w:pPr>
      <w:r w:rsidRPr="00941FE4">
        <w:rPr>
          <w:lang w:val="es-ES_tradnl"/>
        </w:rPr>
        <w:t xml:space="preserve">Estas ineficiencias suponen costos por intereses de financiación para los proveedores que los </w:t>
      </w:r>
      <w:r w:rsidR="00D076A4">
        <w:rPr>
          <w:lang w:val="es-ES_tradnl"/>
        </w:rPr>
        <w:t xml:space="preserve">pueden </w:t>
      </w:r>
      <w:r w:rsidRPr="00941FE4">
        <w:rPr>
          <w:lang w:val="es-ES_tradnl"/>
        </w:rPr>
        <w:t>traslada</w:t>
      </w:r>
      <w:r w:rsidR="00D076A4">
        <w:rPr>
          <w:lang w:val="es-ES_tradnl"/>
        </w:rPr>
        <w:t>r</w:t>
      </w:r>
      <w:r w:rsidRPr="00941FE4">
        <w:rPr>
          <w:lang w:val="es-ES_tradnl"/>
        </w:rPr>
        <w:t xml:space="preserve"> a los precios de las licitaciones. De acuerdo con la matriz de resultados, en la actualidad el </w:t>
      </w:r>
      <w:r w:rsidRPr="00EB4220">
        <w:rPr>
          <w:i/>
          <w:lang w:val="es-ES_tradnl"/>
        </w:rPr>
        <w:t>tiempo promedio de tramitación</w:t>
      </w:r>
      <w:r w:rsidRPr="00941FE4">
        <w:rPr>
          <w:lang w:val="es-ES_tradnl"/>
        </w:rPr>
        <w:t xml:space="preserve"> </w:t>
      </w:r>
      <w:r w:rsidR="00D076A4">
        <w:rPr>
          <w:lang w:val="es-ES_tradnl"/>
        </w:rPr>
        <w:t xml:space="preserve">desde que se recibe la factura hasta que se prioriza el pago </w:t>
      </w:r>
      <w:r w:rsidRPr="00941FE4">
        <w:rPr>
          <w:lang w:val="es-ES_tradnl"/>
        </w:rPr>
        <w:t xml:space="preserve">es de </w:t>
      </w:r>
      <w:r w:rsidR="00372D79">
        <w:rPr>
          <w:lang w:val="es-ES_tradnl"/>
        </w:rPr>
        <w:t>51</w:t>
      </w:r>
      <w:r w:rsidRPr="00941FE4">
        <w:rPr>
          <w:lang w:val="es-ES_tradnl"/>
        </w:rPr>
        <w:t xml:space="preserve"> días</w:t>
      </w:r>
      <w:r w:rsidR="00615072">
        <w:rPr>
          <w:lang w:val="es-ES_tradnl"/>
        </w:rPr>
        <w:t xml:space="preserve"> calendario</w:t>
      </w:r>
      <w:r w:rsidRPr="00941FE4">
        <w:rPr>
          <w:lang w:val="es-ES_tradnl"/>
        </w:rPr>
        <w:t xml:space="preserve">, estando prevista su reducción a </w:t>
      </w:r>
      <w:r w:rsidR="007933E5">
        <w:rPr>
          <w:lang w:val="es-ES_tradnl"/>
        </w:rPr>
        <w:t>29 días calendario</w:t>
      </w:r>
      <w:r w:rsidRPr="00941FE4">
        <w:rPr>
          <w:lang w:val="es-ES_tradnl"/>
        </w:rPr>
        <w:t xml:space="preserve"> al final de Programa. </w:t>
      </w:r>
    </w:p>
    <w:p w:rsidR="007F5ED8" w:rsidRPr="007F5ED8" w:rsidRDefault="007F5ED8" w:rsidP="007F5ED8">
      <w:pPr>
        <w:pStyle w:val="ListParagraph"/>
        <w:rPr>
          <w:lang w:val="es-ES_tradnl"/>
        </w:rPr>
      </w:pPr>
    </w:p>
    <w:p w:rsidR="009E619F" w:rsidRPr="00D177C1" w:rsidRDefault="009E619F" w:rsidP="009E619F">
      <w:pPr>
        <w:pStyle w:val="ListParagraph"/>
        <w:spacing w:after="60"/>
        <w:ind w:left="360"/>
        <w:jc w:val="center"/>
        <w:rPr>
          <w:b/>
          <w:sz w:val="20"/>
        </w:rPr>
      </w:pPr>
      <w:r>
        <w:rPr>
          <w:b/>
          <w:sz w:val="20"/>
        </w:rPr>
        <w:t>Cuadro 1</w:t>
      </w:r>
      <w:r w:rsidRPr="00D177C1">
        <w:rPr>
          <w:b/>
          <w:sz w:val="20"/>
        </w:rPr>
        <w:t xml:space="preserve">. Indicadores </w:t>
      </w:r>
      <w:r>
        <w:rPr>
          <w:b/>
          <w:sz w:val="20"/>
        </w:rPr>
        <w:t>analizados</w:t>
      </w:r>
      <w:r w:rsidRPr="00D177C1">
        <w:rPr>
          <w:b/>
          <w:sz w:val="20"/>
        </w:rPr>
        <w:t xml:space="preserve"> para el análisis costo-beneficio</w:t>
      </w:r>
    </w:p>
    <w:tbl>
      <w:tblPr>
        <w:tblW w:w="8837" w:type="dxa"/>
        <w:tblInd w:w="567" w:type="dxa"/>
        <w:tblLook w:val="04A0" w:firstRow="1" w:lastRow="0" w:firstColumn="1" w:lastColumn="0" w:noHBand="0" w:noVBand="1"/>
      </w:tblPr>
      <w:tblGrid>
        <w:gridCol w:w="5387"/>
        <w:gridCol w:w="1701"/>
        <w:gridCol w:w="850"/>
        <w:gridCol w:w="899"/>
      </w:tblGrid>
      <w:tr w:rsidR="00592DF1" w:rsidRPr="00465B38" w:rsidTr="00024096">
        <w:tc>
          <w:tcPr>
            <w:tcW w:w="5387" w:type="dxa"/>
            <w:tcBorders>
              <w:top w:val="single" w:sz="4" w:space="0" w:color="auto"/>
              <w:bottom w:val="single" w:sz="4" w:space="0" w:color="auto"/>
            </w:tcBorders>
            <w:shd w:val="clear" w:color="auto" w:fill="D9D9D9" w:themeFill="background1" w:themeFillShade="D9"/>
          </w:tcPr>
          <w:p w:rsidR="00592DF1" w:rsidRPr="00465B38" w:rsidRDefault="00592DF1" w:rsidP="00226D32">
            <w:pPr>
              <w:tabs>
                <w:tab w:val="left" w:pos="435"/>
              </w:tabs>
              <w:ind w:left="426" w:hanging="426"/>
              <w:rPr>
                <w:b/>
                <w:sz w:val="20"/>
                <w:szCs w:val="18"/>
                <w:lang w:val="es-ES_tradnl"/>
              </w:rPr>
            </w:pPr>
            <w:r w:rsidRPr="00465B38">
              <w:rPr>
                <w:b/>
                <w:sz w:val="20"/>
                <w:szCs w:val="18"/>
                <w:lang w:val="es-ES_tradnl"/>
              </w:rPr>
              <w:t>Indicadores de impacto</w:t>
            </w:r>
          </w:p>
        </w:tc>
        <w:tc>
          <w:tcPr>
            <w:tcW w:w="1701" w:type="dxa"/>
            <w:tcBorders>
              <w:top w:val="single" w:sz="4" w:space="0" w:color="auto"/>
              <w:bottom w:val="single" w:sz="4" w:space="0" w:color="auto"/>
            </w:tcBorders>
            <w:shd w:val="clear" w:color="auto" w:fill="D9D9D9" w:themeFill="background1" w:themeFillShade="D9"/>
          </w:tcPr>
          <w:p w:rsidR="00592DF1" w:rsidRDefault="00592DF1" w:rsidP="00372D79">
            <w:pPr>
              <w:jc w:val="center"/>
              <w:rPr>
                <w:b/>
                <w:sz w:val="20"/>
                <w:szCs w:val="18"/>
                <w:lang w:val="es-CL"/>
              </w:rPr>
            </w:pPr>
            <w:r>
              <w:rPr>
                <w:b/>
                <w:sz w:val="20"/>
                <w:szCs w:val="18"/>
                <w:lang w:val="es-CL"/>
              </w:rPr>
              <w:t>Unidad</w:t>
            </w:r>
          </w:p>
        </w:tc>
        <w:tc>
          <w:tcPr>
            <w:tcW w:w="850" w:type="dxa"/>
            <w:tcBorders>
              <w:top w:val="single" w:sz="4" w:space="0" w:color="auto"/>
              <w:bottom w:val="single" w:sz="4" w:space="0" w:color="auto"/>
            </w:tcBorders>
            <w:shd w:val="clear" w:color="auto" w:fill="D9D9D9" w:themeFill="background1" w:themeFillShade="D9"/>
          </w:tcPr>
          <w:p w:rsidR="00592DF1" w:rsidRPr="00465B38" w:rsidRDefault="00592DF1" w:rsidP="00226D32">
            <w:pPr>
              <w:rPr>
                <w:b/>
                <w:sz w:val="20"/>
                <w:szCs w:val="18"/>
                <w:lang w:val="es-CL"/>
              </w:rPr>
            </w:pPr>
            <w:r>
              <w:rPr>
                <w:b/>
                <w:sz w:val="20"/>
                <w:szCs w:val="18"/>
                <w:lang w:val="es-CL"/>
              </w:rPr>
              <w:t>Línea de base</w:t>
            </w:r>
          </w:p>
        </w:tc>
        <w:tc>
          <w:tcPr>
            <w:tcW w:w="899" w:type="dxa"/>
            <w:tcBorders>
              <w:top w:val="single" w:sz="4" w:space="0" w:color="auto"/>
              <w:bottom w:val="single" w:sz="4" w:space="0" w:color="auto"/>
            </w:tcBorders>
            <w:shd w:val="clear" w:color="auto" w:fill="D9D9D9" w:themeFill="background1" w:themeFillShade="D9"/>
          </w:tcPr>
          <w:p w:rsidR="00592DF1" w:rsidRPr="00465B38" w:rsidRDefault="00592DF1" w:rsidP="009E619F">
            <w:pPr>
              <w:jc w:val="center"/>
              <w:rPr>
                <w:b/>
                <w:sz w:val="20"/>
                <w:szCs w:val="18"/>
                <w:lang w:val="es-CL"/>
              </w:rPr>
            </w:pPr>
            <w:r>
              <w:rPr>
                <w:b/>
                <w:sz w:val="20"/>
                <w:szCs w:val="18"/>
                <w:lang w:val="es-CL"/>
              </w:rPr>
              <w:t>2019</w:t>
            </w:r>
          </w:p>
        </w:tc>
      </w:tr>
      <w:tr w:rsidR="00592DF1" w:rsidRPr="00465B38" w:rsidTr="00024096">
        <w:tc>
          <w:tcPr>
            <w:tcW w:w="5387" w:type="dxa"/>
            <w:tcBorders>
              <w:top w:val="single" w:sz="4" w:space="0" w:color="auto"/>
            </w:tcBorders>
          </w:tcPr>
          <w:p w:rsidR="00592DF1" w:rsidRPr="00592DF1" w:rsidRDefault="0063466D" w:rsidP="00592DF1">
            <w:pPr>
              <w:pStyle w:val="ListParagraph"/>
              <w:numPr>
                <w:ilvl w:val="0"/>
                <w:numId w:val="33"/>
              </w:numPr>
              <w:rPr>
                <w:sz w:val="20"/>
                <w:szCs w:val="20"/>
              </w:rPr>
            </w:pPr>
            <w:r w:rsidRPr="0063466D">
              <w:rPr>
                <w:sz w:val="20"/>
                <w:szCs w:val="20"/>
                <w:lang w:val="es-ES_tradnl"/>
              </w:rPr>
              <w:t>Tiempo de demora en el proceso de tramitación de facturas para estar en condiciones de ser pagadas (priorizadas)</w:t>
            </w:r>
          </w:p>
        </w:tc>
        <w:tc>
          <w:tcPr>
            <w:tcW w:w="1701" w:type="dxa"/>
            <w:tcBorders>
              <w:top w:val="single" w:sz="4" w:space="0" w:color="auto"/>
            </w:tcBorders>
            <w:vAlign w:val="center"/>
          </w:tcPr>
          <w:p w:rsidR="00592DF1" w:rsidRPr="00592DF1" w:rsidRDefault="00592DF1" w:rsidP="00615072">
            <w:pPr>
              <w:spacing w:before="30" w:after="30"/>
              <w:jc w:val="center"/>
              <w:rPr>
                <w:sz w:val="20"/>
                <w:szCs w:val="20"/>
                <w:lang w:val="es-ES_tradnl"/>
              </w:rPr>
            </w:pPr>
            <w:r w:rsidRPr="00592DF1">
              <w:rPr>
                <w:sz w:val="20"/>
                <w:szCs w:val="20"/>
                <w:lang w:val="es-ES_tradnl"/>
              </w:rPr>
              <w:t>Días</w:t>
            </w:r>
            <w:r w:rsidR="00615072">
              <w:rPr>
                <w:sz w:val="20"/>
                <w:szCs w:val="20"/>
                <w:lang w:val="es-ES_tradnl"/>
              </w:rPr>
              <w:t xml:space="preserve"> calendario</w:t>
            </w:r>
          </w:p>
        </w:tc>
        <w:tc>
          <w:tcPr>
            <w:tcW w:w="850" w:type="dxa"/>
            <w:tcBorders>
              <w:top w:val="single" w:sz="4" w:space="0" w:color="auto"/>
            </w:tcBorders>
            <w:vAlign w:val="center"/>
          </w:tcPr>
          <w:p w:rsidR="00592DF1" w:rsidRPr="00592DF1" w:rsidRDefault="00372D79" w:rsidP="00592DF1">
            <w:pPr>
              <w:spacing w:before="30" w:after="30" w:line="276" w:lineRule="auto"/>
              <w:jc w:val="center"/>
              <w:rPr>
                <w:sz w:val="20"/>
                <w:szCs w:val="20"/>
                <w:lang w:val="es-ES_tradnl"/>
              </w:rPr>
            </w:pPr>
            <w:r>
              <w:rPr>
                <w:sz w:val="20"/>
                <w:szCs w:val="20"/>
                <w:lang w:val="es-ES_tradnl"/>
              </w:rPr>
              <w:t>51</w:t>
            </w:r>
          </w:p>
        </w:tc>
        <w:tc>
          <w:tcPr>
            <w:tcW w:w="899" w:type="dxa"/>
            <w:tcBorders>
              <w:top w:val="single" w:sz="4" w:space="0" w:color="auto"/>
            </w:tcBorders>
            <w:vAlign w:val="center"/>
          </w:tcPr>
          <w:p w:rsidR="00592DF1" w:rsidRPr="00592DF1" w:rsidRDefault="006A5AC1" w:rsidP="00592DF1">
            <w:pPr>
              <w:spacing w:before="30" w:after="30" w:line="276" w:lineRule="auto"/>
              <w:jc w:val="center"/>
              <w:rPr>
                <w:sz w:val="20"/>
                <w:szCs w:val="20"/>
                <w:lang w:val="es-ES_tradnl"/>
              </w:rPr>
            </w:pPr>
            <w:r>
              <w:rPr>
                <w:sz w:val="20"/>
                <w:szCs w:val="20"/>
                <w:lang w:val="es-ES_tradnl"/>
              </w:rPr>
              <w:t>29</w:t>
            </w:r>
          </w:p>
        </w:tc>
      </w:tr>
      <w:tr w:rsidR="00592DF1" w:rsidRPr="00465B38" w:rsidTr="00024096">
        <w:tc>
          <w:tcPr>
            <w:tcW w:w="5387" w:type="dxa"/>
            <w:tcBorders>
              <w:bottom w:val="single" w:sz="4" w:space="0" w:color="auto"/>
            </w:tcBorders>
          </w:tcPr>
          <w:p w:rsidR="00592DF1" w:rsidRPr="00592DF1" w:rsidRDefault="0063466D" w:rsidP="0063466D">
            <w:pPr>
              <w:pStyle w:val="ListParagraph"/>
              <w:numPr>
                <w:ilvl w:val="0"/>
                <w:numId w:val="33"/>
              </w:numPr>
              <w:rPr>
                <w:sz w:val="20"/>
                <w:szCs w:val="20"/>
                <w:lang w:val="es-ES_tradnl"/>
              </w:rPr>
            </w:pPr>
            <w:r w:rsidRPr="0063466D">
              <w:rPr>
                <w:sz w:val="20"/>
                <w:szCs w:val="20"/>
                <w:lang w:val="es-ES_tradnl"/>
              </w:rPr>
              <w:t>Costos financieros asociados a cuentas bancarias por fuera de la CUN, de acuerdo a la normativa vigente</w:t>
            </w:r>
          </w:p>
        </w:tc>
        <w:tc>
          <w:tcPr>
            <w:tcW w:w="1701" w:type="dxa"/>
            <w:tcBorders>
              <w:bottom w:val="single" w:sz="4" w:space="0" w:color="auto"/>
            </w:tcBorders>
            <w:vAlign w:val="center"/>
          </w:tcPr>
          <w:p w:rsidR="00592DF1" w:rsidRPr="00592DF1" w:rsidRDefault="00343127" w:rsidP="00372D79">
            <w:pPr>
              <w:spacing w:before="30" w:after="30"/>
              <w:jc w:val="center"/>
              <w:rPr>
                <w:sz w:val="20"/>
                <w:szCs w:val="20"/>
                <w:lang w:val="es-ES_tradnl"/>
              </w:rPr>
            </w:pPr>
            <w:r>
              <w:rPr>
                <w:sz w:val="20"/>
                <w:szCs w:val="20"/>
                <w:lang w:val="es-ES_tradnl"/>
              </w:rPr>
              <w:t>Porcentaje de pagos</w:t>
            </w:r>
            <w:r w:rsidR="00372D79">
              <w:rPr>
                <w:sz w:val="20"/>
                <w:szCs w:val="20"/>
                <w:lang w:val="es-ES_tradnl"/>
              </w:rPr>
              <w:t xml:space="preserve"> sobre total de pagos 2013</w:t>
            </w:r>
          </w:p>
        </w:tc>
        <w:tc>
          <w:tcPr>
            <w:tcW w:w="850" w:type="dxa"/>
            <w:tcBorders>
              <w:bottom w:val="single" w:sz="4" w:space="0" w:color="auto"/>
            </w:tcBorders>
            <w:vAlign w:val="center"/>
          </w:tcPr>
          <w:p w:rsidR="00592DF1" w:rsidRPr="00963DA5" w:rsidRDefault="00372D79" w:rsidP="00372D79">
            <w:pPr>
              <w:jc w:val="center"/>
              <w:rPr>
                <w:bCs/>
                <w:color w:val="000000"/>
                <w:sz w:val="20"/>
                <w:szCs w:val="20"/>
              </w:rPr>
            </w:pPr>
            <w:r>
              <w:rPr>
                <w:bCs/>
                <w:color w:val="000000"/>
                <w:sz w:val="20"/>
                <w:szCs w:val="20"/>
              </w:rPr>
              <w:t>100%</w:t>
            </w:r>
          </w:p>
        </w:tc>
        <w:tc>
          <w:tcPr>
            <w:tcW w:w="899" w:type="dxa"/>
            <w:tcBorders>
              <w:bottom w:val="single" w:sz="4" w:space="0" w:color="auto"/>
            </w:tcBorders>
            <w:vAlign w:val="center"/>
          </w:tcPr>
          <w:p w:rsidR="00592DF1" w:rsidRPr="00592DF1" w:rsidRDefault="00343127" w:rsidP="00592DF1">
            <w:pPr>
              <w:spacing w:before="30" w:after="30" w:line="276" w:lineRule="auto"/>
              <w:jc w:val="center"/>
              <w:rPr>
                <w:sz w:val="20"/>
                <w:szCs w:val="20"/>
                <w:lang w:val="es-ES_tradnl"/>
              </w:rPr>
            </w:pPr>
            <w:r>
              <w:rPr>
                <w:sz w:val="20"/>
                <w:szCs w:val="20"/>
                <w:lang w:val="es-ES_tradnl"/>
              </w:rPr>
              <w:t>10%</w:t>
            </w:r>
          </w:p>
        </w:tc>
      </w:tr>
    </w:tbl>
    <w:p w:rsidR="009E619F" w:rsidRDefault="009E619F" w:rsidP="009E619F">
      <w:pPr>
        <w:pStyle w:val="ListParagraph"/>
        <w:ind w:left="360"/>
      </w:pPr>
    </w:p>
    <w:p w:rsidR="007F5ED8" w:rsidRPr="00941FE4" w:rsidRDefault="007F5ED8" w:rsidP="00A21237">
      <w:pPr>
        <w:pStyle w:val="ListParagraph"/>
        <w:numPr>
          <w:ilvl w:val="0"/>
          <w:numId w:val="12"/>
        </w:numPr>
        <w:ind w:left="567" w:hanging="567"/>
        <w:rPr>
          <w:lang w:val="es-ES_tradnl"/>
        </w:rPr>
      </w:pPr>
      <w:r>
        <w:rPr>
          <w:lang w:val="es-ES_tradnl"/>
        </w:rPr>
        <w:t xml:space="preserve">A efectos de análisis </w:t>
      </w:r>
      <w:r w:rsidRPr="00A21237">
        <w:t>costo</w:t>
      </w:r>
      <w:r>
        <w:rPr>
          <w:lang w:val="es-ES_tradnl"/>
        </w:rPr>
        <w:t xml:space="preserve">-beneficio, este indicador </w:t>
      </w:r>
      <w:r w:rsidR="00010D61">
        <w:rPr>
          <w:lang w:val="es-ES_tradnl"/>
        </w:rPr>
        <w:t xml:space="preserve">de tiempo (días calendario) </w:t>
      </w:r>
      <w:r>
        <w:rPr>
          <w:lang w:val="es-ES_tradnl"/>
        </w:rPr>
        <w:t>se monetiz</w:t>
      </w:r>
      <w:r w:rsidR="00A37391">
        <w:rPr>
          <w:lang w:val="es-ES_tradnl"/>
        </w:rPr>
        <w:t>a bajo la siguiente forma: “</w:t>
      </w:r>
      <w:r w:rsidRPr="0096632A">
        <w:rPr>
          <w:i/>
        </w:rPr>
        <w:t>Reducción de los costos financieros asociados a las demoras en la tramitación de los pagos del Estado</w:t>
      </w:r>
      <w:r>
        <w:t>”.</w:t>
      </w:r>
      <w:r w:rsidR="00010D61" w:rsidRPr="00010D61">
        <w:rPr>
          <w:lang w:val="es-ES_tradnl"/>
        </w:rPr>
        <w:t xml:space="preserve"> </w:t>
      </w:r>
      <w:r w:rsidR="00010D61" w:rsidRPr="00941FE4">
        <w:rPr>
          <w:lang w:val="es-ES_tradnl"/>
        </w:rPr>
        <w:t xml:space="preserve">Se estima que </w:t>
      </w:r>
      <w:r w:rsidR="0096632A">
        <w:rPr>
          <w:lang w:val="es-ES_tradnl"/>
        </w:rPr>
        <w:t xml:space="preserve">en la actualidad </w:t>
      </w:r>
      <w:r w:rsidR="00010D61" w:rsidRPr="00941FE4">
        <w:rPr>
          <w:lang w:val="es-ES_tradnl"/>
        </w:rPr>
        <w:t xml:space="preserve">estos costos suponen USD </w:t>
      </w:r>
      <w:r w:rsidR="00A21237" w:rsidRPr="00A21237">
        <w:rPr>
          <w:lang w:val="es-ES_tradnl"/>
        </w:rPr>
        <w:t>5.388.569</w:t>
      </w:r>
      <w:r w:rsidR="00A21237">
        <w:rPr>
          <w:lang w:val="es-ES_tradnl"/>
        </w:rPr>
        <w:t xml:space="preserve"> </w:t>
      </w:r>
      <w:r w:rsidR="00010D61" w:rsidRPr="00941FE4">
        <w:rPr>
          <w:lang w:val="es-ES_tradnl"/>
        </w:rPr>
        <w:t>anuales</w:t>
      </w:r>
      <w:r w:rsidR="00010D61">
        <w:rPr>
          <w:lang w:val="es-ES_tradnl"/>
        </w:rPr>
        <w:t xml:space="preserve">, por lo que como resultado del Programa </w:t>
      </w:r>
      <w:r w:rsidR="00A37391">
        <w:rPr>
          <w:lang w:val="es-ES_tradnl"/>
        </w:rPr>
        <w:t>deberían</w:t>
      </w:r>
      <w:r w:rsidR="00010D61">
        <w:rPr>
          <w:lang w:val="es-ES_tradnl"/>
        </w:rPr>
        <w:t xml:space="preserve"> reducirse</w:t>
      </w:r>
      <w:r w:rsidR="00010D61" w:rsidRPr="00941FE4">
        <w:rPr>
          <w:lang w:val="es-ES_tradnl"/>
        </w:rPr>
        <w:t>.</w:t>
      </w:r>
      <w:r w:rsidR="00010D61" w:rsidRPr="00941FE4">
        <w:rPr>
          <w:rStyle w:val="FootnoteReference"/>
          <w:lang w:val="es-ES_tradnl"/>
        </w:rPr>
        <w:footnoteReference w:id="8"/>
      </w:r>
    </w:p>
    <w:p w:rsidR="007F5ED8" w:rsidRDefault="007F5ED8" w:rsidP="007F5ED8">
      <w:pPr>
        <w:pStyle w:val="ListParagraph"/>
        <w:rPr>
          <w:lang w:val="es-ES_tradnl"/>
        </w:rPr>
      </w:pPr>
    </w:p>
    <w:p w:rsidR="007D326D" w:rsidRPr="007D326D" w:rsidRDefault="00941FE4" w:rsidP="00941FE4">
      <w:pPr>
        <w:pStyle w:val="ListParagraph"/>
        <w:numPr>
          <w:ilvl w:val="0"/>
          <w:numId w:val="12"/>
        </w:numPr>
        <w:ind w:left="567" w:hanging="567"/>
      </w:pPr>
      <w:r w:rsidRPr="00941FE4">
        <w:t xml:space="preserve">El segundo indicador </w:t>
      </w:r>
      <w:r w:rsidR="00A37391">
        <w:t xml:space="preserve">de la matriz de resultados </w:t>
      </w:r>
      <w:r w:rsidRPr="00941FE4">
        <w:t xml:space="preserve">seleccionado </w:t>
      </w:r>
      <w:r w:rsidR="00A37391">
        <w:t xml:space="preserve">para el análisis costo-beneficio </w:t>
      </w:r>
      <w:r w:rsidRPr="00941FE4">
        <w:t>es “</w:t>
      </w:r>
      <w:r w:rsidRPr="0096632A">
        <w:rPr>
          <w:i/>
          <w:lang w:val="es-ES_tradnl"/>
        </w:rPr>
        <w:t>Costos asociados a la proliferación  de cuen</w:t>
      </w:r>
      <w:r w:rsidR="00A37391" w:rsidRPr="0096632A">
        <w:rPr>
          <w:i/>
          <w:lang w:val="es-ES_tradnl"/>
        </w:rPr>
        <w:t>tas y mantenimiento de saldos</w:t>
      </w:r>
      <w:r w:rsidR="00A37391">
        <w:rPr>
          <w:lang w:val="es-ES_tradnl"/>
        </w:rPr>
        <w:t>”. Este indicador estaría</w:t>
      </w:r>
      <w:r w:rsidRPr="00941FE4">
        <w:rPr>
          <w:lang w:val="es-ES_tradnl"/>
        </w:rPr>
        <w:t xml:space="preserve"> refleja</w:t>
      </w:r>
      <w:r w:rsidR="00A37391">
        <w:rPr>
          <w:lang w:val="es-ES_tradnl"/>
        </w:rPr>
        <w:t>ndo</w:t>
      </w:r>
      <w:r w:rsidRPr="00941FE4">
        <w:rPr>
          <w:lang w:val="es-ES_tradnl"/>
        </w:rPr>
        <w:t xml:space="preserve"> </w:t>
      </w:r>
      <w:r w:rsidR="00A37391">
        <w:rPr>
          <w:lang w:val="es-ES_tradnl"/>
        </w:rPr>
        <w:t>los</w:t>
      </w:r>
      <w:r w:rsidRPr="00941FE4">
        <w:rPr>
          <w:lang w:val="es-ES_tradnl"/>
        </w:rPr>
        <w:t xml:space="preserve"> costos de mantenimiento que </w:t>
      </w:r>
      <w:r w:rsidR="00A37391">
        <w:rPr>
          <w:lang w:val="es-ES_tradnl"/>
        </w:rPr>
        <w:t>actualmente</w:t>
      </w:r>
      <w:r w:rsidRPr="00941FE4">
        <w:rPr>
          <w:lang w:val="es-ES_tradnl"/>
        </w:rPr>
        <w:t xml:space="preserve"> soporta</w:t>
      </w:r>
      <w:r w:rsidR="00A37391">
        <w:rPr>
          <w:lang w:val="es-ES_tradnl"/>
        </w:rPr>
        <w:t>n</w:t>
      </w:r>
      <w:r w:rsidRPr="00941FE4">
        <w:rPr>
          <w:lang w:val="es-ES_tradnl"/>
        </w:rPr>
        <w:t xml:space="preserve"> los incisos y el Tesoro como consecuencia del gran número de cuentas abiertas</w:t>
      </w:r>
      <w:r w:rsidR="009D50FC">
        <w:rPr>
          <w:lang w:val="es-ES_tradnl"/>
        </w:rPr>
        <w:t>. Por ejemplo, d</w:t>
      </w:r>
      <w:r w:rsidR="009D50FC" w:rsidRPr="00941FE4">
        <w:rPr>
          <w:lang w:val="es-ES_tradnl"/>
        </w:rPr>
        <w:t>e acuerdo con los datos disponibles, se estima que en la actualidad existen más de 600 cuentas activas</w:t>
      </w:r>
      <w:r w:rsidR="009D50FC">
        <w:rPr>
          <w:lang w:val="es-ES_tradnl"/>
        </w:rPr>
        <w:t xml:space="preserve"> para el pago de sueldos</w:t>
      </w:r>
      <w:r w:rsidR="009D50FC" w:rsidRPr="00941FE4">
        <w:rPr>
          <w:lang w:val="es-ES_tradnl"/>
        </w:rPr>
        <w:t xml:space="preserve">. </w:t>
      </w:r>
      <w:r w:rsidR="009D50FC">
        <w:rPr>
          <w:lang w:val="es-ES_tradnl"/>
        </w:rPr>
        <w:t>Estos costos</w:t>
      </w:r>
      <w:r w:rsidR="00A37391">
        <w:rPr>
          <w:lang w:val="es-ES_tradnl"/>
        </w:rPr>
        <w:t xml:space="preserve"> deberían reducir</w:t>
      </w:r>
      <w:r w:rsidR="009D50FC">
        <w:rPr>
          <w:lang w:val="es-ES_tradnl"/>
        </w:rPr>
        <w:t>se</w:t>
      </w:r>
      <w:r w:rsidR="00A37391">
        <w:rPr>
          <w:lang w:val="es-ES_tradnl"/>
        </w:rPr>
        <w:t xml:space="preserve"> drásticamente con una mejor gestión de </w:t>
      </w:r>
      <w:r w:rsidR="009D50FC">
        <w:rPr>
          <w:lang w:val="es-ES_tradnl"/>
        </w:rPr>
        <w:t xml:space="preserve">tesorería, </w:t>
      </w:r>
      <w:r w:rsidR="00A37391">
        <w:rPr>
          <w:lang w:val="es-ES_tradnl"/>
        </w:rPr>
        <w:lastRenderedPageBreak/>
        <w:t>básica</w:t>
      </w:r>
      <w:r w:rsidR="009D50FC">
        <w:rPr>
          <w:lang w:val="es-ES_tradnl"/>
        </w:rPr>
        <w:t>mente</w:t>
      </w:r>
      <w:r w:rsidR="00A37391">
        <w:rPr>
          <w:lang w:val="es-ES_tradnl"/>
        </w:rPr>
        <w:t xml:space="preserve"> </w:t>
      </w:r>
      <w:r w:rsidR="009D50FC">
        <w:rPr>
          <w:lang w:val="es-ES_tradnl"/>
        </w:rPr>
        <w:t>con</w:t>
      </w:r>
      <w:r w:rsidR="00A37391">
        <w:rPr>
          <w:lang w:val="es-ES_tradnl"/>
        </w:rPr>
        <w:t xml:space="preserve"> la implementación de una </w:t>
      </w:r>
      <w:r w:rsidR="009D50FC">
        <w:rPr>
          <w:lang w:val="es-ES_tradnl"/>
        </w:rPr>
        <w:t xml:space="preserve">cuenta única </w:t>
      </w:r>
      <w:r w:rsidR="00A37391">
        <w:rPr>
          <w:lang w:val="es-ES_tradnl"/>
        </w:rPr>
        <w:t>para toda la administración pública uruguaya</w:t>
      </w:r>
      <w:r w:rsidRPr="00941FE4">
        <w:rPr>
          <w:lang w:val="es-ES_tradnl"/>
        </w:rPr>
        <w:t xml:space="preserve">. </w:t>
      </w:r>
    </w:p>
    <w:p w:rsidR="007D326D" w:rsidRPr="007D326D" w:rsidRDefault="007D326D" w:rsidP="007D326D">
      <w:pPr>
        <w:pStyle w:val="ListParagraph"/>
        <w:rPr>
          <w:lang w:val="es-ES_tradnl"/>
        </w:rPr>
      </w:pPr>
    </w:p>
    <w:p w:rsidR="00941FE4" w:rsidRPr="00941FE4" w:rsidRDefault="00941FE4" w:rsidP="00941FE4">
      <w:pPr>
        <w:pStyle w:val="ListParagraph"/>
        <w:numPr>
          <w:ilvl w:val="0"/>
          <w:numId w:val="12"/>
        </w:numPr>
        <w:ind w:left="567" w:hanging="567"/>
      </w:pPr>
      <w:r w:rsidRPr="00941FE4">
        <w:rPr>
          <w:lang w:val="es-ES_tradnl"/>
        </w:rPr>
        <w:t xml:space="preserve">En el marco de la optimización de procesos auspiciada por el </w:t>
      </w:r>
      <w:r w:rsidR="001E720E">
        <w:rPr>
          <w:lang w:val="es-ES_tradnl"/>
        </w:rPr>
        <w:t>MEF</w:t>
      </w:r>
      <w:r w:rsidR="0029519E">
        <w:rPr>
          <w:lang w:val="es-ES_tradnl"/>
        </w:rPr>
        <w:t xml:space="preserve"> y el Programa</w:t>
      </w:r>
      <w:r w:rsidRPr="00941FE4">
        <w:rPr>
          <w:lang w:val="es-ES_tradnl"/>
        </w:rPr>
        <w:t xml:space="preserve">, la Tesorería General de la Nación (TGN) está promoviendo la identificación y posterior concentración de cuentas en una Cuenta Única Nacional (CUN), así como la canalización de los pagos a través de su bancarización. Estas acciones permitirán ahorros anuales estimados de UYU </w:t>
      </w:r>
      <w:r w:rsidR="0029519E">
        <w:rPr>
          <w:lang w:val="es-ES_tradnl"/>
        </w:rPr>
        <w:t>90</w:t>
      </w:r>
      <w:r w:rsidRPr="00941FE4">
        <w:rPr>
          <w:lang w:val="es-ES_tradnl"/>
        </w:rPr>
        <w:t xml:space="preserve"> millones en la Administración Central (USD 4,</w:t>
      </w:r>
      <w:r w:rsidR="0029519E">
        <w:rPr>
          <w:lang w:val="es-ES_tradnl"/>
        </w:rPr>
        <w:t>4</w:t>
      </w:r>
      <w:r w:rsidRPr="00941FE4">
        <w:rPr>
          <w:lang w:val="es-ES_tradnl"/>
        </w:rPr>
        <w:t xml:space="preserve"> millones)</w:t>
      </w:r>
      <w:r w:rsidR="0029519E">
        <w:rPr>
          <w:lang w:val="es-ES_tradnl"/>
        </w:rPr>
        <w:t xml:space="preserve"> sobre los UYU 100 millones que actualmente está pagando (USD 4,9 millones)</w:t>
      </w:r>
      <w:r w:rsidR="0062515A">
        <w:rPr>
          <w:lang w:val="es-ES_tradnl"/>
        </w:rPr>
        <w:t>.</w:t>
      </w:r>
      <w:r w:rsidRPr="001E720E">
        <w:rPr>
          <w:rStyle w:val="FootnoteReference"/>
          <w:lang w:val="es-ES_tradnl"/>
        </w:rPr>
        <w:footnoteReference w:id="9"/>
      </w:r>
      <w:r w:rsidRPr="00941FE4">
        <w:rPr>
          <w:lang w:val="es-ES_tradnl"/>
        </w:rPr>
        <w:t xml:space="preserve"> Estos ahorros son recurrentes.</w:t>
      </w:r>
    </w:p>
    <w:p w:rsidR="00EC6839" w:rsidRDefault="00EC6839" w:rsidP="00EC6839">
      <w:pPr>
        <w:rPr>
          <w:lang w:val="es-ES_tradnl"/>
        </w:rPr>
      </w:pPr>
    </w:p>
    <w:p w:rsidR="007F5ED8" w:rsidRDefault="007F5ED8" w:rsidP="007F5ED8">
      <w:pPr>
        <w:pStyle w:val="ListParagraph"/>
        <w:numPr>
          <w:ilvl w:val="0"/>
          <w:numId w:val="12"/>
        </w:numPr>
        <w:ind w:left="567" w:hanging="567"/>
        <w:rPr>
          <w:lang w:val="es-ES_tradnl"/>
        </w:rPr>
      </w:pPr>
      <w:r>
        <w:rPr>
          <w:lang w:val="es-ES_tradnl"/>
        </w:rPr>
        <w:t xml:space="preserve">A efectos del análisis económico, este indicador </w:t>
      </w:r>
      <w:r w:rsidRPr="007F5ED8">
        <w:t>queda</w:t>
      </w:r>
      <w:r>
        <w:rPr>
          <w:lang w:val="es-ES_tradnl"/>
        </w:rPr>
        <w:t xml:space="preserve"> expresado como sigue: “</w:t>
      </w:r>
      <w:r w:rsidRPr="007F5ED8">
        <w:rPr>
          <w:lang w:val="es-ES_tradnl"/>
        </w:rPr>
        <w:t xml:space="preserve">Ahorro generado por la reducción de costos </w:t>
      </w:r>
      <w:r>
        <w:rPr>
          <w:lang w:val="es-ES_tradnl"/>
        </w:rPr>
        <w:t>de</w:t>
      </w:r>
      <w:r w:rsidRPr="007F5ED8">
        <w:rPr>
          <w:lang w:val="es-ES_tradnl"/>
        </w:rPr>
        <w:t xml:space="preserve"> mantenimiento de cuentas y saldos</w:t>
      </w:r>
      <w:r>
        <w:rPr>
          <w:lang w:val="es-ES_tradnl"/>
        </w:rPr>
        <w:t>”</w:t>
      </w:r>
      <w:r w:rsidR="00372D79">
        <w:rPr>
          <w:lang w:val="es-ES_tradnl"/>
        </w:rPr>
        <w:t xml:space="preserve"> como resultado de la implementación de una cuenta única de tesorería y una mejor gestión </w:t>
      </w:r>
      <w:r w:rsidR="0029519E">
        <w:rPr>
          <w:lang w:val="es-ES_tradnl"/>
        </w:rPr>
        <w:t>de los saldos</w:t>
      </w:r>
      <w:r>
        <w:rPr>
          <w:lang w:val="es-ES_tradnl"/>
        </w:rPr>
        <w:t>.</w:t>
      </w:r>
    </w:p>
    <w:p w:rsidR="00BA7828" w:rsidRDefault="00BA7828" w:rsidP="004E2D57"/>
    <w:p w:rsidR="000B275B" w:rsidRDefault="000C7499" w:rsidP="00310721">
      <w:pPr>
        <w:pStyle w:val="Heading2"/>
      </w:pPr>
      <w:bookmarkStart w:id="6" w:name="_Toc373498438"/>
      <w:r>
        <w:t>Tipo de análisis</w:t>
      </w:r>
      <w:r w:rsidR="001A0694">
        <w:t xml:space="preserve"> aplicado para la valoración económica</w:t>
      </w:r>
      <w:bookmarkEnd w:id="6"/>
    </w:p>
    <w:p w:rsidR="00921E6B" w:rsidRDefault="004E6F4E" w:rsidP="005012F5">
      <w:pPr>
        <w:pStyle w:val="ListParagraph"/>
        <w:numPr>
          <w:ilvl w:val="0"/>
          <w:numId w:val="12"/>
        </w:numPr>
        <w:ind w:left="567" w:hanging="567"/>
      </w:pPr>
      <w:r>
        <w:t xml:space="preserve">Dado que los impactos o beneficios que se deducen de la matriz de resultados </w:t>
      </w:r>
      <w:r w:rsidR="00060105">
        <w:t>están expresados en valores monetarios</w:t>
      </w:r>
      <w:r>
        <w:t>, p</w:t>
      </w:r>
      <w:r w:rsidR="0002292D" w:rsidRPr="00985AF9">
        <w:t>ara la valoración económica del programa se ha recurrido al análisis costo-beneficio</w:t>
      </w:r>
      <w:r w:rsidR="00DB37E3">
        <w:t xml:space="preserve"> (ACB)</w:t>
      </w:r>
      <w:r>
        <w:t>.</w:t>
      </w:r>
      <w:r w:rsidR="0002292D" w:rsidRPr="00985AF9">
        <w:t xml:space="preserve"> Este método compara el valor de los costos (inversiones y otros gastos</w:t>
      </w:r>
      <w:r w:rsidR="000C7499">
        <w:t xml:space="preserve"> vinculados</w:t>
      </w:r>
      <w:r w:rsidR="0002292D" w:rsidRPr="00985AF9">
        <w:t xml:space="preserve">) con el valor presente neto (VPN) de los flujos de los beneficios estimados por el programa. Si la diferencia de los beneficios descontados y los costos es positiva, entonces el programa tiene viabilidad económica y es eficiente. Por el contrario, es ineficiente en el caso de que la diferencia sea negativa. </w:t>
      </w:r>
    </w:p>
    <w:p w:rsidR="00921E6B" w:rsidRDefault="00921E6B" w:rsidP="00921E6B">
      <w:pPr>
        <w:pStyle w:val="ListParagraph"/>
        <w:ind w:left="567"/>
      </w:pPr>
    </w:p>
    <w:p w:rsidR="0002292D" w:rsidRPr="0002292D" w:rsidRDefault="0002292D" w:rsidP="005012F5">
      <w:pPr>
        <w:pStyle w:val="ListParagraph"/>
        <w:numPr>
          <w:ilvl w:val="0"/>
          <w:numId w:val="12"/>
        </w:numPr>
        <w:ind w:left="567" w:hanging="567"/>
      </w:pPr>
      <w:r w:rsidRPr="0002292D">
        <w:t xml:space="preserve">Sin embargo, el hecho de que la opción evaluada sea </w:t>
      </w:r>
      <w:r w:rsidRPr="00952717">
        <w:rPr>
          <w:i/>
        </w:rPr>
        <w:t>per se</w:t>
      </w:r>
      <w:r w:rsidRPr="0002292D">
        <w:t xml:space="preserve"> eficiente no cabe concluir que sea necesariamente la mejor y, por tanto, la elegible. Pueden existir otras opciones que deberían ser sometidas al mismo procedimiento de evaluación que la opción inicialmente considerada. Sólo bajo estas condiciones de comparación de un amplio rango de opciones debe operar el análisis costo-beneficio.</w:t>
      </w:r>
    </w:p>
    <w:p w:rsidR="0002292D" w:rsidRDefault="0002292D" w:rsidP="0002292D">
      <w:pPr>
        <w:pStyle w:val="ListParagraph"/>
        <w:rPr>
          <w:sz w:val="24"/>
          <w:szCs w:val="24"/>
        </w:rPr>
      </w:pPr>
    </w:p>
    <w:p w:rsidR="0002292D" w:rsidRPr="00657757" w:rsidRDefault="0002292D" w:rsidP="005012F5">
      <w:pPr>
        <w:pStyle w:val="ListParagraph"/>
        <w:numPr>
          <w:ilvl w:val="0"/>
          <w:numId w:val="12"/>
        </w:numPr>
        <w:ind w:left="567" w:hanging="567"/>
      </w:pPr>
      <w:r w:rsidRPr="00657757">
        <w:t xml:space="preserve">Estas consideraciones llevan a establecer las siguientes reglas decisionales: (i) nunca debe ser admitida una opción </w:t>
      </w:r>
      <w:r w:rsidR="00843C83" w:rsidRPr="00657757">
        <w:t>cuando el valor presente neto de los beneficios (VPB) menos el valor presente de los costos (VPC)</w:t>
      </w:r>
      <w:r w:rsidRPr="00657757">
        <w:t xml:space="preserve"> sea negativo</w:t>
      </w:r>
      <w:r w:rsidR="00281C0D" w:rsidRPr="00657757">
        <w:t xml:space="preserve"> (NPV =</w:t>
      </w:r>
      <w:r w:rsidR="00843C83" w:rsidRPr="00657757">
        <w:t xml:space="preserve"> NPB – NPC</w:t>
      </w:r>
      <w:r w:rsidR="00281C0D" w:rsidRPr="00657757">
        <w:t>&gt; 0</w:t>
      </w:r>
      <w:r w:rsidR="00843C83" w:rsidRPr="00657757">
        <w:t>)</w:t>
      </w:r>
      <w:r w:rsidRPr="00657757">
        <w:t>; (ii) en el caso de restricciones presupuestarias, seleccionar el subconjunto de opciones que maximizan el VPN; y (iii) en el caso de opciones mutuamente excluyentes, elegir la que maximice el VPN.</w:t>
      </w:r>
      <w:r w:rsidR="00843C83" w:rsidRPr="00657757">
        <w:rPr>
          <w:rStyle w:val="FootnoteReference"/>
        </w:rPr>
        <w:footnoteReference w:id="10"/>
      </w:r>
    </w:p>
    <w:p w:rsidR="0002292D" w:rsidRDefault="0002292D" w:rsidP="00D85F7B">
      <w:pPr>
        <w:pStyle w:val="ListParagraph"/>
        <w:ind w:left="360"/>
      </w:pPr>
    </w:p>
    <w:p w:rsidR="001A0694" w:rsidRDefault="001A0694" w:rsidP="00D85F7B">
      <w:pPr>
        <w:pStyle w:val="ListParagraph"/>
        <w:ind w:left="360"/>
      </w:pPr>
    </w:p>
    <w:p w:rsidR="00D900C7" w:rsidRDefault="00D900C7" w:rsidP="00310721">
      <w:pPr>
        <w:pStyle w:val="Heading1"/>
        <w:sectPr w:rsidR="00D900C7" w:rsidSect="0096632A">
          <w:footerReference w:type="default" r:id="rId11"/>
          <w:pgSz w:w="12240" w:h="15840" w:code="1"/>
          <w:pgMar w:top="1418" w:right="1325" w:bottom="1418" w:left="1418" w:header="709" w:footer="856" w:gutter="0"/>
          <w:pgNumType w:start="1"/>
          <w:cols w:space="708"/>
          <w:docGrid w:linePitch="360"/>
        </w:sectPr>
      </w:pPr>
    </w:p>
    <w:p w:rsidR="0002292D" w:rsidRPr="00310721" w:rsidRDefault="00C94D54" w:rsidP="00310721">
      <w:pPr>
        <w:pStyle w:val="Heading1"/>
      </w:pPr>
      <w:bookmarkStart w:id="7" w:name="_Toc373498439"/>
      <w:r w:rsidRPr="00310721">
        <w:lastRenderedPageBreak/>
        <w:t>Supuestos y metodología</w:t>
      </w:r>
      <w:bookmarkEnd w:id="7"/>
    </w:p>
    <w:p w:rsidR="00281C0D" w:rsidRPr="00310721" w:rsidRDefault="00281C0D" w:rsidP="00310721">
      <w:pPr>
        <w:pStyle w:val="Heading2"/>
      </w:pPr>
      <w:bookmarkStart w:id="8" w:name="_Toc373498440"/>
      <w:r w:rsidRPr="00310721">
        <w:t>Alternativas consideradas</w:t>
      </w:r>
      <w:bookmarkEnd w:id="8"/>
    </w:p>
    <w:p w:rsidR="003B72B1" w:rsidRDefault="004E2D57" w:rsidP="005012F5">
      <w:pPr>
        <w:pStyle w:val="ListParagraph"/>
        <w:numPr>
          <w:ilvl w:val="0"/>
          <w:numId w:val="12"/>
        </w:numPr>
        <w:ind w:left="567" w:hanging="567"/>
      </w:pPr>
      <w:r>
        <w:t xml:space="preserve">La decisión del MEF de proceder a una mejora de los procesos de gestión financiera y presupuestaria, incluyendo la instalación de un nuevo sistema </w:t>
      </w:r>
      <w:r w:rsidR="0095521E">
        <w:t>informático de información y administración financiera</w:t>
      </w:r>
      <w:r w:rsidR="003B72B1">
        <w:t>, es el resultado de un largo proceso de reflexión estratégica que comenzó en el año 2008</w:t>
      </w:r>
      <w:r w:rsidR="00BC22F6">
        <w:t xml:space="preserve"> y que culmina en el año 2012</w:t>
      </w:r>
      <w:r w:rsidR="00EB4220">
        <w:t>, de acuerdo</w:t>
      </w:r>
      <w:r w:rsidR="00BC22F6">
        <w:t xml:space="preserve"> con </w:t>
      </w:r>
      <w:r w:rsidR="00EB4220">
        <w:t xml:space="preserve">la </w:t>
      </w:r>
      <w:r w:rsidR="00EB4220" w:rsidRPr="000C1629">
        <w:t>Propuesta para el Desarrollo de la Operación (POD)</w:t>
      </w:r>
      <w:r w:rsidR="003B72B1">
        <w:t>.</w:t>
      </w:r>
    </w:p>
    <w:p w:rsidR="003B72B1" w:rsidRDefault="003B72B1" w:rsidP="003B72B1">
      <w:pPr>
        <w:pStyle w:val="ListParagraph"/>
        <w:ind w:left="567"/>
      </w:pPr>
    </w:p>
    <w:p w:rsidR="001F4D8B" w:rsidRDefault="0095521E" w:rsidP="005012F5">
      <w:pPr>
        <w:pStyle w:val="ListParagraph"/>
        <w:numPr>
          <w:ilvl w:val="0"/>
          <w:numId w:val="12"/>
        </w:numPr>
        <w:ind w:left="567" w:hanging="567"/>
      </w:pPr>
      <w:r>
        <w:t xml:space="preserve">Existen varias razones para explicar </w:t>
      </w:r>
      <w:r w:rsidR="003B72B1">
        <w:t>la decisión de adoptar esta estrategia y no tomar en consideración otras eventuales opciones, como podría ser tratar de mejorar de forma gradual el sistema</w:t>
      </w:r>
      <w:r w:rsidR="00BC22F6">
        <w:t xml:space="preserve"> actualmente en funcionamiento</w:t>
      </w:r>
      <w:r w:rsidR="008877D4">
        <w:t xml:space="preserve"> (SIIF1)</w:t>
      </w:r>
      <w:r w:rsidR="003B72B1">
        <w:t>. Para visualizar estas razones, conviene</w:t>
      </w:r>
      <w:r w:rsidR="00BC22F6">
        <w:t xml:space="preserve"> partir de la situación en la que se encontraba la gestión presupuestaria y financiera en Uruguay</w:t>
      </w:r>
      <w:r w:rsidR="003B72B1">
        <w:t>.</w:t>
      </w:r>
      <w:r w:rsidR="00BC22F6">
        <w:rPr>
          <w:rStyle w:val="FootnoteReference"/>
          <w:rFonts w:cs="Calibri"/>
        </w:rPr>
        <w:footnoteReference w:id="11"/>
      </w:r>
    </w:p>
    <w:p w:rsidR="003B72B1" w:rsidRDefault="003B72B1" w:rsidP="003B72B1"/>
    <w:p w:rsidR="008422BB" w:rsidRDefault="003B72B1" w:rsidP="005012F5">
      <w:pPr>
        <w:pStyle w:val="ListParagraph"/>
        <w:numPr>
          <w:ilvl w:val="0"/>
          <w:numId w:val="12"/>
        </w:numPr>
        <w:ind w:left="567" w:hanging="567"/>
      </w:pPr>
      <w:r>
        <w:t xml:space="preserve">El problema central radica en la elevada ineficiencia de los procesos de gestión financiera y gestión contable asociados al presupuesto del sector público reflejado en: (i) dificultades para tomar adecuadamente decisiones en el proceso de asignación de recursos en la etapa de formulación presupuestaria y realizar reasignaciones en la etapa de ejecución presupuestaria, ante la carencia de información precisa para apoyar los procesos decisionales; (ii) ineficiencias operacionales a nivel de ministerios y agencias, expresadas en forma de demoras excesivas para tener información oportuna y, en muchos casos, con riesgo de baja calidad de la información sobre los parámetros básicos de la gestión del presupuesto; (iii) deficiente capacidad de monitoreo de la ejecución presupuestal y ausencia de </w:t>
      </w:r>
      <w:r w:rsidR="00EB4220">
        <w:t xml:space="preserve">estados financieros </w:t>
      </w:r>
      <w:r>
        <w:t xml:space="preserve">generados en forma oportuna, en base a información relevante y confiable; y (iv) dificultades para evaluar la ejecución presupuestaria, la calidad del gasto y el proceso de rendición de cuentas. </w:t>
      </w:r>
    </w:p>
    <w:p w:rsidR="008422BB" w:rsidRDefault="008422BB" w:rsidP="008422BB">
      <w:pPr>
        <w:pStyle w:val="ListParagraph"/>
      </w:pPr>
    </w:p>
    <w:p w:rsidR="003B72B1" w:rsidRDefault="003B72B1" w:rsidP="005012F5">
      <w:pPr>
        <w:pStyle w:val="ListParagraph"/>
        <w:numPr>
          <w:ilvl w:val="0"/>
          <w:numId w:val="12"/>
        </w:numPr>
        <w:ind w:left="567" w:hanging="567"/>
      </w:pPr>
      <w:r>
        <w:t xml:space="preserve">Los principales factores que contribuyen a explicar estos problemas se pueden agrupar en: </w:t>
      </w:r>
    </w:p>
    <w:p w:rsidR="00BC22F6" w:rsidRDefault="00BC22F6" w:rsidP="00BC22F6"/>
    <w:p w:rsidR="003B72B1" w:rsidRDefault="003B72B1" w:rsidP="005012F5">
      <w:pPr>
        <w:pStyle w:val="ListParagraph"/>
        <w:numPr>
          <w:ilvl w:val="0"/>
          <w:numId w:val="19"/>
        </w:numPr>
      </w:pPr>
      <w:r w:rsidRPr="00BC22F6">
        <w:rPr>
          <w:i/>
        </w:rPr>
        <w:t>Deficiencias del proceso presupuestario</w:t>
      </w:r>
      <w:r w:rsidR="00BC22F6">
        <w:t xml:space="preserve">. </w:t>
      </w:r>
      <w:r>
        <w:t xml:space="preserve">Las principales debilidades observadas son: (i) incumplimiento del principio básico de que toda transacción debe registrarse sola una vez y en el lugar donde se produce; (ii) ausencia de criterios unificados y protocolizados entre los contadores/interventores en el proceso de intervención del gasto; (iii) falta de especificaciones para facilitar el nexo entre el sistema de expediente electrónico en las </w:t>
      </w:r>
      <w:r w:rsidR="008877D4">
        <w:t xml:space="preserve">Unidades Ejecutoras en los Ministerios </w:t>
      </w:r>
      <w:r>
        <w:t>y la CGN; (iv) fragmentación del ciclo de gestión presupuestaria, incluyendo los aplicativos de soporte utilizados; (v) ausencia de mecanismos establecidos de evaluación del gasto; (vi) registro fragmentado de transacciones y sin respaldo en el SIIF; y (vii) ausencia de criterios comunes para la gestión presupuestaria, tanto en los ministerios y unidades ejecutoras, como en los servicios centrales del MEF.</w:t>
      </w:r>
    </w:p>
    <w:p w:rsidR="00BC22F6" w:rsidRDefault="00BC22F6" w:rsidP="00BC22F6"/>
    <w:p w:rsidR="003B72B1" w:rsidRDefault="003B72B1" w:rsidP="009B7F87">
      <w:pPr>
        <w:pStyle w:val="ListParagraph"/>
        <w:numPr>
          <w:ilvl w:val="0"/>
          <w:numId w:val="19"/>
        </w:numPr>
      </w:pPr>
      <w:r w:rsidRPr="002707BB">
        <w:rPr>
          <w:i/>
        </w:rPr>
        <w:t>Debilidades del actual sistema SIIF</w:t>
      </w:r>
      <w:r w:rsidR="008877D4" w:rsidRPr="002707BB">
        <w:rPr>
          <w:i/>
        </w:rPr>
        <w:t>1</w:t>
      </w:r>
      <w:r>
        <w:t xml:space="preserve">. Pueden destacarse las siguientes debilidades: (i) ausencia de un modelo conceptual que defina en forma precisa el alcance, las principales funcionalidades en forma integrada y cobertura del SIIF; (ii) orientación exclusiva a registrar las transacciones financieras, en menoscabo del </w:t>
      </w:r>
      <w:r w:rsidRPr="002707BB">
        <w:rPr>
          <w:i/>
        </w:rPr>
        <w:t>seguimiento</w:t>
      </w:r>
      <w:r>
        <w:t xml:space="preserve"> de las transacciones de producción física de bienes y servicios (no hay registro de inventarios, inmuebles, etc.); (iii) presencia de una arquitectura tecnológica base </w:t>
      </w:r>
      <w:r w:rsidR="00535CA5">
        <w:t xml:space="preserve">obsoleta y </w:t>
      </w:r>
      <w:r>
        <w:t>no consolidada, que no presenta elementos comunes para sus distintos módulos; (iv) excesiva fragmentación de los módulos del SIIF</w:t>
      </w:r>
      <w:r w:rsidR="008877D4">
        <w:t>1</w:t>
      </w:r>
      <w:r>
        <w:t xml:space="preserve">, con una visión de funciones y no de procesos; (v) debilidades en su capacidad de generación de reportes </w:t>
      </w:r>
      <w:r>
        <w:lastRenderedPageBreak/>
        <w:t>(imposibilidad de obtener reportes a una fecha distinta a la actual); (vi) ausencia de procesos y mecanismos necesarios para la integración financiero - contable en forma automática; (vii) disociación entre el Sistema de Ejecución del Gasto (SEG) con el Sistema de Evaluación (SEV) y el Sistema de Inversión Pública (SISI); y (viii) debilidades en  la polític</w:t>
      </w:r>
      <w:r w:rsidR="008877D4">
        <w:t xml:space="preserve">a integral de control interno. </w:t>
      </w:r>
      <w:r>
        <w:t xml:space="preserve">Además, en el </w:t>
      </w:r>
      <w:r w:rsidR="008877D4">
        <w:t xml:space="preserve">actual </w:t>
      </w:r>
      <w:r>
        <w:t xml:space="preserve">SIIF cabe identificar problemas originados por deficiencias en el funcionamiento del propio sistema de información: (i) inconsistencias en las cifras presupuestarias del Sistema de Información </w:t>
      </w:r>
      <w:r w:rsidR="00DF788C">
        <w:t xml:space="preserve">Presupuestaria (SIP) y el SEG; </w:t>
      </w:r>
      <w:r>
        <w:t>(ii) doble digitación de la misma información en distintos módulos del sistema; (iii) información poco oportuna para la toma de decisiones a nivel micro y macro; (iv) dificultades para exportar la información a otros soportes, habitualmente mediante extracciones manuales de los datos de las bases de datos; (v) Sistema de Información Contable (SIC) no se desarrolló por completo, por lo tanto no es posible emitir balance y generar los informes financieros y contables en forma automática desde el sistema; (vi) registros de ingresos y de pago de la deuda (Banco Central) con bajo nivel de integración al SIIF; y (vii) bajo nivel de integración con sistemas de apoyo, como por ejemplo el Sistema Integrado de Compras del Estado (SICE).</w:t>
      </w:r>
    </w:p>
    <w:p w:rsidR="008877D4" w:rsidRDefault="008877D4" w:rsidP="008877D4">
      <w:pPr>
        <w:pStyle w:val="ListParagraph"/>
        <w:ind w:left="927"/>
      </w:pPr>
    </w:p>
    <w:p w:rsidR="003B72B1" w:rsidRDefault="003B72B1" w:rsidP="009B7F87">
      <w:pPr>
        <w:pStyle w:val="ListParagraph"/>
        <w:numPr>
          <w:ilvl w:val="0"/>
          <w:numId w:val="19"/>
        </w:numPr>
      </w:pPr>
      <w:r w:rsidRPr="002707BB">
        <w:rPr>
          <w:i/>
        </w:rPr>
        <w:t>Debilidades institucionales para garantizar la sostenibilidad del SIIF</w:t>
      </w:r>
      <w:r>
        <w:t>. La decisión adoptada por l</w:t>
      </w:r>
      <w:r w:rsidR="008877D4">
        <w:t>as autoridades del MEF requiere</w:t>
      </w:r>
      <w:r>
        <w:t xml:space="preserve"> de capacidades institucionales con un alto grado de especialización técnica y de absorción de innovaciones tecnológicas que aseguren la sostenibilidad del proyecto. En la actualidad, se requiere adoptar nuevas capacidades técnicas en las instituciones responsables de la gestión presupuestaria del Uruguay, para los cual deberá enfrentar las siguientes deficiencias: (i) procesos fragmentados de trabajo, tanto en cuanto a los criterios conceptuales como en los módulos actuales del SIIF (por ejemplo, SIP—SEG, SEG—SDG, SIP—SIR ); (ii) insuficiente capacidad de planificación e innovación tecnológica en los servicios responsables de la gestión del sistema, si bien en los últimos años se introdujeron nuevas herramientas (</w:t>
      </w:r>
      <w:r w:rsidRPr="002707BB">
        <w:rPr>
          <w:i/>
        </w:rPr>
        <w:t>business</w:t>
      </w:r>
      <w:r w:rsidR="00EB4220" w:rsidRPr="002707BB">
        <w:rPr>
          <w:i/>
        </w:rPr>
        <w:t xml:space="preserve"> </w:t>
      </w:r>
      <w:r w:rsidRPr="002707BB">
        <w:rPr>
          <w:i/>
        </w:rPr>
        <w:t>intelligence</w:t>
      </w:r>
      <w:r>
        <w:t>) persiste la ausencia de una planificación a mediano y largo plazo; (iii) insuficiente soporte a usuarios para afrontar nuevos retos tecnológicos; y (iv) procedimientos desactualizados, incluyendo manuales escasamente adaptados a procesos claramente identificados.</w:t>
      </w:r>
    </w:p>
    <w:p w:rsidR="003B72B1" w:rsidRDefault="003B72B1" w:rsidP="003B72B1"/>
    <w:p w:rsidR="008422BB" w:rsidRPr="008422BB" w:rsidRDefault="00535CA5" w:rsidP="005012F5">
      <w:pPr>
        <w:pStyle w:val="ListParagraph"/>
        <w:numPr>
          <w:ilvl w:val="0"/>
          <w:numId w:val="12"/>
        </w:numPr>
        <w:ind w:left="567" w:hanging="567"/>
      </w:pPr>
      <w:r>
        <w:t xml:space="preserve">Ante este panorama, en el año 2012 el MEF toma la iniciativa de definir un nuevo marco conceptual </w:t>
      </w:r>
      <w:r w:rsidR="008422BB">
        <w:t>para el diseño de</w:t>
      </w:r>
      <w:r>
        <w:t xml:space="preserve"> un nuevo s</w:t>
      </w:r>
      <w:r w:rsidR="00E86DEA">
        <w:t>istema de información (denominado actualmente SIIF2)</w:t>
      </w:r>
      <w:r w:rsidR="008422BB">
        <w:t xml:space="preserve"> como paso previo para una eventual implementación de una nueva herramienta de gestión presupuestaria.</w:t>
      </w:r>
      <w:r w:rsidR="00E86DEA">
        <w:rPr>
          <w:rStyle w:val="FootnoteReference"/>
          <w:rFonts w:cs="Calibri"/>
        </w:rPr>
        <w:footnoteReference w:id="12"/>
      </w:r>
      <w:r w:rsidR="00E86DEA">
        <w:t xml:space="preserve"> E</w:t>
      </w:r>
      <w:r w:rsidR="00E86DEA" w:rsidRPr="00E86DEA">
        <w:rPr>
          <w:rFonts w:cs="Calibri"/>
        </w:rPr>
        <w:t xml:space="preserve">ste </w:t>
      </w:r>
      <w:r w:rsidR="00E86DEA">
        <w:rPr>
          <w:rFonts w:cs="Calibri"/>
        </w:rPr>
        <w:t>modelo</w:t>
      </w:r>
      <w:r w:rsidR="00EB4220">
        <w:rPr>
          <w:rFonts w:cs="Calibri"/>
        </w:rPr>
        <w:t xml:space="preserve"> </w:t>
      </w:r>
      <w:r w:rsidR="008422BB">
        <w:rPr>
          <w:rFonts w:cs="Calibri"/>
        </w:rPr>
        <w:t xml:space="preserve">conceptual </w:t>
      </w:r>
      <w:r w:rsidR="00E86DEA">
        <w:rPr>
          <w:rFonts w:cs="Calibri"/>
        </w:rPr>
        <w:t xml:space="preserve">concluye, entre otros aspectos, en la recomendación de modificar radicalmente los actuales procesos y en sustituir </w:t>
      </w:r>
      <w:r w:rsidR="008422BB">
        <w:rPr>
          <w:rFonts w:cs="Calibri"/>
        </w:rPr>
        <w:t xml:space="preserve">por completo el SIIF1 actualmente en uso, dado que cualquiera de los eventuales escenarios alternativos sin impracticables por la obsolescencia tecnológica del actual sistema SIIF. </w:t>
      </w:r>
    </w:p>
    <w:p w:rsidR="008422BB" w:rsidRPr="008422BB" w:rsidRDefault="008422BB" w:rsidP="008422BB">
      <w:pPr>
        <w:pStyle w:val="ListParagraph"/>
        <w:ind w:left="567"/>
      </w:pPr>
    </w:p>
    <w:p w:rsidR="001F4D8B" w:rsidRDefault="00E86DEA" w:rsidP="005012F5">
      <w:pPr>
        <w:pStyle w:val="ListParagraph"/>
        <w:numPr>
          <w:ilvl w:val="0"/>
          <w:numId w:val="12"/>
        </w:numPr>
        <w:ind w:left="567" w:hanging="567"/>
      </w:pPr>
      <w:r w:rsidRPr="008422BB">
        <w:rPr>
          <w:rFonts w:cs="Calibri"/>
        </w:rPr>
        <w:t>Con este bagaje de información, el MEF y la CGN toman la decisión de emprender en los próximos años la modernización del sistema de administración financiera</w:t>
      </w:r>
      <w:r w:rsidR="008422BB" w:rsidRPr="008422BB">
        <w:rPr>
          <w:rFonts w:cs="Calibri"/>
        </w:rPr>
        <w:t xml:space="preserve"> con la implementación de un nuevo sistema (SIIF2)</w:t>
      </w:r>
      <w:r w:rsidRPr="008422BB">
        <w:rPr>
          <w:rFonts w:cs="Calibri"/>
        </w:rPr>
        <w:t>, incluyendo la reingeniería del proceso financiero y contable, así como el fortalecimiento de las capacidades técnicas del MEF.</w:t>
      </w:r>
      <w:r w:rsidR="00EB4220">
        <w:rPr>
          <w:rFonts w:cs="Calibri"/>
        </w:rPr>
        <w:t xml:space="preserve"> </w:t>
      </w:r>
      <w:r>
        <w:t xml:space="preserve">Por lo tanto, </w:t>
      </w:r>
      <w:r w:rsidR="00481143">
        <w:t>las razones de decisión política determinan que el análisis costo-beneficio no considere</w:t>
      </w:r>
      <w:r w:rsidR="00EB4220">
        <w:t xml:space="preserve"> </w:t>
      </w:r>
      <w:r w:rsidR="00481143">
        <w:t>ninguna opción alternativa</w:t>
      </w:r>
      <w:r>
        <w:t>.</w:t>
      </w:r>
    </w:p>
    <w:p w:rsidR="00E86DEA" w:rsidRDefault="00E86DEA" w:rsidP="00481143"/>
    <w:p w:rsidR="007D4952" w:rsidRDefault="007D4952" w:rsidP="003008A8"/>
    <w:p w:rsidR="007D4952" w:rsidRDefault="001E2E96" w:rsidP="00310721">
      <w:pPr>
        <w:pStyle w:val="Heading2"/>
      </w:pPr>
      <w:bookmarkStart w:id="9" w:name="_Toc373498441"/>
      <w:r>
        <w:t>Supuestos</w:t>
      </w:r>
      <w:bookmarkEnd w:id="9"/>
    </w:p>
    <w:p w:rsidR="007D4952" w:rsidRPr="004B2440" w:rsidRDefault="004B2440" w:rsidP="005012F5">
      <w:pPr>
        <w:pStyle w:val="ListParagraph"/>
        <w:numPr>
          <w:ilvl w:val="0"/>
          <w:numId w:val="15"/>
        </w:numPr>
        <w:rPr>
          <w:b/>
        </w:rPr>
      </w:pPr>
      <w:r w:rsidRPr="004B2440">
        <w:rPr>
          <w:b/>
        </w:rPr>
        <w:t>Duración del proyecto y sus efectos</w:t>
      </w:r>
    </w:p>
    <w:p w:rsidR="001E2E96" w:rsidRDefault="001E2E96" w:rsidP="003008A8"/>
    <w:p w:rsidR="0095521E" w:rsidRDefault="004B2440" w:rsidP="005012F5">
      <w:pPr>
        <w:pStyle w:val="ListParagraph"/>
        <w:numPr>
          <w:ilvl w:val="0"/>
          <w:numId w:val="12"/>
        </w:numPr>
        <w:ind w:left="567" w:hanging="567"/>
      </w:pPr>
      <w:r>
        <w:lastRenderedPageBreak/>
        <w:t xml:space="preserve">Está previsto que el proyecto </w:t>
      </w:r>
      <w:r w:rsidR="001B78EB">
        <w:t>tenga una duración de</w:t>
      </w:r>
      <w:r>
        <w:t xml:space="preserve"> cinco años, comenzando </w:t>
      </w:r>
      <w:r w:rsidR="001B78EB">
        <w:t>los desembolsos y las primeras actividades muy probablemente a mediados del</w:t>
      </w:r>
      <w:r>
        <w:t xml:space="preserve"> año </w:t>
      </w:r>
      <w:r w:rsidR="001B78EB">
        <w:t>2014</w:t>
      </w:r>
      <w:r>
        <w:t xml:space="preserve">. </w:t>
      </w:r>
    </w:p>
    <w:p w:rsidR="0095521E" w:rsidRDefault="0095521E" w:rsidP="0095521E">
      <w:pPr>
        <w:pStyle w:val="ListParagraph"/>
        <w:ind w:left="567"/>
      </w:pPr>
    </w:p>
    <w:p w:rsidR="001E2E96" w:rsidRDefault="004B2440" w:rsidP="005012F5">
      <w:pPr>
        <w:pStyle w:val="ListParagraph"/>
        <w:numPr>
          <w:ilvl w:val="0"/>
          <w:numId w:val="12"/>
        </w:numPr>
        <w:ind w:left="567" w:hanging="567"/>
      </w:pPr>
      <w:r>
        <w:t xml:space="preserve">A los efectos del análisis costo-beneficio, se ha supuesto que </w:t>
      </w:r>
      <w:r w:rsidR="00134CA1">
        <w:t>los efectos directos d</w:t>
      </w:r>
      <w:r>
        <w:t>el proyecto se prolonga</w:t>
      </w:r>
      <w:r w:rsidR="00134CA1">
        <w:t>n</w:t>
      </w:r>
      <w:r w:rsidR="00CC2DF6">
        <w:t xml:space="preserve"> </w:t>
      </w:r>
      <w:r w:rsidR="00EB4220">
        <w:t xml:space="preserve">durante </w:t>
      </w:r>
      <w:r w:rsidR="001B78EB">
        <w:t>diez años más</w:t>
      </w:r>
      <w:r w:rsidR="0068003F">
        <w:t>, una vez finalizadas</w:t>
      </w:r>
      <w:r w:rsidR="00EB4220">
        <w:t xml:space="preserve"> </w:t>
      </w:r>
      <w:r w:rsidR="0068003F">
        <w:t>las actividades. De esta forma se pretenden</w:t>
      </w:r>
      <w:r>
        <w:t xml:space="preserve"> </w:t>
      </w:r>
      <w:r w:rsidR="0068003F">
        <w:t>incluir</w:t>
      </w:r>
      <w:r>
        <w:t xml:space="preserve"> los comportamientos inerciales que puedan generarse, tanto en los proyectos financiados </w:t>
      </w:r>
      <w:r w:rsidR="001B78EB">
        <w:t xml:space="preserve">con los recursos del préstamo del </w:t>
      </w:r>
      <w:r>
        <w:t xml:space="preserve">BID como </w:t>
      </w:r>
      <w:r w:rsidR="001B78EB">
        <w:t>con los recursos propios de la institución responsable del SIIF2</w:t>
      </w:r>
      <w:r>
        <w:t>.</w:t>
      </w:r>
    </w:p>
    <w:p w:rsidR="004B2440" w:rsidRDefault="004B2440" w:rsidP="004B2440"/>
    <w:p w:rsidR="004B2440" w:rsidRPr="009030F8" w:rsidRDefault="009030F8" w:rsidP="00024096">
      <w:pPr>
        <w:pStyle w:val="ListParagraph"/>
        <w:keepNext/>
        <w:numPr>
          <w:ilvl w:val="0"/>
          <w:numId w:val="15"/>
        </w:numPr>
        <w:rPr>
          <w:b/>
        </w:rPr>
      </w:pPr>
      <w:r w:rsidRPr="009030F8">
        <w:rPr>
          <w:b/>
        </w:rPr>
        <w:t>Estabilidad institucional</w:t>
      </w:r>
    </w:p>
    <w:p w:rsidR="004B2440" w:rsidRDefault="004B2440" w:rsidP="00024096">
      <w:pPr>
        <w:keepNext/>
      </w:pPr>
    </w:p>
    <w:p w:rsidR="00CE378E" w:rsidRDefault="009030F8" w:rsidP="00024096">
      <w:pPr>
        <w:pStyle w:val="ListParagraph"/>
        <w:keepNext/>
        <w:numPr>
          <w:ilvl w:val="0"/>
          <w:numId w:val="12"/>
        </w:numPr>
        <w:ind w:left="567" w:hanging="567"/>
      </w:pPr>
      <w:r>
        <w:t xml:space="preserve">Dado el periodo tan largo de tiempo considerado para el análisis, es especialmente importante que no se produzcan modificaciones en el contexto institucional, especialmente en lo que serían </w:t>
      </w:r>
      <w:r w:rsidR="00646727">
        <w:t>la actividad estratégica</w:t>
      </w:r>
      <w:r>
        <w:t xml:space="preserve"> de los distintos órganos de</w:t>
      </w:r>
      <w:r w:rsidR="00646727">
        <w:t>l MEF</w:t>
      </w:r>
      <w:r w:rsidR="004E2D57">
        <w:t xml:space="preserve"> implicados en el Programa: CGN, TGN y UPN</w:t>
      </w:r>
      <w:r w:rsidR="00646727">
        <w:t xml:space="preserve">. </w:t>
      </w:r>
    </w:p>
    <w:p w:rsidR="00646727" w:rsidRDefault="00646727" w:rsidP="00646727">
      <w:pPr>
        <w:pStyle w:val="ListParagraph"/>
        <w:ind w:left="567"/>
      </w:pPr>
    </w:p>
    <w:p w:rsidR="00CE378E" w:rsidRDefault="00CE378E" w:rsidP="005012F5">
      <w:pPr>
        <w:pStyle w:val="ListParagraph"/>
        <w:numPr>
          <w:ilvl w:val="0"/>
          <w:numId w:val="12"/>
        </w:numPr>
        <w:ind w:left="567" w:hanging="567"/>
      </w:pPr>
      <w:r>
        <w:t xml:space="preserve">En el análisis de riesgos contingentes realizado no se aprecian </w:t>
      </w:r>
      <w:r w:rsidR="00E80005">
        <w:t xml:space="preserve">eventuales </w:t>
      </w:r>
      <w:r>
        <w:t xml:space="preserve">cambios en el entorno legal </w:t>
      </w:r>
      <w:r w:rsidR="00646727">
        <w:t>del MEF</w:t>
      </w:r>
      <w:r w:rsidR="00E80005">
        <w:t xml:space="preserve"> que puedan afectar a las funciones misionales de la institución</w:t>
      </w:r>
      <w:r>
        <w:t>, por lo que cabría pensar que al menos en el periodo de vigencia del proyecto no se producirían alteraciones significativas</w:t>
      </w:r>
      <w:r w:rsidR="00E80005">
        <w:t xml:space="preserve"> en sus productos estratégicos.</w:t>
      </w:r>
    </w:p>
    <w:p w:rsidR="004B2440" w:rsidRDefault="004B2440" w:rsidP="004B2440"/>
    <w:p w:rsidR="00103D3A" w:rsidRDefault="00103D3A" w:rsidP="004B2440"/>
    <w:p w:rsidR="004B2440" w:rsidRPr="00103D3A" w:rsidRDefault="00103D3A" w:rsidP="00310721">
      <w:pPr>
        <w:pStyle w:val="Heading2"/>
      </w:pPr>
      <w:bookmarkStart w:id="10" w:name="_Toc373498442"/>
      <w:r w:rsidRPr="00103D3A">
        <w:t>Cuantificación</w:t>
      </w:r>
      <w:r w:rsidR="004B2440" w:rsidRPr="00103D3A">
        <w:t xml:space="preserve"> de </w:t>
      </w:r>
      <w:r w:rsidR="00CE378E" w:rsidRPr="00103D3A">
        <w:t>los costos y beneficios</w:t>
      </w:r>
      <w:bookmarkEnd w:id="10"/>
    </w:p>
    <w:p w:rsidR="004B2440" w:rsidRDefault="009030F8" w:rsidP="005012F5">
      <w:pPr>
        <w:pStyle w:val="ListParagraph"/>
        <w:numPr>
          <w:ilvl w:val="0"/>
          <w:numId w:val="12"/>
        </w:numPr>
        <w:ind w:left="567" w:hanging="567"/>
      </w:pPr>
      <w:r>
        <w:t xml:space="preserve">Para la monetización de las variables </w:t>
      </w:r>
      <w:r w:rsidR="00CE378E">
        <w:t xml:space="preserve">de beneficios incorporadas al análisis </w:t>
      </w:r>
      <w:r>
        <w:t xml:space="preserve">se han utilizado precios de </w:t>
      </w:r>
      <w:r w:rsidR="008D7AB4">
        <w:t>201</w:t>
      </w:r>
      <w:r w:rsidR="003442B6">
        <w:t>3</w:t>
      </w:r>
      <w:r>
        <w:t>.</w:t>
      </w:r>
      <w:r w:rsidR="00CE378E">
        <w:t xml:space="preserve"> Los costos </w:t>
      </w:r>
      <w:r w:rsidR="00293DAE">
        <w:t xml:space="preserve">han sido </w:t>
      </w:r>
      <w:r w:rsidR="00CE378E">
        <w:t xml:space="preserve">igualmente </w:t>
      </w:r>
      <w:r w:rsidR="00293DAE">
        <w:t>valorados a precios de mercado del</w:t>
      </w:r>
      <w:r w:rsidR="008D7AB4">
        <w:t xml:space="preserve"> año 201</w:t>
      </w:r>
      <w:r w:rsidR="003442B6">
        <w:t>3</w:t>
      </w:r>
      <w:r w:rsidR="00CE378E">
        <w:t>.</w:t>
      </w:r>
    </w:p>
    <w:p w:rsidR="004B2440" w:rsidRDefault="004B2440" w:rsidP="003008A8"/>
    <w:p w:rsidR="00E15EA7" w:rsidRPr="003008A8" w:rsidRDefault="00E15EA7" w:rsidP="003008A8"/>
    <w:p w:rsidR="0002292D" w:rsidRPr="0002292D" w:rsidRDefault="0002292D" w:rsidP="00310721">
      <w:pPr>
        <w:pStyle w:val="Heading2"/>
      </w:pPr>
      <w:bookmarkStart w:id="11" w:name="_Toc373498443"/>
      <w:r w:rsidRPr="0002292D">
        <w:t>Tasa de descuento</w:t>
      </w:r>
      <w:bookmarkEnd w:id="11"/>
    </w:p>
    <w:p w:rsidR="000B275B" w:rsidRPr="002B3067" w:rsidRDefault="00F510B6" w:rsidP="005012F5">
      <w:pPr>
        <w:pStyle w:val="ListParagraph"/>
        <w:numPr>
          <w:ilvl w:val="0"/>
          <w:numId w:val="12"/>
        </w:numPr>
        <w:ind w:left="567" w:hanging="567"/>
      </w:pPr>
      <w:r>
        <w:t xml:space="preserve">Para el análisis coste-beneficio del </w:t>
      </w:r>
      <w:r w:rsidR="00186882" w:rsidRPr="00186882">
        <w:t xml:space="preserve">Programa de Modernización de la Gestión Financiera Pública </w:t>
      </w:r>
      <w:r w:rsidRPr="00186882">
        <w:rPr>
          <w:bCs/>
          <w:lang w:val="es-ES_tradnl"/>
        </w:rPr>
        <w:t>se ha aplicad</w:t>
      </w:r>
      <w:r w:rsidR="00186882" w:rsidRPr="00186882">
        <w:rPr>
          <w:bCs/>
          <w:lang w:val="es-ES_tradnl"/>
        </w:rPr>
        <w:t xml:space="preserve">o una tasa de descuento del 12%. </w:t>
      </w:r>
      <w:r w:rsidRPr="00186882">
        <w:rPr>
          <w:bCs/>
          <w:lang w:val="es-ES_tradnl"/>
        </w:rPr>
        <w:t>La razón para su utilización</w:t>
      </w:r>
      <w:r w:rsidR="00186882">
        <w:rPr>
          <w:bCs/>
          <w:lang w:val="es-ES_tradnl"/>
        </w:rPr>
        <w:t xml:space="preserve"> es básicamente la </w:t>
      </w:r>
      <w:r w:rsidRPr="00186882">
        <w:rPr>
          <w:bCs/>
          <w:lang w:val="es-ES_tradnl"/>
        </w:rPr>
        <w:t xml:space="preserve">existencia de una tasa de descuento social que esté siendo utilizada en los proyectos del sector público en materia de inversión </w:t>
      </w:r>
      <w:r w:rsidR="00186882">
        <w:rPr>
          <w:bCs/>
          <w:lang w:val="es-ES_tradnl"/>
        </w:rPr>
        <w:t>promovidos en el marco del Programa de Desarrollo y Gestión Subnacional (PDGS)</w:t>
      </w:r>
      <w:r w:rsidR="008914A0" w:rsidRPr="00186882">
        <w:rPr>
          <w:bCs/>
          <w:lang w:val="es-ES_tradnl"/>
        </w:rPr>
        <w:t>.</w:t>
      </w:r>
      <w:r w:rsidR="007524B7" w:rsidRPr="002B3067">
        <w:rPr>
          <w:rStyle w:val="FootnoteReference"/>
          <w:bCs/>
          <w:lang w:val="es-ES_tradnl"/>
        </w:rPr>
        <w:footnoteReference w:id="13"/>
      </w:r>
    </w:p>
    <w:p w:rsidR="003B296A" w:rsidRDefault="003B296A" w:rsidP="00D85F7B">
      <w:pPr>
        <w:pStyle w:val="ListParagraph"/>
        <w:ind w:left="360"/>
      </w:pPr>
    </w:p>
    <w:p w:rsidR="0002292D" w:rsidRDefault="0002292D" w:rsidP="00D85F7B">
      <w:pPr>
        <w:pStyle w:val="ListParagraph"/>
        <w:ind w:left="360"/>
      </w:pPr>
    </w:p>
    <w:p w:rsidR="002707BB" w:rsidRDefault="002707BB" w:rsidP="00310721">
      <w:pPr>
        <w:pStyle w:val="Heading1"/>
        <w:sectPr w:rsidR="002707BB" w:rsidSect="009B7F87">
          <w:pgSz w:w="12240" w:h="15840" w:code="1"/>
          <w:pgMar w:top="1418" w:right="1325" w:bottom="1418" w:left="1418" w:header="709" w:footer="856" w:gutter="0"/>
          <w:cols w:space="708"/>
          <w:docGrid w:linePitch="360"/>
        </w:sectPr>
      </w:pPr>
    </w:p>
    <w:p w:rsidR="0002292D" w:rsidRDefault="00103D3A" w:rsidP="00310721">
      <w:pPr>
        <w:pStyle w:val="Heading1"/>
      </w:pPr>
      <w:bookmarkStart w:id="12" w:name="_Toc373498444"/>
      <w:r>
        <w:lastRenderedPageBreak/>
        <w:t>Beneficios económicos</w:t>
      </w:r>
      <w:r w:rsidR="00EC2204">
        <w:t>: supuestos de partida</w:t>
      </w:r>
      <w:bookmarkEnd w:id="12"/>
    </w:p>
    <w:p w:rsidR="00EC7A0F" w:rsidRPr="00EC7A0F" w:rsidRDefault="00EC7A0F" w:rsidP="00310721">
      <w:pPr>
        <w:pStyle w:val="Heading2"/>
      </w:pPr>
      <w:bookmarkStart w:id="13" w:name="_Toc303872203"/>
      <w:bookmarkStart w:id="14" w:name="_Toc303872358"/>
      <w:bookmarkStart w:id="15" w:name="_Toc303885367"/>
      <w:bookmarkStart w:id="16" w:name="_Toc303885512"/>
      <w:bookmarkStart w:id="17" w:name="_Toc303872204"/>
      <w:bookmarkStart w:id="18" w:name="_Toc303872359"/>
      <w:bookmarkStart w:id="19" w:name="_Toc303885368"/>
      <w:bookmarkStart w:id="20" w:name="_Toc303885513"/>
      <w:bookmarkStart w:id="21" w:name="_Ref370402829"/>
      <w:bookmarkStart w:id="22" w:name="_Toc373498445"/>
      <w:bookmarkEnd w:id="13"/>
      <w:bookmarkEnd w:id="14"/>
      <w:bookmarkEnd w:id="15"/>
      <w:bookmarkEnd w:id="16"/>
      <w:bookmarkEnd w:id="17"/>
      <w:bookmarkEnd w:id="18"/>
      <w:bookmarkEnd w:id="19"/>
      <w:bookmarkEnd w:id="20"/>
      <w:r w:rsidRPr="00EC7A0F">
        <w:t>Reducción de los costos financieros asociados a las demoras en los pagos del Estado</w:t>
      </w:r>
      <w:bookmarkEnd w:id="21"/>
      <w:bookmarkEnd w:id="22"/>
    </w:p>
    <w:p w:rsidR="00DB4D14" w:rsidRDefault="00DB4D14" w:rsidP="00CE09BD">
      <w:pPr>
        <w:pStyle w:val="ListParagraph"/>
        <w:numPr>
          <w:ilvl w:val="0"/>
          <w:numId w:val="12"/>
        </w:numPr>
        <w:ind w:left="567" w:hanging="567"/>
      </w:pPr>
      <w:r w:rsidRPr="00C57BE9">
        <w:t xml:space="preserve">Uno de los procesos más frecuentes en la administración pública es </w:t>
      </w:r>
      <w:r w:rsidR="009011FB">
        <w:t xml:space="preserve">la </w:t>
      </w:r>
      <w:r w:rsidRPr="00C57BE9">
        <w:t xml:space="preserve">adquisición de bienes y servicios, </w:t>
      </w:r>
      <w:r w:rsidR="009011FB">
        <w:t>que se realiza de</w:t>
      </w:r>
      <w:r w:rsidRPr="00C57BE9">
        <w:t xml:space="preserve"> acuerdo con los diferentes procedimientos de co</w:t>
      </w:r>
      <w:r w:rsidR="009011FB">
        <w:t xml:space="preserve">mpra </w:t>
      </w:r>
      <w:r w:rsidR="00296C07">
        <w:t xml:space="preserve">(licitación, compra directa, etc.) </w:t>
      </w:r>
      <w:r w:rsidR="009011FB">
        <w:t xml:space="preserve">y </w:t>
      </w:r>
      <w:r w:rsidR="00DF203B">
        <w:t>mediante</w:t>
      </w:r>
      <w:r w:rsidR="009011FB">
        <w:t xml:space="preserve"> las fuentes de financiamiento </w:t>
      </w:r>
      <w:r w:rsidR="00296C07">
        <w:t xml:space="preserve">(rentas generales, endeudamiento, etc.) </w:t>
      </w:r>
      <w:r w:rsidR="009011FB">
        <w:t xml:space="preserve">establecidos en el </w:t>
      </w:r>
      <w:r w:rsidR="009011FB" w:rsidRPr="00CE09BD">
        <w:t xml:space="preserve">Texto Ordenado de Contabilidad </w:t>
      </w:r>
      <w:r w:rsidR="009011FB">
        <w:t>y</w:t>
      </w:r>
      <w:r w:rsidR="009011FB" w:rsidRPr="00CE09BD">
        <w:t xml:space="preserve"> Administración Financiera</w:t>
      </w:r>
      <w:r w:rsidR="009011FB">
        <w:t xml:space="preserve"> (TOCAF), principalmente. Se estima que en el año 2012 se realizaron cas</w:t>
      </w:r>
      <w:r w:rsidR="00934812">
        <w:t xml:space="preserve">i 70.000 operaciones de </w:t>
      </w:r>
      <w:r w:rsidR="00A66F9C">
        <w:t>pagos</w:t>
      </w:r>
      <w:r w:rsidR="00934812">
        <w:t xml:space="preserve"> por parte de los diferentes organismos de la Administración Central e incisos del artículo 220 de la Constitución.</w:t>
      </w:r>
    </w:p>
    <w:p w:rsidR="009011FB" w:rsidRDefault="009011FB" w:rsidP="009011FB"/>
    <w:p w:rsidR="009011FB" w:rsidRDefault="00D84981" w:rsidP="009011FB">
      <w:pPr>
        <w:pStyle w:val="ListParagraph"/>
        <w:numPr>
          <w:ilvl w:val="0"/>
          <w:numId w:val="12"/>
        </w:numPr>
        <w:ind w:left="567" w:hanging="567"/>
      </w:pPr>
      <w:r>
        <w:t xml:space="preserve">Dentro del proceso de adquisiciones del sector público, el pago a proveedores es un proceso que incide directamente en la actividad económica. </w:t>
      </w:r>
      <w:r w:rsidR="00934812">
        <w:t>El</w:t>
      </w:r>
      <w:r w:rsidR="009011FB">
        <w:t xml:space="preserve"> proceso </w:t>
      </w:r>
      <w:r w:rsidR="00934812">
        <w:t xml:space="preserve">de adquisiciones </w:t>
      </w:r>
      <w:r w:rsidR="009011FB">
        <w:t>tiene además el interés de que es muy importante para el funcionamiento adecuad</w:t>
      </w:r>
      <w:r w:rsidR="00934812">
        <w:t>o de l</w:t>
      </w:r>
      <w:r w:rsidR="00296C07">
        <w:t xml:space="preserve">a administración pública. Un proceso ineficiente </w:t>
      </w:r>
      <w:r w:rsidR="008D2E55">
        <w:t xml:space="preserve">de compras </w:t>
      </w:r>
      <w:r w:rsidR="00296C07">
        <w:t xml:space="preserve">puede impactar </w:t>
      </w:r>
      <w:r w:rsidR="008D2E55">
        <w:t>de manera relevante</w:t>
      </w:r>
      <w:r w:rsidR="00296C07">
        <w:t xml:space="preserve"> en las actividades de los or</w:t>
      </w:r>
      <w:r w:rsidR="00DF203B">
        <w:t>ganismos públicos, perjudicando</w:t>
      </w:r>
      <w:r w:rsidR="00296C07">
        <w:t xml:space="preserve"> las prestaciones de servicios </w:t>
      </w:r>
      <w:r w:rsidR="00DF203B">
        <w:t xml:space="preserve">que la administración pública ofrece </w:t>
      </w:r>
      <w:r w:rsidR="00296C07">
        <w:t xml:space="preserve">a la ciudadanía. </w:t>
      </w:r>
    </w:p>
    <w:p w:rsidR="00296C07" w:rsidRDefault="00296C07" w:rsidP="00296C07">
      <w:pPr>
        <w:pStyle w:val="ListParagraph"/>
      </w:pPr>
    </w:p>
    <w:p w:rsidR="00C31647" w:rsidRDefault="00D84981" w:rsidP="00A21237">
      <w:pPr>
        <w:pStyle w:val="ListParagraph"/>
        <w:numPr>
          <w:ilvl w:val="0"/>
          <w:numId w:val="12"/>
        </w:numPr>
        <w:ind w:left="567" w:hanging="567"/>
      </w:pPr>
      <w:bookmarkStart w:id="23" w:name="_Ref373326688"/>
      <w:r>
        <w:t>Un</w:t>
      </w:r>
      <w:r w:rsidR="00DF203B">
        <w:t xml:space="preserve"> caso </w:t>
      </w:r>
      <w:r>
        <w:t>particular de ineficiencias son</w:t>
      </w:r>
      <w:r w:rsidR="00DF203B">
        <w:t xml:space="preserve"> las </w:t>
      </w:r>
      <w:r w:rsidR="00154780">
        <w:t>demoras</w:t>
      </w:r>
      <w:r>
        <w:t xml:space="preserve"> </w:t>
      </w:r>
      <w:r w:rsidR="00154780">
        <w:t xml:space="preserve">en los pagos </w:t>
      </w:r>
      <w:r w:rsidR="00DF203B">
        <w:t>a los suministradores</w:t>
      </w:r>
      <w:r>
        <w:t>, que</w:t>
      </w:r>
      <w:r w:rsidR="00DF203B">
        <w:t xml:space="preserve"> pueden explicarse por</w:t>
      </w:r>
      <w:r w:rsidR="00154780">
        <w:t xml:space="preserve"> eventuales problemas de tesorería del sector público, </w:t>
      </w:r>
      <w:r>
        <w:t>o</w:t>
      </w:r>
      <w:r w:rsidR="00154780">
        <w:t xml:space="preserve"> también </w:t>
      </w:r>
      <w:r w:rsidR="00DF203B">
        <w:t>por</w:t>
      </w:r>
      <w:r w:rsidR="00154780">
        <w:t xml:space="preserve"> deficiencias en el proceso de pago. </w:t>
      </w:r>
      <w:bookmarkEnd w:id="23"/>
      <w:r w:rsidR="00954A4C">
        <w:t xml:space="preserve">En cualquiera de las dos eventualidades, </w:t>
      </w:r>
      <w:r w:rsidR="00154780">
        <w:t xml:space="preserve">hay un </w:t>
      </w:r>
      <w:r w:rsidR="005C75A5">
        <w:t>costo de oportunidad</w:t>
      </w:r>
      <w:r w:rsidR="00154780">
        <w:t xml:space="preserve"> derivado de las ineficiencias en el proceso </w:t>
      </w:r>
      <w:r w:rsidR="00C31647">
        <w:t xml:space="preserve">de </w:t>
      </w:r>
      <w:r w:rsidR="004A3E10">
        <w:t>tramitación del pago de facturas</w:t>
      </w:r>
      <w:r w:rsidR="00C31647">
        <w:t xml:space="preserve"> que es soportado por los agentes económico</w:t>
      </w:r>
      <w:r w:rsidR="00F60F78">
        <w:t>s</w:t>
      </w:r>
      <w:r w:rsidR="00697E72">
        <w:t>, incluyendo el sector público. E</w:t>
      </w:r>
      <w:r w:rsidR="00F60F78">
        <w:t xml:space="preserve">n </w:t>
      </w:r>
      <w:r w:rsidR="004A3E10">
        <w:t xml:space="preserve">el presente análisis costo-beneficio se pone más el acento en los costos financieros que deben asumir los </w:t>
      </w:r>
      <w:r w:rsidR="004A3E10" w:rsidRPr="00EE0353">
        <w:rPr>
          <w:i/>
        </w:rPr>
        <w:t>agentes privados</w:t>
      </w:r>
      <w:r w:rsidR="004A3E10">
        <w:t xml:space="preserve"> (proveedores) como resultado de la ineficiencia en la tramitación de las facturas.</w:t>
      </w:r>
    </w:p>
    <w:p w:rsidR="00C31647" w:rsidRDefault="00C31647" w:rsidP="00C31647">
      <w:pPr>
        <w:pStyle w:val="ListParagraph"/>
        <w:ind w:left="567"/>
      </w:pPr>
    </w:p>
    <w:p w:rsidR="00DF4B1E" w:rsidRDefault="00C31647" w:rsidP="00954A4C">
      <w:pPr>
        <w:pStyle w:val="ListParagraph"/>
        <w:numPr>
          <w:ilvl w:val="0"/>
          <w:numId w:val="12"/>
        </w:numPr>
        <w:ind w:left="567" w:hanging="567"/>
      </w:pPr>
      <w:r>
        <w:t>En el diseño del Programa se coloca como objetivo central la mejora de</w:t>
      </w:r>
      <w:r w:rsidR="001D45A4">
        <w:t xml:space="preserve"> la administración financ</w:t>
      </w:r>
      <w:r>
        <w:t>iera del Estado que incluye la op</w:t>
      </w:r>
      <w:r w:rsidR="001D45A4">
        <w:t>timización de los procesos</w:t>
      </w:r>
      <w:r>
        <w:t xml:space="preserve"> de gestión financiera y</w:t>
      </w:r>
      <w:r w:rsidR="001D45A4">
        <w:t xml:space="preserve"> obviamente el proceso de pago. </w:t>
      </w:r>
      <w:r>
        <w:t>En este caso, con el Programa s</w:t>
      </w:r>
      <w:r w:rsidR="001D45A4">
        <w:t xml:space="preserve">e trataría </w:t>
      </w:r>
      <w:r>
        <w:t xml:space="preserve">de </w:t>
      </w:r>
      <w:r w:rsidR="001D45A4">
        <w:t xml:space="preserve">que los plazos </w:t>
      </w:r>
      <w:r w:rsidR="00DF4B1E">
        <w:rPr>
          <w:i/>
        </w:rPr>
        <w:t>observados</w:t>
      </w:r>
      <w:r w:rsidR="001D45A4">
        <w:t xml:space="preserve"> de pago se aproximen</w:t>
      </w:r>
      <w:r>
        <w:t xml:space="preserve">, por un lado, </w:t>
      </w:r>
      <w:r w:rsidR="001D45A4">
        <w:t>a los plazos legales</w:t>
      </w:r>
      <w:r>
        <w:t xml:space="preserve"> –e</w:t>
      </w:r>
      <w:r w:rsidR="001D45A4">
        <w:t>n aquellas fases del proceso tasadas por norma</w:t>
      </w:r>
      <w:r>
        <w:t>—</w:t>
      </w:r>
      <w:r w:rsidR="001D45A4">
        <w:t xml:space="preserve">, y </w:t>
      </w:r>
      <w:r>
        <w:t>por otro lado, a</w:t>
      </w:r>
      <w:r w:rsidR="001D45A4">
        <w:t xml:space="preserve"> las mejores pr</w:t>
      </w:r>
      <w:r>
        <w:t xml:space="preserve">ácticas. </w:t>
      </w:r>
      <w:r w:rsidR="00DF4B1E">
        <w:t>Esto puede ilustrarse mediante la siguiente ecuación:</w:t>
      </w:r>
    </w:p>
    <w:p w:rsidR="00DF4B1E" w:rsidRDefault="00DF4B1E" w:rsidP="00DF4B1E">
      <w:pPr>
        <w:pStyle w:val="ListParagraph"/>
      </w:pPr>
    </w:p>
    <w:p w:rsidR="001D45A4" w:rsidRDefault="00C31647" w:rsidP="00954A4C">
      <w:pPr>
        <w:pStyle w:val="ListParagraph"/>
        <w:numPr>
          <w:ilvl w:val="0"/>
          <w:numId w:val="12"/>
        </w:numPr>
        <w:ind w:left="567" w:hanging="567"/>
      </w:pPr>
      <w:r>
        <w:t xml:space="preserve">Se estima que </w:t>
      </w:r>
      <w:r w:rsidR="00EE0353">
        <w:t>una</w:t>
      </w:r>
      <w:r>
        <w:t xml:space="preserve"> </w:t>
      </w:r>
      <w:r w:rsidRPr="00EE0353">
        <w:rPr>
          <w:i/>
        </w:rPr>
        <w:t>reducción de la brecha</w:t>
      </w:r>
      <w:r>
        <w:t xml:space="preserve"> entre plazos </w:t>
      </w:r>
      <w:r w:rsidR="00EE0353">
        <w:t>observados en los procesos actuales</w:t>
      </w:r>
      <w:r>
        <w:t xml:space="preserve"> y plazos eficientes </w:t>
      </w:r>
      <w:r w:rsidR="001A6333">
        <w:t>(</w:t>
      </w:r>
      <w:r w:rsidR="00CC02ED">
        <w:t xml:space="preserve">meta de </w:t>
      </w:r>
      <w:r w:rsidR="001A6333">
        <w:t xml:space="preserve">referencia) </w:t>
      </w:r>
      <w:r>
        <w:t xml:space="preserve">puede generar un </w:t>
      </w:r>
      <w:r w:rsidRPr="00EE0353">
        <w:rPr>
          <w:i/>
        </w:rPr>
        <w:t>beneficio económico cuantificable</w:t>
      </w:r>
      <w:r>
        <w:t>. Este es el ejercicio que se describe a continuación.</w:t>
      </w:r>
    </w:p>
    <w:p w:rsidR="008F284E" w:rsidRDefault="008F284E" w:rsidP="008F284E">
      <w:pPr>
        <w:pStyle w:val="ListParagraph"/>
      </w:pPr>
    </w:p>
    <w:p w:rsidR="00DB4D14" w:rsidRPr="00DB4D14" w:rsidRDefault="001A6333" w:rsidP="00DB4D14">
      <w:pPr>
        <w:pStyle w:val="Heading3"/>
        <w:numPr>
          <w:ilvl w:val="2"/>
          <w:numId w:val="27"/>
        </w:numPr>
        <w:tabs>
          <w:tab w:val="clear" w:pos="720"/>
        </w:tabs>
        <w:ind w:left="993" w:hanging="437"/>
        <w:rPr>
          <w:u w:val="single"/>
        </w:rPr>
      </w:pPr>
      <w:bookmarkStart w:id="24" w:name="_Toc373498446"/>
      <w:r>
        <w:rPr>
          <w:u w:val="single"/>
        </w:rPr>
        <w:t>P</w:t>
      </w:r>
      <w:r w:rsidR="00DB4D14">
        <w:rPr>
          <w:u w:val="single"/>
        </w:rPr>
        <w:t xml:space="preserve">lazo </w:t>
      </w:r>
      <w:r w:rsidR="00503C1F">
        <w:rPr>
          <w:u w:val="single"/>
        </w:rPr>
        <w:t>meta</w:t>
      </w:r>
      <w:r>
        <w:rPr>
          <w:u w:val="single"/>
        </w:rPr>
        <w:t xml:space="preserve"> </w:t>
      </w:r>
      <w:r w:rsidR="00DB4D14">
        <w:rPr>
          <w:u w:val="single"/>
        </w:rPr>
        <w:t xml:space="preserve">de </w:t>
      </w:r>
      <w:r w:rsidR="00DB4D14" w:rsidRPr="00DB4D14">
        <w:rPr>
          <w:u w:val="single"/>
        </w:rPr>
        <w:t>referencia</w:t>
      </w:r>
      <w:bookmarkEnd w:id="24"/>
    </w:p>
    <w:p w:rsidR="00746C3B" w:rsidRDefault="005674A5" w:rsidP="00CE09BD">
      <w:pPr>
        <w:pStyle w:val="ListParagraph"/>
        <w:numPr>
          <w:ilvl w:val="0"/>
          <w:numId w:val="12"/>
        </w:numPr>
        <w:ind w:left="567" w:hanging="567"/>
      </w:pPr>
      <w:r>
        <w:t xml:space="preserve">El plazo de referencia es la meta de </w:t>
      </w:r>
      <w:r w:rsidRPr="006A5AC1">
        <w:t>días calendario</w:t>
      </w:r>
      <w:r>
        <w:t xml:space="preserve"> que debería alcanzarse </w:t>
      </w:r>
      <w:r w:rsidR="006A5AC1">
        <w:t xml:space="preserve">en el tiempo de tramitación de las facturas </w:t>
      </w:r>
      <w:r>
        <w:t xml:space="preserve">como resultado de la acción del Programa, en especial como </w:t>
      </w:r>
      <w:r w:rsidR="00503C1F">
        <w:t>consecuencia</w:t>
      </w:r>
      <w:r>
        <w:t xml:space="preserve"> de la optimización de los procesos y de la implementación del SIIF2. </w:t>
      </w:r>
      <w:r w:rsidR="00746C3B">
        <w:t>Por lo tanto, cabe esperar que tras la implementación de las acciones previstas en el Programa el tiempo promedio de tramitación de facturas se reduzca</w:t>
      </w:r>
      <w:r w:rsidR="00503C1F">
        <w:t xml:space="preserve"> </w:t>
      </w:r>
      <w:r w:rsidR="00EE0353">
        <w:t xml:space="preserve">de forma significativa </w:t>
      </w:r>
      <w:r w:rsidR="00503C1F">
        <w:t>con relación a la línea de base actual</w:t>
      </w:r>
      <w:r w:rsidR="00746C3B">
        <w:t>. Los efectos de esta reducción ya se han mencionado anteriormente.</w:t>
      </w:r>
      <w:r w:rsidR="00746C3B">
        <w:rPr>
          <w:rStyle w:val="FootnoteReference"/>
        </w:rPr>
        <w:footnoteReference w:id="14"/>
      </w:r>
      <w:r w:rsidR="00746C3B">
        <w:t xml:space="preserve"> </w:t>
      </w:r>
    </w:p>
    <w:p w:rsidR="00746C3B" w:rsidRDefault="00746C3B" w:rsidP="00746C3B">
      <w:pPr>
        <w:pStyle w:val="ListParagraph"/>
        <w:ind w:left="567"/>
      </w:pPr>
    </w:p>
    <w:p w:rsidR="005674A5" w:rsidRDefault="005674A5" w:rsidP="00CE09BD">
      <w:pPr>
        <w:pStyle w:val="ListParagraph"/>
        <w:numPr>
          <w:ilvl w:val="0"/>
          <w:numId w:val="12"/>
        </w:numPr>
        <w:ind w:left="567" w:hanging="567"/>
      </w:pPr>
      <w:r>
        <w:t xml:space="preserve">Para </w:t>
      </w:r>
      <w:r w:rsidR="006A5AC1">
        <w:t xml:space="preserve">establecer </w:t>
      </w:r>
      <w:r w:rsidR="00503C1F">
        <w:t>la meta</w:t>
      </w:r>
      <w:r w:rsidR="006A5AC1">
        <w:t xml:space="preserve"> de referencia</w:t>
      </w:r>
      <w:r>
        <w:t xml:space="preserve"> se analizan, en primer lugar, los plazos o días sujetos a restricciones normativas</w:t>
      </w:r>
      <w:r w:rsidR="006A5AC1">
        <w:t xml:space="preserve"> (TOCAF básicamente), y</w:t>
      </w:r>
      <w:r>
        <w:t xml:space="preserve"> </w:t>
      </w:r>
      <w:r w:rsidR="006A5AC1">
        <w:t>en segundo lugar</w:t>
      </w:r>
      <w:r>
        <w:t xml:space="preserve"> los días que el Programa </w:t>
      </w:r>
      <w:r w:rsidR="006A5AC1">
        <w:t>propone</w:t>
      </w:r>
      <w:r>
        <w:t xml:space="preserve"> como meta para la tramitación de las facturas para sus </w:t>
      </w:r>
      <w:r w:rsidR="00503C1F">
        <w:t>pagos:</w:t>
      </w:r>
    </w:p>
    <w:p w:rsidR="005674A5" w:rsidRDefault="005674A5" w:rsidP="005674A5">
      <w:pPr>
        <w:pStyle w:val="ListParagraph"/>
        <w:ind w:left="567"/>
      </w:pPr>
    </w:p>
    <w:p w:rsidR="006A5AC1" w:rsidRDefault="006A5AC1" w:rsidP="00503C1F">
      <w:pPr>
        <w:pStyle w:val="ListParagraph"/>
        <w:numPr>
          <w:ilvl w:val="0"/>
          <w:numId w:val="35"/>
        </w:numPr>
      </w:pPr>
      <w:r>
        <w:t xml:space="preserve">Por el lado de las restricciones normativas, </w:t>
      </w:r>
      <w:r w:rsidR="00F24721">
        <w:t xml:space="preserve">el artículo </w:t>
      </w:r>
      <w:r w:rsidR="00AB35FC">
        <w:t>124 del</w:t>
      </w:r>
      <w:r w:rsidR="009011FB">
        <w:t xml:space="preserve"> TOCAF</w:t>
      </w:r>
      <w:r w:rsidR="00AB35FC">
        <w:t xml:space="preserve"> </w:t>
      </w:r>
      <w:r>
        <w:t>que rige el</w:t>
      </w:r>
      <w:r w:rsidR="00C31647">
        <w:t xml:space="preserve"> procedimiento de pago </w:t>
      </w:r>
      <w:r w:rsidR="002E09E9">
        <w:t>de facturas en</w:t>
      </w:r>
      <w:r w:rsidR="0003078A">
        <w:t xml:space="preserve"> </w:t>
      </w:r>
      <w:r w:rsidR="00AB35FC">
        <w:t xml:space="preserve">la Administración Pública </w:t>
      </w:r>
      <w:r w:rsidR="001A6333">
        <w:t xml:space="preserve">fija </w:t>
      </w:r>
      <w:r>
        <w:t>tres plazos</w:t>
      </w:r>
      <w:r w:rsidR="00CE09BD">
        <w:t xml:space="preserve"> plazos</w:t>
      </w:r>
      <w:r w:rsidR="00A66F9C">
        <w:t xml:space="preserve"> </w:t>
      </w:r>
      <w:r w:rsidR="002E09E9">
        <w:t xml:space="preserve">máximos </w:t>
      </w:r>
      <w:r w:rsidR="00C31647">
        <w:t xml:space="preserve">de tiempo en la </w:t>
      </w:r>
      <w:r w:rsidR="00C31647" w:rsidRPr="002E09E9">
        <w:rPr>
          <w:i/>
        </w:rPr>
        <w:t xml:space="preserve">fase </w:t>
      </w:r>
      <w:r w:rsidR="00640E90" w:rsidRPr="002E09E9">
        <w:rPr>
          <w:i/>
        </w:rPr>
        <w:t xml:space="preserve">de </w:t>
      </w:r>
      <w:r w:rsidR="00DF203B" w:rsidRPr="002E09E9">
        <w:rPr>
          <w:i/>
        </w:rPr>
        <w:t>intervención</w:t>
      </w:r>
      <w:r w:rsidR="00DF203B">
        <w:t xml:space="preserve"> (</w:t>
      </w:r>
      <w:r w:rsidR="001A6333">
        <w:t>fases 4, 5 y 6 del cuadro 3)</w:t>
      </w:r>
      <w:r w:rsidR="002E09E9">
        <w:t>,</w:t>
      </w:r>
      <w:r w:rsidR="001A6333">
        <w:t xml:space="preserve"> </w:t>
      </w:r>
      <w:r w:rsidR="00C31647">
        <w:t xml:space="preserve">con el fin de dar cumplimiento a las obligaciones de pago. </w:t>
      </w:r>
      <w:r>
        <w:t>Estos plazos del TOCAF dependen del monto de la factura, tal como puede observarse en el cuadro 3, oscilando desde un máximo de 35 días hábiles para los pagos por facturas de cantidades superiores a UYU 5 millones, a un mínimo de 9 días hábiles, para pagos inferiores a UYU 250 mil.</w:t>
      </w:r>
    </w:p>
    <w:p w:rsidR="00CE09BD" w:rsidRPr="00D177C1" w:rsidRDefault="00CE09BD" w:rsidP="00CE09BD">
      <w:pPr>
        <w:pStyle w:val="ListParagraph"/>
        <w:spacing w:after="60"/>
        <w:ind w:left="360"/>
        <w:jc w:val="center"/>
        <w:rPr>
          <w:b/>
          <w:sz w:val="20"/>
        </w:rPr>
      </w:pPr>
      <w:r>
        <w:rPr>
          <w:b/>
          <w:sz w:val="20"/>
        </w:rPr>
        <w:t>Cuadro 3</w:t>
      </w:r>
      <w:r w:rsidRPr="00D177C1">
        <w:rPr>
          <w:b/>
          <w:sz w:val="20"/>
        </w:rPr>
        <w:t xml:space="preserve">. </w:t>
      </w:r>
      <w:r>
        <w:rPr>
          <w:b/>
          <w:sz w:val="20"/>
        </w:rPr>
        <w:t>Plazos para los pagos</w:t>
      </w:r>
    </w:p>
    <w:tbl>
      <w:tblPr>
        <w:tblW w:w="8789" w:type="dxa"/>
        <w:tblInd w:w="659" w:type="dxa"/>
        <w:tblCellMar>
          <w:left w:w="70" w:type="dxa"/>
          <w:right w:w="70" w:type="dxa"/>
        </w:tblCellMar>
        <w:tblLook w:val="04A0" w:firstRow="1" w:lastRow="0" w:firstColumn="1" w:lastColumn="0" w:noHBand="0" w:noVBand="1"/>
      </w:tblPr>
      <w:tblGrid>
        <w:gridCol w:w="3270"/>
        <w:gridCol w:w="1741"/>
        <w:gridCol w:w="2127"/>
        <w:gridCol w:w="1651"/>
      </w:tblGrid>
      <w:tr w:rsidR="00843CAF" w:rsidRPr="00CE09BD" w:rsidTr="007933E5">
        <w:trPr>
          <w:trHeight w:val="20"/>
        </w:trPr>
        <w:tc>
          <w:tcPr>
            <w:tcW w:w="3270" w:type="dxa"/>
            <w:tcBorders>
              <w:top w:val="single" w:sz="4" w:space="0" w:color="auto"/>
            </w:tcBorders>
            <w:shd w:val="clear" w:color="auto" w:fill="D9D9D9" w:themeFill="background1" w:themeFillShade="D9"/>
            <w:noWrap/>
            <w:vAlign w:val="bottom"/>
            <w:hideMark/>
          </w:tcPr>
          <w:p w:rsidR="00CE09BD" w:rsidRPr="00CE09BD" w:rsidRDefault="00CE09BD" w:rsidP="00CE09BD">
            <w:pPr>
              <w:jc w:val="left"/>
              <w:rPr>
                <w:b/>
                <w:bCs/>
                <w:color w:val="000000"/>
                <w:sz w:val="20"/>
                <w:szCs w:val="20"/>
              </w:rPr>
            </w:pPr>
          </w:p>
        </w:tc>
        <w:tc>
          <w:tcPr>
            <w:tcW w:w="1741" w:type="dxa"/>
            <w:tcBorders>
              <w:top w:val="single" w:sz="4" w:space="0" w:color="auto"/>
            </w:tcBorders>
            <w:shd w:val="clear" w:color="auto" w:fill="D9D9D9" w:themeFill="background1" w:themeFillShade="D9"/>
            <w:noWrap/>
            <w:vAlign w:val="bottom"/>
            <w:hideMark/>
          </w:tcPr>
          <w:p w:rsidR="00CE09BD" w:rsidRPr="00CE09BD" w:rsidRDefault="00CE09BD" w:rsidP="00CE09BD">
            <w:pPr>
              <w:jc w:val="center"/>
              <w:rPr>
                <w:b/>
                <w:bCs/>
                <w:color w:val="000000"/>
                <w:sz w:val="20"/>
                <w:szCs w:val="20"/>
              </w:rPr>
            </w:pPr>
            <w:r w:rsidRPr="00CE09BD">
              <w:rPr>
                <w:b/>
                <w:bCs/>
                <w:color w:val="000000"/>
                <w:sz w:val="20"/>
                <w:szCs w:val="20"/>
              </w:rPr>
              <w:t>Días</w:t>
            </w:r>
            <w:r w:rsidR="007933E5">
              <w:rPr>
                <w:b/>
                <w:bCs/>
                <w:color w:val="000000"/>
                <w:sz w:val="20"/>
                <w:szCs w:val="20"/>
              </w:rPr>
              <w:t xml:space="preserve"> hábiles</w:t>
            </w:r>
          </w:p>
        </w:tc>
        <w:tc>
          <w:tcPr>
            <w:tcW w:w="2127" w:type="dxa"/>
            <w:tcBorders>
              <w:top w:val="single" w:sz="4" w:space="0" w:color="auto"/>
            </w:tcBorders>
            <w:shd w:val="clear" w:color="auto" w:fill="D9D9D9" w:themeFill="background1" w:themeFillShade="D9"/>
            <w:noWrap/>
            <w:vAlign w:val="bottom"/>
            <w:hideMark/>
          </w:tcPr>
          <w:p w:rsidR="00CE09BD" w:rsidRPr="00CE09BD" w:rsidRDefault="007933E5" w:rsidP="00CE09BD">
            <w:pPr>
              <w:jc w:val="center"/>
              <w:rPr>
                <w:b/>
                <w:bCs/>
                <w:color w:val="000000"/>
                <w:sz w:val="20"/>
                <w:szCs w:val="20"/>
              </w:rPr>
            </w:pPr>
            <w:r w:rsidRPr="00CE09BD">
              <w:rPr>
                <w:b/>
                <w:bCs/>
                <w:color w:val="000000"/>
                <w:sz w:val="20"/>
                <w:szCs w:val="20"/>
              </w:rPr>
              <w:t>Días</w:t>
            </w:r>
            <w:r>
              <w:rPr>
                <w:b/>
                <w:bCs/>
                <w:color w:val="000000"/>
                <w:sz w:val="20"/>
                <w:szCs w:val="20"/>
              </w:rPr>
              <w:t xml:space="preserve"> hábiles</w:t>
            </w:r>
          </w:p>
        </w:tc>
        <w:tc>
          <w:tcPr>
            <w:tcW w:w="1651" w:type="dxa"/>
            <w:tcBorders>
              <w:top w:val="single" w:sz="4" w:space="0" w:color="auto"/>
            </w:tcBorders>
            <w:shd w:val="clear" w:color="auto" w:fill="D9D9D9" w:themeFill="background1" w:themeFillShade="D9"/>
            <w:noWrap/>
            <w:vAlign w:val="bottom"/>
            <w:hideMark/>
          </w:tcPr>
          <w:p w:rsidR="00CE09BD" w:rsidRPr="00CE09BD" w:rsidRDefault="007933E5" w:rsidP="007933E5">
            <w:pPr>
              <w:jc w:val="center"/>
              <w:rPr>
                <w:b/>
                <w:bCs/>
                <w:color w:val="000000"/>
                <w:sz w:val="20"/>
                <w:szCs w:val="20"/>
              </w:rPr>
            </w:pPr>
            <w:r w:rsidRPr="00CE09BD">
              <w:rPr>
                <w:b/>
                <w:bCs/>
                <w:color w:val="000000"/>
                <w:sz w:val="20"/>
                <w:szCs w:val="20"/>
              </w:rPr>
              <w:t>Días</w:t>
            </w:r>
            <w:r>
              <w:rPr>
                <w:b/>
                <w:bCs/>
                <w:color w:val="000000"/>
                <w:sz w:val="20"/>
                <w:szCs w:val="20"/>
              </w:rPr>
              <w:t xml:space="preserve"> hábiles</w:t>
            </w:r>
          </w:p>
        </w:tc>
      </w:tr>
      <w:tr w:rsidR="00843CAF" w:rsidRPr="00CE09BD" w:rsidTr="007933E5">
        <w:trPr>
          <w:trHeight w:val="20"/>
        </w:trPr>
        <w:tc>
          <w:tcPr>
            <w:tcW w:w="3270" w:type="dxa"/>
            <w:tcBorders>
              <w:bottom w:val="single" w:sz="4" w:space="0" w:color="auto"/>
            </w:tcBorders>
            <w:shd w:val="clear" w:color="auto" w:fill="D9D9D9" w:themeFill="background1" w:themeFillShade="D9"/>
            <w:noWrap/>
            <w:vAlign w:val="bottom"/>
            <w:hideMark/>
          </w:tcPr>
          <w:p w:rsidR="00CE09BD" w:rsidRPr="00CE09BD" w:rsidRDefault="006A5AC1" w:rsidP="006A5AC1">
            <w:pPr>
              <w:jc w:val="left"/>
              <w:rPr>
                <w:b/>
                <w:bCs/>
                <w:color w:val="000000"/>
                <w:sz w:val="20"/>
                <w:szCs w:val="20"/>
              </w:rPr>
            </w:pPr>
            <w:r>
              <w:rPr>
                <w:b/>
                <w:bCs/>
                <w:color w:val="000000"/>
                <w:sz w:val="20"/>
                <w:szCs w:val="20"/>
              </w:rPr>
              <w:t>Fases</w:t>
            </w:r>
            <w:r>
              <w:rPr>
                <w:b/>
                <w:bCs/>
                <w:color w:val="000000"/>
                <w:sz w:val="20"/>
                <w:szCs w:val="20"/>
              </w:rPr>
              <w:tab/>
            </w:r>
            <w:r>
              <w:rPr>
                <w:b/>
                <w:bCs/>
                <w:color w:val="000000"/>
                <w:sz w:val="20"/>
                <w:szCs w:val="20"/>
              </w:rPr>
              <w:tab/>
            </w:r>
            <w:r w:rsidR="003442B6">
              <w:rPr>
                <w:b/>
                <w:bCs/>
                <w:color w:val="000000"/>
                <w:sz w:val="20"/>
                <w:szCs w:val="20"/>
              </w:rPr>
              <w:t>Rango</w:t>
            </w:r>
            <w:r w:rsidR="002E09E9">
              <w:rPr>
                <w:b/>
                <w:bCs/>
                <w:color w:val="000000"/>
                <w:sz w:val="20"/>
                <w:szCs w:val="20"/>
              </w:rPr>
              <w:t xml:space="preserve"> de factura</w:t>
            </w:r>
          </w:p>
        </w:tc>
        <w:tc>
          <w:tcPr>
            <w:tcW w:w="1741" w:type="dxa"/>
            <w:tcBorders>
              <w:bottom w:val="single" w:sz="4" w:space="0" w:color="auto"/>
            </w:tcBorders>
            <w:shd w:val="clear" w:color="auto" w:fill="D9D9D9" w:themeFill="background1" w:themeFillShade="D9"/>
            <w:noWrap/>
            <w:vAlign w:val="bottom"/>
            <w:hideMark/>
          </w:tcPr>
          <w:p w:rsidR="00CE09BD" w:rsidRPr="00CE09BD" w:rsidRDefault="00CE09BD" w:rsidP="00CE09BD">
            <w:pPr>
              <w:jc w:val="center"/>
              <w:rPr>
                <w:color w:val="000000"/>
                <w:sz w:val="20"/>
                <w:szCs w:val="20"/>
              </w:rPr>
            </w:pPr>
            <w:r w:rsidRPr="00CE09BD">
              <w:rPr>
                <w:color w:val="000000"/>
                <w:sz w:val="20"/>
                <w:szCs w:val="20"/>
              </w:rPr>
              <w:t>&lt; 250 mil</w:t>
            </w:r>
          </w:p>
        </w:tc>
        <w:tc>
          <w:tcPr>
            <w:tcW w:w="2127" w:type="dxa"/>
            <w:tcBorders>
              <w:bottom w:val="single" w:sz="4" w:space="0" w:color="auto"/>
            </w:tcBorders>
            <w:shd w:val="clear" w:color="auto" w:fill="D9D9D9" w:themeFill="background1" w:themeFillShade="D9"/>
            <w:vAlign w:val="bottom"/>
            <w:hideMark/>
          </w:tcPr>
          <w:p w:rsidR="00CE09BD" w:rsidRPr="00CE09BD" w:rsidRDefault="00CE09BD" w:rsidP="00CE09BD">
            <w:pPr>
              <w:jc w:val="center"/>
              <w:rPr>
                <w:color w:val="000000"/>
                <w:sz w:val="20"/>
                <w:szCs w:val="20"/>
              </w:rPr>
            </w:pPr>
            <w:r w:rsidRPr="00CE09BD">
              <w:rPr>
                <w:color w:val="000000"/>
                <w:sz w:val="20"/>
                <w:szCs w:val="20"/>
              </w:rPr>
              <w:t>&gt;250 mil y &lt; 5 millones</w:t>
            </w:r>
          </w:p>
        </w:tc>
        <w:tc>
          <w:tcPr>
            <w:tcW w:w="1651" w:type="dxa"/>
            <w:tcBorders>
              <w:bottom w:val="single" w:sz="4" w:space="0" w:color="auto"/>
            </w:tcBorders>
            <w:shd w:val="clear" w:color="auto" w:fill="D9D9D9" w:themeFill="background1" w:themeFillShade="D9"/>
            <w:noWrap/>
            <w:vAlign w:val="bottom"/>
            <w:hideMark/>
          </w:tcPr>
          <w:p w:rsidR="00CE09BD" w:rsidRPr="00CE09BD" w:rsidRDefault="00CE09BD" w:rsidP="00CE09BD">
            <w:pPr>
              <w:jc w:val="center"/>
              <w:rPr>
                <w:color w:val="000000"/>
                <w:sz w:val="20"/>
                <w:szCs w:val="20"/>
              </w:rPr>
            </w:pPr>
            <w:r w:rsidRPr="00CE09BD">
              <w:rPr>
                <w:color w:val="000000"/>
                <w:sz w:val="20"/>
                <w:szCs w:val="20"/>
              </w:rPr>
              <w:t>&gt; 5 millones</w:t>
            </w:r>
          </w:p>
        </w:tc>
      </w:tr>
      <w:tr w:rsidR="00CE09BD" w:rsidRPr="00CE09BD" w:rsidTr="007933E5">
        <w:trPr>
          <w:trHeight w:val="20"/>
        </w:trPr>
        <w:tc>
          <w:tcPr>
            <w:tcW w:w="3270" w:type="dxa"/>
            <w:tcBorders>
              <w:top w:val="single" w:sz="4" w:space="0" w:color="auto"/>
            </w:tcBorders>
            <w:shd w:val="clear" w:color="auto" w:fill="auto"/>
            <w:noWrap/>
            <w:vAlign w:val="bottom"/>
            <w:hideMark/>
          </w:tcPr>
          <w:p w:rsidR="00CE09BD" w:rsidRPr="0003078A" w:rsidRDefault="00CE09BD" w:rsidP="0003078A">
            <w:pPr>
              <w:pStyle w:val="ListParagraph"/>
              <w:numPr>
                <w:ilvl w:val="0"/>
                <w:numId w:val="30"/>
              </w:numPr>
              <w:jc w:val="left"/>
              <w:rPr>
                <w:color w:val="000000"/>
                <w:sz w:val="20"/>
                <w:szCs w:val="20"/>
              </w:rPr>
            </w:pPr>
            <w:r w:rsidRPr="0003078A">
              <w:rPr>
                <w:color w:val="000000"/>
                <w:sz w:val="20"/>
                <w:szCs w:val="20"/>
              </w:rPr>
              <w:t>Recibe factura conformada</w:t>
            </w:r>
          </w:p>
        </w:tc>
        <w:tc>
          <w:tcPr>
            <w:tcW w:w="1741" w:type="dxa"/>
            <w:tcBorders>
              <w:top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c>
          <w:tcPr>
            <w:tcW w:w="2127" w:type="dxa"/>
            <w:tcBorders>
              <w:top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c>
          <w:tcPr>
            <w:tcW w:w="1651" w:type="dxa"/>
            <w:tcBorders>
              <w:top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r>
      <w:tr w:rsidR="00CE09BD" w:rsidRPr="00CE09BD" w:rsidTr="007933E5">
        <w:trPr>
          <w:trHeight w:val="20"/>
        </w:trPr>
        <w:tc>
          <w:tcPr>
            <w:tcW w:w="3270" w:type="dxa"/>
            <w:shd w:val="clear" w:color="auto" w:fill="auto"/>
            <w:noWrap/>
            <w:vAlign w:val="bottom"/>
            <w:hideMark/>
          </w:tcPr>
          <w:p w:rsidR="00CE09BD" w:rsidRPr="00CE09BD" w:rsidRDefault="00CE09BD" w:rsidP="0003078A">
            <w:pPr>
              <w:pStyle w:val="ListParagraph"/>
              <w:numPr>
                <w:ilvl w:val="0"/>
                <w:numId w:val="30"/>
              </w:numPr>
              <w:jc w:val="left"/>
              <w:rPr>
                <w:color w:val="000000"/>
                <w:sz w:val="20"/>
                <w:szCs w:val="20"/>
              </w:rPr>
            </w:pPr>
            <w:r w:rsidRPr="00CE09BD">
              <w:rPr>
                <w:color w:val="000000"/>
                <w:sz w:val="20"/>
                <w:szCs w:val="20"/>
              </w:rPr>
              <w:t>Se ingresa factura al sistema</w:t>
            </w:r>
          </w:p>
        </w:tc>
        <w:tc>
          <w:tcPr>
            <w:tcW w:w="174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2127"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165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r>
      <w:tr w:rsidR="00CE09BD" w:rsidRPr="00CE09BD" w:rsidTr="007933E5">
        <w:trPr>
          <w:trHeight w:val="20"/>
        </w:trPr>
        <w:tc>
          <w:tcPr>
            <w:tcW w:w="3270" w:type="dxa"/>
            <w:shd w:val="clear" w:color="auto" w:fill="auto"/>
            <w:noWrap/>
            <w:vAlign w:val="bottom"/>
            <w:hideMark/>
          </w:tcPr>
          <w:p w:rsidR="00CE09BD" w:rsidRPr="00CE09BD" w:rsidRDefault="00CE09BD" w:rsidP="0003078A">
            <w:pPr>
              <w:pStyle w:val="ListParagraph"/>
              <w:numPr>
                <w:ilvl w:val="0"/>
                <w:numId w:val="30"/>
              </w:numPr>
              <w:jc w:val="left"/>
              <w:rPr>
                <w:color w:val="000000"/>
                <w:sz w:val="20"/>
                <w:szCs w:val="20"/>
              </w:rPr>
            </w:pPr>
            <w:r w:rsidRPr="00CE09BD">
              <w:rPr>
                <w:color w:val="000000"/>
                <w:sz w:val="20"/>
                <w:szCs w:val="20"/>
              </w:rPr>
              <w:t>Se firma obligación y lote</w:t>
            </w:r>
          </w:p>
        </w:tc>
        <w:tc>
          <w:tcPr>
            <w:tcW w:w="174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2127"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165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r>
      <w:tr w:rsidR="00CE09BD" w:rsidRPr="00B7608B" w:rsidTr="007933E5">
        <w:trPr>
          <w:trHeight w:val="20"/>
        </w:trPr>
        <w:tc>
          <w:tcPr>
            <w:tcW w:w="3270" w:type="dxa"/>
            <w:shd w:val="clear" w:color="000000" w:fill="FFFF00"/>
            <w:noWrap/>
            <w:vAlign w:val="bottom"/>
            <w:hideMark/>
          </w:tcPr>
          <w:p w:rsidR="00CE09BD" w:rsidRPr="00CE09BD" w:rsidRDefault="00CE09BD" w:rsidP="0003078A">
            <w:pPr>
              <w:pStyle w:val="ListParagraph"/>
              <w:numPr>
                <w:ilvl w:val="0"/>
                <w:numId w:val="30"/>
              </w:numPr>
              <w:jc w:val="left"/>
              <w:rPr>
                <w:i/>
                <w:color w:val="000000"/>
                <w:sz w:val="20"/>
                <w:szCs w:val="20"/>
              </w:rPr>
            </w:pPr>
            <w:r w:rsidRPr="00CE09BD">
              <w:rPr>
                <w:i/>
                <w:color w:val="000000"/>
                <w:sz w:val="20"/>
                <w:szCs w:val="20"/>
              </w:rPr>
              <w:t xml:space="preserve">Se pasa a </w:t>
            </w:r>
            <w:r w:rsidRPr="00B7608B">
              <w:rPr>
                <w:i/>
                <w:color w:val="000000"/>
                <w:sz w:val="20"/>
                <w:szCs w:val="20"/>
              </w:rPr>
              <w:t>intervención</w:t>
            </w:r>
            <w:r w:rsidRPr="00CE09BD">
              <w:rPr>
                <w:i/>
                <w:color w:val="000000"/>
                <w:sz w:val="20"/>
                <w:szCs w:val="20"/>
              </w:rPr>
              <w:t xml:space="preserve"> CPF</w:t>
            </w:r>
          </w:p>
        </w:tc>
        <w:tc>
          <w:tcPr>
            <w:tcW w:w="174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2</w:t>
            </w:r>
          </w:p>
        </w:tc>
        <w:tc>
          <w:tcPr>
            <w:tcW w:w="2127"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5</w:t>
            </w:r>
          </w:p>
        </w:tc>
        <w:tc>
          <w:tcPr>
            <w:tcW w:w="165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15</w:t>
            </w:r>
          </w:p>
        </w:tc>
      </w:tr>
      <w:tr w:rsidR="00CE09BD" w:rsidRPr="00B7608B" w:rsidTr="007933E5">
        <w:trPr>
          <w:trHeight w:val="20"/>
        </w:trPr>
        <w:tc>
          <w:tcPr>
            <w:tcW w:w="3270" w:type="dxa"/>
            <w:shd w:val="clear" w:color="000000" w:fill="FFFF00"/>
            <w:noWrap/>
            <w:vAlign w:val="bottom"/>
            <w:hideMark/>
          </w:tcPr>
          <w:p w:rsidR="00CE09BD" w:rsidRPr="00CE09BD" w:rsidRDefault="00CE09BD" w:rsidP="0003078A">
            <w:pPr>
              <w:pStyle w:val="ListParagraph"/>
              <w:numPr>
                <w:ilvl w:val="0"/>
                <w:numId w:val="30"/>
              </w:numPr>
              <w:jc w:val="left"/>
              <w:rPr>
                <w:i/>
                <w:color w:val="000000"/>
                <w:sz w:val="20"/>
                <w:szCs w:val="20"/>
              </w:rPr>
            </w:pPr>
            <w:r w:rsidRPr="00CE09BD">
              <w:rPr>
                <w:i/>
                <w:color w:val="000000"/>
                <w:sz w:val="20"/>
                <w:szCs w:val="20"/>
              </w:rPr>
              <w:t xml:space="preserve">Se pasa a </w:t>
            </w:r>
            <w:r w:rsidRPr="0003078A">
              <w:rPr>
                <w:color w:val="000000"/>
                <w:sz w:val="20"/>
                <w:szCs w:val="20"/>
              </w:rPr>
              <w:t>Tribunal</w:t>
            </w:r>
            <w:r w:rsidRPr="00CE09BD">
              <w:rPr>
                <w:i/>
                <w:color w:val="000000"/>
                <w:sz w:val="20"/>
                <w:szCs w:val="20"/>
              </w:rPr>
              <w:t xml:space="preserve"> de </w:t>
            </w:r>
            <w:r w:rsidRPr="00B7608B">
              <w:rPr>
                <w:i/>
                <w:color w:val="000000"/>
                <w:sz w:val="20"/>
                <w:szCs w:val="20"/>
              </w:rPr>
              <w:t xml:space="preserve">Cuentas </w:t>
            </w:r>
          </w:p>
        </w:tc>
        <w:tc>
          <w:tcPr>
            <w:tcW w:w="174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2</w:t>
            </w:r>
          </w:p>
        </w:tc>
        <w:tc>
          <w:tcPr>
            <w:tcW w:w="2127"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5</w:t>
            </w:r>
          </w:p>
        </w:tc>
        <w:tc>
          <w:tcPr>
            <w:tcW w:w="165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15</w:t>
            </w:r>
          </w:p>
        </w:tc>
      </w:tr>
      <w:tr w:rsidR="00CE09BD" w:rsidRPr="00B7608B" w:rsidTr="007933E5">
        <w:trPr>
          <w:trHeight w:val="20"/>
        </w:trPr>
        <w:tc>
          <w:tcPr>
            <w:tcW w:w="3270" w:type="dxa"/>
            <w:shd w:val="clear" w:color="000000" w:fill="FFFF00"/>
            <w:noWrap/>
            <w:vAlign w:val="bottom"/>
            <w:hideMark/>
          </w:tcPr>
          <w:p w:rsidR="00CE09BD" w:rsidRPr="00CE09BD" w:rsidRDefault="00CE09BD" w:rsidP="0003078A">
            <w:pPr>
              <w:pStyle w:val="ListParagraph"/>
              <w:numPr>
                <w:ilvl w:val="0"/>
                <w:numId w:val="30"/>
              </w:numPr>
              <w:jc w:val="left"/>
              <w:rPr>
                <w:i/>
                <w:color w:val="000000"/>
                <w:sz w:val="20"/>
                <w:szCs w:val="20"/>
              </w:rPr>
            </w:pPr>
            <w:r w:rsidRPr="00CE09BD">
              <w:rPr>
                <w:i/>
                <w:color w:val="000000"/>
                <w:sz w:val="20"/>
                <w:szCs w:val="20"/>
              </w:rPr>
              <w:t xml:space="preserve">Vuelve a </w:t>
            </w:r>
            <w:r w:rsidRPr="0003078A">
              <w:rPr>
                <w:color w:val="000000"/>
                <w:sz w:val="20"/>
                <w:szCs w:val="20"/>
              </w:rPr>
              <w:t>intervención</w:t>
            </w:r>
            <w:r w:rsidRPr="00CE09BD">
              <w:rPr>
                <w:i/>
                <w:color w:val="000000"/>
                <w:sz w:val="20"/>
                <w:szCs w:val="20"/>
              </w:rPr>
              <w:t xml:space="preserve"> de CPF</w:t>
            </w:r>
          </w:p>
        </w:tc>
        <w:tc>
          <w:tcPr>
            <w:tcW w:w="174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5</w:t>
            </w:r>
          </w:p>
        </w:tc>
        <w:tc>
          <w:tcPr>
            <w:tcW w:w="2127"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5</w:t>
            </w:r>
          </w:p>
        </w:tc>
        <w:tc>
          <w:tcPr>
            <w:tcW w:w="1651" w:type="dxa"/>
            <w:shd w:val="clear" w:color="000000" w:fill="FFFF00"/>
            <w:noWrap/>
            <w:vAlign w:val="bottom"/>
            <w:hideMark/>
          </w:tcPr>
          <w:p w:rsidR="00CE09BD" w:rsidRPr="00CE09BD" w:rsidRDefault="00CE09BD" w:rsidP="00CE09BD">
            <w:pPr>
              <w:jc w:val="center"/>
              <w:rPr>
                <w:i/>
                <w:color w:val="000000"/>
                <w:sz w:val="20"/>
                <w:szCs w:val="20"/>
              </w:rPr>
            </w:pPr>
            <w:r w:rsidRPr="00CE09BD">
              <w:rPr>
                <w:i/>
                <w:color w:val="000000"/>
                <w:sz w:val="20"/>
                <w:szCs w:val="20"/>
              </w:rPr>
              <w:t>5</w:t>
            </w:r>
          </w:p>
        </w:tc>
      </w:tr>
      <w:tr w:rsidR="00CE09BD" w:rsidRPr="00CE09BD" w:rsidTr="007933E5">
        <w:trPr>
          <w:trHeight w:val="20"/>
        </w:trPr>
        <w:tc>
          <w:tcPr>
            <w:tcW w:w="3270" w:type="dxa"/>
            <w:shd w:val="clear" w:color="auto" w:fill="auto"/>
            <w:noWrap/>
            <w:vAlign w:val="bottom"/>
            <w:hideMark/>
          </w:tcPr>
          <w:p w:rsidR="00CE09BD" w:rsidRPr="00CE09BD" w:rsidRDefault="00CE09BD" w:rsidP="0003078A">
            <w:pPr>
              <w:pStyle w:val="ListParagraph"/>
              <w:numPr>
                <w:ilvl w:val="0"/>
                <w:numId w:val="30"/>
              </w:numPr>
              <w:jc w:val="left"/>
              <w:rPr>
                <w:color w:val="000000"/>
                <w:sz w:val="20"/>
                <w:szCs w:val="20"/>
              </w:rPr>
            </w:pPr>
            <w:r w:rsidRPr="00CE09BD">
              <w:rPr>
                <w:color w:val="000000"/>
                <w:sz w:val="20"/>
                <w:szCs w:val="20"/>
              </w:rPr>
              <w:t>Financiero inciso prioriza</w:t>
            </w:r>
          </w:p>
        </w:tc>
        <w:tc>
          <w:tcPr>
            <w:tcW w:w="174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2127"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c>
          <w:tcPr>
            <w:tcW w:w="1651" w:type="dxa"/>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2</w:t>
            </w:r>
          </w:p>
        </w:tc>
      </w:tr>
      <w:tr w:rsidR="00CE09BD" w:rsidRPr="00CE09BD" w:rsidTr="007933E5">
        <w:trPr>
          <w:trHeight w:val="20"/>
        </w:trPr>
        <w:tc>
          <w:tcPr>
            <w:tcW w:w="3270" w:type="dxa"/>
            <w:tcBorders>
              <w:bottom w:val="single" w:sz="4" w:space="0" w:color="auto"/>
            </w:tcBorders>
            <w:shd w:val="clear" w:color="auto" w:fill="auto"/>
            <w:noWrap/>
            <w:vAlign w:val="bottom"/>
            <w:hideMark/>
          </w:tcPr>
          <w:p w:rsidR="00CE09BD" w:rsidRPr="00CE09BD" w:rsidRDefault="0003078A" w:rsidP="0003078A">
            <w:pPr>
              <w:pStyle w:val="ListParagraph"/>
              <w:numPr>
                <w:ilvl w:val="0"/>
                <w:numId w:val="30"/>
              </w:numPr>
              <w:jc w:val="left"/>
              <w:rPr>
                <w:color w:val="000000"/>
                <w:sz w:val="20"/>
                <w:szCs w:val="20"/>
              </w:rPr>
            </w:pPr>
            <w:r>
              <w:rPr>
                <w:color w:val="000000"/>
                <w:sz w:val="20"/>
                <w:szCs w:val="20"/>
              </w:rPr>
              <w:t>Tesorería p</w:t>
            </w:r>
            <w:r w:rsidR="00CE09BD" w:rsidRPr="00CE09BD">
              <w:rPr>
                <w:color w:val="000000"/>
                <w:sz w:val="20"/>
                <w:szCs w:val="20"/>
              </w:rPr>
              <w:t>aga</w:t>
            </w:r>
          </w:p>
        </w:tc>
        <w:tc>
          <w:tcPr>
            <w:tcW w:w="1741" w:type="dxa"/>
            <w:tcBorders>
              <w:bottom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c>
          <w:tcPr>
            <w:tcW w:w="2127" w:type="dxa"/>
            <w:tcBorders>
              <w:bottom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c>
          <w:tcPr>
            <w:tcW w:w="1651" w:type="dxa"/>
            <w:tcBorders>
              <w:bottom w:val="single" w:sz="4" w:space="0" w:color="auto"/>
            </w:tcBorders>
            <w:shd w:val="clear" w:color="auto" w:fill="auto"/>
            <w:noWrap/>
            <w:vAlign w:val="bottom"/>
            <w:hideMark/>
          </w:tcPr>
          <w:p w:rsidR="00CE09BD" w:rsidRPr="00CE09BD" w:rsidRDefault="00CE09BD" w:rsidP="00CE09BD">
            <w:pPr>
              <w:jc w:val="center"/>
              <w:rPr>
                <w:color w:val="000000"/>
                <w:sz w:val="20"/>
                <w:szCs w:val="20"/>
              </w:rPr>
            </w:pPr>
            <w:r w:rsidRPr="00CE09BD">
              <w:rPr>
                <w:color w:val="000000"/>
                <w:sz w:val="20"/>
                <w:szCs w:val="20"/>
              </w:rPr>
              <w:t>1</w:t>
            </w:r>
          </w:p>
        </w:tc>
      </w:tr>
      <w:tr w:rsidR="00CE09BD" w:rsidRPr="00CE09BD" w:rsidTr="007933E5">
        <w:trPr>
          <w:trHeight w:val="20"/>
        </w:trPr>
        <w:tc>
          <w:tcPr>
            <w:tcW w:w="3270" w:type="dxa"/>
            <w:tcBorders>
              <w:top w:val="single" w:sz="4" w:space="0" w:color="auto"/>
              <w:bottom w:val="single" w:sz="4" w:space="0" w:color="auto"/>
            </w:tcBorders>
            <w:shd w:val="clear" w:color="auto" w:fill="auto"/>
            <w:noWrap/>
            <w:vAlign w:val="bottom"/>
            <w:hideMark/>
          </w:tcPr>
          <w:p w:rsidR="00CE09BD" w:rsidRPr="00CE09BD" w:rsidRDefault="00503C1F" w:rsidP="00CE09BD">
            <w:pPr>
              <w:jc w:val="left"/>
              <w:rPr>
                <w:b/>
                <w:sz w:val="20"/>
                <w:szCs w:val="20"/>
              </w:rPr>
            </w:pPr>
            <w:r>
              <w:rPr>
                <w:b/>
                <w:sz w:val="20"/>
                <w:szCs w:val="20"/>
              </w:rPr>
              <w:t>Meta</w:t>
            </w:r>
            <w:r w:rsidR="003442B6">
              <w:rPr>
                <w:b/>
                <w:sz w:val="20"/>
                <w:szCs w:val="20"/>
              </w:rPr>
              <w:t xml:space="preserve"> días</w:t>
            </w:r>
            <w:r w:rsidR="00640E7A">
              <w:rPr>
                <w:b/>
                <w:sz w:val="20"/>
                <w:szCs w:val="20"/>
              </w:rPr>
              <w:t xml:space="preserve"> hábiles</w:t>
            </w:r>
          </w:p>
        </w:tc>
        <w:tc>
          <w:tcPr>
            <w:tcW w:w="1741" w:type="dxa"/>
            <w:tcBorders>
              <w:top w:val="single" w:sz="4" w:space="0" w:color="auto"/>
              <w:bottom w:val="single" w:sz="4" w:space="0" w:color="auto"/>
            </w:tcBorders>
            <w:shd w:val="clear" w:color="auto" w:fill="auto"/>
            <w:noWrap/>
            <w:vAlign w:val="bottom"/>
            <w:hideMark/>
          </w:tcPr>
          <w:p w:rsidR="00CE09BD" w:rsidRPr="00CE09BD" w:rsidRDefault="00CE09BD" w:rsidP="00CE09BD">
            <w:pPr>
              <w:jc w:val="center"/>
              <w:rPr>
                <w:b/>
                <w:color w:val="000000"/>
                <w:sz w:val="20"/>
                <w:szCs w:val="20"/>
              </w:rPr>
            </w:pPr>
            <w:r w:rsidRPr="00CE09BD">
              <w:rPr>
                <w:b/>
                <w:color w:val="000000"/>
                <w:sz w:val="20"/>
                <w:szCs w:val="20"/>
              </w:rPr>
              <w:t>17</w:t>
            </w:r>
          </w:p>
        </w:tc>
        <w:tc>
          <w:tcPr>
            <w:tcW w:w="2127" w:type="dxa"/>
            <w:tcBorders>
              <w:top w:val="single" w:sz="4" w:space="0" w:color="auto"/>
              <w:bottom w:val="single" w:sz="4" w:space="0" w:color="auto"/>
            </w:tcBorders>
            <w:shd w:val="clear" w:color="auto" w:fill="auto"/>
            <w:noWrap/>
            <w:vAlign w:val="bottom"/>
            <w:hideMark/>
          </w:tcPr>
          <w:p w:rsidR="00CE09BD" w:rsidRPr="00CE09BD" w:rsidRDefault="00CE09BD" w:rsidP="00CE09BD">
            <w:pPr>
              <w:jc w:val="center"/>
              <w:rPr>
                <w:b/>
                <w:color w:val="000000"/>
                <w:sz w:val="20"/>
                <w:szCs w:val="20"/>
              </w:rPr>
            </w:pPr>
            <w:r w:rsidRPr="00CE09BD">
              <w:rPr>
                <w:b/>
                <w:color w:val="000000"/>
                <w:sz w:val="20"/>
                <w:szCs w:val="20"/>
              </w:rPr>
              <w:t>23</w:t>
            </w:r>
          </w:p>
        </w:tc>
        <w:tc>
          <w:tcPr>
            <w:tcW w:w="1651" w:type="dxa"/>
            <w:tcBorders>
              <w:top w:val="single" w:sz="4" w:space="0" w:color="auto"/>
              <w:bottom w:val="single" w:sz="4" w:space="0" w:color="auto"/>
            </w:tcBorders>
            <w:shd w:val="clear" w:color="auto" w:fill="auto"/>
            <w:noWrap/>
            <w:vAlign w:val="bottom"/>
            <w:hideMark/>
          </w:tcPr>
          <w:p w:rsidR="00CE09BD" w:rsidRPr="00CE09BD" w:rsidRDefault="00CE09BD" w:rsidP="00CE09BD">
            <w:pPr>
              <w:jc w:val="center"/>
              <w:rPr>
                <w:b/>
                <w:color w:val="000000"/>
                <w:sz w:val="20"/>
                <w:szCs w:val="20"/>
              </w:rPr>
            </w:pPr>
            <w:r w:rsidRPr="00CE09BD">
              <w:rPr>
                <w:b/>
                <w:color w:val="000000"/>
                <w:sz w:val="20"/>
                <w:szCs w:val="20"/>
              </w:rPr>
              <w:t>43</w:t>
            </w:r>
          </w:p>
        </w:tc>
      </w:tr>
      <w:tr w:rsidR="00640E7A" w:rsidRPr="00CE09BD" w:rsidTr="007933E5">
        <w:trPr>
          <w:trHeight w:val="20"/>
        </w:trPr>
        <w:tc>
          <w:tcPr>
            <w:tcW w:w="3270" w:type="dxa"/>
            <w:tcBorders>
              <w:top w:val="single" w:sz="4" w:space="0" w:color="auto"/>
              <w:bottom w:val="single" w:sz="4" w:space="0" w:color="auto"/>
            </w:tcBorders>
            <w:shd w:val="clear" w:color="auto" w:fill="auto"/>
            <w:noWrap/>
            <w:vAlign w:val="bottom"/>
          </w:tcPr>
          <w:p w:rsidR="00640E7A" w:rsidRDefault="00640E7A" w:rsidP="00640E7A">
            <w:pPr>
              <w:jc w:val="left"/>
              <w:rPr>
                <w:b/>
                <w:sz w:val="20"/>
                <w:szCs w:val="20"/>
              </w:rPr>
            </w:pPr>
            <w:r>
              <w:rPr>
                <w:b/>
                <w:sz w:val="20"/>
                <w:szCs w:val="20"/>
              </w:rPr>
              <w:t>Meta días calendario</w:t>
            </w:r>
          </w:p>
        </w:tc>
        <w:tc>
          <w:tcPr>
            <w:tcW w:w="1741" w:type="dxa"/>
            <w:tcBorders>
              <w:top w:val="single" w:sz="4" w:space="0" w:color="auto"/>
              <w:bottom w:val="single" w:sz="4" w:space="0" w:color="auto"/>
            </w:tcBorders>
            <w:shd w:val="clear" w:color="auto" w:fill="auto"/>
            <w:noWrap/>
            <w:vAlign w:val="bottom"/>
          </w:tcPr>
          <w:p w:rsidR="00640E7A" w:rsidRPr="00CE09BD" w:rsidRDefault="00640E7A" w:rsidP="00CE09BD">
            <w:pPr>
              <w:jc w:val="center"/>
              <w:rPr>
                <w:b/>
                <w:color w:val="000000"/>
                <w:sz w:val="20"/>
                <w:szCs w:val="20"/>
              </w:rPr>
            </w:pPr>
            <w:r>
              <w:rPr>
                <w:b/>
                <w:color w:val="000000"/>
                <w:sz w:val="20"/>
                <w:szCs w:val="20"/>
              </w:rPr>
              <w:t>-</w:t>
            </w:r>
          </w:p>
        </w:tc>
        <w:tc>
          <w:tcPr>
            <w:tcW w:w="2127" w:type="dxa"/>
            <w:tcBorders>
              <w:top w:val="single" w:sz="4" w:space="0" w:color="auto"/>
              <w:bottom w:val="single" w:sz="4" w:space="0" w:color="auto"/>
            </w:tcBorders>
            <w:shd w:val="clear" w:color="auto" w:fill="auto"/>
            <w:noWrap/>
            <w:vAlign w:val="bottom"/>
          </w:tcPr>
          <w:p w:rsidR="00640E7A" w:rsidRPr="00CE09BD" w:rsidRDefault="00640E7A" w:rsidP="00CE09BD">
            <w:pPr>
              <w:jc w:val="center"/>
              <w:rPr>
                <w:b/>
                <w:color w:val="000000"/>
                <w:sz w:val="20"/>
                <w:szCs w:val="20"/>
              </w:rPr>
            </w:pPr>
            <w:r>
              <w:rPr>
                <w:b/>
                <w:color w:val="000000"/>
                <w:sz w:val="20"/>
                <w:szCs w:val="20"/>
              </w:rPr>
              <w:t>29</w:t>
            </w:r>
          </w:p>
        </w:tc>
        <w:tc>
          <w:tcPr>
            <w:tcW w:w="1651" w:type="dxa"/>
            <w:tcBorders>
              <w:top w:val="single" w:sz="4" w:space="0" w:color="auto"/>
              <w:bottom w:val="single" w:sz="4" w:space="0" w:color="auto"/>
            </w:tcBorders>
            <w:shd w:val="clear" w:color="auto" w:fill="auto"/>
            <w:noWrap/>
            <w:vAlign w:val="bottom"/>
          </w:tcPr>
          <w:p w:rsidR="00640E7A" w:rsidRPr="00CE09BD" w:rsidRDefault="00640E7A" w:rsidP="00CE09BD">
            <w:pPr>
              <w:jc w:val="center"/>
              <w:rPr>
                <w:b/>
                <w:color w:val="000000"/>
                <w:sz w:val="20"/>
                <w:szCs w:val="20"/>
              </w:rPr>
            </w:pPr>
            <w:r>
              <w:rPr>
                <w:b/>
                <w:color w:val="000000"/>
                <w:sz w:val="20"/>
                <w:szCs w:val="20"/>
              </w:rPr>
              <w:t>-</w:t>
            </w:r>
          </w:p>
        </w:tc>
      </w:tr>
    </w:tbl>
    <w:p w:rsidR="00CE09BD" w:rsidRDefault="00EC5691" w:rsidP="00CE09BD">
      <w:pPr>
        <w:pStyle w:val="ListParagraph"/>
        <w:ind w:left="709"/>
        <w:rPr>
          <w:sz w:val="18"/>
        </w:rPr>
      </w:pPr>
      <w:r>
        <w:rPr>
          <w:sz w:val="18"/>
        </w:rPr>
        <w:t>Fuente: TOCAF. Rango en UYU.</w:t>
      </w:r>
    </w:p>
    <w:p w:rsidR="00EE0353" w:rsidRPr="00EE0353" w:rsidRDefault="00EE0353" w:rsidP="00EE0353">
      <w:pPr>
        <w:pStyle w:val="ListParagraph"/>
        <w:ind w:left="567"/>
      </w:pPr>
    </w:p>
    <w:p w:rsidR="00EE0353" w:rsidRDefault="00EE0353" w:rsidP="00EE0353">
      <w:pPr>
        <w:pStyle w:val="ListParagraph"/>
        <w:numPr>
          <w:ilvl w:val="0"/>
          <w:numId w:val="35"/>
        </w:numPr>
      </w:pPr>
      <w:r>
        <w:t>Por el lado de la meta propuesta en el Programa, a estos tiempos en días hábiles establecidos por la normativa del TOCAF habría que añadir los tiempos que se generan en cada uno de las gerencias financieras de las unidades ejecutoras responsables de la tramitación de las facturas (fases 1, 2, 3 7 y 8 del cuadro 3).</w:t>
      </w:r>
    </w:p>
    <w:p w:rsidR="002E09E9" w:rsidRDefault="002E09E9" w:rsidP="00E80005">
      <w:pPr>
        <w:pStyle w:val="ListParagraph"/>
        <w:ind w:left="567"/>
      </w:pPr>
    </w:p>
    <w:p w:rsidR="00640E90" w:rsidRDefault="00640E90" w:rsidP="00B7608B">
      <w:pPr>
        <w:pStyle w:val="ListParagraph"/>
        <w:numPr>
          <w:ilvl w:val="0"/>
          <w:numId w:val="12"/>
        </w:numPr>
        <w:ind w:left="567" w:hanging="567"/>
      </w:pPr>
      <w:r>
        <w:t xml:space="preserve">En condiciones </w:t>
      </w:r>
      <w:r w:rsidR="001A6333">
        <w:t xml:space="preserve">de </w:t>
      </w:r>
      <w:r w:rsidR="001A6333" w:rsidRPr="00D17F63">
        <w:rPr>
          <w:i/>
        </w:rPr>
        <w:t>eficiencia</w:t>
      </w:r>
      <w:r w:rsidR="003F4617">
        <w:t>,</w:t>
      </w:r>
      <w:r>
        <w:t xml:space="preserve"> se estima </w:t>
      </w:r>
      <w:r w:rsidR="00DF203B">
        <w:t>que, independientemente</w:t>
      </w:r>
      <w:r w:rsidR="003F4617">
        <w:t xml:space="preserve"> de los montos, </w:t>
      </w:r>
      <w:r>
        <w:t>estos plazos deberían agregar</w:t>
      </w:r>
      <w:r w:rsidR="003F4617">
        <w:t xml:space="preserve"> no más de</w:t>
      </w:r>
      <w:r>
        <w:t xml:space="preserve"> ocho días </w:t>
      </w:r>
      <w:r w:rsidR="008F25DF">
        <w:t xml:space="preserve">hábiles </w:t>
      </w:r>
      <w:r>
        <w:t>a los tiempos límites es</w:t>
      </w:r>
      <w:r w:rsidR="003F4617">
        <w:t>tablecidos para la intervención</w:t>
      </w:r>
      <w:r>
        <w:t xml:space="preserve">. </w:t>
      </w:r>
      <w:r w:rsidR="003F4617">
        <w:t>Es decir, cualquiera sea el monto</w:t>
      </w:r>
      <w:r w:rsidR="002A42BD">
        <w:t xml:space="preserve"> de la factura</w:t>
      </w:r>
      <w:r w:rsidR="003F4617">
        <w:t xml:space="preserve">, las gerencias financieras de los incisos en régimen de eficiencia no deberían incurrir en más de </w:t>
      </w:r>
      <w:r w:rsidR="003F4617" w:rsidRPr="00AC4291">
        <w:rPr>
          <w:i/>
        </w:rPr>
        <w:t>ocho días</w:t>
      </w:r>
      <w:r w:rsidR="003F4617">
        <w:t xml:space="preserve"> </w:t>
      </w:r>
      <w:r w:rsidR="008F25DF" w:rsidRPr="008F25DF">
        <w:rPr>
          <w:i/>
        </w:rPr>
        <w:t>hábiles</w:t>
      </w:r>
      <w:r w:rsidR="008F25DF">
        <w:t xml:space="preserve"> </w:t>
      </w:r>
      <w:r w:rsidR="002A42BD">
        <w:t xml:space="preserve">adicionales a los normativos </w:t>
      </w:r>
      <w:r w:rsidR="003F4617">
        <w:t>para gestionar el pago.</w:t>
      </w:r>
    </w:p>
    <w:p w:rsidR="00640E90" w:rsidRDefault="00640E90" w:rsidP="00640E90">
      <w:pPr>
        <w:pStyle w:val="ListParagraph"/>
        <w:ind w:left="567"/>
      </w:pPr>
    </w:p>
    <w:p w:rsidR="00F357FC" w:rsidRDefault="00640E90" w:rsidP="00B7608B">
      <w:pPr>
        <w:pStyle w:val="ListParagraph"/>
        <w:numPr>
          <w:ilvl w:val="0"/>
          <w:numId w:val="12"/>
        </w:numPr>
        <w:ind w:left="567" w:hanging="567"/>
      </w:pPr>
      <w:r w:rsidRPr="009770CE">
        <w:t>Por lo tanto, el tiempo</w:t>
      </w:r>
      <w:r w:rsidR="009770CE" w:rsidRPr="009770CE">
        <w:t xml:space="preserve"> total de un proceso eficiente </w:t>
      </w:r>
      <w:r w:rsidR="003F4617">
        <w:t xml:space="preserve">sería la suma de los </w:t>
      </w:r>
      <w:r w:rsidR="003F4617" w:rsidRPr="00D17F63">
        <w:rPr>
          <w:i/>
        </w:rPr>
        <w:t>tiempos legales</w:t>
      </w:r>
      <w:r w:rsidR="003F4617">
        <w:t xml:space="preserve">, que dependen del monto, y de los </w:t>
      </w:r>
      <w:r w:rsidR="003F4617" w:rsidRPr="00D17F63">
        <w:rPr>
          <w:i/>
        </w:rPr>
        <w:t>tiempos operacionales</w:t>
      </w:r>
      <w:r w:rsidR="003F4617">
        <w:t xml:space="preserve">, que dependen exclusivamente de la </w:t>
      </w:r>
      <w:r w:rsidR="00D17F63">
        <w:t>eficiencia operacional</w:t>
      </w:r>
      <w:r w:rsidR="00AC4291">
        <w:t xml:space="preserve"> (ocho días</w:t>
      </w:r>
      <w:r w:rsidR="008F25DF">
        <w:t xml:space="preserve"> hábiles</w:t>
      </w:r>
      <w:r w:rsidR="00AC4291">
        <w:t>)</w:t>
      </w:r>
      <w:r w:rsidR="003F4617">
        <w:t xml:space="preserve">. De acuerdo con estos criterios, la ejecución de </w:t>
      </w:r>
      <w:r w:rsidR="009770CE" w:rsidRPr="009770CE">
        <w:t>una obligación de pago oscila entre los 17 días</w:t>
      </w:r>
      <w:r w:rsidR="008F25DF">
        <w:t xml:space="preserve"> hábiles</w:t>
      </w:r>
      <w:r w:rsidR="009770CE" w:rsidRPr="009770CE">
        <w:t>, para montos inferiores a UYU 250.000, y 43 días</w:t>
      </w:r>
      <w:r w:rsidR="008F25DF">
        <w:t xml:space="preserve"> hábiles</w:t>
      </w:r>
      <w:r w:rsidR="009770CE" w:rsidRPr="009770CE">
        <w:t xml:space="preserve"> para montos superiores a UYU 5 millones. El plazo </w:t>
      </w:r>
      <w:r w:rsidR="009770CE">
        <w:t>para el rango medio de pago (entre UYU 250.000 y UYU 5 millones) se sitúa en 23 días</w:t>
      </w:r>
      <w:r w:rsidR="008F25DF">
        <w:t xml:space="preserve"> hábiles</w:t>
      </w:r>
      <w:r w:rsidR="009770CE">
        <w:t xml:space="preserve">. </w:t>
      </w:r>
    </w:p>
    <w:p w:rsidR="00F357FC" w:rsidRDefault="00F357FC" w:rsidP="00F357FC"/>
    <w:p w:rsidR="00D17F63" w:rsidRDefault="00F357FC" w:rsidP="00A21237">
      <w:pPr>
        <w:pStyle w:val="ListParagraph"/>
        <w:numPr>
          <w:ilvl w:val="0"/>
          <w:numId w:val="12"/>
        </w:numPr>
        <w:ind w:left="567" w:hanging="567"/>
      </w:pPr>
      <w:r>
        <w:t>El rango de montos de adquisiciones más frecuente es el de compras por importe inferior a UYU 250.000, que corresponde a un plazo de referencia de 17 días</w:t>
      </w:r>
      <w:r w:rsidR="008F25DF">
        <w:t xml:space="preserve"> hábiles</w:t>
      </w:r>
      <w:r>
        <w:t xml:space="preserve">. </w:t>
      </w:r>
      <w:r w:rsidR="00CB3984">
        <w:t xml:space="preserve">Es decir, la gran mayoría de las facturas tienen importes inferiores a UYU 250.000. </w:t>
      </w:r>
      <w:r>
        <w:t xml:space="preserve">Sin embargo, para el análisis </w:t>
      </w:r>
      <w:r w:rsidR="006E290B">
        <w:t xml:space="preserve">costo-beneficio </w:t>
      </w:r>
      <w:r>
        <w:t xml:space="preserve">se utilizará como </w:t>
      </w:r>
      <w:r w:rsidRPr="00D17F63">
        <w:rPr>
          <w:i/>
        </w:rPr>
        <w:t>referencia</w:t>
      </w:r>
      <w:r>
        <w:t xml:space="preserve"> (</w:t>
      </w:r>
      <w:r w:rsidRPr="00D17F63">
        <w:rPr>
          <w:i/>
        </w:rPr>
        <w:t>benchmark</w:t>
      </w:r>
      <w:r>
        <w:t xml:space="preserve">) el rango </w:t>
      </w:r>
      <w:r w:rsidR="008F25DF">
        <w:t xml:space="preserve">de facturas </w:t>
      </w:r>
      <w:r>
        <w:t xml:space="preserve">entre UYU 250.000 y UYU 5 millones, que corresponde a un plazo </w:t>
      </w:r>
      <w:r w:rsidR="008F25DF">
        <w:t xml:space="preserve">máximo </w:t>
      </w:r>
      <w:r>
        <w:t>de pago de 23 días</w:t>
      </w:r>
      <w:r w:rsidR="008F25DF">
        <w:t xml:space="preserve"> hábiles</w:t>
      </w:r>
      <w:r>
        <w:t>.</w:t>
      </w:r>
      <w:r w:rsidR="008F25DF">
        <w:t xml:space="preserve"> </w:t>
      </w:r>
    </w:p>
    <w:p w:rsidR="00D17F63" w:rsidRDefault="00D17F63" w:rsidP="00D17F63">
      <w:pPr>
        <w:pStyle w:val="ListParagraph"/>
      </w:pPr>
    </w:p>
    <w:p w:rsidR="00CE09BD" w:rsidRPr="009770CE" w:rsidRDefault="00640E7A" w:rsidP="00A21237">
      <w:pPr>
        <w:pStyle w:val="ListParagraph"/>
        <w:numPr>
          <w:ilvl w:val="0"/>
          <w:numId w:val="12"/>
        </w:numPr>
        <w:ind w:left="567" w:hanging="567"/>
      </w:pPr>
      <w:r>
        <w:t xml:space="preserve">Ahora bien, dado que la información </w:t>
      </w:r>
      <w:r w:rsidR="00CB3984">
        <w:t xml:space="preserve">disponible en el SIIF sobre el tiempo promedio </w:t>
      </w:r>
      <w:r w:rsidR="00C54AC3">
        <w:t xml:space="preserve">observado </w:t>
      </w:r>
      <w:r w:rsidR="00CB3984">
        <w:t xml:space="preserve">que dura la tramitación de facturas es en días calendarios, la meta de referencia de 23 días hábiles se transforma en </w:t>
      </w:r>
      <w:r w:rsidR="00CB3984" w:rsidRPr="00D17F63">
        <w:rPr>
          <w:i/>
        </w:rPr>
        <w:t>29 días calendario</w:t>
      </w:r>
      <w:r w:rsidR="00CB3984">
        <w:t xml:space="preserve">. Este último </w:t>
      </w:r>
      <w:r w:rsidR="00C54AC3">
        <w:t>dato es el que se utilizará como meta para confrontar con los plazos observados.</w:t>
      </w:r>
    </w:p>
    <w:p w:rsidR="00DB4D14" w:rsidRDefault="00DB4D14" w:rsidP="007F442B"/>
    <w:p w:rsidR="00DB4D14" w:rsidRPr="00DB4D14" w:rsidRDefault="00DB4D14" w:rsidP="00DB4D14">
      <w:pPr>
        <w:pStyle w:val="Heading3"/>
        <w:numPr>
          <w:ilvl w:val="2"/>
          <w:numId w:val="27"/>
        </w:numPr>
        <w:tabs>
          <w:tab w:val="clear" w:pos="720"/>
        </w:tabs>
        <w:ind w:left="993" w:hanging="437"/>
        <w:rPr>
          <w:u w:val="single"/>
        </w:rPr>
      </w:pPr>
      <w:bookmarkStart w:id="25" w:name="_Toc373498447"/>
      <w:r w:rsidRPr="00DB4D14">
        <w:rPr>
          <w:u w:val="single"/>
        </w:rPr>
        <w:lastRenderedPageBreak/>
        <w:t xml:space="preserve">Montos y plazos </w:t>
      </w:r>
      <w:r w:rsidR="00C54AC3">
        <w:rPr>
          <w:u w:val="single"/>
        </w:rPr>
        <w:t>observados</w:t>
      </w:r>
      <w:bookmarkEnd w:id="25"/>
    </w:p>
    <w:p w:rsidR="00640E90" w:rsidRDefault="00704DBA" w:rsidP="009770CE">
      <w:pPr>
        <w:pStyle w:val="ListParagraph"/>
        <w:numPr>
          <w:ilvl w:val="0"/>
          <w:numId w:val="12"/>
        </w:numPr>
        <w:ind w:left="567" w:hanging="567"/>
      </w:pPr>
      <w:bookmarkStart w:id="26" w:name="_Ref370317319"/>
      <w:r>
        <w:t xml:space="preserve">Una vez establecida la meta de referencia, el siguiente paso </w:t>
      </w:r>
      <w:r w:rsidR="00D17F63">
        <w:t>consiste en</w:t>
      </w:r>
      <w:r>
        <w:t xml:space="preserve"> estimar los plazos </w:t>
      </w:r>
      <w:r w:rsidR="00D17F63">
        <w:t>observados en el actual proceso de tramitación de facturas. Para ello</w:t>
      </w:r>
      <w:r w:rsidR="009770CE">
        <w:t xml:space="preserve"> </w:t>
      </w:r>
      <w:r w:rsidR="00C95967">
        <w:t xml:space="preserve">se </w:t>
      </w:r>
      <w:r w:rsidR="00D17F63">
        <w:t xml:space="preserve">seleccionaron todos los organismos de la Administración Central (ministerios y organismos del artículo 220 de la Constitución) y se </w:t>
      </w:r>
      <w:r w:rsidR="00C95967">
        <w:t xml:space="preserve">analizaron los datos </w:t>
      </w:r>
      <w:r w:rsidR="009770CE">
        <w:t xml:space="preserve">disponibles del SIIF </w:t>
      </w:r>
      <w:r w:rsidR="00A71A58">
        <w:t xml:space="preserve">(año 2012) </w:t>
      </w:r>
      <w:r w:rsidR="00C95967">
        <w:t xml:space="preserve">para los siguientes procedimientos de compras </w:t>
      </w:r>
      <w:r w:rsidR="00B056FE">
        <w:t xml:space="preserve">que son los utilizados en </w:t>
      </w:r>
      <w:r w:rsidR="00C95967">
        <w:t>casi</w:t>
      </w:r>
      <w:r w:rsidR="00B056FE">
        <w:t xml:space="preserve"> </w:t>
      </w:r>
      <w:r w:rsidR="00024096">
        <w:t xml:space="preserve">el </w:t>
      </w:r>
      <w:r w:rsidR="00B056FE">
        <w:t>100% de los casos</w:t>
      </w:r>
      <w:bookmarkEnd w:id="26"/>
      <w:r w:rsidR="006E290B">
        <w:t xml:space="preserve"> de adquisiciones</w:t>
      </w:r>
      <w:r w:rsidR="00C11F79">
        <w:t>:</w:t>
      </w:r>
    </w:p>
    <w:p w:rsidR="003D162D" w:rsidRDefault="003D162D" w:rsidP="003D162D">
      <w:pPr>
        <w:pStyle w:val="ListParagraph"/>
      </w:pPr>
    </w:p>
    <w:p w:rsidR="00A71A58" w:rsidRPr="00A71A58" w:rsidRDefault="00A71A58" w:rsidP="00A71A58">
      <w:pPr>
        <w:numPr>
          <w:ilvl w:val="0"/>
          <w:numId w:val="20"/>
        </w:numPr>
      </w:pPr>
      <w:r w:rsidRPr="00A71A58">
        <w:t>Compra Directa</w:t>
      </w:r>
    </w:p>
    <w:p w:rsidR="00A71A58" w:rsidRPr="00A71A58" w:rsidRDefault="00A71A58" w:rsidP="00A71A58">
      <w:pPr>
        <w:numPr>
          <w:ilvl w:val="0"/>
          <w:numId w:val="20"/>
        </w:numPr>
      </w:pPr>
      <w:r w:rsidRPr="00A71A58">
        <w:t>Compra Directa por Excepción</w:t>
      </w:r>
    </w:p>
    <w:p w:rsidR="00A71A58" w:rsidRPr="00A71A58" w:rsidRDefault="00A71A58" w:rsidP="00A71A58">
      <w:pPr>
        <w:numPr>
          <w:ilvl w:val="0"/>
          <w:numId w:val="20"/>
        </w:numPr>
      </w:pPr>
      <w:r w:rsidRPr="00A71A58">
        <w:t>Licitación Abreviada</w:t>
      </w:r>
    </w:p>
    <w:p w:rsidR="00A71A58" w:rsidRPr="00A71A58" w:rsidRDefault="00A71A58" w:rsidP="00A71A58">
      <w:pPr>
        <w:numPr>
          <w:ilvl w:val="0"/>
          <w:numId w:val="20"/>
        </w:numPr>
      </w:pPr>
      <w:r w:rsidRPr="00A71A58">
        <w:t>Licitación Pública</w:t>
      </w:r>
    </w:p>
    <w:p w:rsidR="003D162D" w:rsidRDefault="003D162D" w:rsidP="003D162D"/>
    <w:p w:rsidR="00C95967" w:rsidRDefault="00C95967" w:rsidP="00C95967">
      <w:pPr>
        <w:pStyle w:val="ListParagraph"/>
        <w:numPr>
          <w:ilvl w:val="0"/>
          <w:numId w:val="12"/>
        </w:numPr>
        <w:ind w:left="567" w:hanging="567"/>
      </w:pPr>
      <w:r>
        <w:t xml:space="preserve">El resultado del ejercicio muestra </w:t>
      </w:r>
      <w:r w:rsidR="00FB5013">
        <w:t>una duración</w:t>
      </w:r>
      <w:r>
        <w:t xml:space="preserve"> </w:t>
      </w:r>
      <w:r w:rsidRPr="00CF287F">
        <w:rPr>
          <w:i/>
        </w:rPr>
        <w:t>promedio</w:t>
      </w:r>
      <w:r>
        <w:t xml:space="preserve"> de </w:t>
      </w:r>
      <w:r w:rsidR="002D43A0">
        <w:t>51</w:t>
      </w:r>
      <w:r>
        <w:t xml:space="preserve"> días </w:t>
      </w:r>
      <w:r w:rsidR="002D43A0">
        <w:t xml:space="preserve">calendario </w:t>
      </w:r>
      <w:r>
        <w:t xml:space="preserve">para </w:t>
      </w:r>
      <w:r w:rsidR="006E290B">
        <w:t>la tramitación de las facturas</w:t>
      </w:r>
      <w:r w:rsidR="00B0180C" w:rsidRPr="00B0180C">
        <w:t xml:space="preserve"> </w:t>
      </w:r>
      <w:r w:rsidR="00B0180C">
        <w:t>en los procesos de compra analizados</w:t>
      </w:r>
      <w:r w:rsidR="006E290B">
        <w:t xml:space="preserve">, es decir, desde que se recibe </w:t>
      </w:r>
      <w:r w:rsidR="00024096">
        <w:t xml:space="preserve">la factura </w:t>
      </w:r>
      <w:r w:rsidR="006E290B">
        <w:t>en la unidad ejecutora hasta que se prioriza su pago</w:t>
      </w:r>
      <w:r>
        <w:t>.</w:t>
      </w:r>
    </w:p>
    <w:p w:rsidR="00C95967" w:rsidRDefault="00C95967" w:rsidP="003D162D"/>
    <w:p w:rsidR="00C95967" w:rsidRPr="00C95967" w:rsidRDefault="00C95967" w:rsidP="00C95967">
      <w:pPr>
        <w:pStyle w:val="Heading3"/>
        <w:numPr>
          <w:ilvl w:val="2"/>
          <w:numId w:val="27"/>
        </w:numPr>
        <w:tabs>
          <w:tab w:val="clear" w:pos="720"/>
        </w:tabs>
        <w:ind w:left="993" w:hanging="437"/>
        <w:rPr>
          <w:u w:val="single"/>
        </w:rPr>
      </w:pPr>
      <w:bookmarkStart w:id="27" w:name="_Toc373498448"/>
      <w:r w:rsidRPr="00C95967">
        <w:rPr>
          <w:u w:val="single"/>
        </w:rPr>
        <w:t>Análisis de diferencias (</w:t>
      </w:r>
      <w:r w:rsidR="00A21237">
        <w:rPr>
          <w:u w:val="single"/>
        </w:rPr>
        <w:t>observado</w:t>
      </w:r>
      <w:r w:rsidRPr="00C95967">
        <w:rPr>
          <w:u w:val="single"/>
        </w:rPr>
        <w:t xml:space="preserve"> versus referencia)</w:t>
      </w:r>
      <w:bookmarkEnd w:id="27"/>
    </w:p>
    <w:p w:rsidR="00DC7606" w:rsidRDefault="00FE4BE2" w:rsidP="00C95967">
      <w:pPr>
        <w:pStyle w:val="ListParagraph"/>
        <w:numPr>
          <w:ilvl w:val="0"/>
          <w:numId w:val="12"/>
        </w:numPr>
        <w:ind w:left="567" w:hanging="567"/>
      </w:pPr>
      <w:bookmarkStart w:id="28" w:name="_Ref370317297"/>
      <w:r>
        <w:t>El cuadro 4 muestra</w:t>
      </w:r>
      <w:r w:rsidR="00C95967">
        <w:t xml:space="preserve"> </w:t>
      </w:r>
      <w:r w:rsidR="00DC7606">
        <w:t xml:space="preserve">la ineficiencia observada (INEF), medida como la diferencia </w:t>
      </w:r>
      <w:r w:rsidR="00C95967">
        <w:t xml:space="preserve">entre el tiempo </w:t>
      </w:r>
      <w:r w:rsidR="00CF287F">
        <w:t>promedio</w:t>
      </w:r>
      <w:r w:rsidR="00C95967">
        <w:t xml:space="preserve"> </w:t>
      </w:r>
      <w:r w:rsidR="00DC7606">
        <w:t>observado (OBSPROM</w:t>
      </w:r>
      <w:r w:rsidR="00C95967">
        <w:t xml:space="preserve">) y </w:t>
      </w:r>
      <w:r w:rsidR="00704DBA">
        <w:t>el plazo</w:t>
      </w:r>
      <w:r w:rsidR="00DC7606">
        <w:t xml:space="preserve"> utilizado</w:t>
      </w:r>
      <w:r w:rsidR="00C95967">
        <w:t xml:space="preserve"> como</w:t>
      </w:r>
      <w:r w:rsidR="00DC7606">
        <w:t xml:space="preserve"> meta de </w:t>
      </w:r>
      <w:r w:rsidR="00C95967" w:rsidRPr="00C95967">
        <w:t>referencia</w:t>
      </w:r>
      <w:r w:rsidR="00DC7606">
        <w:t xml:space="preserve"> (META</w:t>
      </w:r>
      <w:r w:rsidR="00C95967">
        <w:t xml:space="preserve">). </w:t>
      </w:r>
    </w:p>
    <w:p w:rsidR="00DC7606" w:rsidRDefault="00DC7606" w:rsidP="00DC7606">
      <w:pPr>
        <w:pStyle w:val="ListParagraph"/>
        <w:ind w:left="567"/>
      </w:pPr>
    </w:p>
    <w:p w:rsidR="00DC7606" w:rsidRDefault="00DC7606" w:rsidP="00DC7606">
      <w:pPr>
        <w:pStyle w:val="ListParagraph"/>
        <w:ind w:left="567"/>
      </w:pPr>
      <m:oMathPara>
        <m:oMath>
          <m:r>
            <w:rPr>
              <w:rFonts w:ascii="Cambria Math" w:hAnsi="Cambria Math"/>
            </w:rPr>
            <m:t>INEF=OBSPROM-META</m:t>
          </m:r>
        </m:oMath>
      </m:oMathPara>
    </w:p>
    <w:bookmarkEnd w:id="28"/>
    <w:p w:rsidR="00C95967" w:rsidRDefault="00C95967" w:rsidP="003D162D"/>
    <w:p w:rsidR="00B056FE" w:rsidRPr="00D177C1" w:rsidRDefault="00B056FE" w:rsidP="0096632A">
      <w:pPr>
        <w:pStyle w:val="ListParagraph"/>
        <w:spacing w:after="60"/>
        <w:ind w:left="2268" w:right="1842"/>
        <w:jc w:val="center"/>
        <w:rPr>
          <w:b/>
          <w:sz w:val="20"/>
        </w:rPr>
      </w:pPr>
      <w:r>
        <w:rPr>
          <w:b/>
          <w:sz w:val="20"/>
        </w:rPr>
        <w:t>Cuadro 4</w:t>
      </w:r>
      <w:r w:rsidRPr="00D177C1">
        <w:rPr>
          <w:b/>
          <w:sz w:val="20"/>
        </w:rPr>
        <w:t xml:space="preserve">. </w:t>
      </w:r>
      <w:r>
        <w:rPr>
          <w:b/>
          <w:sz w:val="20"/>
        </w:rPr>
        <w:t xml:space="preserve">Diferencias entre </w:t>
      </w:r>
      <w:r w:rsidR="0096632A">
        <w:rPr>
          <w:b/>
          <w:sz w:val="20"/>
        </w:rPr>
        <w:t>días</w:t>
      </w:r>
      <w:r>
        <w:rPr>
          <w:b/>
          <w:sz w:val="20"/>
        </w:rPr>
        <w:t xml:space="preserve"> </w:t>
      </w:r>
      <w:r w:rsidR="002511AA">
        <w:rPr>
          <w:b/>
          <w:sz w:val="20"/>
        </w:rPr>
        <w:t>promedio</w:t>
      </w:r>
      <w:r>
        <w:rPr>
          <w:b/>
          <w:sz w:val="20"/>
        </w:rPr>
        <w:t xml:space="preserve"> </w:t>
      </w:r>
      <w:r w:rsidR="00024096">
        <w:rPr>
          <w:b/>
          <w:sz w:val="20"/>
        </w:rPr>
        <w:t>observados</w:t>
      </w:r>
      <w:r w:rsidR="0096632A">
        <w:rPr>
          <w:b/>
          <w:sz w:val="20"/>
        </w:rPr>
        <w:t xml:space="preserve"> </w:t>
      </w:r>
      <w:r>
        <w:rPr>
          <w:b/>
          <w:sz w:val="20"/>
        </w:rPr>
        <w:t xml:space="preserve">y </w:t>
      </w:r>
      <w:r w:rsidR="00F36E34">
        <w:rPr>
          <w:b/>
          <w:sz w:val="20"/>
        </w:rPr>
        <w:t>días</w:t>
      </w:r>
      <w:r>
        <w:rPr>
          <w:b/>
          <w:sz w:val="20"/>
        </w:rPr>
        <w:t xml:space="preserve"> </w:t>
      </w:r>
      <w:r w:rsidR="0096632A">
        <w:rPr>
          <w:b/>
          <w:sz w:val="20"/>
        </w:rPr>
        <w:t xml:space="preserve">meta </w:t>
      </w:r>
      <w:r>
        <w:rPr>
          <w:b/>
          <w:sz w:val="20"/>
        </w:rPr>
        <w:t>de referencia</w:t>
      </w:r>
    </w:p>
    <w:tbl>
      <w:tblPr>
        <w:tblW w:w="5387" w:type="dxa"/>
        <w:tblInd w:w="2268" w:type="dxa"/>
        <w:tblCellMar>
          <w:left w:w="70" w:type="dxa"/>
          <w:right w:w="70" w:type="dxa"/>
        </w:tblCellMar>
        <w:tblLook w:val="04A0" w:firstRow="1" w:lastRow="0" w:firstColumn="1" w:lastColumn="0" w:noHBand="0" w:noVBand="1"/>
      </w:tblPr>
      <w:tblGrid>
        <w:gridCol w:w="3027"/>
        <w:gridCol w:w="2360"/>
      </w:tblGrid>
      <w:tr w:rsidR="002D43A0" w:rsidRPr="00CE09BD" w:rsidTr="002D43A0">
        <w:trPr>
          <w:trHeight w:val="20"/>
        </w:trPr>
        <w:tc>
          <w:tcPr>
            <w:tcW w:w="3027" w:type="dxa"/>
            <w:tcBorders>
              <w:top w:val="single" w:sz="4" w:space="0" w:color="auto"/>
            </w:tcBorders>
            <w:shd w:val="clear" w:color="auto" w:fill="D9D9D9" w:themeFill="background1" w:themeFillShade="D9"/>
            <w:noWrap/>
            <w:vAlign w:val="bottom"/>
            <w:hideMark/>
          </w:tcPr>
          <w:p w:rsidR="002D43A0" w:rsidRPr="00CE09BD" w:rsidRDefault="002D43A0" w:rsidP="00C95967">
            <w:pPr>
              <w:jc w:val="left"/>
              <w:rPr>
                <w:b/>
                <w:bCs/>
                <w:color w:val="000000"/>
                <w:sz w:val="20"/>
                <w:szCs w:val="20"/>
              </w:rPr>
            </w:pPr>
            <w:r>
              <w:rPr>
                <w:b/>
                <w:bCs/>
                <w:color w:val="000000"/>
                <w:sz w:val="20"/>
                <w:szCs w:val="20"/>
              </w:rPr>
              <w:t>Fases</w:t>
            </w:r>
          </w:p>
        </w:tc>
        <w:tc>
          <w:tcPr>
            <w:tcW w:w="2360" w:type="dxa"/>
            <w:tcBorders>
              <w:top w:val="single" w:sz="4" w:space="0" w:color="auto"/>
            </w:tcBorders>
            <w:shd w:val="clear" w:color="auto" w:fill="D9D9D9" w:themeFill="background1" w:themeFillShade="D9"/>
            <w:noWrap/>
            <w:vAlign w:val="bottom"/>
            <w:hideMark/>
          </w:tcPr>
          <w:p w:rsidR="002D43A0" w:rsidRPr="00CE09BD" w:rsidRDefault="002D43A0" w:rsidP="00C95967">
            <w:pPr>
              <w:jc w:val="center"/>
              <w:rPr>
                <w:b/>
                <w:bCs/>
                <w:color w:val="000000"/>
                <w:sz w:val="20"/>
                <w:szCs w:val="20"/>
              </w:rPr>
            </w:pPr>
            <w:r w:rsidRPr="00CE09BD">
              <w:rPr>
                <w:b/>
                <w:bCs/>
                <w:color w:val="000000"/>
                <w:sz w:val="20"/>
                <w:szCs w:val="20"/>
              </w:rPr>
              <w:t>Días</w:t>
            </w:r>
          </w:p>
        </w:tc>
      </w:tr>
      <w:tr w:rsidR="002D43A0" w:rsidRPr="00CE09BD" w:rsidTr="002D43A0">
        <w:trPr>
          <w:trHeight w:val="20"/>
        </w:trPr>
        <w:tc>
          <w:tcPr>
            <w:tcW w:w="3027" w:type="dxa"/>
            <w:tcBorders>
              <w:bottom w:val="single" w:sz="4" w:space="0" w:color="auto"/>
            </w:tcBorders>
            <w:shd w:val="clear" w:color="auto" w:fill="D9D9D9" w:themeFill="background1" w:themeFillShade="D9"/>
            <w:noWrap/>
            <w:vAlign w:val="bottom"/>
            <w:hideMark/>
          </w:tcPr>
          <w:p w:rsidR="002D43A0" w:rsidRPr="00CE09BD" w:rsidRDefault="002D43A0" w:rsidP="00C95967">
            <w:pPr>
              <w:jc w:val="right"/>
              <w:rPr>
                <w:b/>
                <w:bCs/>
                <w:color w:val="000000"/>
                <w:sz w:val="20"/>
                <w:szCs w:val="20"/>
              </w:rPr>
            </w:pPr>
            <w:r>
              <w:rPr>
                <w:b/>
                <w:bCs/>
                <w:color w:val="000000"/>
                <w:sz w:val="20"/>
                <w:szCs w:val="20"/>
              </w:rPr>
              <w:t>Rango</w:t>
            </w:r>
          </w:p>
        </w:tc>
        <w:tc>
          <w:tcPr>
            <w:tcW w:w="2360" w:type="dxa"/>
            <w:tcBorders>
              <w:bottom w:val="single" w:sz="4" w:space="0" w:color="auto"/>
            </w:tcBorders>
            <w:shd w:val="clear" w:color="auto" w:fill="D9D9D9" w:themeFill="background1" w:themeFillShade="D9"/>
            <w:vAlign w:val="bottom"/>
            <w:hideMark/>
          </w:tcPr>
          <w:p w:rsidR="002D43A0" w:rsidRPr="00CE09BD" w:rsidRDefault="002D43A0" w:rsidP="00C95967">
            <w:pPr>
              <w:jc w:val="center"/>
              <w:rPr>
                <w:color w:val="000000"/>
                <w:sz w:val="20"/>
                <w:szCs w:val="20"/>
              </w:rPr>
            </w:pPr>
            <w:r w:rsidRPr="00CE09BD">
              <w:rPr>
                <w:color w:val="000000"/>
                <w:sz w:val="20"/>
                <w:szCs w:val="20"/>
              </w:rPr>
              <w:t>&gt;250 mil y &lt; 5 millones</w:t>
            </w:r>
          </w:p>
        </w:tc>
      </w:tr>
      <w:tr w:rsidR="002D43A0" w:rsidRPr="00CE09BD" w:rsidTr="002D43A0">
        <w:trPr>
          <w:trHeight w:val="20"/>
        </w:trPr>
        <w:tc>
          <w:tcPr>
            <w:tcW w:w="3027" w:type="dxa"/>
            <w:shd w:val="clear" w:color="auto" w:fill="auto"/>
            <w:noWrap/>
            <w:vAlign w:val="bottom"/>
          </w:tcPr>
          <w:p w:rsidR="002D43A0" w:rsidRDefault="00DC7606" w:rsidP="00DC7606">
            <w:pPr>
              <w:pStyle w:val="ListParagraph"/>
              <w:numPr>
                <w:ilvl w:val="0"/>
                <w:numId w:val="31"/>
              </w:numPr>
              <w:jc w:val="left"/>
              <w:rPr>
                <w:color w:val="000000"/>
                <w:sz w:val="20"/>
                <w:szCs w:val="20"/>
              </w:rPr>
            </w:pPr>
            <w:r>
              <w:rPr>
                <w:color w:val="000000"/>
                <w:sz w:val="20"/>
                <w:szCs w:val="20"/>
              </w:rPr>
              <w:t>Días</w:t>
            </w:r>
            <w:r w:rsidR="00024096" w:rsidRPr="00B056FE">
              <w:rPr>
                <w:color w:val="000000"/>
                <w:sz w:val="20"/>
                <w:szCs w:val="20"/>
              </w:rPr>
              <w:t xml:space="preserve"> </w:t>
            </w:r>
            <w:r w:rsidR="00024096">
              <w:rPr>
                <w:color w:val="000000"/>
                <w:sz w:val="20"/>
                <w:szCs w:val="20"/>
              </w:rPr>
              <w:t xml:space="preserve">promedio </w:t>
            </w:r>
            <w:r>
              <w:rPr>
                <w:color w:val="000000"/>
                <w:sz w:val="20"/>
                <w:szCs w:val="20"/>
              </w:rPr>
              <w:t>observados</w:t>
            </w:r>
          </w:p>
        </w:tc>
        <w:tc>
          <w:tcPr>
            <w:tcW w:w="2360" w:type="dxa"/>
            <w:shd w:val="clear" w:color="auto" w:fill="auto"/>
            <w:noWrap/>
            <w:vAlign w:val="bottom"/>
          </w:tcPr>
          <w:p w:rsidR="002D43A0" w:rsidRDefault="002D43A0" w:rsidP="00B056FE">
            <w:pPr>
              <w:jc w:val="center"/>
              <w:rPr>
                <w:color w:val="000000"/>
                <w:sz w:val="20"/>
                <w:szCs w:val="20"/>
              </w:rPr>
            </w:pPr>
            <w:r>
              <w:rPr>
                <w:color w:val="000000"/>
                <w:sz w:val="20"/>
                <w:szCs w:val="20"/>
              </w:rPr>
              <w:t>51</w:t>
            </w:r>
          </w:p>
        </w:tc>
      </w:tr>
      <w:tr w:rsidR="002D43A0" w:rsidRPr="00CE09BD" w:rsidTr="002D43A0">
        <w:trPr>
          <w:trHeight w:val="20"/>
        </w:trPr>
        <w:tc>
          <w:tcPr>
            <w:tcW w:w="3027" w:type="dxa"/>
            <w:shd w:val="clear" w:color="auto" w:fill="auto"/>
            <w:noWrap/>
            <w:vAlign w:val="bottom"/>
          </w:tcPr>
          <w:p w:rsidR="002D43A0" w:rsidRPr="00B056FE" w:rsidRDefault="002D43A0" w:rsidP="00DC7606">
            <w:pPr>
              <w:pStyle w:val="ListParagraph"/>
              <w:numPr>
                <w:ilvl w:val="0"/>
                <w:numId w:val="31"/>
              </w:numPr>
              <w:jc w:val="left"/>
              <w:rPr>
                <w:color w:val="000000"/>
                <w:sz w:val="20"/>
                <w:szCs w:val="20"/>
              </w:rPr>
            </w:pPr>
            <w:r>
              <w:rPr>
                <w:color w:val="000000"/>
                <w:sz w:val="20"/>
                <w:szCs w:val="20"/>
              </w:rPr>
              <w:t xml:space="preserve">Días de </w:t>
            </w:r>
            <w:r w:rsidR="00DC7606">
              <w:rPr>
                <w:color w:val="000000"/>
                <w:sz w:val="20"/>
                <w:szCs w:val="20"/>
              </w:rPr>
              <w:t>meta de referencia</w:t>
            </w:r>
          </w:p>
        </w:tc>
        <w:tc>
          <w:tcPr>
            <w:tcW w:w="2360" w:type="dxa"/>
            <w:shd w:val="clear" w:color="auto" w:fill="auto"/>
            <w:noWrap/>
            <w:vAlign w:val="bottom"/>
          </w:tcPr>
          <w:p w:rsidR="002D43A0" w:rsidRPr="00CE09BD" w:rsidRDefault="0096632A" w:rsidP="00B056FE">
            <w:pPr>
              <w:jc w:val="center"/>
              <w:rPr>
                <w:color w:val="000000"/>
                <w:sz w:val="20"/>
                <w:szCs w:val="20"/>
              </w:rPr>
            </w:pPr>
            <w:r>
              <w:rPr>
                <w:color w:val="000000"/>
                <w:sz w:val="20"/>
                <w:szCs w:val="20"/>
              </w:rPr>
              <w:t>29</w:t>
            </w:r>
          </w:p>
        </w:tc>
      </w:tr>
      <w:tr w:rsidR="002D43A0" w:rsidRPr="00CE09BD" w:rsidTr="002D43A0">
        <w:trPr>
          <w:trHeight w:val="20"/>
        </w:trPr>
        <w:tc>
          <w:tcPr>
            <w:tcW w:w="3027" w:type="dxa"/>
            <w:tcBorders>
              <w:top w:val="single" w:sz="4" w:space="0" w:color="auto"/>
              <w:bottom w:val="single" w:sz="4" w:space="0" w:color="auto"/>
            </w:tcBorders>
            <w:shd w:val="clear" w:color="auto" w:fill="auto"/>
            <w:noWrap/>
            <w:vAlign w:val="bottom"/>
            <w:hideMark/>
          </w:tcPr>
          <w:p w:rsidR="002D43A0" w:rsidRPr="00CE09BD" w:rsidRDefault="002D43A0" w:rsidP="00B056FE">
            <w:pPr>
              <w:jc w:val="left"/>
              <w:rPr>
                <w:b/>
                <w:sz w:val="20"/>
                <w:szCs w:val="20"/>
              </w:rPr>
            </w:pPr>
            <w:r>
              <w:rPr>
                <w:b/>
                <w:sz w:val="20"/>
                <w:szCs w:val="20"/>
              </w:rPr>
              <w:t>Diferencia (A-B)</w:t>
            </w:r>
          </w:p>
        </w:tc>
        <w:tc>
          <w:tcPr>
            <w:tcW w:w="2360" w:type="dxa"/>
            <w:tcBorders>
              <w:top w:val="single" w:sz="4" w:space="0" w:color="auto"/>
              <w:bottom w:val="single" w:sz="4" w:space="0" w:color="auto"/>
            </w:tcBorders>
            <w:shd w:val="clear" w:color="auto" w:fill="auto"/>
            <w:noWrap/>
            <w:vAlign w:val="bottom"/>
            <w:hideMark/>
          </w:tcPr>
          <w:p w:rsidR="002D43A0" w:rsidRPr="00B056FE" w:rsidRDefault="0096632A" w:rsidP="00B056FE">
            <w:pPr>
              <w:jc w:val="center"/>
              <w:rPr>
                <w:b/>
                <w:color w:val="000000"/>
                <w:sz w:val="20"/>
                <w:szCs w:val="20"/>
              </w:rPr>
            </w:pPr>
            <w:r>
              <w:rPr>
                <w:b/>
                <w:color w:val="000000"/>
                <w:sz w:val="20"/>
                <w:szCs w:val="20"/>
              </w:rPr>
              <w:t>22</w:t>
            </w:r>
          </w:p>
        </w:tc>
      </w:tr>
    </w:tbl>
    <w:p w:rsidR="00B056FE" w:rsidRPr="00DC7606" w:rsidRDefault="00DC7606" w:rsidP="00DC7606">
      <w:pPr>
        <w:ind w:left="2268"/>
        <w:rPr>
          <w:sz w:val="18"/>
        </w:rPr>
      </w:pPr>
      <w:r w:rsidRPr="00DC7606">
        <w:rPr>
          <w:sz w:val="18"/>
        </w:rPr>
        <w:t>En días calendario.</w:t>
      </w:r>
    </w:p>
    <w:p w:rsidR="00DC7606" w:rsidRDefault="00DC7606" w:rsidP="003D162D"/>
    <w:p w:rsidR="00BE36AA" w:rsidRDefault="009D4AC4" w:rsidP="009D4AC4">
      <w:pPr>
        <w:pStyle w:val="ListParagraph"/>
        <w:numPr>
          <w:ilvl w:val="0"/>
          <w:numId w:val="12"/>
        </w:numPr>
        <w:ind w:left="567" w:hanging="567"/>
      </w:pPr>
      <w:r>
        <w:t>Esta diferencia es de 22 d</w:t>
      </w:r>
      <w:r w:rsidR="00A14B6D">
        <w:t xml:space="preserve">ías calendario, durante los cuales los proveedores están soportando demoras en el cobro de sus facturas debido a ineficiencias en el proceso de tramitación </w:t>
      </w:r>
      <w:r w:rsidR="00DB5BBF">
        <w:t xml:space="preserve">más allá de lo que se considera </w:t>
      </w:r>
      <w:r w:rsidR="00EE0353">
        <w:t xml:space="preserve">la meta de referencia. </w:t>
      </w:r>
    </w:p>
    <w:p w:rsidR="00BE36AA" w:rsidRDefault="00BE36AA" w:rsidP="003D162D"/>
    <w:p w:rsidR="000D481B" w:rsidRPr="00A21237" w:rsidRDefault="00B30022" w:rsidP="000D481B">
      <w:pPr>
        <w:pStyle w:val="Heading3"/>
        <w:numPr>
          <w:ilvl w:val="2"/>
          <w:numId w:val="27"/>
        </w:numPr>
        <w:tabs>
          <w:tab w:val="clear" w:pos="720"/>
        </w:tabs>
        <w:ind w:left="993" w:hanging="437"/>
        <w:rPr>
          <w:u w:val="single"/>
        </w:rPr>
      </w:pPr>
      <w:bookmarkStart w:id="29" w:name="_Toc373498449"/>
      <w:r>
        <w:rPr>
          <w:u w:val="single"/>
        </w:rPr>
        <w:t>Estimación del costo</w:t>
      </w:r>
      <w:bookmarkEnd w:id="29"/>
      <w:r w:rsidR="000D481B" w:rsidRPr="00A21237">
        <w:rPr>
          <w:u w:val="single"/>
        </w:rPr>
        <w:t xml:space="preserve"> </w:t>
      </w:r>
    </w:p>
    <w:p w:rsidR="00EE0353" w:rsidRDefault="00EE0353" w:rsidP="00A21237">
      <w:pPr>
        <w:pStyle w:val="ListParagraph"/>
        <w:numPr>
          <w:ilvl w:val="0"/>
          <w:numId w:val="12"/>
        </w:numPr>
        <w:ind w:left="567" w:hanging="567"/>
      </w:pPr>
      <w:r>
        <w:t>Esta diferencia de 22 días calendario como indicador de ineficiencia operativa puede generar dos tipos de efectos</w:t>
      </w:r>
      <w:r w:rsidR="00A21237">
        <w:t>,</w:t>
      </w:r>
      <w:r>
        <w:t xml:space="preserve"> no necesariamente excluyentes</w:t>
      </w:r>
      <w:r w:rsidR="00A21237">
        <w:t>, en términos de costos</w:t>
      </w:r>
      <w:r>
        <w:t xml:space="preserve">: </w:t>
      </w:r>
    </w:p>
    <w:p w:rsidR="00EE0353" w:rsidRDefault="00EE0353" w:rsidP="00EE0353">
      <w:pPr>
        <w:pStyle w:val="ListParagraph"/>
      </w:pPr>
    </w:p>
    <w:p w:rsidR="00EE0353" w:rsidRDefault="00EE0353" w:rsidP="00EE0353">
      <w:pPr>
        <w:pStyle w:val="ListParagraph"/>
        <w:numPr>
          <w:ilvl w:val="0"/>
          <w:numId w:val="29"/>
        </w:numPr>
      </w:pPr>
      <w:r>
        <w:t xml:space="preserve">Incremento en los costos de financiamiento de los proveedores, que deben soportar plazos de cobro por encima de los plazos que podrían cobrar si el proceso de tramitación de facturas fuera eficiente. </w:t>
      </w:r>
      <w:r w:rsidR="00D51207">
        <w:t>L</w:t>
      </w:r>
      <w:r>
        <w:t>os proveedores del Estado financian la actividad del sector público a costos de mercado cuando esos recursos podrían utilizarlos para otros fines alternativos. Estos costos de oportunidad o sobrecostos deberán ser absorbidos en los resultados económicos de la empresa proveedora, con el consiguiente perjuicio económico por ello.</w:t>
      </w:r>
    </w:p>
    <w:p w:rsidR="00CA6060" w:rsidRDefault="00EE0353" w:rsidP="00EE0353">
      <w:pPr>
        <w:pStyle w:val="ListParagraph"/>
        <w:numPr>
          <w:ilvl w:val="0"/>
          <w:numId w:val="29"/>
        </w:numPr>
      </w:pPr>
      <w:r>
        <w:t>Incremento de los costos de compra por parte de la administración pública. Es decir, ante la eventualidad de una demora excesiva en los pagos, los proveedores pueden</w:t>
      </w:r>
      <w:r w:rsidR="00D51207">
        <w:t xml:space="preserve"> verse tentados a</w:t>
      </w:r>
      <w:r>
        <w:t xml:space="preserve"> </w:t>
      </w:r>
      <w:r>
        <w:lastRenderedPageBreak/>
        <w:t xml:space="preserve">trasladar parcial o totalmente estos costos financieros a los precios de licitación en las compras del Estado. </w:t>
      </w:r>
    </w:p>
    <w:p w:rsidR="00CA6060" w:rsidRDefault="00CA6060" w:rsidP="00CA6060">
      <w:pPr>
        <w:pStyle w:val="ListParagraph"/>
        <w:ind w:left="927"/>
      </w:pPr>
    </w:p>
    <w:p w:rsidR="00EE0353" w:rsidRDefault="00CA6060" w:rsidP="00541B55">
      <w:pPr>
        <w:pStyle w:val="ListParagraph"/>
        <w:numPr>
          <w:ilvl w:val="0"/>
          <w:numId w:val="12"/>
        </w:numPr>
        <w:ind w:left="567" w:hanging="567"/>
      </w:pPr>
      <w:r>
        <w:t>Para el</w:t>
      </w:r>
      <w:r w:rsidR="00541B55">
        <w:t xml:space="preserve"> presente análisis </w:t>
      </w:r>
      <w:r w:rsidR="00791421">
        <w:t xml:space="preserve">costo-beneficio </w:t>
      </w:r>
      <w:r w:rsidR="00541B55">
        <w:t xml:space="preserve">se considera el primero de los efectos, es decir, los costos de oportunidad que soporta el sector privado como consecuencia de </w:t>
      </w:r>
      <w:r w:rsidR="00813BA9">
        <w:t>la demora en la tramitación de las facturas</w:t>
      </w:r>
      <w:r w:rsidR="00541B55">
        <w:t>.</w:t>
      </w:r>
      <w:r w:rsidR="00824E26">
        <w:t xml:space="preserve"> Es decir, los proveedores estarían asumiendo costos durante 22 días a una tasa de interés equivalente a la tasa con la que tienen que financiar su actividad comercial.</w:t>
      </w:r>
    </w:p>
    <w:p w:rsidR="00824E26" w:rsidRDefault="00824E26" w:rsidP="00824E26"/>
    <w:p w:rsidR="001C3EBE" w:rsidRDefault="00824E26" w:rsidP="00824E26">
      <w:pPr>
        <w:pStyle w:val="ListParagraph"/>
        <w:numPr>
          <w:ilvl w:val="0"/>
          <w:numId w:val="12"/>
        </w:numPr>
        <w:ind w:left="567" w:hanging="567"/>
      </w:pPr>
      <w:r>
        <w:t xml:space="preserve">En este caso, se </w:t>
      </w:r>
      <w:r w:rsidR="00791421">
        <w:t>considera que l</w:t>
      </w:r>
      <w:r w:rsidR="00C440A4">
        <w:t>a tasa</w:t>
      </w:r>
      <w:r w:rsidR="00791421">
        <w:t xml:space="preserve"> promedio en pesos uruguayos para descuentos comerciales </w:t>
      </w:r>
      <w:r w:rsidR="001C3EBE">
        <w:t>en el mercado financiero oscila entre un 12% y un 15%</w:t>
      </w:r>
      <w:r w:rsidR="00C440A4">
        <w:t xml:space="preserve"> nominal</w:t>
      </w:r>
      <w:r w:rsidR="00791421">
        <w:t>.</w:t>
      </w:r>
      <w:r w:rsidR="001C3EBE">
        <w:rPr>
          <w:rStyle w:val="FootnoteReference"/>
        </w:rPr>
        <w:footnoteReference w:id="15"/>
      </w:r>
      <w:r w:rsidR="00791421">
        <w:t xml:space="preserve"> </w:t>
      </w:r>
      <w:r w:rsidR="00BF6430">
        <w:t>A efectos del análisis</w:t>
      </w:r>
      <w:r w:rsidR="00A21237">
        <w:t xml:space="preserve"> costo-beneficio, </w:t>
      </w:r>
      <w:r w:rsidR="00BF6430">
        <w:t xml:space="preserve"> la tasa </w:t>
      </w:r>
      <w:r w:rsidR="00A21237">
        <w:t xml:space="preserve">de descuento comercial finalmente elegida es </w:t>
      </w:r>
      <w:r w:rsidR="00BF6430">
        <w:t xml:space="preserve">12%, lo que en cierto modo </w:t>
      </w:r>
      <w:r w:rsidR="00F2646A">
        <w:t xml:space="preserve">es </w:t>
      </w:r>
      <w:r w:rsidR="00BF6430">
        <w:t>una elecci</w:t>
      </w:r>
      <w:r w:rsidR="00A21237">
        <w:t xml:space="preserve">ón conservadora pues se sitúa en el rango inferior de las tasas comerciales, muy por debajo de las tasas máximas autorizadas por el Banco Central del Uruguay (BCU). </w:t>
      </w:r>
    </w:p>
    <w:p w:rsidR="001C3EBE" w:rsidRDefault="001C3EBE" w:rsidP="001C3EBE">
      <w:pPr>
        <w:pStyle w:val="ListParagraph"/>
      </w:pPr>
    </w:p>
    <w:p w:rsidR="00EE0353" w:rsidRDefault="00B30022" w:rsidP="00A66E39">
      <w:pPr>
        <w:pStyle w:val="ListParagraph"/>
        <w:numPr>
          <w:ilvl w:val="0"/>
          <w:numId w:val="12"/>
        </w:numPr>
        <w:ind w:left="567" w:hanging="567"/>
      </w:pPr>
      <w:r>
        <w:t xml:space="preserve">Por lo tanto, los proveedores estarían </w:t>
      </w:r>
      <w:r w:rsidR="003C36A5">
        <w:t xml:space="preserve">asumiendo </w:t>
      </w:r>
      <w:r>
        <w:t xml:space="preserve">un costo que equivalente a descontar el monto total </w:t>
      </w:r>
      <w:r w:rsidR="003C36A5">
        <w:t>de los pagos de la</w:t>
      </w:r>
      <w:r>
        <w:t xml:space="preserve"> Administración Central (USD </w:t>
      </w:r>
      <w:r w:rsidRPr="000D481B">
        <w:t>745.010.514</w:t>
      </w:r>
      <w:r w:rsidR="003C36A5">
        <w:t>, año 2012</w:t>
      </w:r>
      <w:r>
        <w:t xml:space="preserve">) durante 22 días al 12%. Aplicando la fórmula de </w:t>
      </w:r>
      <w:r w:rsidR="00A66E39">
        <w:t xml:space="preserve">descuento con </w:t>
      </w:r>
      <w:r>
        <w:t xml:space="preserve">interés simple, </w:t>
      </w:r>
      <w:r w:rsidR="00A66E39">
        <w:t xml:space="preserve">el costo estimado es de USD </w:t>
      </w:r>
      <w:r w:rsidR="00A66E39" w:rsidRPr="00A66E39">
        <w:t>5.388.569</w:t>
      </w:r>
      <w:r w:rsidR="00A66E39">
        <w:t xml:space="preserve"> anuales. </w:t>
      </w:r>
    </w:p>
    <w:p w:rsidR="00EE0353" w:rsidRDefault="00EE0353" w:rsidP="00EE0353">
      <w:pPr>
        <w:pStyle w:val="ListParagraph"/>
        <w:ind w:left="567"/>
      </w:pPr>
    </w:p>
    <w:p w:rsidR="00B30022" w:rsidRDefault="00A66E39" w:rsidP="00EE0353">
      <w:pPr>
        <w:pStyle w:val="ListParagraph"/>
        <w:ind w:left="567"/>
      </w:pPr>
      <m:oMathPara>
        <m:oMath>
          <m:r>
            <w:rPr>
              <w:rFonts w:ascii="Cambria Math" w:hAnsi="Cambria Math"/>
            </w:rPr>
            <m:t>COSTDES=P*i*t</m:t>
          </m:r>
        </m:oMath>
      </m:oMathPara>
    </w:p>
    <w:p w:rsidR="00B30022" w:rsidRDefault="00B30022" w:rsidP="00EE0353">
      <w:pPr>
        <w:pStyle w:val="ListParagraph"/>
        <w:ind w:left="567"/>
      </w:pPr>
    </w:p>
    <w:p w:rsidR="00A66E39" w:rsidRPr="002359ED" w:rsidRDefault="00A66E39" w:rsidP="002359ED">
      <w:pPr>
        <w:pStyle w:val="ListParagraph"/>
        <w:ind w:left="709" w:right="425"/>
        <w:rPr>
          <w:i/>
        </w:rPr>
      </w:pPr>
      <w:r w:rsidRPr="002359ED">
        <w:rPr>
          <w:i/>
        </w:rPr>
        <w:t>donde COSTDES es el costo de descuento</w:t>
      </w:r>
      <w:r w:rsidR="004D305E" w:rsidRPr="002359ED">
        <w:rPr>
          <w:i/>
        </w:rPr>
        <w:t xml:space="preserve"> para los proveedores</w:t>
      </w:r>
      <w:r w:rsidR="003C36A5">
        <w:rPr>
          <w:i/>
        </w:rPr>
        <w:t>, P</w:t>
      </w:r>
      <w:r w:rsidRPr="002359ED">
        <w:rPr>
          <w:i/>
        </w:rPr>
        <w:t xml:space="preserve"> es el monto total de pagos a proveedores, i es la tasa de descuento en días y t es el número de días</w:t>
      </w:r>
      <w:r w:rsidR="002359ED">
        <w:rPr>
          <w:i/>
        </w:rPr>
        <w:t xml:space="preserve"> a financiar</w:t>
      </w:r>
      <w:r w:rsidRPr="002359ED">
        <w:rPr>
          <w:i/>
        </w:rPr>
        <w:t>.</w:t>
      </w:r>
    </w:p>
    <w:p w:rsidR="000D481B" w:rsidRDefault="000D481B" w:rsidP="000D481B"/>
    <w:p w:rsidR="003C36A5" w:rsidRDefault="003C36A5" w:rsidP="003C36A5">
      <w:pPr>
        <w:pStyle w:val="ListParagraph"/>
        <w:numPr>
          <w:ilvl w:val="0"/>
          <w:numId w:val="12"/>
        </w:numPr>
        <w:ind w:left="567" w:hanging="567"/>
      </w:pPr>
      <w:r>
        <w:t>Estos sobrecostos que deben soportar los proveedores es muy probable que sean trasladados a los precios de las ofertas en las licitaciones. A los efectos del presente análisis costo-beneficio no se han podido estimar la cuantía de esta transferencia a precios de los sobrecostos. La información proveniente de la UCA, que centraliza los procesos de compra de alimentos, material hospitalario y medicamentos, muestra que se han producido reducciones de precio, pero puede ser por efecto combinado de mayor</w:t>
      </w:r>
      <w:r w:rsidR="00864E5F">
        <w:t>es</w:t>
      </w:r>
      <w:r>
        <w:t xml:space="preserve"> </w:t>
      </w:r>
      <w:r w:rsidR="00864E5F">
        <w:t>volúmenes de las compras</w:t>
      </w:r>
      <w:r>
        <w:t xml:space="preserve"> y mejor gestión de los pagos. </w:t>
      </w:r>
    </w:p>
    <w:p w:rsidR="003C36A5" w:rsidRDefault="003C36A5" w:rsidP="000D481B"/>
    <w:p w:rsidR="00FA2628" w:rsidRPr="00FA2628" w:rsidRDefault="003C36A5" w:rsidP="00FA2628">
      <w:pPr>
        <w:pStyle w:val="Heading3"/>
        <w:numPr>
          <w:ilvl w:val="2"/>
          <w:numId w:val="27"/>
        </w:numPr>
        <w:tabs>
          <w:tab w:val="clear" w:pos="720"/>
        </w:tabs>
        <w:ind w:left="993" w:hanging="437"/>
        <w:rPr>
          <w:u w:val="single"/>
        </w:rPr>
      </w:pPr>
      <w:bookmarkStart w:id="30" w:name="_Toc373498450"/>
      <w:r>
        <w:rPr>
          <w:u w:val="single"/>
        </w:rPr>
        <w:t>Estimación del ahorro</w:t>
      </w:r>
      <w:bookmarkEnd w:id="30"/>
    </w:p>
    <w:p w:rsidR="00A66E39" w:rsidRDefault="004D305E" w:rsidP="004D305E">
      <w:pPr>
        <w:pStyle w:val="ListParagraph"/>
        <w:numPr>
          <w:ilvl w:val="0"/>
          <w:numId w:val="12"/>
        </w:numPr>
        <w:ind w:left="567" w:hanging="567"/>
      </w:pPr>
      <w:r>
        <w:t xml:space="preserve">Por lo tanto, la mejora de la eficiencia del proceso de tramitación lograría reducir los costos a los proveedores al menos en la misma magnitud que los costos que deben soportar en el descuento comercial (ver cuadro 5). </w:t>
      </w:r>
      <w:r w:rsidR="002359ED">
        <w:t>Este sería el beneficio del Programa como consecuencia del proceso de optimización de los procesos y de la implementación del SIIF2.</w:t>
      </w:r>
    </w:p>
    <w:p w:rsidR="004D305E" w:rsidRDefault="004D305E" w:rsidP="004D305E">
      <w:pPr>
        <w:pStyle w:val="ListParagraph"/>
        <w:ind w:left="567"/>
      </w:pPr>
    </w:p>
    <w:p w:rsidR="00EC5691" w:rsidRPr="00D177C1" w:rsidRDefault="00EC5691" w:rsidP="00EC5691">
      <w:pPr>
        <w:pStyle w:val="ListParagraph"/>
        <w:spacing w:after="60"/>
        <w:ind w:left="360"/>
        <w:jc w:val="center"/>
        <w:rPr>
          <w:b/>
          <w:sz w:val="20"/>
        </w:rPr>
      </w:pPr>
      <w:r>
        <w:rPr>
          <w:b/>
          <w:sz w:val="20"/>
        </w:rPr>
        <w:t>Cuadro 5</w:t>
      </w:r>
      <w:r w:rsidRPr="00D177C1">
        <w:rPr>
          <w:b/>
          <w:sz w:val="20"/>
        </w:rPr>
        <w:t xml:space="preserve">. </w:t>
      </w:r>
      <w:r>
        <w:rPr>
          <w:b/>
          <w:sz w:val="20"/>
        </w:rPr>
        <w:t>Montos ahorrados</w:t>
      </w:r>
    </w:p>
    <w:tbl>
      <w:tblPr>
        <w:tblW w:w="5246" w:type="dxa"/>
        <w:jc w:val="center"/>
        <w:tblLayout w:type="fixed"/>
        <w:tblCellMar>
          <w:left w:w="70" w:type="dxa"/>
          <w:right w:w="70" w:type="dxa"/>
        </w:tblCellMar>
        <w:tblLook w:val="04A0" w:firstRow="1" w:lastRow="0" w:firstColumn="1" w:lastColumn="0" w:noHBand="0" w:noVBand="1"/>
      </w:tblPr>
      <w:tblGrid>
        <w:gridCol w:w="2978"/>
        <w:gridCol w:w="2268"/>
      </w:tblGrid>
      <w:tr w:rsidR="00DB5BBF" w:rsidRPr="00173F0B" w:rsidTr="00A66E39">
        <w:trPr>
          <w:trHeight w:val="240"/>
          <w:jc w:val="center"/>
        </w:trPr>
        <w:tc>
          <w:tcPr>
            <w:tcW w:w="2978" w:type="dxa"/>
            <w:tcBorders>
              <w:top w:val="nil"/>
              <w:left w:val="nil"/>
              <w:bottom w:val="nil"/>
              <w:right w:val="nil"/>
            </w:tcBorders>
            <w:shd w:val="clear" w:color="auto" w:fill="D9D9D9" w:themeFill="background1" w:themeFillShade="D9"/>
            <w:noWrap/>
            <w:vAlign w:val="bottom"/>
            <w:hideMark/>
          </w:tcPr>
          <w:p w:rsidR="00DB5BBF" w:rsidRPr="00173F0B" w:rsidRDefault="00DB5BBF" w:rsidP="00DB5BBF">
            <w:pPr>
              <w:rPr>
                <w:sz w:val="20"/>
                <w:szCs w:val="20"/>
              </w:rPr>
            </w:pPr>
          </w:p>
        </w:tc>
        <w:tc>
          <w:tcPr>
            <w:tcW w:w="2268" w:type="dxa"/>
            <w:tcBorders>
              <w:top w:val="nil"/>
              <w:left w:val="nil"/>
              <w:bottom w:val="nil"/>
              <w:right w:val="nil"/>
            </w:tcBorders>
            <w:shd w:val="clear" w:color="auto" w:fill="D9D9D9" w:themeFill="background1" w:themeFillShade="D9"/>
            <w:noWrap/>
            <w:vAlign w:val="bottom"/>
          </w:tcPr>
          <w:p w:rsidR="00DB5BBF" w:rsidRPr="00173F0B" w:rsidRDefault="00DB5BBF" w:rsidP="00173F0B">
            <w:pPr>
              <w:jc w:val="center"/>
              <w:rPr>
                <w:b/>
                <w:bCs/>
                <w:color w:val="000000"/>
                <w:sz w:val="20"/>
                <w:szCs w:val="20"/>
              </w:rPr>
            </w:pPr>
          </w:p>
        </w:tc>
      </w:tr>
      <w:tr w:rsidR="00DB5BBF" w:rsidRPr="00173F0B" w:rsidTr="00DB5BBF">
        <w:trPr>
          <w:trHeight w:val="240"/>
          <w:jc w:val="center"/>
        </w:trPr>
        <w:tc>
          <w:tcPr>
            <w:tcW w:w="2978" w:type="dxa"/>
            <w:tcBorders>
              <w:top w:val="nil"/>
              <w:left w:val="nil"/>
              <w:bottom w:val="nil"/>
              <w:right w:val="nil"/>
            </w:tcBorders>
            <w:shd w:val="clear" w:color="auto" w:fill="auto"/>
            <w:noWrap/>
            <w:vAlign w:val="bottom"/>
            <w:hideMark/>
          </w:tcPr>
          <w:p w:rsidR="00DB5BBF" w:rsidRPr="00173F0B" w:rsidRDefault="004D305E" w:rsidP="00B9193C">
            <w:pPr>
              <w:pStyle w:val="ListParagraph"/>
              <w:numPr>
                <w:ilvl w:val="0"/>
                <w:numId w:val="32"/>
              </w:numPr>
              <w:jc w:val="left"/>
              <w:rPr>
                <w:b/>
                <w:bCs/>
                <w:color w:val="000000"/>
                <w:sz w:val="20"/>
                <w:szCs w:val="20"/>
              </w:rPr>
            </w:pPr>
            <w:r>
              <w:rPr>
                <w:b/>
                <w:color w:val="000000"/>
                <w:sz w:val="20"/>
                <w:szCs w:val="20"/>
              </w:rPr>
              <w:t>Beneficio</w:t>
            </w:r>
            <w:r w:rsidR="00DB5BBF" w:rsidRPr="00173F0B">
              <w:rPr>
                <w:b/>
                <w:bCs/>
                <w:color w:val="000000"/>
                <w:sz w:val="20"/>
                <w:szCs w:val="20"/>
              </w:rPr>
              <w:t xml:space="preserve"> estimado</w:t>
            </w:r>
          </w:p>
        </w:tc>
        <w:tc>
          <w:tcPr>
            <w:tcW w:w="2268" w:type="dxa"/>
            <w:tcBorders>
              <w:top w:val="nil"/>
              <w:left w:val="nil"/>
              <w:bottom w:val="nil"/>
              <w:right w:val="nil"/>
            </w:tcBorders>
            <w:shd w:val="clear" w:color="auto" w:fill="auto"/>
            <w:noWrap/>
            <w:vAlign w:val="bottom"/>
            <w:hideMark/>
          </w:tcPr>
          <w:p w:rsidR="00DB5BBF" w:rsidRPr="00B9193C" w:rsidRDefault="00A66E39" w:rsidP="00B9193C">
            <w:pPr>
              <w:jc w:val="right"/>
              <w:rPr>
                <w:b/>
                <w:bCs/>
                <w:color w:val="000000"/>
                <w:sz w:val="20"/>
                <w:szCs w:val="20"/>
              </w:rPr>
            </w:pPr>
            <w:r w:rsidRPr="00A66E39">
              <w:rPr>
                <w:b/>
                <w:bCs/>
                <w:color w:val="000000"/>
                <w:sz w:val="20"/>
                <w:szCs w:val="20"/>
              </w:rPr>
              <w:t>5.388.569</w:t>
            </w:r>
          </w:p>
        </w:tc>
      </w:tr>
    </w:tbl>
    <w:p w:rsidR="00173F0B" w:rsidRPr="00EC5691" w:rsidRDefault="00C11F79" w:rsidP="00DB5BBF">
      <w:pPr>
        <w:ind w:left="2127"/>
        <w:rPr>
          <w:sz w:val="18"/>
        </w:rPr>
      </w:pPr>
      <w:r>
        <w:rPr>
          <w:sz w:val="18"/>
        </w:rPr>
        <w:t>Montos e</w:t>
      </w:r>
      <w:r w:rsidR="00EC5691" w:rsidRPr="00EC5691">
        <w:rPr>
          <w:sz w:val="18"/>
        </w:rPr>
        <w:t>n USD.</w:t>
      </w:r>
    </w:p>
    <w:p w:rsidR="00B91D36" w:rsidRDefault="00B91D36" w:rsidP="007F442B"/>
    <w:p w:rsidR="00640E90" w:rsidRDefault="009075E7" w:rsidP="009A741D">
      <w:pPr>
        <w:pStyle w:val="ListParagraph"/>
        <w:numPr>
          <w:ilvl w:val="0"/>
          <w:numId w:val="12"/>
        </w:numPr>
        <w:ind w:left="567" w:hanging="567"/>
      </w:pPr>
      <w:r>
        <w:t xml:space="preserve">Es importante señalar que en este ejercicio se ha considerado como </w:t>
      </w:r>
      <w:r w:rsidR="009A741D">
        <w:t xml:space="preserve">supuesto fuerte que </w:t>
      </w:r>
      <w:r w:rsidR="00DF788C">
        <w:t xml:space="preserve">las demorasen el proceso de pago </w:t>
      </w:r>
      <w:r w:rsidR="009A741D">
        <w:t>son</w:t>
      </w:r>
      <w:r w:rsidR="001D05C5">
        <w:t xml:space="preserve"> </w:t>
      </w:r>
      <w:r w:rsidR="00DF788C" w:rsidRPr="00DF788C">
        <w:rPr>
          <w:i/>
        </w:rPr>
        <w:t>exclusivamente</w:t>
      </w:r>
      <w:r w:rsidR="009A741D">
        <w:t xml:space="preserve"> imputables a ineficiencias</w:t>
      </w:r>
      <w:r w:rsidR="008F284E">
        <w:t>, y no a problemas de tesorería</w:t>
      </w:r>
      <w:r>
        <w:t xml:space="preserve"> del sector público</w:t>
      </w:r>
      <w:r w:rsidR="009A741D">
        <w:t xml:space="preserve">. Para tratar de validar este supuesto, las consultas realizadas a la TGN </w:t>
      </w:r>
      <w:r w:rsidR="009A741D">
        <w:lastRenderedPageBreak/>
        <w:t xml:space="preserve">permiten concluir que </w:t>
      </w:r>
      <w:r w:rsidR="002359ED">
        <w:t xml:space="preserve">durante los </w:t>
      </w:r>
      <w:r w:rsidR="009A741D">
        <w:t>año</w:t>
      </w:r>
      <w:r w:rsidR="002359ED">
        <w:t>s</w:t>
      </w:r>
      <w:r w:rsidR="009A741D">
        <w:t xml:space="preserve"> 2012 </w:t>
      </w:r>
      <w:r w:rsidR="002359ED">
        <w:t xml:space="preserve">y 2013 </w:t>
      </w:r>
      <w:r w:rsidR="009A741D">
        <w:t xml:space="preserve">no se produjeron tensiones de caja, por lo que los </w:t>
      </w:r>
      <w:r>
        <w:t xml:space="preserve">tiempos de </w:t>
      </w:r>
      <w:r w:rsidR="009A741D">
        <w:t xml:space="preserve">pagos </w:t>
      </w:r>
      <w:r>
        <w:t xml:space="preserve">mostrados por el SIIF para este análisis </w:t>
      </w:r>
      <w:r w:rsidR="009A741D">
        <w:t xml:space="preserve">deberían haberse realizado de acuerdo con los ritmos </w:t>
      </w:r>
      <w:r w:rsidR="005E188A">
        <w:t xml:space="preserve">establecidos en las prácticas </w:t>
      </w:r>
      <w:r>
        <w:t>habituales.</w:t>
      </w:r>
    </w:p>
    <w:p w:rsidR="00640E90" w:rsidRDefault="00640E90" w:rsidP="007F442B"/>
    <w:p w:rsidR="007F5ED8" w:rsidRDefault="007F5ED8" w:rsidP="007F442B"/>
    <w:p w:rsidR="007F5ED8" w:rsidRPr="00F022D3" w:rsidRDefault="007F5ED8" w:rsidP="007F5ED8">
      <w:pPr>
        <w:pStyle w:val="Heading2"/>
      </w:pPr>
      <w:bookmarkStart w:id="31" w:name="_Toc373498451"/>
      <w:r w:rsidRPr="003B296A">
        <w:t>Ahorro generado por la reducción de costos por mantenimiento de cuentas y saldos</w:t>
      </w:r>
      <w:bookmarkEnd w:id="31"/>
    </w:p>
    <w:p w:rsidR="00D7386A" w:rsidRPr="00FA2628" w:rsidRDefault="00D7386A" w:rsidP="00D7386A">
      <w:pPr>
        <w:pStyle w:val="Heading3"/>
        <w:numPr>
          <w:ilvl w:val="0"/>
          <w:numId w:val="36"/>
        </w:numPr>
        <w:rPr>
          <w:u w:val="single"/>
        </w:rPr>
      </w:pPr>
      <w:bookmarkStart w:id="32" w:name="_Toc373498452"/>
      <w:r w:rsidRPr="00FA2628">
        <w:rPr>
          <w:u w:val="single"/>
        </w:rPr>
        <w:t>Planteamiento general</w:t>
      </w:r>
      <w:bookmarkEnd w:id="32"/>
    </w:p>
    <w:p w:rsidR="00D7386A" w:rsidRDefault="007F5ED8" w:rsidP="007F5ED8">
      <w:pPr>
        <w:pStyle w:val="ListParagraph"/>
        <w:numPr>
          <w:ilvl w:val="0"/>
          <w:numId w:val="12"/>
        </w:numPr>
        <w:ind w:left="567" w:hanging="567"/>
      </w:pPr>
      <w:r>
        <w:t>La institución responsable de la gestión de las cuentas públicas es la Tesorería General de la Nación. Una de sus prioridades actuales de la TGN es la consolidación de las diferentes cuentas de los incisos (ministerios) en una cuenta única nacional (CUN), para lo cual se han emprendido los trabajos de identificar y cuantificar el número de cuentas actualmente existentes fuera del control de la TGN</w:t>
      </w:r>
      <w:r>
        <w:rPr>
          <w:rStyle w:val="FootnoteReference"/>
        </w:rPr>
        <w:footnoteReference w:id="16"/>
      </w:r>
      <w:r>
        <w:t xml:space="preserve"> </w:t>
      </w:r>
    </w:p>
    <w:p w:rsidR="00D7386A" w:rsidRDefault="00D7386A" w:rsidP="00D7386A">
      <w:pPr>
        <w:pStyle w:val="ListParagraph"/>
        <w:ind w:left="567"/>
      </w:pPr>
    </w:p>
    <w:p w:rsidR="00EA2014" w:rsidRDefault="00EA2014" w:rsidP="00EA2014">
      <w:pPr>
        <w:pStyle w:val="ListParagraph"/>
        <w:numPr>
          <w:ilvl w:val="0"/>
          <w:numId w:val="12"/>
        </w:numPr>
        <w:ind w:left="567" w:hanging="567"/>
      </w:pPr>
      <w:r>
        <w:t>En el proceso de implementación del SIIF2 se considera que la instalación de la CUN es un prerrequisito para el desarrollo del nuevo sistema:</w:t>
      </w:r>
    </w:p>
    <w:p w:rsidR="00EA2014" w:rsidRDefault="00EA2014" w:rsidP="00EA2014"/>
    <w:p w:rsidR="00EA2014" w:rsidRPr="009A2F74" w:rsidRDefault="00EA2014" w:rsidP="00EA2014">
      <w:pPr>
        <w:numPr>
          <w:ilvl w:val="0"/>
          <w:numId w:val="20"/>
        </w:numPr>
      </w:pPr>
      <w:r w:rsidRPr="009A2F74">
        <w:t>Mejora la eficacia global del sistema de gestión de las finanzas públicas.</w:t>
      </w:r>
    </w:p>
    <w:p w:rsidR="00EA2014" w:rsidRPr="009A2F74" w:rsidRDefault="00EA2014" w:rsidP="00EA2014">
      <w:pPr>
        <w:numPr>
          <w:ilvl w:val="0"/>
          <w:numId w:val="20"/>
        </w:numPr>
      </w:pPr>
      <w:r w:rsidRPr="009A2F74">
        <w:t>Permite establecer la supervisión y el control centralizado de los recursos.</w:t>
      </w:r>
    </w:p>
    <w:p w:rsidR="00EA2014" w:rsidRDefault="00EA2014" w:rsidP="00EA2014">
      <w:pPr>
        <w:numPr>
          <w:ilvl w:val="0"/>
          <w:numId w:val="20"/>
        </w:numPr>
      </w:pPr>
      <w:r w:rsidRPr="009A2F74">
        <w:t>Esencial para una gestión de caja moderna utilizando la planificación financiera como herramienta de trabajo.</w:t>
      </w:r>
    </w:p>
    <w:p w:rsidR="00EA2014" w:rsidRPr="009A2F74" w:rsidRDefault="00EA2014" w:rsidP="00EA2014">
      <w:pPr>
        <w:numPr>
          <w:ilvl w:val="0"/>
          <w:numId w:val="20"/>
        </w:numPr>
      </w:pPr>
      <w:r w:rsidRPr="009A2F74">
        <w:t>Permite supervisar todos los flujos de caja del gobierno, mejorando el control y seguimiento presupuestario.</w:t>
      </w:r>
    </w:p>
    <w:p w:rsidR="00EA2014" w:rsidRPr="009A2F74" w:rsidRDefault="00EA2014" w:rsidP="00EA2014">
      <w:pPr>
        <w:numPr>
          <w:ilvl w:val="0"/>
          <w:numId w:val="20"/>
        </w:numPr>
      </w:pPr>
      <w:r w:rsidRPr="009A2F74">
        <w:t>Facilita una mejor coordinación de la política fiscal con la gestión de deuda y la política monetaria.</w:t>
      </w:r>
    </w:p>
    <w:p w:rsidR="00EA2014" w:rsidRDefault="00EA2014" w:rsidP="00D7386A">
      <w:pPr>
        <w:pStyle w:val="ListParagraph"/>
        <w:ind w:left="567"/>
      </w:pPr>
    </w:p>
    <w:p w:rsidR="00EA2014" w:rsidRDefault="00EA2014" w:rsidP="00EA2014">
      <w:pPr>
        <w:pStyle w:val="ListParagraph"/>
        <w:numPr>
          <w:ilvl w:val="0"/>
          <w:numId w:val="12"/>
        </w:numPr>
        <w:ind w:left="567" w:hanging="567"/>
      </w:pPr>
      <w:r>
        <w:t>Además, esta proliferación de cuentas y de saldos genera costos relevantes por:</w:t>
      </w:r>
    </w:p>
    <w:p w:rsidR="00EA2014" w:rsidRDefault="00EA2014" w:rsidP="00EA2014"/>
    <w:p w:rsidR="00EA2014" w:rsidRPr="007244D7" w:rsidRDefault="00EA2014" w:rsidP="00EA2014">
      <w:pPr>
        <w:numPr>
          <w:ilvl w:val="0"/>
          <w:numId w:val="20"/>
        </w:numPr>
      </w:pPr>
      <w:r w:rsidRPr="007244D7">
        <w:t>Mantenimiento de saldos ociosos en cuentas bancarias, y necesidades de financiamiento no resuelto.</w:t>
      </w:r>
    </w:p>
    <w:p w:rsidR="00EA2014" w:rsidRPr="007244D7" w:rsidRDefault="00EA2014" w:rsidP="00EA2014">
      <w:pPr>
        <w:numPr>
          <w:ilvl w:val="0"/>
          <w:numId w:val="20"/>
        </w:numPr>
      </w:pPr>
      <w:r w:rsidRPr="007244D7">
        <w:t>Aumento de los costos de gestión de cuentas bancarias originados en numerosas transacciones descentralizadas, costos de chequeras, etc.</w:t>
      </w:r>
    </w:p>
    <w:p w:rsidR="00EA2014" w:rsidRPr="007244D7" w:rsidRDefault="00EA2014" w:rsidP="00EA2014">
      <w:pPr>
        <w:numPr>
          <w:ilvl w:val="0"/>
          <w:numId w:val="20"/>
        </w:numPr>
      </w:pPr>
      <w:r w:rsidRPr="007244D7">
        <w:t>Dificultades para realizar el proceso de rendición de cuentas.</w:t>
      </w:r>
    </w:p>
    <w:p w:rsidR="00EA2014" w:rsidRPr="007244D7" w:rsidRDefault="00EA2014" w:rsidP="00EA2014">
      <w:pPr>
        <w:numPr>
          <w:ilvl w:val="0"/>
          <w:numId w:val="20"/>
        </w:numPr>
      </w:pPr>
      <w:r w:rsidRPr="007244D7">
        <w:t xml:space="preserve">Diferencias en las estadísticas de financiamiento sobre la línea y bajo la línea para el </w:t>
      </w:r>
      <w:r>
        <w:t>Gobierno Central</w:t>
      </w:r>
      <w:r w:rsidRPr="007244D7">
        <w:t>.</w:t>
      </w:r>
    </w:p>
    <w:p w:rsidR="00EA2014" w:rsidRPr="007244D7" w:rsidRDefault="00EA2014" w:rsidP="00EA2014">
      <w:pPr>
        <w:numPr>
          <w:ilvl w:val="0"/>
          <w:numId w:val="20"/>
        </w:numPr>
      </w:pPr>
      <w:r w:rsidRPr="007244D7">
        <w:t xml:space="preserve">Incumplimiento por parte de los incisos </w:t>
      </w:r>
      <w:r>
        <w:t xml:space="preserve">(ministerios) </w:t>
      </w:r>
      <w:r w:rsidRPr="007244D7">
        <w:t>en brindar información a TGN (apertura y cierre de cuentas, función de las cuentas).</w:t>
      </w:r>
    </w:p>
    <w:p w:rsidR="00EA2014" w:rsidRDefault="00EA2014" w:rsidP="00EA2014">
      <w:pPr>
        <w:numPr>
          <w:ilvl w:val="0"/>
          <w:numId w:val="20"/>
        </w:numPr>
      </w:pPr>
      <w:r w:rsidRPr="007244D7">
        <w:t>Control no formalizado que surge del gran esfuerzo conjunto de TGN y CGN, no permite una revisión sistemática – imposible conocer el universo de cuentas.</w:t>
      </w:r>
    </w:p>
    <w:p w:rsidR="00EA2014" w:rsidRDefault="00EA2014" w:rsidP="00D7386A">
      <w:pPr>
        <w:pStyle w:val="ListParagraph"/>
        <w:ind w:left="567"/>
      </w:pPr>
    </w:p>
    <w:p w:rsidR="007F5ED8" w:rsidRDefault="007F5ED8" w:rsidP="007F5ED8">
      <w:pPr>
        <w:pStyle w:val="ListParagraph"/>
        <w:numPr>
          <w:ilvl w:val="0"/>
          <w:numId w:val="12"/>
        </w:numPr>
        <w:ind w:left="567" w:hanging="567"/>
      </w:pPr>
      <w:r>
        <w:t xml:space="preserve">Se estima que en el </w:t>
      </w:r>
      <w:r w:rsidRPr="003B3BDE">
        <w:t>1</w:t>
      </w:r>
      <w:r w:rsidRPr="003B3BDE">
        <w:rPr>
          <w:vertAlign w:val="superscript"/>
        </w:rPr>
        <w:t>er</w:t>
      </w:r>
      <w:r w:rsidRPr="003B3BDE">
        <w:t xml:space="preserve"> trimestre de 2013, el Gobierno Central </w:t>
      </w:r>
      <w:r>
        <w:t>mantenía</w:t>
      </w:r>
      <w:r w:rsidRPr="003B3BDE">
        <w:t xml:space="preserve"> saldos en </w:t>
      </w:r>
      <w:r>
        <w:t>moneda</w:t>
      </w:r>
      <w:r w:rsidRPr="003B3BDE">
        <w:t xml:space="preserve"> en cuentas por fuera </w:t>
      </w:r>
      <w:r w:rsidR="00EA2014">
        <w:t>de la Cuenta Única Nacional</w:t>
      </w:r>
      <w:r w:rsidRPr="003B3BDE">
        <w:t xml:space="preserve"> </w:t>
      </w:r>
      <w:r>
        <w:t>de</w:t>
      </w:r>
      <w:r w:rsidRPr="003B3BDE">
        <w:t xml:space="preserve"> unos 12 mil millones de pesos promedio diario (incluyendo a BPS).Para igual período la cuenta del Tesoro mantiene saldos negativos por aproximadamente 5 mil millones de pesos (promedio diario).</w:t>
      </w:r>
      <w:r>
        <w:rPr>
          <w:rStyle w:val="FootnoteReference"/>
        </w:rPr>
        <w:footnoteReference w:id="17"/>
      </w:r>
    </w:p>
    <w:p w:rsidR="007F5ED8" w:rsidRDefault="007F5ED8" w:rsidP="007F5ED8">
      <w:pPr>
        <w:pStyle w:val="ListParagraph"/>
        <w:ind w:left="567"/>
      </w:pPr>
    </w:p>
    <w:p w:rsidR="00FA2628" w:rsidRPr="00FA2628" w:rsidRDefault="00FA2628" w:rsidP="00FA2628">
      <w:pPr>
        <w:pStyle w:val="Heading3"/>
        <w:numPr>
          <w:ilvl w:val="0"/>
          <w:numId w:val="36"/>
        </w:numPr>
        <w:rPr>
          <w:u w:val="single"/>
        </w:rPr>
      </w:pPr>
      <w:bookmarkStart w:id="33" w:name="_Toc373498453"/>
      <w:r w:rsidRPr="00FA2628">
        <w:rPr>
          <w:u w:val="single"/>
        </w:rPr>
        <w:lastRenderedPageBreak/>
        <w:t>Estimación de los ahorros</w:t>
      </w:r>
      <w:bookmarkEnd w:id="33"/>
    </w:p>
    <w:p w:rsidR="00EA2014" w:rsidRDefault="00EA2014" w:rsidP="007F5ED8">
      <w:pPr>
        <w:pStyle w:val="ListParagraph"/>
        <w:numPr>
          <w:ilvl w:val="0"/>
          <w:numId w:val="12"/>
        </w:numPr>
        <w:ind w:left="567" w:hanging="567"/>
      </w:pPr>
      <w:r>
        <w:t>De todos los costos antes mencionados, a los efectos del análisis costo-beneficio se retienen dos:</w:t>
      </w:r>
    </w:p>
    <w:p w:rsidR="00EA2014" w:rsidRDefault="00EA2014" w:rsidP="00EA2014">
      <w:pPr>
        <w:pStyle w:val="ListParagraph"/>
      </w:pPr>
    </w:p>
    <w:p w:rsidR="00EA2014" w:rsidRDefault="00EA2014" w:rsidP="00BD2051">
      <w:pPr>
        <w:pStyle w:val="ListParagraph"/>
        <w:numPr>
          <w:ilvl w:val="0"/>
          <w:numId w:val="37"/>
        </w:numPr>
      </w:pPr>
      <w:r w:rsidRPr="00EA2014">
        <w:t xml:space="preserve">Pagos al </w:t>
      </w:r>
      <w:r>
        <w:t>Banco de la República Oriental del Uruguay (BROU)</w:t>
      </w:r>
      <w:r w:rsidRPr="00EA2014">
        <w:t xml:space="preserve"> por</w:t>
      </w:r>
      <w:r>
        <w:t xml:space="preserve"> comisiones de mantenimiento de</w:t>
      </w:r>
      <w:r w:rsidRPr="00EA2014">
        <w:t xml:space="preserve"> </w:t>
      </w:r>
      <w:r>
        <w:t>saldo</w:t>
      </w:r>
      <w:r w:rsidRPr="00EA2014">
        <w:t xml:space="preserve"> </w:t>
      </w:r>
      <w:r>
        <w:t>en cuentas</w:t>
      </w:r>
      <w:r w:rsidR="00227112">
        <w:t xml:space="preserve"> </w:t>
      </w:r>
      <w:r>
        <w:t>encajadas al 100%</w:t>
      </w:r>
      <w:r w:rsidR="00BD2051">
        <w:t>.</w:t>
      </w:r>
      <w:r w:rsidR="00BD2051">
        <w:rPr>
          <w:rStyle w:val="FootnoteReference"/>
        </w:rPr>
        <w:footnoteReference w:id="18"/>
      </w:r>
      <w:r>
        <w:t xml:space="preserve"> </w:t>
      </w:r>
      <w:r w:rsidR="00227112">
        <w:t xml:space="preserve">Estos costos se estiman UYU 76 millones </w:t>
      </w:r>
      <w:r w:rsidR="00350E2F">
        <w:t xml:space="preserve">anuales </w:t>
      </w:r>
      <w:r w:rsidR="00227112">
        <w:t>(</w:t>
      </w:r>
      <w:r w:rsidR="00BD2051">
        <w:t xml:space="preserve">USD </w:t>
      </w:r>
      <w:r w:rsidR="00350E2F">
        <w:t>3,7 millones</w:t>
      </w:r>
      <w:r w:rsidR="00BD2051">
        <w:t>). Los pagos al BROU los asume la TGN.</w:t>
      </w:r>
    </w:p>
    <w:p w:rsidR="00EA2014" w:rsidRDefault="00EA2014" w:rsidP="00EA2014">
      <w:pPr>
        <w:pStyle w:val="ListParagraph"/>
        <w:numPr>
          <w:ilvl w:val="0"/>
          <w:numId w:val="37"/>
        </w:numPr>
      </w:pPr>
      <w:r>
        <w:t>G</w:t>
      </w:r>
      <w:r w:rsidRPr="00EA2014">
        <w:t xml:space="preserve">astos </w:t>
      </w:r>
      <w:r>
        <w:t>por</w:t>
      </w:r>
      <w:r w:rsidRPr="00EA2014">
        <w:t xml:space="preserve"> administración de cuentas corrientes a cargo de los incisos</w:t>
      </w:r>
      <w:r w:rsidR="00BD2051">
        <w:t>.</w:t>
      </w:r>
      <w:r w:rsidR="00350E2F">
        <w:t xml:space="preserve"> El monto anual estimado es de UYU 24 millones (USD 1,2 millones).</w:t>
      </w:r>
      <w:r w:rsidR="00BD2051">
        <w:t xml:space="preserve"> </w:t>
      </w:r>
      <w:r w:rsidR="00350E2F">
        <w:t>Este monto lo pagan los organismos del Presupuesto Nacional (ministerios y entidades del artículo 220)</w:t>
      </w:r>
      <w:r w:rsidR="001830AA">
        <w:t>, incluidos en el Programa</w:t>
      </w:r>
      <w:r w:rsidR="00350E2F">
        <w:t xml:space="preserve"> </w:t>
      </w:r>
    </w:p>
    <w:p w:rsidR="00EA2014" w:rsidRDefault="00EA2014" w:rsidP="00EA2014">
      <w:pPr>
        <w:pStyle w:val="ListParagraph"/>
      </w:pPr>
    </w:p>
    <w:p w:rsidR="00FA2628" w:rsidRPr="00FA2628" w:rsidRDefault="00350E2F" w:rsidP="007F5ED8">
      <w:pPr>
        <w:pStyle w:val="ListParagraph"/>
        <w:numPr>
          <w:ilvl w:val="0"/>
          <w:numId w:val="12"/>
        </w:numPr>
        <w:ind w:left="567" w:hanging="567"/>
      </w:pPr>
      <w:r>
        <w:t>Por lo tanto, l</w:t>
      </w:r>
      <w:r w:rsidR="007F5ED8">
        <w:t xml:space="preserve">os costos estimados por la TGN ascienden a </w:t>
      </w:r>
      <w:r w:rsidR="007F5ED8">
        <w:rPr>
          <w:lang w:val="es-ES_tradnl"/>
        </w:rPr>
        <w:t>UYU 100 millones en la Administración Central (USD 4,9 millones) anuales</w:t>
      </w:r>
      <w:r>
        <w:rPr>
          <w:lang w:val="es-ES_tradnl"/>
        </w:rPr>
        <w:t xml:space="preserve">. </w:t>
      </w:r>
      <w:r w:rsidR="00FA2628">
        <w:rPr>
          <w:lang w:val="es-ES_tradnl"/>
        </w:rPr>
        <w:t xml:space="preserve">Sin embargo, </w:t>
      </w:r>
      <w:r w:rsidR="001830AA">
        <w:rPr>
          <w:lang w:val="es-ES_tradnl"/>
        </w:rPr>
        <w:t xml:space="preserve">para estimar los ahorros que puedan producirse por la extensión de la CUN en el marco del Programa, es necesario considerar </w:t>
      </w:r>
      <w:r w:rsidR="00FA2628">
        <w:rPr>
          <w:lang w:val="es-ES_tradnl"/>
        </w:rPr>
        <w:t>la matriz de resultados</w:t>
      </w:r>
      <w:r w:rsidR="001830AA">
        <w:rPr>
          <w:lang w:val="es-ES_tradnl"/>
        </w:rPr>
        <w:t>, donde</w:t>
      </w:r>
      <w:r w:rsidR="00FA2628">
        <w:rPr>
          <w:lang w:val="es-ES_tradnl"/>
        </w:rPr>
        <w:t xml:space="preserve"> se señala que al final del periodo del Programa quedará un remanente de pagos al BROU equivalente al 10% de lo que se pagaba en la línea de base (2013). Es decir, el beneficio al final del Programa sería el resultado de restar USD 491.000 a los USD 4,9 millones que actualmente se paga.</w:t>
      </w:r>
    </w:p>
    <w:p w:rsidR="00FA2628" w:rsidRPr="00FA2628" w:rsidRDefault="00FA2628" w:rsidP="00FA2628">
      <w:pPr>
        <w:pStyle w:val="ListParagraph"/>
        <w:ind w:left="567"/>
      </w:pPr>
    </w:p>
    <w:p w:rsidR="007F5ED8" w:rsidRDefault="007F5ED8" w:rsidP="007F5ED8">
      <w:pPr>
        <w:pStyle w:val="ListParagraph"/>
        <w:numPr>
          <w:ilvl w:val="0"/>
          <w:numId w:val="12"/>
        </w:numPr>
        <w:ind w:left="567" w:hanging="567"/>
      </w:pPr>
      <w:r>
        <w:t xml:space="preserve">De esta forma, </w:t>
      </w:r>
      <w:r w:rsidR="001830AA">
        <w:t xml:space="preserve">tanto </w:t>
      </w:r>
      <w:r>
        <w:t xml:space="preserve">la inversión prevista en el Programa para la optimización de los procesos, para lo cual la CUN es un prerrequisito, </w:t>
      </w:r>
      <w:r w:rsidR="001830AA">
        <w:t>como</w:t>
      </w:r>
      <w:r>
        <w:t xml:space="preserve"> la implementación del SIIF2</w:t>
      </w:r>
      <w:r w:rsidR="001830AA">
        <w:t>,</w:t>
      </w:r>
      <w:r>
        <w:t xml:space="preserve"> pueden generar ahorros anuales </w:t>
      </w:r>
      <w:r w:rsidR="00FA2628">
        <w:t>equivalentes al 90%</w:t>
      </w:r>
      <w:r>
        <w:t xml:space="preserve"> </w:t>
      </w:r>
      <w:r w:rsidR="00FA2628">
        <w:t>de</w:t>
      </w:r>
      <w:r>
        <w:t xml:space="preserve"> los costos que actualmente está soportando. Estos ahorros se elevan a USD </w:t>
      </w:r>
      <w:r w:rsidR="00FA2628">
        <w:t>4,</w:t>
      </w:r>
      <w:r w:rsidR="001830AA">
        <w:t>4</w:t>
      </w:r>
      <w:r w:rsidR="00FA2628">
        <w:t>2</w:t>
      </w:r>
      <w:r>
        <w:t xml:space="preserve"> millones</w:t>
      </w:r>
      <w:r w:rsidR="001830AA">
        <w:rPr>
          <w:rStyle w:val="FootnoteReference"/>
        </w:rPr>
        <w:footnoteReference w:id="19"/>
      </w:r>
      <w:r>
        <w:t xml:space="preserve"> a partir del 5º año de ejecución del Programa, y su efecto se prolonga durant</w:t>
      </w:r>
      <w:r w:rsidR="00FA2628">
        <w:t>e todos los 10 años posteriores a la finalización del Programa.</w:t>
      </w:r>
    </w:p>
    <w:p w:rsidR="007F5ED8" w:rsidRDefault="007F5ED8" w:rsidP="007F5ED8"/>
    <w:p w:rsidR="00102978" w:rsidRDefault="00102978" w:rsidP="007F5ED8"/>
    <w:p w:rsidR="00102978" w:rsidRDefault="00102978" w:rsidP="00102978">
      <w:pPr>
        <w:pStyle w:val="Heading2"/>
      </w:pPr>
      <w:bookmarkStart w:id="34" w:name="_Toc373498454"/>
      <w:r>
        <w:t>Flujos previstos de beneficios</w:t>
      </w:r>
      <w:bookmarkEnd w:id="34"/>
    </w:p>
    <w:p w:rsidR="007F5ED8" w:rsidRDefault="00DF42E1" w:rsidP="00DF42E1">
      <w:pPr>
        <w:pStyle w:val="ListParagraph"/>
        <w:numPr>
          <w:ilvl w:val="0"/>
          <w:numId w:val="12"/>
        </w:numPr>
        <w:ind w:left="567" w:hanging="567"/>
      </w:pPr>
      <w:r>
        <w:t>En el cuadro 6 pueden observarse los flujos no des</w:t>
      </w:r>
      <w:r w:rsidR="006F5B5A">
        <w:t xml:space="preserve">contados de beneficios para los </w:t>
      </w:r>
      <w:r w:rsidR="00D900C7">
        <w:t xml:space="preserve">dos </w:t>
      </w:r>
      <w:r w:rsidR="006F5B5A">
        <w:t xml:space="preserve">indicadores seleccionados. </w:t>
      </w:r>
      <w:r w:rsidR="00D900C7">
        <w:t>Ambos indicadores están incluidos en la matriz de resultados como indicadores de impacto.</w:t>
      </w:r>
    </w:p>
    <w:p w:rsidR="00102978" w:rsidRDefault="00102978" w:rsidP="007F5ED8"/>
    <w:p w:rsidR="002707BB" w:rsidRDefault="002707BB">
      <w:pPr>
        <w:jc w:val="left"/>
        <w:rPr>
          <w:b/>
          <w:sz w:val="20"/>
        </w:rPr>
      </w:pPr>
      <w:r>
        <w:rPr>
          <w:b/>
          <w:sz w:val="20"/>
        </w:rPr>
        <w:br w:type="page"/>
      </w:r>
    </w:p>
    <w:p w:rsidR="00B53223" w:rsidRPr="00D177C1" w:rsidRDefault="00B53223" w:rsidP="00B53223">
      <w:pPr>
        <w:pStyle w:val="ListParagraph"/>
        <w:spacing w:after="60"/>
        <w:ind w:left="360"/>
        <w:jc w:val="center"/>
        <w:rPr>
          <w:b/>
          <w:sz w:val="20"/>
        </w:rPr>
      </w:pPr>
      <w:r>
        <w:rPr>
          <w:b/>
          <w:sz w:val="20"/>
        </w:rPr>
        <w:lastRenderedPageBreak/>
        <w:t>Cuadro 6</w:t>
      </w:r>
      <w:r w:rsidRPr="00D177C1">
        <w:rPr>
          <w:b/>
          <w:sz w:val="20"/>
        </w:rPr>
        <w:t xml:space="preserve">. </w:t>
      </w:r>
      <w:r w:rsidR="00DF42E1">
        <w:rPr>
          <w:b/>
          <w:sz w:val="20"/>
        </w:rPr>
        <w:t>Beneficios</w:t>
      </w:r>
      <w:r>
        <w:rPr>
          <w:b/>
          <w:sz w:val="20"/>
        </w:rPr>
        <w:t xml:space="preserve"> previstos </w:t>
      </w:r>
    </w:p>
    <w:tbl>
      <w:tblPr>
        <w:tblW w:w="8861" w:type="dxa"/>
        <w:tblInd w:w="637" w:type="dxa"/>
        <w:tblCellMar>
          <w:left w:w="70" w:type="dxa"/>
          <w:right w:w="70" w:type="dxa"/>
        </w:tblCellMar>
        <w:tblLook w:val="04A0" w:firstRow="1" w:lastRow="0" w:firstColumn="1" w:lastColumn="0" w:noHBand="0" w:noVBand="1"/>
      </w:tblPr>
      <w:tblGrid>
        <w:gridCol w:w="1348"/>
        <w:gridCol w:w="2977"/>
        <w:gridCol w:w="3118"/>
        <w:gridCol w:w="1418"/>
      </w:tblGrid>
      <w:tr w:rsidR="00DF42E1" w:rsidRPr="0045213D" w:rsidTr="00DF42E1">
        <w:trPr>
          <w:trHeight w:val="225"/>
        </w:trPr>
        <w:tc>
          <w:tcPr>
            <w:tcW w:w="1348" w:type="dxa"/>
            <w:tcBorders>
              <w:top w:val="single" w:sz="4" w:space="0" w:color="auto"/>
              <w:left w:val="nil"/>
              <w:bottom w:val="single" w:sz="4" w:space="0" w:color="auto"/>
              <w:right w:val="nil"/>
            </w:tcBorders>
            <w:shd w:val="clear" w:color="auto" w:fill="D9D9D9" w:themeFill="background1" w:themeFillShade="D9"/>
            <w:noWrap/>
            <w:vAlign w:val="bottom"/>
            <w:hideMark/>
          </w:tcPr>
          <w:p w:rsidR="00DF42E1" w:rsidRPr="0045213D" w:rsidRDefault="00DF42E1" w:rsidP="009B7F87">
            <w:pPr>
              <w:jc w:val="center"/>
              <w:rPr>
                <w:b/>
                <w:color w:val="000000"/>
                <w:sz w:val="20"/>
                <w:szCs w:val="20"/>
                <w:lang w:val="es-ES_tradnl" w:eastAsia="es-ES_tradnl"/>
              </w:rPr>
            </w:pPr>
            <w:r>
              <w:rPr>
                <w:b/>
                <w:color w:val="000000"/>
                <w:sz w:val="20"/>
                <w:szCs w:val="20"/>
                <w:lang w:val="es-ES_tradnl" w:eastAsia="es-ES_tradnl"/>
              </w:rPr>
              <w:t>Año</w:t>
            </w:r>
          </w:p>
        </w:tc>
        <w:tc>
          <w:tcPr>
            <w:tcW w:w="2977" w:type="dxa"/>
            <w:tcBorders>
              <w:top w:val="single" w:sz="4" w:space="0" w:color="auto"/>
              <w:left w:val="nil"/>
              <w:bottom w:val="single" w:sz="4" w:space="0" w:color="auto"/>
              <w:right w:val="nil"/>
            </w:tcBorders>
            <w:shd w:val="clear" w:color="auto" w:fill="D9D9D9" w:themeFill="background1" w:themeFillShade="D9"/>
            <w:noWrap/>
            <w:hideMark/>
          </w:tcPr>
          <w:p w:rsidR="00DF42E1" w:rsidRPr="0045213D" w:rsidRDefault="00DF42E1" w:rsidP="009B7F87">
            <w:pPr>
              <w:jc w:val="center"/>
              <w:rPr>
                <w:b/>
                <w:sz w:val="20"/>
              </w:rPr>
            </w:pPr>
            <w:r>
              <w:rPr>
                <w:b/>
                <w:sz w:val="20"/>
                <w:lang w:val="es-ES_tradnl"/>
              </w:rPr>
              <w:t>B</w:t>
            </w:r>
            <w:r w:rsidRPr="0045213D">
              <w:rPr>
                <w:b/>
                <w:sz w:val="20"/>
              </w:rPr>
              <w:t xml:space="preserve">1. </w:t>
            </w:r>
            <w:r w:rsidRPr="00DF42E1">
              <w:rPr>
                <w:b/>
                <w:sz w:val="20"/>
              </w:rPr>
              <w:t>Reducción de los costos financieros asociados a las demoras en los pagos del Estado</w:t>
            </w:r>
          </w:p>
        </w:tc>
        <w:tc>
          <w:tcPr>
            <w:tcW w:w="3118" w:type="dxa"/>
            <w:tcBorders>
              <w:top w:val="single" w:sz="4" w:space="0" w:color="auto"/>
              <w:left w:val="nil"/>
              <w:bottom w:val="single" w:sz="4" w:space="0" w:color="auto"/>
              <w:right w:val="nil"/>
            </w:tcBorders>
            <w:shd w:val="clear" w:color="auto" w:fill="D9D9D9" w:themeFill="background1" w:themeFillShade="D9"/>
            <w:noWrap/>
            <w:hideMark/>
          </w:tcPr>
          <w:p w:rsidR="00DF42E1" w:rsidRPr="0045213D" w:rsidRDefault="00DF42E1" w:rsidP="009B7F87">
            <w:pPr>
              <w:jc w:val="center"/>
              <w:rPr>
                <w:b/>
                <w:sz w:val="20"/>
              </w:rPr>
            </w:pPr>
            <w:r>
              <w:rPr>
                <w:b/>
                <w:sz w:val="20"/>
              </w:rPr>
              <w:t>B</w:t>
            </w:r>
            <w:r w:rsidRPr="0045213D">
              <w:rPr>
                <w:b/>
                <w:sz w:val="20"/>
              </w:rPr>
              <w:t xml:space="preserve">2. </w:t>
            </w:r>
            <w:r w:rsidRPr="00DF42E1">
              <w:rPr>
                <w:b/>
                <w:sz w:val="20"/>
              </w:rPr>
              <w:t>Ahorro generado por la reducción de costos por mantenimiento de cuentas y saldos</w:t>
            </w:r>
          </w:p>
        </w:tc>
        <w:tc>
          <w:tcPr>
            <w:tcW w:w="1418" w:type="dxa"/>
            <w:tcBorders>
              <w:top w:val="single" w:sz="4" w:space="0" w:color="auto"/>
              <w:left w:val="nil"/>
              <w:bottom w:val="single" w:sz="4" w:space="0" w:color="auto"/>
              <w:right w:val="nil"/>
            </w:tcBorders>
            <w:shd w:val="clear" w:color="auto" w:fill="D9D9D9" w:themeFill="background1" w:themeFillShade="D9"/>
            <w:noWrap/>
            <w:hideMark/>
          </w:tcPr>
          <w:p w:rsidR="00DF42E1" w:rsidRPr="0045213D" w:rsidRDefault="00DF42E1" w:rsidP="009B7F87">
            <w:pPr>
              <w:jc w:val="center"/>
              <w:rPr>
                <w:b/>
                <w:sz w:val="20"/>
              </w:rPr>
            </w:pPr>
            <w:r>
              <w:rPr>
                <w:b/>
                <w:sz w:val="20"/>
              </w:rPr>
              <w:t>Total</w:t>
            </w:r>
          </w:p>
        </w:tc>
      </w:tr>
      <w:tr w:rsidR="00DF42E1" w:rsidRPr="0045213D" w:rsidTr="009B7F87">
        <w:trPr>
          <w:trHeight w:val="225"/>
        </w:trPr>
        <w:tc>
          <w:tcPr>
            <w:tcW w:w="1348" w:type="dxa"/>
            <w:tcBorders>
              <w:top w:val="single" w:sz="4" w:space="0" w:color="auto"/>
              <w:left w:val="nil"/>
              <w:bottom w:val="nil"/>
              <w:right w:val="nil"/>
            </w:tcBorders>
            <w:shd w:val="clear" w:color="auto" w:fill="auto"/>
            <w:noWrap/>
            <w:hideMark/>
          </w:tcPr>
          <w:p w:rsidR="00DF42E1" w:rsidRPr="0045213D" w:rsidRDefault="00DF42E1" w:rsidP="00DF42E1">
            <w:pPr>
              <w:jc w:val="center"/>
              <w:rPr>
                <w:sz w:val="20"/>
                <w:szCs w:val="20"/>
              </w:rPr>
            </w:pPr>
            <w:r w:rsidRPr="0045213D">
              <w:rPr>
                <w:sz w:val="20"/>
                <w:szCs w:val="20"/>
              </w:rPr>
              <w:t>1</w:t>
            </w:r>
          </w:p>
        </w:tc>
        <w:tc>
          <w:tcPr>
            <w:tcW w:w="2977" w:type="dxa"/>
            <w:tcBorders>
              <w:top w:val="single" w:sz="4" w:space="0" w:color="auto"/>
              <w:left w:val="nil"/>
              <w:bottom w:val="nil"/>
              <w:right w:val="nil"/>
            </w:tcBorders>
            <w:shd w:val="clear" w:color="auto" w:fill="auto"/>
            <w:noWrap/>
            <w:vAlign w:val="bottom"/>
          </w:tcPr>
          <w:p w:rsidR="00DF42E1" w:rsidRDefault="00DF42E1" w:rsidP="00DF42E1">
            <w:pPr>
              <w:ind w:right="142"/>
              <w:jc w:val="right"/>
              <w:rPr>
                <w:sz w:val="20"/>
                <w:szCs w:val="20"/>
              </w:rPr>
            </w:pPr>
          </w:p>
        </w:tc>
        <w:tc>
          <w:tcPr>
            <w:tcW w:w="3118" w:type="dxa"/>
            <w:tcBorders>
              <w:top w:val="single" w:sz="4" w:space="0" w:color="auto"/>
              <w:left w:val="nil"/>
              <w:bottom w:val="nil"/>
              <w:right w:val="nil"/>
            </w:tcBorders>
            <w:shd w:val="clear" w:color="auto" w:fill="auto"/>
            <w:noWrap/>
            <w:vAlign w:val="bottom"/>
          </w:tcPr>
          <w:p w:rsidR="00DF42E1" w:rsidRDefault="00DF42E1" w:rsidP="00DF42E1">
            <w:pPr>
              <w:ind w:right="142"/>
              <w:jc w:val="right"/>
              <w:rPr>
                <w:sz w:val="20"/>
                <w:szCs w:val="20"/>
              </w:rPr>
            </w:pPr>
          </w:p>
        </w:tc>
        <w:tc>
          <w:tcPr>
            <w:tcW w:w="1418" w:type="dxa"/>
            <w:tcBorders>
              <w:top w:val="single" w:sz="4" w:space="0" w:color="auto"/>
              <w:left w:val="nil"/>
              <w:bottom w:val="nil"/>
              <w:right w:val="nil"/>
            </w:tcBorders>
            <w:shd w:val="clear" w:color="auto" w:fill="auto"/>
            <w:noWrap/>
            <w:vAlign w:val="bottom"/>
          </w:tcPr>
          <w:p w:rsidR="00DF42E1" w:rsidRPr="00DF42E1" w:rsidRDefault="00DF42E1" w:rsidP="00DF42E1">
            <w:pPr>
              <w:ind w:right="142"/>
              <w:jc w:val="right"/>
              <w:rPr>
                <w:sz w:val="20"/>
                <w:szCs w:val="20"/>
              </w:rPr>
            </w:pPr>
          </w:p>
        </w:tc>
      </w:tr>
      <w:tr w:rsidR="00DF42E1" w:rsidRPr="0045213D" w:rsidTr="009B7F87">
        <w:trPr>
          <w:trHeight w:val="225"/>
        </w:trPr>
        <w:tc>
          <w:tcPr>
            <w:tcW w:w="1348" w:type="dxa"/>
            <w:tcBorders>
              <w:top w:val="nil"/>
              <w:left w:val="nil"/>
              <w:bottom w:val="nil"/>
              <w:right w:val="nil"/>
            </w:tcBorders>
            <w:shd w:val="clear" w:color="auto" w:fill="auto"/>
            <w:noWrap/>
            <w:hideMark/>
          </w:tcPr>
          <w:p w:rsidR="00DF42E1" w:rsidRPr="0045213D" w:rsidRDefault="00DF42E1" w:rsidP="00DF42E1">
            <w:pPr>
              <w:jc w:val="center"/>
              <w:rPr>
                <w:sz w:val="20"/>
                <w:szCs w:val="20"/>
              </w:rPr>
            </w:pPr>
            <w:r w:rsidRPr="0045213D">
              <w:rPr>
                <w:sz w:val="20"/>
                <w:szCs w:val="20"/>
              </w:rPr>
              <w:t>2</w:t>
            </w:r>
          </w:p>
        </w:tc>
        <w:tc>
          <w:tcPr>
            <w:tcW w:w="2977" w:type="dxa"/>
            <w:tcBorders>
              <w:top w:val="nil"/>
              <w:left w:val="nil"/>
              <w:bottom w:val="nil"/>
              <w:right w:val="nil"/>
            </w:tcBorders>
            <w:shd w:val="clear" w:color="auto" w:fill="auto"/>
            <w:noWrap/>
            <w:vAlign w:val="bottom"/>
          </w:tcPr>
          <w:p w:rsidR="00DF42E1" w:rsidRDefault="00DF42E1" w:rsidP="00DF42E1">
            <w:pPr>
              <w:ind w:right="142"/>
              <w:jc w:val="right"/>
              <w:rPr>
                <w:sz w:val="20"/>
                <w:szCs w:val="20"/>
              </w:rPr>
            </w:pPr>
          </w:p>
        </w:tc>
        <w:tc>
          <w:tcPr>
            <w:tcW w:w="3118" w:type="dxa"/>
            <w:tcBorders>
              <w:top w:val="nil"/>
              <w:left w:val="nil"/>
              <w:bottom w:val="nil"/>
              <w:right w:val="nil"/>
            </w:tcBorders>
            <w:shd w:val="clear" w:color="auto" w:fill="auto"/>
            <w:noWrap/>
            <w:vAlign w:val="bottom"/>
          </w:tcPr>
          <w:p w:rsidR="00DF42E1" w:rsidRDefault="00DF42E1" w:rsidP="00DF42E1">
            <w:pPr>
              <w:ind w:right="142"/>
              <w:jc w:val="right"/>
              <w:rPr>
                <w:sz w:val="20"/>
                <w:szCs w:val="20"/>
              </w:rPr>
            </w:pPr>
          </w:p>
        </w:tc>
        <w:tc>
          <w:tcPr>
            <w:tcW w:w="1418" w:type="dxa"/>
            <w:tcBorders>
              <w:top w:val="nil"/>
              <w:left w:val="nil"/>
              <w:bottom w:val="nil"/>
              <w:right w:val="nil"/>
            </w:tcBorders>
            <w:shd w:val="clear" w:color="auto" w:fill="auto"/>
            <w:noWrap/>
            <w:vAlign w:val="bottom"/>
          </w:tcPr>
          <w:p w:rsidR="00DF42E1" w:rsidRPr="00DF42E1" w:rsidRDefault="00DF42E1" w:rsidP="00DF42E1">
            <w:pPr>
              <w:ind w:right="142"/>
              <w:jc w:val="right"/>
              <w:rPr>
                <w:sz w:val="20"/>
                <w:szCs w:val="20"/>
              </w:rPr>
            </w:pPr>
          </w:p>
        </w:tc>
      </w:tr>
      <w:tr w:rsidR="00DF42E1" w:rsidRPr="0045213D" w:rsidTr="009B7F87">
        <w:trPr>
          <w:trHeight w:val="225"/>
        </w:trPr>
        <w:tc>
          <w:tcPr>
            <w:tcW w:w="1348" w:type="dxa"/>
            <w:tcBorders>
              <w:top w:val="nil"/>
              <w:left w:val="nil"/>
              <w:bottom w:val="nil"/>
              <w:right w:val="nil"/>
            </w:tcBorders>
            <w:shd w:val="clear" w:color="auto" w:fill="auto"/>
            <w:noWrap/>
            <w:hideMark/>
          </w:tcPr>
          <w:p w:rsidR="00DF42E1" w:rsidRPr="0045213D" w:rsidRDefault="00DF42E1" w:rsidP="00DF42E1">
            <w:pPr>
              <w:jc w:val="center"/>
              <w:rPr>
                <w:sz w:val="20"/>
                <w:szCs w:val="20"/>
              </w:rPr>
            </w:pPr>
            <w:r w:rsidRPr="0045213D">
              <w:rPr>
                <w:sz w:val="20"/>
                <w:szCs w:val="20"/>
              </w:rPr>
              <w:t>3</w:t>
            </w:r>
          </w:p>
        </w:tc>
        <w:tc>
          <w:tcPr>
            <w:tcW w:w="2977" w:type="dxa"/>
            <w:tcBorders>
              <w:top w:val="nil"/>
              <w:left w:val="nil"/>
              <w:bottom w:val="nil"/>
              <w:right w:val="nil"/>
            </w:tcBorders>
            <w:shd w:val="clear" w:color="auto" w:fill="auto"/>
            <w:noWrap/>
            <w:vAlign w:val="bottom"/>
          </w:tcPr>
          <w:p w:rsidR="00DF42E1" w:rsidRDefault="00DF42E1" w:rsidP="00DF42E1">
            <w:pPr>
              <w:ind w:right="142"/>
              <w:jc w:val="right"/>
              <w:rPr>
                <w:sz w:val="20"/>
                <w:szCs w:val="20"/>
              </w:rPr>
            </w:pPr>
          </w:p>
        </w:tc>
        <w:tc>
          <w:tcPr>
            <w:tcW w:w="3118" w:type="dxa"/>
            <w:tcBorders>
              <w:top w:val="nil"/>
              <w:left w:val="nil"/>
              <w:bottom w:val="nil"/>
              <w:right w:val="nil"/>
            </w:tcBorders>
            <w:shd w:val="clear" w:color="auto" w:fill="auto"/>
            <w:noWrap/>
            <w:vAlign w:val="bottom"/>
          </w:tcPr>
          <w:p w:rsidR="00DF42E1" w:rsidRDefault="00DF42E1" w:rsidP="00DF42E1">
            <w:pPr>
              <w:ind w:right="142"/>
              <w:jc w:val="right"/>
              <w:rPr>
                <w:sz w:val="20"/>
                <w:szCs w:val="20"/>
              </w:rPr>
            </w:pPr>
          </w:p>
        </w:tc>
        <w:tc>
          <w:tcPr>
            <w:tcW w:w="1418" w:type="dxa"/>
            <w:tcBorders>
              <w:top w:val="nil"/>
              <w:left w:val="nil"/>
              <w:bottom w:val="nil"/>
              <w:right w:val="nil"/>
            </w:tcBorders>
            <w:shd w:val="clear" w:color="auto" w:fill="auto"/>
            <w:noWrap/>
            <w:vAlign w:val="bottom"/>
          </w:tcPr>
          <w:p w:rsidR="00DF42E1" w:rsidRPr="00DF42E1" w:rsidRDefault="00DF42E1" w:rsidP="00DF42E1">
            <w:pPr>
              <w:ind w:right="142"/>
              <w:jc w:val="right"/>
              <w:rPr>
                <w:sz w:val="20"/>
                <w:szCs w:val="20"/>
              </w:rPr>
            </w:pPr>
          </w:p>
        </w:tc>
      </w:tr>
      <w:tr w:rsidR="006F5B5A" w:rsidRPr="0045213D" w:rsidTr="009B7F87">
        <w:trPr>
          <w:trHeight w:val="225"/>
        </w:trPr>
        <w:tc>
          <w:tcPr>
            <w:tcW w:w="1348" w:type="dxa"/>
            <w:tcBorders>
              <w:top w:val="nil"/>
              <w:left w:val="nil"/>
              <w:right w:val="nil"/>
            </w:tcBorders>
            <w:shd w:val="clear" w:color="auto" w:fill="auto"/>
            <w:noWrap/>
            <w:hideMark/>
          </w:tcPr>
          <w:p w:rsidR="006F5B5A" w:rsidRPr="0045213D" w:rsidRDefault="006F5B5A" w:rsidP="006F5B5A">
            <w:pPr>
              <w:jc w:val="center"/>
              <w:rPr>
                <w:sz w:val="20"/>
                <w:szCs w:val="20"/>
              </w:rPr>
            </w:pPr>
            <w:r w:rsidRPr="0045213D">
              <w:rPr>
                <w:sz w:val="20"/>
                <w:szCs w:val="20"/>
              </w:rPr>
              <w:t>4</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2.694.285</w:t>
            </w:r>
          </w:p>
        </w:tc>
        <w:tc>
          <w:tcPr>
            <w:tcW w:w="3118" w:type="dxa"/>
            <w:tcBorders>
              <w:top w:val="nil"/>
              <w:left w:val="nil"/>
              <w:right w:val="nil"/>
            </w:tcBorders>
            <w:shd w:val="clear" w:color="auto" w:fill="auto"/>
            <w:noWrap/>
            <w:vAlign w:val="bottom"/>
          </w:tcPr>
          <w:p w:rsidR="006F5B5A" w:rsidRDefault="006F5B5A" w:rsidP="006F5B5A">
            <w:pPr>
              <w:ind w:right="142"/>
              <w:jc w:val="right"/>
              <w:rPr>
                <w:sz w:val="20"/>
                <w:szCs w:val="20"/>
              </w:rPr>
            </w:pP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2.694.285</w:t>
            </w:r>
          </w:p>
        </w:tc>
      </w:tr>
      <w:tr w:rsidR="006F5B5A" w:rsidRPr="0045213D" w:rsidTr="009B7F87">
        <w:trPr>
          <w:trHeight w:val="225"/>
        </w:trPr>
        <w:tc>
          <w:tcPr>
            <w:tcW w:w="1348" w:type="dxa"/>
            <w:tcBorders>
              <w:top w:val="nil"/>
              <w:left w:val="nil"/>
              <w:bottom w:val="single" w:sz="4" w:space="0" w:color="auto"/>
              <w:right w:val="nil"/>
            </w:tcBorders>
            <w:shd w:val="clear" w:color="auto" w:fill="auto"/>
            <w:noWrap/>
            <w:hideMark/>
          </w:tcPr>
          <w:p w:rsidR="006F5B5A" w:rsidRPr="0045213D" w:rsidRDefault="006F5B5A" w:rsidP="006F5B5A">
            <w:pPr>
              <w:jc w:val="center"/>
              <w:rPr>
                <w:sz w:val="20"/>
                <w:szCs w:val="20"/>
              </w:rPr>
            </w:pPr>
            <w:r w:rsidRPr="0045213D">
              <w:rPr>
                <w:sz w:val="20"/>
                <w:szCs w:val="20"/>
              </w:rPr>
              <w:t>5</w:t>
            </w:r>
          </w:p>
        </w:tc>
        <w:tc>
          <w:tcPr>
            <w:tcW w:w="2977" w:type="dxa"/>
            <w:tcBorders>
              <w:top w:val="nil"/>
              <w:left w:val="nil"/>
              <w:bottom w:val="single" w:sz="4" w:space="0" w:color="auto"/>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2.694.285</w:t>
            </w:r>
          </w:p>
        </w:tc>
        <w:tc>
          <w:tcPr>
            <w:tcW w:w="3118" w:type="dxa"/>
            <w:tcBorders>
              <w:top w:val="nil"/>
              <w:left w:val="nil"/>
              <w:bottom w:val="single" w:sz="4" w:space="0" w:color="auto"/>
              <w:right w:val="nil"/>
            </w:tcBorders>
            <w:shd w:val="clear" w:color="auto" w:fill="auto"/>
            <w:noWrap/>
            <w:vAlign w:val="bottom"/>
          </w:tcPr>
          <w:p w:rsidR="006F5B5A" w:rsidRDefault="006F5B5A" w:rsidP="006F5B5A">
            <w:pPr>
              <w:ind w:right="142"/>
              <w:jc w:val="right"/>
              <w:rPr>
                <w:sz w:val="20"/>
                <w:szCs w:val="20"/>
              </w:rPr>
            </w:pPr>
          </w:p>
        </w:tc>
        <w:tc>
          <w:tcPr>
            <w:tcW w:w="1418" w:type="dxa"/>
            <w:tcBorders>
              <w:top w:val="nil"/>
              <w:left w:val="nil"/>
              <w:bottom w:val="single" w:sz="4" w:space="0" w:color="auto"/>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2.694.285</w:t>
            </w:r>
          </w:p>
        </w:tc>
      </w:tr>
      <w:tr w:rsidR="006F5B5A" w:rsidRPr="0045213D" w:rsidTr="009B7F87">
        <w:trPr>
          <w:trHeight w:val="225"/>
        </w:trPr>
        <w:tc>
          <w:tcPr>
            <w:tcW w:w="1348" w:type="dxa"/>
            <w:tcBorders>
              <w:top w:val="single" w:sz="4" w:space="0" w:color="auto"/>
              <w:left w:val="nil"/>
              <w:bottom w:val="nil"/>
              <w:right w:val="nil"/>
            </w:tcBorders>
            <w:shd w:val="clear" w:color="auto" w:fill="auto"/>
            <w:noWrap/>
            <w:hideMark/>
          </w:tcPr>
          <w:p w:rsidR="006F5B5A" w:rsidRPr="0045213D" w:rsidRDefault="006F5B5A" w:rsidP="006F5B5A">
            <w:pPr>
              <w:jc w:val="center"/>
              <w:rPr>
                <w:sz w:val="20"/>
                <w:szCs w:val="20"/>
              </w:rPr>
            </w:pPr>
            <w:r w:rsidRPr="0045213D">
              <w:rPr>
                <w:sz w:val="20"/>
                <w:szCs w:val="20"/>
              </w:rPr>
              <w:t>6</w:t>
            </w:r>
          </w:p>
        </w:tc>
        <w:tc>
          <w:tcPr>
            <w:tcW w:w="2977" w:type="dxa"/>
            <w:tcBorders>
              <w:top w:val="single" w:sz="4" w:space="0" w:color="auto"/>
              <w:left w:val="nil"/>
              <w:bottom w:val="nil"/>
              <w:right w:val="nil"/>
            </w:tcBorders>
            <w:shd w:val="clear" w:color="auto" w:fill="auto"/>
            <w:noWrap/>
            <w:vAlign w:val="bottom"/>
            <w:hideMark/>
          </w:tcPr>
          <w:p w:rsidR="006F5B5A" w:rsidRPr="006F5B5A" w:rsidRDefault="006F5B5A" w:rsidP="006F5B5A">
            <w:pPr>
              <w:ind w:right="142"/>
              <w:jc w:val="right"/>
              <w:rPr>
                <w:sz w:val="20"/>
                <w:szCs w:val="20"/>
              </w:rPr>
            </w:pPr>
            <w:r w:rsidRPr="006F5B5A">
              <w:rPr>
                <w:sz w:val="20"/>
                <w:szCs w:val="20"/>
              </w:rPr>
              <w:t>5.388.569</w:t>
            </w:r>
          </w:p>
        </w:tc>
        <w:tc>
          <w:tcPr>
            <w:tcW w:w="3118" w:type="dxa"/>
            <w:tcBorders>
              <w:top w:val="single" w:sz="4" w:space="0" w:color="auto"/>
              <w:left w:val="nil"/>
              <w:bottom w:val="nil"/>
              <w:right w:val="nil"/>
            </w:tcBorders>
            <w:shd w:val="clear" w:color="auto" w:fill="auto"/>
            <w:noWrap/>
            <w:vAlign w:val="bottom"/>
            <w:hideMark/>
          </w:tcPr>
          <w:p w:rsidR="006F5B5A" w:rsidRPr="00DF42E1" w:rsidRDefault="006F5B5A" w:rsidP="006F5B5A">
            <w:pPr>
              <w:ind w:right="142"/>
              <w:jc w:val="right"/>
              <w:rPr>
                <w:sz w:val="20"/>
                <w:szCs w:val="20"/>
              </w:rPr>
            </w:pPr>
            <w:r w:rsidRPr="00DF42E1">
              <w:rPr>
                <w:sz w:val="20"/>
                <w:szCs w:val="20"/>
              </w:rPr>
              <w:t>4.420.432</w:t>
            </w:r>
          </w:p>
        </w:tc>
        <w:tc>
          <w:tcPr>
            <w:tcW w:w="1418" w:type="dxa"/>
            <w:tcBorders>
              <w:top w:val="single" w:sz="4" w:space="0" w:color="auto"/>
              <w:left w:val="nil"/>
              <w:bottom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bottom w:val="nil"/>
              <w:right w:val="nil"/>
            </w:tcBorders>
            <w:shd w:val="clear" w:color="auto" w:fill="auto"/>
            <w:noWrap/>
            <w:hideMark/>
          </w:tcPr>
          <w:p w:rsidR="006F5B5A" w:rsidRPr="0045213D" w:rsidRDefault="006F5B5A" w:rsidP="006F5B5A">
            <w:pPr>
              <w:jc w:val="center"/>
              <w:rPr>
                <w:sz w:val="20"/>
                <w:szCs w:val="20"/>
              </w:rPr>
            </w:pPr>
            <w:r w:rsidRPr="0045213D">
              <w:rPr>
                <w:sz w:val="20"/>
                <w:szCs w:val="20"/>
              </w:rPr>
              <w:t>7</w:t>
            </w:r>
          </w:p>
        </w:tc>
        <w:tc>
          <w:tcPr>
            <w:tcW w:w="2977" w:type="dxa"/>
            <w:tcBorders>
              <w:top w:val="nil"/>
              <w:left w:val="nil"/>
              <w:bottom w:val="nil"/>
              <w:right w:val="nil"/>
            </w:tcBorders>
            <w:shd w:val="clear" w:color="auto" w:fill="auto"/>
            <w:noWrap/>
            <w:vAlign w:val="bottom"/>
            <w:hideMark/>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bottom w:val="nil"/>
              <w:right w:val="nil"/>
            </w:tcBorders>
            <w:shd w:val="clear" w:color="auto" w:fill="auto"/>
            <w:noWrap/>
            <w:vAlign w:val="bottom"/>
            <w:hideMark/>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bottom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bottom w:val="nil"/>
              <w:right w:val="nil"/>
            </w:tcBorders>
            <w:shd w:val="clear" w:color="auto" w:fill="auto"/>
            <w:noWrap/>
            <w:hideMark/>
          </w:tcPr>
          <w:p w:rsidR="006F5B5A" w:rsidRPr="0045213D" w:rsidRDefault="006F5B5A" w:rsidP="006F5B5A">
            <w:pPr>
              <w:jc w:val="center"/>
              <w:rPr>
                <w:sz w:val="20"/>
                <w:szCs w:val="20"/>
              </w:rPr>
            </w:pPr>
            <w:r w:rsidRPr="0045213D">
              <w:rPr>
                <w:sz w:val="20"/>
                <w:szCs w:val="20"/>
              </w:rPr>
              <w:t>8</w:t>
            </w:r>
          </w:p>
        </w:tc>
        <w:tc>
          <w:tcPr>
            <w:tcW w:w="2977" w:type="dxa"/>
            <w:tcBorders>
              <w:top w:val="nil"/>
              <w:left w:val="nil"/>
              <w:bottom w:val="nil"/>
              <w:right w:val="nil"/>
            </w:tcBorders>
            <w:shd w:val="clear" w:color="auto" w:fill="auto"/>
            <w:noWrap/>
            <w:vAlign w:val="bottom"/>
            <w:hideMark/>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bottom w:val="nil"/>
              <w:right w:val="nil"/>
            </w:tcBorders>
            <w:shd w:val="clear" w:color="auto" w:fill="auto"/>
            <w:noWrap/>
            <w:vAlign w:val="bottom"/>
            <w:hideMark/>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bottom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hideMark/>
          </w:tcPr>
          <w:p w:rsidR="006F5B5A" w:rsidRPr="0045213D" w:rsidRDefault="006F5B5A" w:rsidP="006F5B5A">
            <w:pPr>
              <w:jc w:val="center"/>
              <w:rPr>
                <w:sz w:val="20"/>
                <w:szCs w:val="20"/>
              </w:rPr>
            </w:pPr>
            <w:r w:rsidRPr="0045213D">
              <w:rPr>
                <w:sz w:val="20"/>
                <w:szCs w:val="20"/>
              </w:rPr>
              <w:t>9</w:t>
            </w:r>
          </w:p>
        </w:tc>
        <w:tc>
          <w:tcPr>
            <w:tcW w:w="2977" w:type="dxa"/>
            <w:tcBorders>
              <w:top w:val="nil"/>
              <w:left w:val="nil"/>
              <w:right w:val="nil"/>
            </w:tcBorders>
            <w:shd w:val="clear" w:color="auto" w:fill="auto"/>
            <w:noWrap/>
            <w:vAlign w:val="bottom"/>
            <w:hideMark/>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hideMark/>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tcPr>
          <w:p w:rsidR="006F5B5A" w:rsidRPr="0045213D" w:rsidRDefault="006F5B5A" w:rsidP="006F5B5A">
            <w:pPr>
              <w:jc w:val="center"/>
              <w:rPr>
                <w:sz w:val="20"/>
                <w:szCs w:val="20"/>
              </w:rPr>
            </w:pPr>
            <w:r w:rsidRPr="0045213D">
              <w:rPr>
                <w:sz w:val="20"/>
                <w:szCs w:val="20"/>
              </w:rPr>
              <w:t>10</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tcPr>
          <w:p w:rsidR="006F5B5A" w:rsidRPr="0045213D" w:rsidRDefault="006F5B5A" w:rsidP="006F5B5A">
            <w:pPr>
              <w:jc w:val="center"/>
              <w:rPr>
                <w:sz w:val="20"/>
                <w:szCs w:val="20"/>
              </w:rPr>
            </w:pPr>
            <w:r w:rsidRPr="0045213D">
              <w:rPr>
                <w:sz w:val="20"/>
                <w:szCs w:val="20"/>
              </w:rPr>
              <w:t>11</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tcPr>
          <w:p w:rsidR="006F5B5A" w:rsidRPr="0045213D" w:rsidRDefault="006F5B5A" w:rsidP="006F5B5A">
            <w:pPr>
              <w:jc w:val="center"/>
              <w:rPr>
                <w:sz w:val="20"/>
                <w:szCs w:val="20"/>
              </w:rPr>
            </w:pPr>
            <w:r w:rsidRPr="0045213D">
              <w:rPr>
                <w:sz w:val="20"/>
                <w:szCs w:val="20"/>
              </w:rPr>
              <w:t>12</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tcPr>
          <w:p w:rsidR="006F5B5A" w:rsidRPr="0045213D" w:rsidRDefault="006F5B5A" w:rsidP="006F5B5A">
            <w:pPr>
              <w:jc w:val="center"/>
              <w:rPr>
                <w:sz w:val="20"/>
                <w:szCs w:val="20"/>
              </w:rPr>
            </w:pPr>
            <w:r w:rsidRPr="0045213D">
              <w:rPr>
                <w:sz w:val="20"/>
                <w:szCs w:val="20"/>
              </w:rPr>
              <w:t>13</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right w:val="nil"/>
            </w:tcBorders>
            <w:shd w:val="clear" w:color="auto" w:fill="auto"/>
            <w:noWrap/>
          </w:tcPr>
          <w:p w:rsidR="006F5B5A" w:rsidRPr="0045213D" w:rsidRDefault="006F5B5A" w:rsidP="006F5B5A">
            <w:pPr>
              <w:jc w:val="center"/>
              <w:rPr>
                <w:sz w:val="20"/>
                <w:szCs w:val="20"/>
              </w:rPr>
            </w:pPr>
            <w:r w:rsidRPr="0045213D">
              <w:rPr>
                <w:sz w:val="20"/>
                <w:szCs w:val="20"/>
              </w:rPr>
              <w:t>14</w:t>
            </w:r>
          </w:p>
        </w:tc>
        <w:tc>
          <w:tcPr>
            <w:tcW w:w="2977"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right w:val="nil"/>
            </w:tcBorders>
            <w:shd w:val="clear" w:color="auto" w:fill="auto"/>
            <w:noWrap/>
            <w:vAlign w:val="bottom"/>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r w:rsidR="006F5B5A" w:rsidRPr="0045213D" w:rsidTr="009B7F87">
        <w:trPr>
          <w:trHeight w:val="225"/>
        </w:trPr>
        <w:tc>
          <w:tcPr>
            <w:tcW w:w="1348" w:type="dxa"/>
            <w:tcBorders>
              <w:top w:val="nil"/>
              <w:left w:val="nil"/>
              <w:bottom w:val="single" w:sz="4" w:space="0" w:color="auto"/>
              <w:right w:val="nil"/>
            </w:tcBorders>
            <w:shd w:val="clear" w:color="auto" w:fill="auto"/>
            <w:noWrap/>
            <w:hideMark/>
          </w:tcPr>
          <w:p w:rsidR="006F5B5A" w:rsidRPr="0045213D" w:rsidRDefault="006F5B5A" w:rsidP="006F5B5A">
            <w:pPr>
              <w:jc w:val="center"/>
              <w:rPr>
                <w:sz w:val="20"/>
                <w:szCs w:val="20"/>
              </w:rPr>
            </w:pPr>
            <w:r w:rsidRPr="0045213D">
              <w:rPr>
                <w:sz w:val="20"/>
                <w:szCs w:val="20"/>
              </w:rPr>
              <w:t>15</w:t>
            </w:r>
          </w:p>
        </w:tc>
        <w:tc>
          <w:tcPr>
            <w:tcW w:w="2977" w:type="dxa"/>
            <w:tcBorders>
              <w:top w:val="nil"/>
              <w:left w:val="nil"/>
              <w:bottom w:val="single" w:sz="4" w:space="0" w:color="auto"/>
              <w:right w:val="nil"/>
            </w:tcBorders>
            <w:shd w:val="clear" w:color="auto" w:fill="auto"/>
            <w:noWrap/>
            <w:vAlign w:val="bottom"/>
            <w:hideMark/>
          </w:tcPr>
          <w:p w:rsidR="006F5B5A" w:rsidRPr="006F5B5A" w:rsidRDefault="006F5B5A" w:rsidP="006F5B5A">
            <w:pPr>
              <w:ind w:right="142"/>
              <w:jc w:val="right"/>
              <w:rPr>
                <w:sz w:val="20"/>
                <w:szCs w:val="20"/>
              </w:rPr>
            </w:pPr>
            <w:r w:rsidRPr="006F5B5A">
              <w:rPr>
                <w:sz w:val="20"/>
                <w:szCs w:val="20"/>
              </w:rPr>
              <w:t>5.388.569</w:t>
            </w:r>
          </w:p>
        </w:tc>
        <w:tc>
          <w:tcPr>
            <w:tcW w:w="3118" w:type="dxa"/>
            <w:tcBorders>
              <w:top w:val="nil"/>
              <w:left w:val="nil"/>
              <w:bottom w:val="single" w:sz="4" w:space="0" w:color="auto"/>
              <w:right w:val="nil"/>
            </w:tcBorders>
            <w:shd w:val="clear" w:color="auto" w:fill="auto"/>
            <w:noWrap/>
            <w:vAlign w:val="bottom"/>
            <w:hideMark/>
          </w:tcPr>
          <w:p w:rsidR="006F5B5A" w:rsidRPr="00DF42E1" w:rsidRDefault="006F5B5A" w:rsidP="006F5B5A">
            <w:pPr>
              <w:ind w:right="142"/>
              <w:jc w:val="right"/>
              <w:rPr>
                <w:sz w:val="20"/>
                <w:szCs w:val="20"/>
              </w:rPr>
            </w:pPr>
            <w:r w:rsidRPr="00DF42E1">
              <w:rPr>
                <w:sz w:val="20"/>
                <w:szCs w:val="20"/>
              </w:rPr>
              <w:t>4.420.432</w:t>
            </w:r>
          </w:p>
        </w:tc>
        <w:tc>
          <w:tcPr>
            <w:tcW w:w="1418" w:type="dxa"/>
            <w:tcBorders>
              <w:top w:val="nil"/>
              <w:left w:val="nil"/>
              <w:bottom w:val="single" w:sz="4" w:space="0" w:color="auto"/>
              <w:right w:val="nil"/>
            </w:tcBorders>
            <w:shd w:val="clear" w:color="auto" w:fill="auto"/>
            <w:noWrap/>
            <w:vAlign w:val="bottom"/>
          </w:tcPr>
          <w:p w:rsidR="006F5B5A" w:rsidRPr="006F5B5A" w:rsidRDefault="006F5B5A" w:rsidP="006F5B5A">
            <w:pPr>
              <w:ind w:right="142"/>
              <w:jc w:val="right"/>
              <w:rPr>
                <w:sz w:val="20"/>
                <w:szCs w:val="20"/>
              </w:rPr>
            </w:pPr>
            <w:r w:rsidRPr="006F5B5A">
              <w:rPr>
                <w:sz w:val="20"/>
                <w:szCs w:val="20"/>
              </w:rPr>
              <w:t>9.809.001</w:t>
            </w:r>
          </w:p>
        </w:tc>
      </w:tr>
    </w:tbl>
    <w:p w:rsidR="00B53223" w:rsidRDefault="00B53223" w:rsidP="00B53223">
      <w:pPr>
        <w:ind w:left="709"/>
      </w:pPr>
      <w:r w:rsidRPr="009E7F7F">
        <w:rPr>
          <w:sz w:val="18"/>
        </w:rPr>
        <w:t xml:space="preserve">Montos en </w:t>
      </w:r>
      <w:r>
        <w:rPr>
          <w:sz w:val="18"/>
        </w:rPr>
        <w:t>USD</w:t>
      </w:r>
      <w:r w:rsidRPr="009E7F7F">
        <w:rPr>
          <w:sz w:val="18"/>
        </w:rPr>
        <w:t>.</w:t>
      </w:r>
      <w:r>
        <w:rPr>
          <w:sz w:val="18"/>
        </w:rPr>
        <w:t xml:space="preserve"> Si se cumplen las previsiones, el año 1 correspondería a mayo/junio de 2014.</w:t>
      </w:r>
    </w:p>
    <w:p w:rsidR="00102978" w:rsidRDefault="00102978" w:rsidP="007F5ED8"/>
    <w:p w:rsidR="00102978" w:rsidRDefault="006F5B5A" w:rsidP="006F5B5A">
      <w:pPr>
        <w:pStyle w:val="ListParagraph"/>
        <w:numPr>
          <w:ilvl w:val="0"/>
          <w:numId w:val="12"/>
        </w:numPr>
        <w:ind w:left="567" w:hanging="567"/>
      </w:pPr>
      <w:r>
        <w:t>En el caso del indicador “</w:t>
      </w:r>
      <w:r w:rsidRPr="006F5B5A">
        <w:t>Reducción de los costos financieros asociados a las demoras en los pagos del Estado</w:t>
      </w:r>
      <w:r>
        <w:t xml:space="preserve">, cuyos resultados dependen en parte de la terminación de la optimización de los procesos, se ha considerado que a partir del 4º año la mitad de los pagos comienzan a realizarse con los nuevos procedimientos. </w:t>
      </w:r>
      <w:r w:rsidR="00D900C7">
        <w:t xml:space="preserve">Por esa razón aparecen beneficios aunque el Programa no haya concluido. </w:t>
      </w:r>
      <w:r>
        <w:t>Es a partir del 6º año, ya con el SIIF2 plenamente en producción, cuando se est</w:t>
      </w:r>
      <w:r w:rsidR="005B102A">
        <w:t>ima que los efectos del Programa serán totales.</w:t>
      </w:r>
    </w:p>
    <w:p w:rsidR="006F5B5A" w:rsidRDefault="006F5B5A" w:rsidP="006F5B5A"/>
    <w:p w:rsidR="006F5B5A" w:rsidRDefault="006F5B5A" w:rsidP="006F5B5A"/>
    <w:p w:rsidR="002707BB" w:rsidRDefault="002707BB" w:rsidP="00310721">
      <w:pPr>
        <w:pStyle w:val="Heading1"/>
        <w:sectPr w:rsidR="002707BB" w:rsidSect="009B7F87">
          <w:pgSz w:w="12240" w:h="15840" w:code="1"/>
          <w:pgMar w:top="1418" w:right="1325" w:bottom="1418" w:left="1418" w:header="709" w:footer="856" w:gutter="0"/>
          <w:cols w:space="708"/>
          <w:docGrid w:linePitch="360"/>
        </w:sectPr>
      </w:pPr>
    </w:p>
    <w:p w:rsidR="00B92C35" w:rsidRDefault="00B92C35" w:rsidP="00310721">
      <w:pPr>
        <w:pStyle w:val="Heading1"/>
      </w:pPr>
      <w:bookmarkStart w:id="35" w:name="_Toc373498455"/>
      <w:r>
        <w:lastRenderedPageBreak/>
        <w:t xml:space="preserve">Costos </w:t>
      </w:r>
      <w:r w:rsidR="000A5801">
        <w:t>considerados</w:t>
      </w:r>
      <w:r>
        <w:t xml:space="preserve"> en el análisis costo-beneficio</w:t>
      </w:r>
      <w:bookmarkEnd w:id="35"/>
    </w:p>
    <w:p w:rsidR="006F5B1B" w:rsidRDefault="00B70AE8" w:rsidP="005012F5">
      <w:pPr>
        <w:pStyle w:val="ListParagraph"/>
        <w:numPr>
          <w:ilvl w:val="0"/>
          <w:numId w:val="12"/>
        </w:numPr>
        <w:ind w:left="567" w:hanging="567"/>
      </w:pPr>
      <w:r>
        <w:t xml:space="preserve">En el cuadro </w:t>
      </w:r>
      <w:r w:rsidR="00B53223">
        <w:t>7</w:t>
      </w:r>
      <w:r>
        <w:t xml:space="preserve"> pueden observarse los flujos previstos, no descontados, de los costos </w:t>
      </w:r>
      <w:r w:rsidR="00EC7A0F">
        <w:t>del Programa</w:t>
      </w:r>
      <w:r w:rsidR="006F5B1B">
        <w:t xml:space="preserve">, de acuerdo a las estimaciones realizadas y el plan de adquisiciones. Los </w:t>
      </w:r>
      <w:r w:rsidR="009770CE">
        <w:t>costos considerados son: C1. Componentes; C2. Administración Programa; y C3. Depreciación.</w:t>
      </w:r>
    </w:p>
    <w:p w:rsidR="006F5B1B" w:rsidRDefault="006F5B1B" w:rsidP="006F5B1B">
      <w:pPr>
        <w:pStyle w:val="ListParagraph"/>
        <w:ind w:left="567"/>
      </w:pPr>
    </w:p>
    <w:p w:rsidR="00517832" w:rsidRPr="00D177C1" w:rsidRDefault="00517832" w:rsidP="00517832">
      <w:pPr>
        <w:pStyle w:val="ListParagraph"/>
        <w:spacing w:after="60"/>
        <w:ind w:left="360"/>
        <w:jc w:val="center"/>
        <w:rPr>
          <w:b/>
          <w:sz w:val="20"/>
        </w:rPr>
      </w:pPr>
      <w:r>
        <w:rPr>
          <w:b/>
          <w:sz w:val="20"/>
        </w:rPr>
        <w:t xml:space="preserve">Cuadro </w:t>
      </w:r>
      <w:r w:rsidR="00B53223">
        <w:rPr>
          <w:b/>
          <w:sz w:val="20"/>
        </w:rPr>
        <w:t>7</w:t>
      </w:r>
      <w:r w:rsidRPr="00D177C1">
        <w:rPr>
          <w:b/>
          <w:sz w:val="20"/>
        </w:rPr>
        <w:t xml:space="preserve">. </w:t>
      </w:r>
      <w:r>
        <w:rPr>
          <w:b/>
          <w:sz w:val="20"/>
        </w:rPr>
        <w:t xml:space="preserve">Costos previstos </w:t>
      </w:r>
    </w:p>
    <w:tbl>
      <w:tblPr>
        <w:tblW w:w="8719" w:type="dxa"/>
        <w:tblInd w:w="637" w:type="dxa"/>
        <w:tblCellMar>
          <w:left w:w="70" w:type="dxa"/>
          <w:right w:w="70" w:type="dxa"/>
        </w:tblCellMar>
        <w:tblLook w:val="04A0" w:firstRow="1" w:lastRow="0" w:firstColumn="1" w:lastColumn="0" w:noHBand="0" w:noVBand="1"/>
      </w:tblPr>
      <w:tblGrid>
        <w:gridCol w:w="1348"/>
        <w:gridCol w:w="1843"/>
        <w:gridCol w:w="1984"/>
        <w:gridCol w:w="1985"/>
        <w:gridCol w:w="1559"/>
      </w:tblGrid>
      <w:tr w:rsidR="0045213D" w:rsidRPr="0045213D" w:rsidTr="00DF42E1">
        <w:trPr>
          <w:trHeight w:val="225"/>
        </w:trPr>
        <w:tc>
          <w:tcPr>
            <w:tcW w:w="1348" w:type="dxa"/>
            <w:tcBorders>
              <w:top w:val="single" w:sz="4" w:space="0" w:color="auto"/>
              <w:left w:val="nil"/>
              <w:bottom w:val="single" w:sz="4" w:space="0" w:color="auto"/>
              <w:right w:val="nil"/>
            </w:tcBorders>
            <w:shd w:val="clear" w:color="auto" w:fill="D9D9D9" w:themeFill="background1" w:themeFillShade="D9"/>
            <w:noWrap/>
            <w:vAlign w:val="bottom"/>
            <w:hideMark/>
          </w:tcPr>
          <w:p w:rsidR="0045213D" w:rsidRPr="0045213D" w:rsidRDefault="006F5B1B" w:rsidP="006F5B1B">
            <w:pPr>
              <w:jc w:val="center"/>
              <w:rPr>
                <w:b/>
                <w:color w:val="000000"/>
                <w:sz w:val="20"/>
                <w:szCs w:val="20"/>
                <w:lang w:val="es-ES_tradnl" w:eastAsia="es-ES_tradnl"/>
              </w:rPr>
            </w:pPr>
            <w:r>
              <w:rPr>
                <w:b/>
                <w:color w:val="000000"/>
                <w:sz w:val="20"/>
                <w:szCs w:val="20"/>
                <w:lang w:val="es-ES_tradnl" w:eastAsia="es-ES_tradnl"/>
              </w:rPr>
              <w:t>Año</w:t>
            </w:r>
          </w:p>
        </w:tc>
        <w:tc>
          <w:tcPr>
            <w:tcW w:w="1843" w:type="dxa"/>
            <w:tcBorders>
              <w:top w:val="single" w:sz="4" w:space="0" w:color="auto"/>
              <w:left w:val="nil"/>
              <w:bottom w:val="single" w:sz="4" w:space="0" w:color="auto"/>
              <w:right w:val="nil"/>
            </w:tcBorders>
            <w:shd w:val="clear" w:color="auto" w:fill="D9D9D9" w:themeFill="background1" w:themeFillShade="D9"/>
            <w:noWrap/>
            <w:hideMark/>
          </w:tcPr>
          <w:p w:rsidR="0045213D" w:rsidRPr="0045213D" w:rsidRDefault="0045213D" w:rsidP="006F5B1B">
            <w:pPr>
              <w:jc w:val="center"/>
              <w:rPr>
                <w:b/>
                <w:sz w:val="20"/>
              </w:rPr>
            </w:pPr>
            <w:r w:rsidRPr="0045213D">
              <w:rPr>
                <w:b/>
                <w:sz w:val="20"/>
              </w:rPr>
              <w:t>C1. Componentes</w:t>
            </w:r>
          </w:p>
        </w:tc>
        <w:tc>
          <w:tcPr>
            <w:tcW w:w="1984" w:type="dxa"/>
            <w:tcBorders>
              <w:top w:val="single" w:sz="4" w:space="0" w:color="auto"/>
              <w:left w:val="nil"/>
              <w:bottom w:val="single" w:sz="4" w:space="0" w:color="auto"/>
              <w:right w:val="nil"/>
            </w:tcBorders>
            <w:shd w:val="clear" w:color="auto" w:fill="D9D9D9" w:themeFill="background1" w:themeFillShade="D9"/>
            <w:noWrap/>
            <w:hideMark/>
          </w:tcPr>
          <w:p w:rsidR="0045213D" w:rsidRPr="0045213D" w:rsidRDefault="0045213D" w:rsidP="006F5B1B">
            <w:pPr>
              <w:jc w:val="center"/>
              <w:rPr>
                <w:b/>
                <w:sz w:val="20"/>
              </w:rPr>
            </w:pPr>
            <w:r w:rsidRPr="0045213D">
              <w:rPr>
                <w:b/>
                <w:sz w:val="20"/>
              </w:rPr>
              <w:t>C2. Administración Programa</w:t>
            </w:r>
          </w:p>
        </w:tc>
        <w:tc>
          <w:tcPr>
            <w:tcW w:w="1985" w:type="dxa"/>
            <w:tcBorders>
              <w:top w:val="single" w:sz="4" w:space="0" w:color="auto"/>
              <w:left w:val="nil"/>
              <w:bottom w:val="single" w:sz="4" w:space="0" w:color="auto"/>
              <w:right w:val="nil"/>
            </w:tcBorders>
            <w:shd w:val="clear" w:color="auto" w:fill="D9D9D9" w:themeFill="background1" w:themeFillShade="D9"/>
            <w:noWrap/>
            <w:hideMark/>
          </w:tcPr>
          <w:p w:rsidR="0045213D" w:rsidRPr="0045213D" w:rsidRDefault="0045213D" w:rsidP="00AB5D76">
            <w:pPr>
              <w:jc w:val="center"/>
              <w:rPr>
                <w:b/>
                <w:sz w:val="20"/>
              </w:rPr>
            </w:pPr>
            <w:r w:rsidRPr="0045213D">
              <w:rPr>
                <w:b/>
                <w:sz w:val="20"/>
              </w:rPr>
              <w:t xml:space="preserve">C3. </w:t>
            </w:r>
            <w:r w:rsidR="00AB5D76">
              <w:rPr>
                <w:b/>
                <w:sz w:val="20"/>
              </w:rPr>
              <w:t>Costos de mantenimiento y reposición</w:t>
            </w:r>
          </w:p>
        </w:tc>
        <w:tc>
          <w:tcPr>
            <w:tcW w:w="1559" w:type="dxa"/>
            <w:tcBorders>
              <w:top w:val="single" w:sz="4" w:space="0" w:color="auto"/>
              <w:left w:val="nil"/>
              <w:bottom w:val="single" w:sz="4" w:space="0" w:color="auto"/>
              <w:right w:val="nil"/>
            </w:tcBorders>
            <w:shd w:val="clear" w:color="auto" w:fill="D9D9D9" w:themeFill="background1" w:themeFillShade="D9"/>
            <w:noWrap/>
            <w:hideMark/>
          </w:tcPr>
          <w:p w:rsidR="0045213D" w:rsidRPr="0045213D" w:rsidRDefault="00DF42E1" w:rsidP="006F5B1B">
            <w:pPr>
              <w:jc w:val="center"/>
              <w:rPr>
                <w:b/>
                <w:sz w:val="20"/>
              </w:rPr>
            </w:pPr>
            <w:r>
              <w:rPr>
                <w:b/>
                <w:sz w:val="20"/>
              </w:rPr>
              <w:t>Total</w:t>
            </w:r>
          </w:p>
        </w:tc>
      </w:tr>
      <w:tr w:rsidR="0045213D" w:rsidRPr="0045213D" w:rsidTr="00DF42E1">
        <w:trPr>
          <w:trHeight w:val="225"/>
        </w:trPr>
        <w:tc>
          <w:tcPr>
            <w:tcW w:w="1348" w:type="dxa"/>
            <w:tcBorders>
              <w:top w:val="single" w:sz="4" w:space="0" w:color="auto"/>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1</w:t>
            </w:r>
          </w:p>
        </w:tc>
        <w:tc>
          <w:tcPr>
            <w:tcW w:w="1843" w:type="dxa"/>
            <w:tcBorders>
              <w:top w:val="single" w:sz="4" w:space="0" w:color="auto"/>
              <w:left w:val="nil"/>
              <w:bottom w:val="nil"/>
              <w:right w:val="nil"/>
            </w:tcBorders>
            <w:shd w:val="clear" w:color="auto" w:fill="auto"/>
            <w:noWrap/>
          </w:tcPr>
          <w:p w:rsidR="0045213D" w:rsidRPr="0045213D" w:rsidRDefault="0045213D" w:rsidP="0045213D">
            <w:pPr>
              <w:ind w:right="141"/>
              <w:jc w:val="right"/>
              <w:rPr>
                <w:sz w:val="20"/>
                <w:szCs w:val="20"/>
              </w:rPr>
            </w:pPr>
            <w:r w:rsidRPr="0045213D">
              <w:rPr>
                <w:sz w:val="20"/>
                <w:szCs w:val="20"/>
              </w:rPr>
              <w:t>1.451.524</w:t>
            </w:r>
          </w:p>
        </w:tc>
        <w:tc>
          <w:tcPr>
            <w:tcW w:w="1984" w:type="dxa"/>
            <w:tcBorders>
              <w:top w:val="single" w:sz="4" w:space="0" w:color="auto"/>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406.417</w:t>
            </w:r>
          </w:p>
        </w:tc>
        <w:tc>
          <w:tcPr>
            <w:tcW w:w="1985" w:type="dxa"/>
            <w:tcBorders>
              <w:top w:val="single" w:sz="4" w:space="0" w:color="auto"/>
              <w:left w:val="nil"/>
              <w:bottom w:val="nil"/>
              <w:right w:val="nil"/>
            </w:tcBorders>
            <w:shd w:val="clear" w:color="auto" w:fill="auto"/>
            <w:noWrap/>
          </w:tcPr>
          <w:p w:rsidR="0045213D" w:rsidRPr="0045213D" w:rsidRDefault="0045213D" w:rsidP="0045213D">
            <w:pPr>
              <w:jc w:val="right"/>
              <w:rPr>
                <w:sz w:val="20"/>
                <w:szCs w:val="20"/>
              </w:rPr>
            </w:pPr>
          </w:p>
        </w:tc>
        <w:tc>
          <w:tcPr>
            <w:tcW w:w="1559" w:type="dxa"/>
            <w:tcBorders>
              <w:top w:val="single" w:sz="4" w:space="0" w:color="auto"/>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1.857.941</w:t>
            </w:r>
          </w:p>
        </w:tc>
      </w:tr>
      <w:tr w:rsidR="0045213D" w:rsidRPr="0045213D" w:rsidTr="00DF42E1">
        <w:trPr>
          <w:trHeight w:val="225"/>
        </w:trPr>
        <w:tc>
          <w:tcPr>
            <w:tcW w:w="1348" w:type="dxa"/>
            <w:tcBorders>
              <w:top w:val="nil"/>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2</w:t>
            </w:r>
          </w:p>
        </w:tc>
        <w:tc>
          <w:tcPr>
            <w:tcW w:w="1843" w:type="dxa"/>
            <w:tcBorders>
              <w:top w:val="nil"/>
              <w:left w:val="nil"/>
              <w:bottom w:val="nil"/>
              <w:right w:val="nil"/>
            </w:tcBorders>
            <w:shd w:val="clear" w:color="auto" w:fill="auto"/>
            <w:noWrap/>
          </w:tcPr>
          <w:p w:rsidR="0045213D" w:rsidRPr="0045213D" w:rsidRDefault="0045213D" w:rsidP="0045213D">
            <w:pPr>
              <w:ind w:right="141"/>
              <w:jc w:val="right"/>
              <w:rPr>
                <w:sz w:val="20"/>
                <w:szCs w:val="20"/>
              </w:rPr>
            </w:pPr>
            <w:r w:rsidRPr="0045213D">
              <w:rPr>
                <w:sz w:val="20"/>
                <w:szCs w:val="20"/>
              </w:rPr>
              <w:t>2.913.572</w:t>
            </w:r>
          </w:p>
        </w:tc>
        <w:tc>
          <w:tcPr>
            <w:tcW w:w="1984"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412.046</w:t>
            </w:r>
          </w:p>
        </w:tc>
        <w:tc>
          <w:tcPr>
            <w:tcW w:w="1985" w:type="dxa"/>
            <w:tcBorders>
              <w:top w:val="nil"/>
              <w:left w:val="nil"/>
              <w:bottom w:val="nil"/>
              <w:right w:val="nil"/>
            </w:tcBorders>
            <w:shd w:val="clear" w:color="auto" w:fill="auto"/>
            <w:noWrap/>
          </w:tcPr>
          <w:p w:rsidR="0045213D" w:rsidRPr="0045213D" w:rsidRDefault="0045213D" w:rsidP="0045213D">
            <w:pPr>
              <w:jc w:val="right"/>
              <w:rPr>
                <w:sz w:val="20"/>
                <w:szCs w:val="20"/>
              </w:rPr>
            </w:pPr>
          </w:p>
        </w:tc>
        <w:tc>
          <w:tcPr>
            <w:tcW w:w="1559"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3.325.618</w:t>
            </w:r>
          </w:p>
        </w:tc>
      </w:tr>
      <w:tr w:rsidR="0045213D" w:rsidRPr="0045213D" w:rsidTr="00DF42E1">
        <w:trPr>
          <w:trHeight w:val="225"/>
        </w:trPr>
        <w:tc>
          <w:tcPr>
            <w:tcW w:w="1348" w:type="dxa"/>
            <w:tcBorders>
              <w:top w:val="nil"/>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3</w:t>
            </w:r>
          </w:p>
        </w:tc>
        <w:tc>
          <w:tcPr>
            <w:tcW w:w="1843" w:type="dxa"/>
            <w:tcBorders>
              <w:top w:val="nil"/>
              <w:left w:val="nil"/>
              <w:bottom w:val="nil"/>
              <w:right w:val="nil"/>
            </w:tcBorders>
            <w:shd w:val="clear" w:color="auto" w:fill="auto"/>
            <w:noWrap/>
          </w:tcPr>
          <w:p w:rsidR="0045213D" w:rsidRPr="0045213D" w:rsidRDefault="0045213D" w:rsidP="0045213D">
            <w:pPr>
              <w:ind w:right="141"/>
              <w:jc w:val="right"/>
              <w:rPr>
                <w:sz w:val="20"/>
                <w:szCs w:val="20"/>
              </w:rPr>
            </w:pPr>
            <w:r w:rsidRPr="0045213D">
              <w:rPr>
                <w:sz w:val="20"/>
                <w:szCs w:val="20"/>
              </w:rPr>
              <w:t>5.606.632</w:t>
            </w:r>
          </w:p>
        </w:tc>
        <w:tc>
          <w:tcPr>
            <w:tcW w:w="1984"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412.046</w:t>
            </w:r>
          </w:p>
        </w:tc>
        <w:tc>
          <w:tcPr>
            <w:tcW w:w="1985" w:type="dxa"/>
            <w:tcBorders>
              <w:top w:val="nil"/>
              <w:left w:val="nil"/>
              <w:bottom w:val="nil"/>
              <w:right w:val="nil"/>
            </w:tcBorders>
            <w:shd w:val="clear" w:color="auto" w:fill="auto"/>
            <w:noWrap/>
          </w:tcPr>
          <w:p w:rsidR="0045213D" w:rsidRPr="0045213D" w:rsidRDefault="0045213D" w:rsidP="0045213D">
            <w:pPr>
              <w:jc w:val="right"/>
              <w:rPr>
                <w:sz w:val="20"/>
                <w:szCs w:val="20"/>
              </w:rPr>
            </w:pPr>
          </w:p>
        </w:tc>
        <w:tc>
          <w:tcPr>
            <w:tcW w:w="1559"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6.018.678</w:t>
            </w:r>
          </w:p>
        </w:tc>
      </w:tr>
      <w:tr w:rsidR="0045213D" w:rsidRPr="0045213D" w:rsidTr="00DF42E1">
        <w:trPr>
          <w:trHeight w:val="225"/>
        </w:trPr>
        <w:tc>
          <w:tcPr>
            <w:tcW w:w="1348" w:type="dxa"/>
            <w:tcBorders>
              <w:top w:val="nil"/>
              <w:left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4</w:t>
            </w:r>
          </w:p>
        </w:tc>
        <w:tc>
          <w:tcPr>
            <w:tcW w:w="1843" w:type="dxa"/>
            <w:tcBorders>
              <w:top w:val="nil"/>
              <w:left w:val="nil"/>
              <w:right w:val="nil"/>
            </w:tcBorders>
            <w:shd w:val="clear" w:color="auto" w:fill="auto"/>
            <w:noWrap/>
          </w:tcPr>
          <w:p w:rsidR="0045213D" w:rsidRPr="0045213D" w:rsidRDefault="0045213D" w:rsidP="0045213D">
            <w:pPr>
              <w:ind w:right="141"/>
              <w:jc w:val="right"/>
              <w:rPr>
                <w:sz w:val="20"/>
                <w:szCs w:val="20"/>
              </w:rPr>
            </w:pPr>
            <w:r w:rsidRPr="0045213D">
              <w:rPr>
                <w:sz w:val="20"/>
                <w:szCs w:val="20"/>
              </w:rPr>
              <w:t>7.972.196</w:t>
            </w:r>
          </w:p>
        </w:tc>
        <w:tc>
          <w:tcPr>
            <w:tcW w:w="1984"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412.046</w:t>
            </w:r>
          </w:p>
        </w:tc>
        <w:tc>
          <w:tcPr>
            <w:tcW w:w="1985" w:type="dxa"/>
            <w:tcBorders>
              <w:top w:val="nil"/>
              <w:left w:val="nil"/>
              <w:right w:val="nil"/>
            </w:tcBorders>
            <w:shd w:val="clear" w:color="auto" w:fill="auto"/>
            <w:noWrap/>
          </w:tcPr>
          <w:p w:rsidR="0045213D" w:rsidRPr="0045213D" w:rsidRDefault="0045213D" w:rsidP="0045213D">
            <w:pPr>
              <w:jc w:val="right"/>
              <w:rPr>
                <w:sz w:val="20"/>
                <w:szCs w:val="20"/>
              </w:rPr>
            </w:pP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8.384.242</w:t>
            </w:r>
          </w:p>
        </w:tc>
      </w:tr>
      <w:tr w:rsidR="0045213D" w:rsidRPr="0045213D" w:rsidTr="00DF42E1">
        <w:trPr>
          <w:trHeight w:val="225"/>
        </w:trPr>
        <w:tc>
          <w:tcPr>
            <w:tcW w:w="1348" w:type="dxa"/>
            <w:tcBorders>
              <w:top w:val="nil"/>
              <w:left w:val="nil"/>
              <w:bottom w:val="single" w:sz="4" w:space="0" w:color="auto"/>
              <w:right w:val="nil"/>
            </w:tcBorders>
            <w:shd w:val="clear" w:color="auto" w:fill="auto"/>
            <w:noWrap/>
            <w:hideMark/>
          </w:tcPr>
          <w:p w:rsidR="0045213D" w:rsidRPr="0045213D" w:rsidRDefault="0045213D" w:rsidP="006F5B1B">
            <w:pPr>
              <w:jc w:val="center"/>
              <w:rPr>
                <w:sz w:val="20"/>
                <w:szCs w:val="20"/>
              </w:rPr>
            </w:pPr>
            <w:r w:rsidRPr="0045213D">
              <w:rPr>
                <w:sz w:val="20"/>
                <w:szCs w:val="20"/>
              </w:rPr>
              <w:t>5</w:t>
            </w:r>
          </w:p>
        </w:tc>
        <w:tc>
          <w:tcPr>
            <w:tcW w:w="1843" w:type="dxa"/>
            <w:tcBorders>
              <w:top w:val="nil"/>
              <w:left w:val="nil"/>
              <w:bottom w:val="single" w:sz="4" w:space="0" w:color="auto"/>
              <w:right w:val="nil"/>
            </w:tcBorders>
            <w:shd w:val="clear" w:color="auto" w:fill="auto"/>
            <w:noWrap/>
          </w:tcPr>
          <w:p w:rsidR="0045213D" w:rsidRPr="0045213D" w:rsidRDefault="0045213D" w:rsidP="0045213D">
            <w:pPr>
              <w:ind w:right="141"/>
              <w:jc w:val="right"/>
              <w:rPr>
                <w:sz w:val="20"/>
                <w:szCs w:val="20"/>
              </w:rPr>
            </w:pPr>
            <w:r w:rsidRPr="0045213D">
              <w:rPr>
                <w:sz w:val="20"/>
                <w:szCs w:val="20"/>
              </w:rPr>
              <w:t>6.407.920</w:t>
            </w:r>
          </w:p>
        </w:tc>
        <w:tc>
          <w:tcPr>
            <w:tcW w:w="1984" w:type="dxa"/>
            <w:tcBorders>
              <w:top w:val="nil"/>
              <w:left w:val="nil"/>
              <w:bottom w:val="single" w:sz="4" w:space="0" w:color="auto"/>
              <w:right w:val="nil"/>
            </w:tcBorders>
            <w:shd w:val="clear" w:color="auto" w:fill="auto"/>
            <w:noWrap/>
          </w:tcPr>
          <w:p w:rsidR="0045213D" w:rsidRPr="0045213D" w:rsidRDefault="0045213D" w:rsidP="0045213D">
            <w:pPr>
              <w:ind w:right="142"/>
              <w:jc w:val="right"/>
              <w:rPr>
                <w:sz w:val="20"/>
                <w:szCs w:val="20"/>
              </w:rPr>
            </w:pPr>
            <w:r w:rsidRPr="0045213D">
              <w:rPr>
                <w:sz w:val="20"/>
                <w:szCs w:val="20"/>
              </w:rPr>
              <w:t>412.046</w:t>
            </w:r>
          </w:p>
        </w:tc>
        <w:tc>
          <w:tcPr>
            <w:tcW w:w="1985" w:type="dxa"/>
            <w:tcBorders>
              <w:top w:val="nil"/>
              <w:left w:val="nil"/>
              <w:bottom w:val="single" w:sz="4" w:space="0" w:color="auto"/>
              <w:right w:val="nil"/>
            </w:tcBorders>
            <w:shd w:val="clear" w:color="auto" w:fill="auto"/>
            <w:noWrap/>
          </w:tcPr>
          <w:p w:rsidR="0045213D" w:rsidRPr="0045213D" w:rsidRDefault="0045213D" w:rsidP="0045213D">
            <w:pPr>
              <w:jc w:val="right"/>
              <w:rPr>
                <w:sz w:val="20"/>
                <w:szCs w:val="20"/>
              </w:rPr>
            </w:pPr>
          </w:p>
        </w:tc>
        <w:tc>
          <w:tcPr>
            <w:tcW w:w="1559" w:type="dxa"/>
            <w:tcBorders>
              <w:top w:val="nil"/>
              <w:left w:val="nil"/>
              <w:bottom w:val="single" w:sz="4" w:space="0" w:color="auto"/>
              <w:right w:val="nil"/>
            </w:tcBorders>
            <w:shd w:val="clear" w:color="auto" w:fill="auto"/>
            <w:noWrap/>
          </w:tcPr>
          <w:p w:rsidR="0045213D" w:rsidRPr="0045213D" w:rsidRDefault="0045213D" w:rsidP="0045213D">
            <w:pPr>
              <w:ind w:right="142"/>
              <w:jc w:val="right"/>
              <w:rPr>
                <w:sz w:val="20"/>
                <w:szCs w:val="20"/>
              </w:rPr>
            </w:pPr>
            <w:r w:rsidRPr="0045213D">
              <w:rPr>
                <w:sz w:val="20"/>
                <w:szCs w:val="20"/>
              </w:rPr>
              <w:t>6.819.967</w:t>
            </w:r>
          </w:p>
        </w:tc>
      </w:tr>
      <w:tr w:rsidR="0045213D" w:rsidRPr="0045213D" w:rsidTr="00DF42E1">
        <w:trPr>
          <w:trHeight w:val="225"/>
        </w:trPr>
        <w:tc>
          <w:tcPr>
            <w:tcW w:w="1348" w:type="dxa"/>
            <w:tcBorders>
              <w:top w:val="single" w:sz="4" w:space="0" w:color="auto"/>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6</w:t>
            </w:r>
          </w:p>
        </w:tc>
        <w:tc>
          <w:tcPr>
            <w:tcW w:w="1843" w:type="dxa"/>
            <w:tcBorders>
              <w:top w:val="single" w:sz="4" w:space="0" w:color="auto"/>
              <w:left w:val="nil"/>
              <w:bottom w:val="nil"/>
              <w:right w:val="nil"/>
            </w:tcBorders>
            <w:shd w:val="clear" w:color="auto" w:fill="auto"/>
            <w:noWrap/>
            <w:hideMark/>
          </w:tcPr>
          <w:p w:rsidR="0045213D" w:rsidRPr="0045213D" w:rsidRDefault="0045213D" w:rsidP="0045213D">
            <w:pPr>
              <w:jc w:val="right"/>
              <w:rPr>
                <w:sz w:val="20"/>
                <w:szCs w:val="20"/>
              </w:rPr>
            </w:pPr>
          </w:p>
        </w:tc>
        <w:tc>
          <w:tcPr>
            <w:tcW w:w="1984" w:type="dxa"/>
            <w:tcBorders>
              <w:top w:val="single" w:sz="4" w:space="0" w:color="auto"/>
              <w:left w:val="nil"/>
              <w:bottom w:val="nil"/>
              <w:right w:val="nil"/>
            </w:tcBorders>
            <w:shd w:val="clear" w:color="auto" w:fill="auto"/>
            <w:noWrap/>
            <w:hideMark/>
          </w:tcPr>
          <w:p w:rsidR="0045213D" w:rsidRPr="0045213D" w:rsidRDefault="0045213D" w:rsidP="0045213D">
            <w:pPr>
              <w:jc w:val="right"/>
              <w:rPr>
                <w:sz w:val="20"/>
                <w:szCs w:val="20"/>
              </w:rPr>
            </w:pPr>
          </w:p>
        </w:tc>
        <w:tc>
          <w:tcPr>
            <w:tcW w:w="1985" w:type="dxa"/>
            <w:tcBorders>
              <w:top w:val="single" w:sz="4" w:space="0" w:color="auto"/>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single" w:sz="4" w:space="0" w:color="auto"/>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7</w:t>
            </w:r>
          </w:p>
        </w:tc>
        <w:tc>
          <w:tcPr>
            <w:tcW w:w="1843" w:type="dxa"/>
            <w:tcBorders>
              <w:top w:val="nil"/>
              <w:left w:val="nil"/>
              <w:bottom w:val="nil"/>
              <w:right w:val="nil"/>
            </w:tcBorders>
            <w:shd w:val="clear" w:color="auto" w:fill="auto"/>
            <w:noWrap/>
            <w:hideMark/>
          </w:tcPr>
          <w:p w:rsidR="0045213D" w:rsidRPr="0045213D" w:rsidRDefault="0045213D" w:rsidP="0045213D">
            <w:pPr>
              <w:jc w:val="right"/>
              <w:rPr>
                <w:sz w:val="20"/>
                <w:szCs w:val="20"/>
              </w:rPr>
            </w:pPr>
          </w:p>
        </w:tc>
        <w:tc>
          <w:tcPr>
            <w:tcW w:w="1984" w:type="dxa"/>
            <w:tcBorders>
              <w:top w:val="nil"/>
              <w:left w:val="nil"/>
              <w:bottom w:val="nil"/>
              <w:right w:val="nil"/>
            </w:tcBorders>
            <w:shd w:val="clear" w:color="auto" w:fill="auto"/>
            <w:noWrap/>
            <w:hideMark/>
          </w:tcPr>
          <w:p w:rsidR="0045213D" w:rsidRPr="0045213D" w:rsidRDefault="0045213D" w:rsidP="0045213D">
            <w:pPr>
              <w:jc w:val="right"/>
              <w:rPr>
                <w:sz w:val="20"/>
                <w:szCs w:val="20"/>
              </w:rPr>
            </w:pPr>
          </w:p>
        </w:tc>
        <w:tc>
          <w:tcPr>
            <w:tcW w:w="1985"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bottom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8</w:t>
            </w:r>
          </w:p>
        </w:tc>
        <w:tc>
          <w:tcPr>
            <w:tcW w:w="1843" w:type="dxa"/>
            <w:tcBorders>
              <w:top w:val="nil"/>
              <w:left w:val="nil"/>
              <w:bottom w:val="nil"/>
              <w:right w:val="nil"/>
            </w:tcBorders>
            <w:shd w:val="clear" w:color="auto" w:fill="auto"/>
            <w:noWrap/>
            <w:hideMark/>
          </w:tcPr>
          <w:p w:rsidR="0045213D" w:rsidRPr="0045213D" w:rsidRDefault="0045213D" w:rsidP="0045213D">
            <w:pPr>
              <w:jc w:val="right"/>
              <w:rPr>
                <w:sz w:val="20"/>
                <w:szCs w:val="20"/>
              </w:rPr>
            </w:pPr>
          </w:p>
        </w:tc>
        <w:tc>
          <w:tcPr>
            <w:tcW w:w="1984" w:type="dxa"/>
            <w:tcBorders>
              <w:top w:val="nil"/>
              <w:left w:val="nil"/>
              <w:bottom w:val="nil"/>
              <w:right w:val="nil"/>
            </w:tcBorders>
            <w:shd w:val="clear" w:color="auto" w:fill="auto"/>
            <w:noWrap/>
            <w:hideMark/>
          </w:tcPr>
          <w:p w:rsidR="0045213D" w:rsidRPr="0045213D" w:rsidRDefault="0045213D" w:rsidP="0045213D">
            <w:pPr>
              <w:jc w:val="right"/>
              <w:rPr>
                <w:sz w:val="20"/>
                <w:szCs w:val="20"/>
              </w:rPr>
            </w:pPr>
          </w:p>
        </w:tc>
        <w:tc>
          <w:tcPr>
            <w:tcW w:w="1985"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bottom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hideMark/>
          </w:tcPr>
          <w:p w:rsidR="0045213D" w:rsidRPr="0045213D" w:rsidRDefault="0045213D" w:rsidP="006F5B1B">
            <w:pPr>
              <w:jc w:val="center"/>
              <w:rPr>
                <w:sz w:val="20"/>
                <w:szCs w:val="20"/>
              </w:rPr>
            </w:pPr>
            <w:r w:rsidRPr="0045213D">
              <w:rPr>
                <w:sz w:val="20"/>
                <w:szCs w:val="20"/>
              </w:rPr>
              <w:t>9</w:t>
            </w:r>
          </w:p>
        </w:tc>
        <w:tc>
          <w:tcPr>
            <w:tcW w:w="1843" w:type="dxa"/>
            <w:tcBorders>
              <w:top w:val="nil"/>
              <w:left w:val="nil"/>
              <w:right w:val="nil"/>
            </w:tcBorders>
            <w:shd w:val="clear" w:color="auto" w:fill="auto"/>
            <w:noWrap/>
            <w:hideMark/>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hideMark/>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tcPr>
          <w:p w:rsidR="0045213D" w:rsidRPr="0045213D" w:rsidRDefault="0045213D" w:rsidP="006F5B1B">
            <w:pPr>
              <w:jc w:val="center"/>
              <w:rPr>
                <w:sz w:val="20"/>
                <w:szCs w:val="20"/>
              </w:rPr>
            </w:pPr>
            <w:r w:rsidRPr="0045213D">
              <w:rPr>
                <w:sz w:val="20"/>
                <w:szCs w:val="20"/>
              </w:rPr>
              <w:t>10</w:t>
            </w:r>
          </w:p>
        </w:tc>
        <w:tc>
          <w:tcPr>
            <w:tcW w:w="1843"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tcPr>
          <w:p w:rsidR="0045213D" w:rsidRPr="0045213D" w:rsidRDefault="0045213D" w:rsidP="006F5B1B">
            <w:pPr>
              <w:jc w:val="center"/>
              <w:rPr>
                <w:sz w:val="20"/>
                <w:szCs w:val="20"/>
              </w:rPr>
            </w:pPr>
            <w:r w:rsidRPr="0045213D">
              <w:rPr>
                <w:sz w:val="20"/>
                <w:szCs w:val="20"/>
              </w:rPr>
              <w:t>11</w:t>
            </w:r>
          </w:p>
        </w:tc>
        <w:tc>
          <w:tcPr>
            <w:tcW w:w="1843"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tcPr>
          <w:p w:rsidR="0045213D" w:rsidRPr="0045213D" w:rsidRDefault="0045213D" w:rsidP="006F5B1B">
            <w:pPr>
              <w:jc w:val="center"/>
              <w:rPr>
                <w:sz w:val="20"/>
                <w:szCs w:val="20"/>
              </w:rPr>
            </w:pPr>
            <w:r w:rsidRPr="0045213D">
              <w:rPr>
                <w:sz w:val="20"/>
                <w:szCs w:val="20"/>
              </w:rPr>
              <w:t>12</w:t>
            </w:r>
          </w:p>
        </w:tc>
        <w:tc>
          <w:tcPr>
            <w:tcW w:w="1843"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tcPr>
          <w:p w:rsidR="0045213D" w:rsidRPr="0045213D" w:rsidRDefault="0045213D" w:rsidP="006F5B1B">
            <w:pPr>
              <w:jc w:val="center"/>
              <w:rPr>
                <w:sz w:val="20"/>
                <w:szCs w:val="20"/>
              </w:rPr>
            </w:pPr>
            <w:r w:rsidRPr="0045213D">
              <w:rPr>
                <w:sz w:val="20"/>
                <w:szCs w:val="20"/>
              </w:rPr>
              <w:t>13</w:t>
            </w:r>
          </w:p>
        </w:tc>
        <w:tc>
          <w:tcPr>
            <w:tcW w:w="1843"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right w:val="nil"/>
            </w:tcBorders>
            <w:shd w:val="clear" w:color="auto" w:fill="auto"/>
            <w:noWrap/>
          </w:tcPr>
          <w:p w:rsidR="0045213D" w:rsidRPr="0045213D" w:rsidRDefault="0045213D" w:rsidP="006F5B1B">
            <w:pPr>
              <w:jc w:val="center"/>
              <w:rPr>
                <w:sz w:val="20"/>
                <w:szCs w:val="20"/>
              </w:rPr>
            </w:pPr>
            <w:r w:rsidRPr="0045213D">
              <w:rPr>
                <w:sz w:val="20"/>
                <w:szCs w:val="20"/>
              </w:rPr>
              <w:t>14</w:t>
            </w:r>
          </w:p>
        </w:tc>
        <w:tc>
          <w:tcPr>
            <w:tcW w:w="1843"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4" w:type="dxa"/>
            <w:tcBorders>
              <w:top w:val="nil"/>
              <w:left w:val="nil"/>
              <w:right w:val="nil"/>
            </w:tcBorders>
            <w:shd w:val="clear" w:color="auto" w:fill="auto"/>
            <w:noWrap/>
          </w:tcPr>
          <w:p w:rsidR="0045213D" w:rsidRPr="0045213D" w:rsidRDefault="0045213D" w:rsidP="0045213D">
            <w:pPr>
              <w:jc w:val="right"/>
              <w:rPr>
                <w:sz w:val="20"/>
                <w:szCs w:val="20"/>
              </w:rPr>
            </w:pPr>
          </w:p>
        </w:tc>
        <w:tc>
          <w:tcPr>
            <w:tcW w:w="1985"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r w:rsidR="0045213D" w:rsidRPr="0045213D" w:rsidTr="00DF42E1">
        <w:trPr>
          <w:trHeight w:val="225"/>
        </w:trPr>
        <w:tc>
          <w:tcPr>
            <w:tcW w:w="1348" w:type="dxa"/>
            <w:tcBorders>
              <w:top w:val="nil"/>
              <w:left w:val="nil"/>
              <w:bottom w:val="single" w:sz="4" w:space="0" w:color="auto"/>
              <w:right w:val="nil"/>
            </w:tcBorders>
            <w:shd w:val="clear" w:color="auto" w:fill="auto"/>
            <w:noWrap/>
            <w:hideMark/>
          </w:tcPr>
          <w:p w:rsidR="0045213D" w:rsidRPr="0045213D" w:rsidRDefault="0045213D" w:rsidP="006F5B1B">
            <w:pPr>
              <w:jc w:val="center"/>
              <w:rPr>
                <w:sz w:val="20"/>
                <w:szCs w:val="20"/>
              </w:rPr>
            </w:pPr>
            <w:r w:rsidRPr="0045213D">
              <w:rPr>
                <w:sz w:val="20"/>
                <w:szCs w:val="20"/>
              </w:rPr>
              <w:t>15</w:t>
            </w:r>
          </w:p>
        </w:tc>
        <w:tc>
          <w:tcPr>
            <w:tcW w:w="1843" w:type="dxa"/>
            <w:tcBorders>
              <w:top w:val="nil"/>
              <w:left w:val="nil"/>
              <w:bottom w:val="single" w:sz="4" w:space="0" w:color="auto"/>
              <w:right w:val="nil"/>
            </w:tcBorders>
            <w:shd w:val="clear" w:color="auto" w:fill="auto"/>
            <w:noWrap/>
            <w:hideMark/>
          </w:tcPr>
          <w:p w:rsidR="0045213D" w:rsidRPr="0045213D" w:rsidRDefault="0045213D" w:rsidP="0045213D">
            <w:pPr>
              <w:jc w:val="right"/>
              <w:rPr>
                <w:sz w:val="20"/>
                <w:szCs w:val="20"/>
              </w:rPr>
            </w:pPr>
          </w:p>
        </w:tc>
        <w:tc>
          <w:tcPr>
            <w:tcW w:w="1984" w:type="dxa"/>
            <w:tcBorders>
              <w:top w:val="nil"/>
              <w:left w:val="nil"/>
              <w:bottom w:val="single" w:sz="4" w:space="0" w:color="auto"/>
              <w:right w:val="nil"/>
            </w:tcBorders>
            <w:shd w:val="clear" w:color="auto" w:fill="auto"/>
            <w:noWrap/>
            <w:hideMark/>
          </w:tcPr>
          <w:p w:rsidR="0045213D" w:rsidRPr="0045213D" w:rsidRDefault="0045213D" w:rsidP="0045213D">
            <w:pPr>
              <w:jc w:val="right"/>
              <w:rPr>
                <w:sz w:val="20"/>
                <w:szCs w:val="20"/>
              </w:rPr>
            </w:pPr>
          </w:p>
        </w:tc>
        <w:tc>
          <w:tcPr>
            <w:tcW w:w="1985" w:type="dxa"/>
            <w:tcBorders>
              <w:top w:val="nil"/>
              <w:left w:val="nil"/>
              <w:bottom w:val="single" w:sz="4" w:space="0" w:color="auto"/>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c>
          <w:tcPr>
            <w:tcW w:w="1559" w:type="dxa"/>
            <w:tcBorders>
              <w:top w:val="nil"/>
              <w:left w:val="nil"/>
              <w:bottom w:val="single" w:sz="4" w:space="0" w:color="auto"/>
              <w:right w:val="nil"/>
            </w:tcBorders>
            <w:shd w:val="clear" w:color="auto" w:fill="auto"/>
            <w:noWrap/>
          </w:tcPr>
          <w:p w:rsidR="0045213D" w:rsidRPr="0045213D" w:rsidRDefault="0045213D" w:rsidP="0045213D">
            <w:pPr>
              <w:ind w:right="142"/>
              <w:jc w:val="right"/>
              <w:rPr>
                <w:sz w:val="20"/>
                <w:szCs w:val="20"/>
              </w:rPr>
            </w:pPr>
            <w:r w:rsidRPr="0045213D">
              <w:rPr>
                <w:sz w:val="20"/>
                <w:szCs w:val="20"/>
              </w:rPr>
              <w:t>793.000</w:t>
            </w:r>
          </w:p>
        </w:tc>
      </w:tr>
    </w:tbl>
    <w:p w:rsidR="00843C83" w:rsidRDefault="00517832" w:rsidP="00F230F3">
      <w:pPr>
        <w:ind w:left="709"/>
      </w:pPr>
      <w:r w:rsidRPr="009E7F7F">
        <w:rPr>
          <w:sz w:val="18"/>
        </w:rPr>
        <w:t xml:space="preserve">Montos en </w:t>
      </w:r>
      <w:r w:rsidR="00F230F3">
        <w:rPr>
          <w:sz w:val="18"/>
        </w:rPr>
        <w:t>USD</w:t>
      </w:r>
      <w:r w:rsidRPr="009E7F7F">
        <w:rPr>
          <w:sz w:val="18"/>
        </w:rPr>
        <w:t>.</w:t>
      </w:r>
      <w:r w:rsidR="00F230F3">
        <w:rPr>
          <w:sz w:val="18"/>
        </w:rPr>
        <w:t xml:space="preserve"> Si se cumplen las previsiones, el año 1 correspondería a </w:t>
      </w:r>
      <w:r w:rsidR="007E6684">
        <w:rPr>
          <w:sz w:val="18"/>
        </w:rPr>
        <w:t>mayo/junio</w:t>
      </w:r>
      <w:r w:rsidR="00F230F3">
        <w:rPr>
          <w:sz w:val="18"/>
        </w:rPr>
        <w:t xml:space="preserve"> de 2014</w:t>
      </w:r>
      <w:r w:rsidR="007E6684">
        <w:rPr>
          <w:sz w:val="18"/>
        </w:rPr>
        <w:t>.</w:t>
      </w:r>
    </w:p>
    <w:p w:rsidR="00843C83" w:rsidRDefault="00843C83"/>
    <w:p w:rsidR="00D900C7" w:rsidRDefault="009770CE" w:rsidP="009770CE">
      <w:pPr>
        <w:pStyle w:val="ListParagraph"/>
        <w:numPr>
          <w:ilvl w:val="0"/>
          <w:numId w:val="12"/>
        </w:numPr>
        <w:ind w:left="567" w:hanging="567"/>
      </w:pPr>
      <w:bookmarkStart w:id="36" w:name="_Toc139199306"/>
      <w:bookmarkStart w:id="37" w:name="_Toc179282705"/>
      <w:r>
        <w:t xml:space="preserve">Hasta el año 5º, incluido, la práctica totalidad de los gastos cabe imputar a los gastos de ejecución de los distintos proyectos amparados en el programa de préstamo BID. A partir de este año, los gastos son de </w:t>
      </w:r>
      <w:r w:rsidR="00AB5D76">
        <w:t xml:space="preserve">mantenimiento y </w:t>
      </w:r>
      <w:r>
        <w:t>reposición de activos fijos, básicamente equipos informáticos, asumiendo por tanto que la administración del nuevo sistema y de los nuevos equipamientos queda absorbida por la estructura administrativa regular del MEF-CGN.</w:t>
      </w:r>
      <w:r w:rsidR="00B93E5E">
        <w:t xml:space="preserve"> </w:t>
      </w:r>
    </w:p>
    <w:p w:rsidR="00D900C7" w:rsidRDefault="00D900C7" w:rsidP="00D900C7">
      <w:pPr>
        <w:pStyle w:val="ListParagraph"/>
        <w:ind w:left="567"/>
      </w:pPr>
    </w:p>
    <w:p w:rsidR="009770CE" w:rsidRDefault="00147325" w:rsidP="009770CE">
      <w:pPr>
        <w:pStyle w:val="ListParagraph"/>
        <w:numPr>
          <w:ilvl w:val="0"/>
          <w:numId w:val="12"/>
        </w:numPr>
        <w:ind w:left="567" w:hanging="567"/>
      </w:pPr>
      <w:r>
        <w:t>Para la reposición s</w:t>
      </w:r>
      <w:r w:rsidR="00B93E5E">
        <w:t xml:space="preserve">e calcula una tasa de depreciación del 20%, es decir, que cada cinco años se renueva la totalidad del </w:t>
      </w:r>
      <w:r>
        <w:t>parque de equipos y licencias invertido</w:t>
      </w:r>
      <w:r w:rsidR="00102978">
        <w:t>s</w:t>
      </w:r>
      <w:r>
        <w:t xml:space="preserve"> con la financiación del Programa.</w:t>
      </w:r>
    </w:p>
    <w:p w:rsidR="009770CE" w:rsidRDefault="009770CE" w:rsidP="009770CE"/>
    <w:p w:rsidR="00843C83" w:rsidRPr="009770CE" w:rsidRDefault="00843C83" w:rsidP="00843C83">
      <w:pPr>
        <w:rPr>
          <w:bCs/>
        </w:rPr>
      </w:pPr>
    </w:p>
    <w:p w:rsidR="00D900C7" w:rsidRDefault="00D900C7" w:rsidP="00310721">
      <w:pPr>
        <w:pStyle w:val="Heading1"/>
        <w:sectPr w:rsidR="00D900C7" w:rsidSect="009B7F87">
          <w:pgSz w:w="12240" w:h="15840" w:code="1"/>
          <w:pgMar w:top="1418" w:right="1325" w:bottom="1418" w:left="1418" w:header="709" w:footer="856" w:gutter="0"/>
          <w:cols w:space="708"/>
          <w:docGrid w:linePitch="360"/>
        </w:sectPr>
      </w:pPr>
    </w:p>
    <w:p w:rsidR="00E717AB" w:rsidRDefault="00E717AB" w:rsidP="00310721">
      <w:pPr>
        <w:pStyle w:val="Heading1"/>
      </w:pPr>
      <w:bookmarkStart w:id="38" w:name="_Toc373498456"/>
      <w:r>
        <w:lastRenderedPageBreak/>
        <w:t>Resultados</w:t>
      </w:r>
      <w:r w:rsidR="000B55B4">
        <w:t xml:space="preserve"> del análisis económico</w:t>
      </w:r>
      <w:bookmarkEnd w:id="38"/>
    </w:p>
    <w:p w:rsidR="00843C83" w:rsidRPr="00427644" w:rsidRDefault="00427644" w:rsidP="005012F5">
      <w:pPr>
        <w:pStyle w:val="ListParagraph"/>
        <w:numPr>
          <w:ilvl w:val="0"/>
          <w:numId w:val="12"/>
        </w:numPr>
        <w:ind w:left="567" w:hanging="567"/>
        <w:rPr>
          <w:bCs/>
          <w:lang w:val="es-ES_tradnl"/>
        </w:rPr>
      </w:pPr>
      <w:r w:rsidRPr="00427644">
        <w:rPr>
          <w:bCs/>
          <w:lang w:val="es-ES_tradnl"/>
        </w:rPr>
        <w:t xml:space="preserve">En el cuadro </w:t>
      </w:r>
      <w:r w:rsidR="00DF42E1">
        <w:rPr>
          <w:bCs/>
          <w:lang w:val="es-ES_tradnl"/>
        </w:rPr>
        <w:t>8</w:t>
      </w:r>
      <w:r>
        <w:rPr>
          <w:bCs/>
          <w:lang w:val="es-ES_tradnl"/>
        </w:rPr>
        <w:t xml:space="preserve"> puede observarse </w:t>
      </w:r>
      <w:r w:rsidR="002707BB">
        <w:rPr>
          <w:bCs/>
          <w:lang w:val="es-ES_tradnl"/>
        </w:rPr>
        <w:t>los flujos</w:t>
      </w:r>
      <w:r>
        <w:rPr>
          <w:bCs/>
          <w:lang w:val="es-ES_tradnl"/>
        </w:rPr>
        <w:t xml:space="preserve"> </w:t>
      </w:r>
      <w:r w:rsidR="002707BB">
        <w:rPr>
          <w:bCs/>
          <w:lang w:val="es-ES_tradnl"/>
        </w:rPr>
        <w:t xml:space="preserve">agregados y </w:t>
      </w:r>
      <w:r>
        <w:rPr>
          <w:bCs/>
          <w:lang w:val="es-ES_tradnl"/>
        </w:rPr>
        <w:t>no descontado</w:t>
      </w:r>
      <w:r w:rsidR="002707BB">
        <w:rPr>
          <w:bCs/>
          <w:lang w:val="es-ES_tradnl"/>
        </w:rPr>
        <w:t>s</w:t>
      </w:r>
      <w:r>
        <w:rPr>
          <w:bCs/>
          <w:lang w:val="es-ES_tradnl"/>
        </w:rPr>
        <w:t xml:space="preserve"> de beneficios y costos, as</w:t>
      </w:r>
      <w:r w:rsidR="0030271B">
        <w:rPr>
          <w:bCs/>
          <w:lang w:val="es-ES_tradnl"/>
        </w:rPr>
        <w:t>í como el saldo entre ambos</w:t>
      </w:r>
      <w:r w:rsidR="00383A39">
        <w:rPr>
          <w:bCs/>
          <w:lang w:val="es-ES_tradnl"/>
        </w:rPr>
        <w:t xml:space="preserve">. Salvo en los </w:t>
      </w:r>
      <w:r w:rsidR="0030271B">
        <w:rPr>
          <w:bCs/>
          <w:lang w:val="es-ES_tradnl"/>
        </w:rPr>
        <w:t>cinco</w:t>
      </w:r>
      <w:r w:rsidR="00383A39">
        <w:rPr>
          <w:bCs/>
          <w:lang w:val="es-ES_tradnl"/>
        </w:rPr>
        <w:t xml:space="preserve"> primeros años, </w:t>
      </w:r>
      <w:r w:rsidR="0030271B">
        <w:rPr>
          <w:bCs/>
          <w:lang w:val="es-ES_tradnl"/>
        </w:rPr>
        <w:t xml:space="preserve">coincidentes con el periodo de ejecución del Programa, </w:t>
      </w:r>
      <w:r w:rsidR="00383A39">
        <w:rPr>
          <w:bCs/>
          <w:lang w:val="es-ES_tradnl"/>
        </w:rPr>
        <w:t xml:space="preserve">en el resto los resultados </w:t>
      </w:r>
      <w:r w:rsidR="000B55B4">
        <w:rPr>
          <w:bCs/>
          <w:lang w:val="es-ES_tradnl"/>
        </w:rPr>
        <w:t xml:space="preserve">el saldo resultante </w:t>
      </w:r>
      <w:r w:rsidR="00383A39">
        <w:rPr>
          <w:bCs/>
          <w:lang w:val="es-ES_tradnl"/>
        </w:rPr>
        <w:t>muestra signo positivo.</w:t>
      </w:r>
    </w:p>
    <w:p w:rsidR="00843C83" w:rsidRPr="00383A39" w:rsidRDefault="00843C83" w:rsidP="00843C83">
      <w:pPr>
        <w:rPr>
          <w:bCs/>
          <w:lang w:val="es-ES_tradnl"/>
        </w:rPr>
      </w:pPr>
    </w:p>
    <w:p w:rsidR="00517832" w:rsidRPr="00D177C1" w:rsidRDefault="00517832" w:rsidP="00517832">
      <w:pPr>
        <w:pStyle w:val="ListParagraph"/>
        <w:spacing w:after="60"/>
        <w:ind w:left="360"/>
        <w:jc w:val="center"/>
        <w:rPr>
          <w:b/>
          <w:sz w:val="20"/>
        </w:rPr>
      </w:pPr>
      <w:r>
        <w:rPr>
          <w:b/>
          <w:sz w:val="20"/>
        </w:rPr>
        <w:t xml:space="preserve">Cuadro </w:t>
      </w:r>
      <w:r w:rsidR="00DF42E1">
        <w:rPr>
          <w:b/>
          <w:sz w:val="20"/>
        </w:rPr>
        <w:t>8</w:t>
      </w:r>
      <w:r w:rsidRPr="00D177C1">
        <w:rPr>
          <w:b/>
          <w:sz w:val="20"/>
        </w:rPr>
        <w:t xml:space="preserve">. </w:t>
      </w:r>
      <w:r>
        <w:rPr>
          <w:b/>
          <w:sz w:val="20"/>
        </w:rPr>
        <w:t xml:space="preserve">Flujos previstos </w:t>
      </w:r>
    </w:p>
    <w:tbl>
      <w:tblPr>
        <w:tblW w:w="6377" w:type="dxa"/>
        <w:jc w:val="center"/>
        <w:tblCellMar>
          <w:left w:w="70" w:type="dxa"/>
          <w:right w:w="70" w:type="dxa"/>
        </w:tblCellMar>
        <w:tblLook w:val="04A0" w:firstRow="1" w:lastRow="0" w:firstColumn="1" w:lastColumn="0" w:noHBand="0" w:noVBand="1"/>
      </w:tblPr>
      <w:tblGrid>
        <w:gridCol w:w="669"/>
        <w:gridCol w:w="1916"/>
        <w:gridCol w:w="1916"/>
        <w:gridCol w:w="1876"/>
      </w:tblGrid>
      <w:tr w:rsidR="00517832" w:rsidRPr="00517832" w:rsidTr="00DF42E1">
        <w:trPr>
          <w:cantSplit/>
          <w:trHeight w:val="225"/>
          <w:tblHeader/>
          <w:jc w:val="center"/>
        </w:trPr>
        <w:tc>
          <w:tcPr>
            <w:tcW w:w="669" w:type="dxa"/>
            <w:tcBorders>
              <w:top w:val="single" w:sz="4" w:space="0" w:color="auto"/>
              <w:left w:val="nil"/>
              <w:bottom w:val="single" w:sz="4" w:space="0" w:color="auto"/>
              <w:right w:val="nil"/>
            </w:tcBorders>
            <w:shd w:val="clear" w:color="auto" w:fill="D9D9D9" w:themeFill="background1" w:themeFillShade="D9"/>
            <w:noWrap/>
            <w:vAlign w:val="bottom"/>
          </w:tcPr>
          <w:p w:rsidR="00517832" w:rsidRPr="00517832" w:rsidRDefault="00517832" w:rsidP="00517832">
            <w:pPr>
              <w:jc w:val="right"/>
              <w:rPr>
                <w:b/>
                <w:color w:val="000000"/>
                <w:sz w:val="20"/>
                <w:szCs w:val="20"/>
                <w:lang w:val="es-ES_tradnl" w:eastAsia="es-ES_tradnl"/>
              </w:rPr>
            </w:pPr>
          </w:p>
        </w:tc>
        <w:tc>
          <w:tcPr>
            <w:tcW w:w="1916" w:type="dxa"/>
            <w:tcBorders>
              <w:top w:val="single" w:sz="4" w:space="0" w:color="auto"/>
              <w:left w:val="nil"/>
              <w:bottom w:val="single" w:sz="4" w:space="0" w:color="auto"/>
              <w:right w:val="nil"/>
            </w:tcBorders>
            <w:shd w:val="clear" w:color="auto" w:fill="D9D9D9" w:themeFill="background1" w:themeFillShade="D9"/>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Beneficios</w:t>
            </w:r>
          </w:p>
        </w:tc>
        <w:tc>
          <w:tcPr>
            <w:tcW w:w="1916" w:type="dxa"/>
            <w:tcBorders>
              <w:top w:val="single" w:sz="4" w:space="0" w:color="auto"/>
              <w:left w:val="nil"/>
              <w:bottom w:val="single" w:sz="4" w:space="0" w:color="auto"/>
              <w:right w:val="nil"/>
            </w:tcBorders>
            <w:shd w:val="clear" w:color="auto" w:fill="D9D9D9" w:themeFill="background1" w:themeFillShade="D9"/>
            <w:noWrap/>
            <w:vAlign w:val="bottom"/>
          </w:tcPr>
          <w:p w:rsidR="00517832" w:rsidRPr="00517832" w:rsidRDefault="00517832" w:rsidP="00934C93">
            <w:pPr>
              <w:jc w:val="center"/>
              <w:rPr>
                <w:b/>
                <w:color w:val="000000"/>
                <w:sz w:val="20"/>
                <w:szCs w:val="18"/>
              </w:rPr>
            </w:pPr>
            <w:r w:rsidRPr="00517832">
              <w:rPr>
                <w:b/>
                <w:color w:val="000000"/>
                <w:sz w:val="20"/>
                <w:szCs w:val="18"/>
              </w:rPr>
              <w:t>Costos</w:t>
            </w:r>
          </w:p>
        </w:tc>
        <w:tc>
          <w:tcPr>
            <w:tcW w:w="1876" w:type="dxa"/>
            <w:tcBorders>
              <w:top w:val="single" w:sz="4" w:space="0" w:color="auto"/>
              <w:left w:val="nil"/>
              <w:bottom w:val="single" w:sz="4" w:space="0" w:color="auto"/>
              <w:right w:val="nil"/>
            </w:tcBorders>
            <w:shd w:val="clear" w:color="auto" w:fill="D9D9D9" w:themeFill="background1" w:themeFillShade="D9"/>
            <w:noWrap/>
            <w:vAlign w:val="bottom"/>
          </w:tcPr>
          <w:p w:rsidR="00517832" w:rsidRPr="00517832" w:rsidRDefault="00517832" w:rsidP="00934C93">
            <w:pPr>
              <w:jc w:val="center"/>
              <w:rPr>
                <w:b/>
                <w:color w:val="000000"/>
                <w:sz w:val="20"/>
                <w:szCs w:val="20"/>
                <w:lang w:val="es-ES_tradnl" w:eastAsia="es-ES_tradnl"/>
              </w:rPr>
            </w:pPr>
            <w:r w:rsidRPr="00517832">
              <w:rPr>
                <w:b/>
                <w:color w:val="000000"/>
                <w:sz w:val="20"/>
                <w:szCs w:val="20"/>
                <w:lang w:val="es-ES_tradnl" w:eastAsia="es-ES_tradnl"/>
              </w:rPr>
              <w:t>Saldo</w:t>
            </w:r>
          </w:p>
        </w:tc>
      </w:tr>
      <w:tr w:rsidR="00DF788C" w:rsidRPr="00517832" w:rsidTr="0030271B">
        <w:trPr>
          <w:trHeight w:val="225"/>
          <w:jc w:val="center"/>
        </w:trPr>
        <w:tc>
          <w:tcPr>
            <w:tcW w:w="669" w:type="dxa"/>
            <w:tcBorders>
              <w:top w:val="single" w:sz="4" w:space="0" w:color="auto"/>
              <w:left w:val="nil"/>
              <w:bottom w:val="nil"/>
              <w:right w:val="nil"/>
            </w:tcBorders>
            <w:shd w:val="clear" w:color="auto" w:fill="auto"/>
            <w:noWrap/>
            <w:hideMark/>
          </w:tcPr>
          <w:p w:rsidR="00DF788C" w:rsidRPr="0045213D" w:rsidRDefault="00DF788C" w:rsidP="00DF788C">
            <w:pPr>
              <w:jc w:val="center"/>
              <w:rPr>
                <w:sz w:val="20"/>
                <w:szCs w:val="20"/>
              </w:rPr>
            </w:pPr>
            <w:r w:rsidRPr="0045213D">
              <w:rPr>
                <w:sz w:val="20"/>
                <w:szCs w:val="20"/>
              </w:rPr>
              <w:t>1</w:t>
            </w:r>
          </w:p>
        </w:tc>
        <w:tc>
          <w:tcPr>
            <w:tcW w:w="1916" w:type="dxa"/>
            <w:tcBorders>
              <w:top w:val="single" w:sz="4" w:space="0" w:color="auto"/>
              <w:left w:val="nil"/>
              <w:bottom w:val="nil"/>
              <w:right w:val="nil"/>
            </w:tcBorders>
            <w:vAlign w:val="bottom"/>
          </w:tcPr>
          <w:p w:rsidR="00DF788C" w:rsidRPr="00DF788C" w:rsidRDefault="00DF788C" w:rsidP="00DF788C">
            <w:pPr>
              <w:jc w:val="right"/>
              <w:rPr>
                <w:color w:val="000000"/>
                <w:sz w:val="20"/>
                <w:szCs w:val="20"/>
              </w:rPr>
            </w:pPr>
            <w:r w:rsidRPr="00DF788C">
              <w:rPr>
                <w:color w:val="000000"/>
                <w:sz w:val="20"/>
                <w:szCs w:val="20"/>
              </w:rPr>
              <w:t>0</w:t>
            </w:r>
          </w:p>
        </w:tc>
        <w:tc>
          <w:tcPr>
            <w:tcW w:w="1916" w:type="dxa"/>
            <w:tcBorders>
              <w:top w:val="single" w:sz="4" w:space="0" w:color="auto"/>
              <w:left w:val="nil"/>
              <w:bottom w:val="nil"/>
              <w:right w:val="nil"/>
            </w:tcBorders>
            <w:shd w:val="clear" w:color="auto" w:fill="auto"/>
            <w:noWrap/>
            <w:vAlign w:val="bottom"/>
          </w:tcPr>
          <w:p w:rsidR="00DF788C" w:rsidRPr="0030271B" w:rsidRDefault="00DF788C" w:rsidP="00DF788C">
            <w:pPr>
              <w:jc w:val="right"/>
              <w:rPr>
                <w:color w:val="000000"/>
                <w:sz w:val="20"/>
                <w:szCs w:val="20"/>
              </w:rPr>
            </w:pPr>
            <w:r w:rsidRPr="0030271B">
              <w:rPr>
                <w:color w:val="000000"/>
                <w:sz w:val="20"/>
                <w:szCs w:val="20"/>
              </w:rPr>
              <w:t>1.857.941</w:t>
            </w:r>
          </w:p>
        </w:tc>
        <w:tc>
          <w:tcPr>
            <w:tcW w:w="1876" w:type="dxa"/>
            <w:tcBorders>
              <w:top w:val="single" w:sz="4" w:space="0" w:color="auto"/>
              <w:left w:val="nil"/>
              <w:bottom w:val="nil"/>
              <w:right w:val="nil"/>
            </w:tcBorders>
            <w:shd w:val="clear" w:color="auto" w:fill="auto"/>
            <w:noWrap/>
            <w:vAlign w:val="bottom"/>
          </w:tcPr>
          <w:p w:rsidR="00DF788C" w:rsidRPr="00DF788C" w:rsidRDefault="00DF788C" w:rsidP="00DF788C">
            <w:pPr>
              <w:jc w:val="right"/>
              <w:rPr>
                <w:color w:val="000000"/>
                <w:sz w:val="20"/>
                <w:szCs w:val="20"/>
              </w:rPr>
            </w:pPr>
            <w:r w:rsidRPr="00DF788C">
              <w:rPr>
                <w:color w:val="000000"/>
                <w:sz w:val="20"/>
                <w:szCs w:val="20"/>
              </w:rPr>
              <w:t>-1.857.941</w:t>
            </w:r>
          </w:p>
        </w:tc>
      </w:tr>
      <w:tr w:rsidR="00DF788C" w:rsidRPr="00517832" w:rsidTr="0030271B">
        <w:trPr>
          <w:trHeight w:val="225"/>
          <w:jc w:val="center"/>
        </w:trPr>
        <w:tc>
          <w:tcPr>
            <w:tcW w:w="669" w:type="dxa"/>
            <w:tcBorders>
              <w:top w:val="nil"/>
              <w:left w:val="nil"/>
              <w:bottom w:val="nil"/>
              <w:right w:val="nil"/>
            </w:tcBorders>
            <w:shd w:val="clear" w:color="auto" w:fill="auto"/>
            <w:noWrap/>
            <w:hideMark/>
          </w:tcPr>
          <w:p w:rsidR="00DF788C" w:rsidRPr="0045213D" w:rsidRDefault="00DF788C" w:rsidP="00DF788C">
            <w:pPr>
              <w:jc w:val="center"/>
              <w:rPr>
                <w:sz w:val="20"/>
                <w:szCs w:val="20"/>
              </w:rPr>
            </w:pPr>
            <w:r w:rsidRPr="0045213D">
              <w:rPr>
                <w:sz w:val="20"/>
                <w:szCs w:val="20"/>
              </w:rPr>
              <w:t>2</w:t>
            </w:r>
          </w:p>
        </w:tc>
        <w:tc>
          <w:tcPr>
            <w:tcW w:w="1916" w:type="dxa"/>
            <w:tcBorders>
              <w:top w:val="nil"/>
              <w:left w:val="nil"/>
              <w:bottom w:val="nil"/>
              <w:right w:val="nil"/>
            </w:tcBorders>
            <w:vAlign w:val="bottom"/>
          </w:tcPr>
          <w:p w:rsidR="00DF788C" w:rsidRPr="00DF788C" w:rsidRDefault="00DF788C" w:rsidP="00DF788C">
            <w:pPr>
              <w:jc w:val="right"/>
              <w:rPr>
                <w:color w:val="000000"/>
                <w:sz w:val="20"/>
                <w:szCs w:val="20"/>
              </w:rPr>
            </w:pPr>
            <w:r w:rsidRPr="00DF788C">
              <w:rPr>
                <w:color w:val="000000"/>
                <w:sz w:val="20"/>
                <w:szCs w:val="20"/>
              </w:rPr>
              <w:t>0</w:t>
            </w:r>
          </w:p>
        </w:tc>
        <w:tc>
          <w:tcPr>
            <w:tcW w:w="1916" w:type="dxa"/>
            <w:tcBorders>
              <w:top w:val="nil"/>
              <w:left w:val="nil"/>
              <w:bottom w:val="nil"/>
              <w:right w:val="nil"/>
            </w:tcBorders>
            <w:shd w:val="clear" w:color="auto" w:fill="auto"/>
            <w:noWrap/>
            <w:vAlign w:val="bottom"/>
          </w:tcPr>
          <w:p w:rsidR="00DF788C" w:rsidRPr="0030271B" w:rsidRDefault="00DF788C" w:rsidP="00DF788C">
            <w:pPr>
              <w:jc w:val="right"/>
              <w:rPr>
                <w:color w:val="000000"/>
                <w:sz w:val="20"/>
                <w:szCs w:val="20"/>
              </w:rPr>
            </w:pPr>
            <w:r w:rsidRPr="0030271B">
              <w:rPr>
                <w:color w:val="000000"/>
                <w:sz w:val="20"/>
                <w:szCs w:val="20"/>
              </w:rPr>
              <w:t>3.325.618</w:t>
            </w:r>
          </w:p>
        </w:tc>
        <w:tc>
          <w:tcPr>
            <w:tcW w:w="1876" w:type="dxa"/>
            <w:tcBorders>
              <w:top w:val="nil"/>
              <w:left w:val="nil"/>
              <w:bottom w:val="nil"/>
              <w:right w:val="nil"/>
            </w:tcBorders>
            <w:shd w:val="clear" w:color="auto" w:fill="auto"/>
            <w:noWrap/>
            <w:vAlign w:val="bottom"/>
          </w:tcPr>
          <w:p w:rsidR="00DF788C" w:rsidRPr="00DF788C" w:rsidRDefault="00DF788C" w:rsidP="00DF788C">
            <w:pPr>
              <w:jc w:val="right"/>
              <w:rPr>
                <w:color w:val="000000"/>
                <w:sz w:val="20"/>
                <w:szCs w:val="20"/>
              </w:rPr>
            </w:pPr>
            <w:r w:rsidRPr="00DF788C">
              <w:rPr>
                <w:color w:val="000000"/>
                <w:sz w:val="20"/>
                <w:szCs w:val="20"/>
              </w:rPr>
              <w:t>-3.325.618</w:t>
            </w:r>
          </w:p>
        </w:tc>
      </w:tr>
      <w:tr w:rsidR="00DF788C" w:rsidRPr="00517832" w:rsidTr="0030271B">
        <w:trPr>
          <w:trHeight w:val="225"/>
          <w:jc w:val="center"/>
        </w:trPr>
        <w:tc>
          <w:tcPr>
            <w:tcW w:w="669" w:type="dxa"/>
            <w:tcBorders>
              <w:top w:val="nil"/>
              <w:left w:val="nil"/>
              <w:bottom w:val="nil"/>
              <w:right w:val="nil"/>
            </w:tcBorders>
            <w:shd w:val="clear" w:color="auto" w:fill="auto"/>
            <w:noWrap/>
            <w:hideMark/>
          </w:tcPr>
          <w:p w:rsidR="00DF788C" w:rsidRPr="0045213D" w:rsidRDefault="00DF788C" w:rsidP="00DF788C">
            <w:pPr>
              <w:jc w:val="center"/>
              <w:rPr>
                <w:sz w:val="20"/>
                <w:szCs w:val="20"/>
              </w:rPr>
            </w:pPr>
            <w:r w:rsidRPr="0045213D">
              <w:rPr>
                <w:sz w:val="20"/>
                <w:szCs w:val="20"/>
              </w:rPr>
              <w:t>3</w:t>
            </w:r>
          </w:p>
        </w:tc>
        <w:tc>
          <w:tcPr>
            <w:tcW w:w="1916" w:type="dxa"/>
            <w:tcBorders>
              <w:top w:val="nil"/>
              <w:left w:val="nil"/>
              <w:bottom w:val="nil"/>
              <w:right w:val="nil"/>
            </w:tcBorders>
            <w:vAlign w:val="bottom"/>
          </w:tcPr>
          <w:p w:rsidR="00DF788C" w:rsidRPr="00DF788C" w:rsidRDefault="00DF788C" w:rsidP="00DF788C">
            <w:pPr>
              <w:jc w:val="right"/>
              <w:rPr>
                <w:color w:val="000000"/>
                <w:sz w:val="20"/>
                <w:szCs w:val="20"/>
              </w:rPr>
            </w:pPr>
            <w:r w:rsidRPr="00DF788C">
              <w:rPr>
                <w:color w:val="000000"/>
                <w:sz w:val="20"/>
                <w:szCs w:val="20"/>
              </w:rPr>
              <w:t>0</w:t>
            </w:r>
          </w:p>
        </w:tc>
        <w:tc>
          <w:tcPr>
            <w:tcW w:w="1916" w:type="dxa"/>
            <w:tcBorders>
              <w:top w:val="nil"/>
              <w:left w:val="nil"/>
              <w:bottom w:val="nil"/>
              <w:right w:val="nil"/>
            </w:tcBorders>
            <w:shd w:val="clear" w:color="auto" w:fill="auto"/>
            <w:noWrap/>
            <w:vAlign w:val="bottom"/>
          </w:tcPr>
          <w:p w:rsidR="00DF788C" w:rsidRPr="0030271B" w:rsidRDefault="00DF788C" w:rsidP="00DF788C">
            <w:pPr>
              <w:jc w:val="right"/>
              <w:rPr>
                <w:color w:val="000000"/>
                <w:sz w:val="20"/>
                <w:szCs w:val="20"/>
              </w:rPr>
            </w:pPr>
            <w:r w:rsidRPr="0030271B">
              <w:rPr>
                <w:color w:val="000000"/>
                <w:sz w:val="20"/>
                <w:szCs w:val="20"/>
              </w:rPr>
              <w:t>6.018.678</w:t>
            </w:r>
          </w:p>
        </w:tc>
        <w:tc>
          <w:tcPr>
            <w:tcW w:w="1876" w:type="dxa"/>
            <w:tcBorders>
              <w:top w:val="nil"/>
              <w:left w:val="nil"/>
              <w:bottom w:val="nil"/>
              <w:right w:val="nil"/>
            </w:tcBorders>
            <w:shd w:val="clear" w:color="auto" w:fill="auto"/>
            <w:noWrap/>
            <w:vAlign w:val="bottom"/>
          </w:tcPr>
          <w:p w:rsidR="00DF788C" w:rsidRPr="00DF788C" w:rsidRDefault="00DF788C" w:rsidP="00DF788C">
            <w:pPr>
              <w:jc w:val="right"/>
              <w:rPr>
                <w:color w:val="000000"/>
                <w:sz w:val="20"/>
                <w:szCs w:val="20"/>
              </w:rPr>
            </w:pPr>
            <w:r w:rsidRPr="00DF788C">
              <w:rPr>
                <w:color w:val="000000"/>
                <w:sz w:val="20"/>
                <w:szCs w:val="20"/>
              </w:rPr>
              <w:t>-6.018.678</w:t>
            </w:r>
          </w:p>
        </w:tc>
      </w:tr>
      <w:tr w:rsidR="002707BB" w:rsidRPr="00517832" w:rsidTr="0030271B">
        <w:trPr>
          <w:trHeight w:val="225"/>
          <w:jc w:val="center"/>
        </w:trPr>
        <w:tc>
          <w:tcPr>
            <w:tcW w:w="669" w:type="dxa"/>
            <w:tcBorders>
              <w:top w:val="nil"/>
              <w:left w:val="nil"/>
              <w:right w:val="nil"/>
            </w:tcBorders>
            <w:shd w:val="clear" w:color="auto" w:fill="auto"/>
            <w:noWrap/>
            <w:hideMark/>
          </w:tcPr>
          <w:p w:rsidR="002707BB" w:rsidRPr="0045213D" w:rsidRDefault="002707BB" w:rsidP="002707BB">
            <w:pPr>
              <w:jc w:val="center"/>
              <w:rPr>
                <w:sz w:val="20"/>
                <w:szCs w:val="20"/>
              </w:rPr>
            </w:pPr>
            <w:r w:rsidRPr="0045213D">
              <w:rPr>
                <w:sz w:val="20"/>
                <w:szCs w:val="20"/>
              </w:rPr>
              <w:t>4</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-1.857.941</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8.384.242</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-7.052.890</w:t>
            </w:r>
          </w:p>
        </w:tc>
      </w:tr>
      <w:tr w:rsidR="002707BB" w:rsidRPr="00517832" w:rsidTr="0030271B">
        <w:trPr>
          <w:trHeight w:val="225"/>
          <w:jc w:val="center"/>
        </w:trPr>
        <w:tc>
          <w:tcPr>
            <w:tcW w:w="669" w:type="dxa"/>
            <w:tcBorders>
              <w:top w:val="nil"/>
              <w:left w:val="nil"/>
              <w:bottom w:val="single" w:sz="4" w:space="0" w:color="auto"/>
              <w:right w:val="nil"/>
            </w:tcBorders>
            <w:shd w:val="clear" w:color="auto" w:fill="auto"/>
            <w:noWrap/>
            <w:hideMark/>
          </w:tcPr>
          <w:p w:rsidR="002707BB" w:rsidRPr="0045213D" w:rsidRDefault="002707BB" w:rsidP="002707BB">
            <w:pPr>
              <w:jc w:val="center"/>
              <w:rPr>
                <w:sz w:val="20"/>
                <w:szCs w:val="20"/>
              </w:rPr>
            </w:pPr>
            <w:r w:rsidRPr="0045213D">
              <w:rPr>
                <w:sz w:val="20"/>
                <w:szCs w:val="20"/>
              </w:rPr>
              <w:t>5</w:t>
            </w:r>
          </w:p>
        </w:tc>
        <w:tc>
          <w:tcPr>
            <w:tcW w:w="1916" w:type="dxa"/>
            <w:tcBorders>
              <w:top w:val="nil"/>
              <w:left w:val="nil"/>
              <w:bottom w:val="single" w:sz="4" w:space="0" w:color="auto"/>
              <w:right w:val="nil"/>
            </w:tcBorders>
            <w:vAlign w:val="bottom"/>
          </w:tcPr>
          <w:p w:rsidR="002707BB" w:rsidRPr="002707BB" w:rsidRDefault="002707BB" w:rsidP="002707BB">
            <w:pPr>
              <w:jc w:val="right"/>
              <w:rPr>
                <w:color w:val="000000"/>
                <w:sz w:val="20"/>
                <w:szCs w:val="20"/>
              </w:rPr>
            </w:pPr>
            <w:r w:rsidRPr="002707BB">
              <w:rPr>
                <w:color w:val="000000"/>
                <w:sz w:val="20"/>
                <w:szCs w:val="20"/>
              </w:rPr>
              <w:t>-3.325.618</w:t>
            </w:r>
          </w:p>
        </w:tc>
        <w:tc>
          <w:tcPr>
            <w:tcW w:w="1916" w:type="dxa"/>
            <w:tcBorders>
              <w:top w:val="nil"/>
              <w:left w:val="nil"/>
              <w:bottom w:val="single" w:sz="4" w:space="0" w:color="auto"/>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6.819.967</w:t>
            </w:r>
          </w:p>
        </w:tc>
        <w:tc>
          <w:tcPr>
            <w:tcW w:w="1876" w:type="dxa"/>
            <w:tcBorders>
              <w:top w:val="nil"/>
              <w:left w:val="nil"/>
              <w:bottom w:val="single" w:sz="4" w:space="0" w:color="auto"/>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-5.488.614</w:t>
            </w:r>
          </w:p>
        </w:tc>
      </w:tr>
      <w:tr w:rsidR="002707BB" w:rsidRPr="00517832" w:rsidTr="0030271B">
        <w:trPr>
          <w:trHeight w:val="225"/>
          <w:jc w:val="center"/>
        </w:trPr>
        <w:tc>
          <w:tcPr>
            <w:tcW w:w="669" w:type="dxa"/>
            <w:tcBorders>
              <w:top w:val="single" w:sz="4" w:space="0" w:color="auto"/>
              <w:left w:val="nil"/>
              <w:bottom w:val="nil"/>
              <w:right w:val="nil"/>
            </w:tcBorders>
            <w:shd w:val="clear" w:color="auto" w:fill="auto"/>
            <w:noWrap/>
            <w:hideMark/>
          </w:tcPr>
          <w:p w:rsidR="002707BB" w:rsidRPr="0045213D" w:rsidRDefault="002707BB" w:rsidP="002707BB">
            <w:pPr>
              <w:jc w:val="center"/>
              <w:rPr>
                <w:sz w:val="20"/>
                <w:szCs w:val="20"/>
              </w:rPr>
            </w:pPr>
            <w:r w:rsidRPr="0045213D">
              <w:rPr>
                <w:sz w:val="20"/>
                <w:szCs w:val="20"/>
              </w:rPr>
              <w:t>6</w:t>
            </w:r>
          </w:p>
        </w:tc>
        <w:tc>
          <w:tcPr>
            <w:tcW w:w="1916" w:type="dxa"/>
            <w:tcBorders>
              <w:top w:val="single" w:sz="4" w:space="0" w:color="auto"/>
              <w:left w:val="nil"/>
              <w:bottom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-6.018.678</w:t>
            </w:r>
          </w:p>
        </w:tc>
        <w:tc>
          <w:tcPr>
            <w:tcW w:w="1916" w:type="dxa"/>
            <w:tcBorders>
              <w:top w:val="single" w:sz="4" w:space="0" w:color="auto"/>
              <w:left w:val="nil"/>
              <w:bottom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single" w:sz="4" w:space="0" w:color="auto"/>
              <w:left w:val="nil"/>
              <w:bottom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8.112.641</w:t>
            </w:r>
          </w:p>
        </w:tc>
      </w:tr>
      <w:tr w:rsidR="002707BB" w:rsidRPr="00517832" w:rsidTr="0030271B">
        <w:trPr>
          <w:trHeight w:val="225"/>
          <w:jc w:val="center"/>
        </w:trPr>
        <w:tc>
          <w:tcPr>
            <w:tcW w:w="669" w:type="dxa"/>
            <w:tcBorders>
              <w:top w:val="nil"/>
              <w:left w:val="nil"/>
              <w:bottom w:val="nil"/>
              <w:right w:val="nil"/>
            </w:tcBorders>
            <w:shd w:val="clear" w:color="auto" w:fill="auto"/>
            <w:noWrap/>
            <w:hideMark/>
          </w:tcPr>
          <w:p w:rsidR="002707BB" w:rsidRPr="0045213D" w:rsidRDefault="002707BB" w:rsidP="002707BB">
            <w:pPr>
              <w:jc w:val="center"/>
              <w:rPr>
                <w:sz w:val="20"/>
                <w:szCs w:val="20"/>
              </w:rPr>
            </w:pPr>
            <w:r w:rsidRPr="0045213D">
              <w:rPr>
                <w:sz w:val="20"/>
                <w:szCs w:val="20"/>
              </w:rPr>
              <w:t>7</w:t>
            </w:r>
          </w:p>
        </w:tc>
        <w:tc>
          <w:tcPr>
            <w:tcW w:w="1916" w:type="dxa"/>
            <w:tcBorders>
              <w:top w:val="nil"/>
              <w:left w:val="nil"/>
              <w:bottom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-5.689.954</w:t>
            </w:r>
          </w:p>
        </w:tc>
        <w:tc>
          <w:tcPr>
            <w:tcW w:w="1916" w:type="dxa"/>
            <w:tcBorders>
              <w:top w:val="nil"/>
              <w:left w:val="nil"/>
              <w:bottom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bottom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8.112.642</w:t>
            </w:r>
          </w:p>
        </w:tc>
      </w:tr>
      <w:tr w:rsidR="002707BB" w:rsidRPr="00517832" w:rsidTr="0030271B">
        <w:trPr>
          <w:trHeight w:val="225"/>
          <w:jc w:val="center"/>
        </w:trPr>
        <w:tc>
          <w:tcPr>
            <w:tcW w:w="669" w:type="dxa"/>
            <w:tcBorders>
              <w:top w:val="nil"/>
              <w:left w:val="nil"/>
              <w:bottom w:val="nil"/>
              <w:right w:val="nil"/>
            </w:tcBorders>
            <w:shd w:val="clear" w:color="auto" w:fill="auto"/>
            <w:noWrap/>
            <w:hideMark/>
          </w:tcPr>
          <w:p w:rsidR="002707BB" w:rsidRPr="0045213D" w:rsidRDefault="002707BB" w:rsidP="002707BB">
            <w:pPr>
              <w:jc w:val="center"/>
              <w:rPr>
                <w:sz w:val="20"/>
                <w:szCs w:val="20"/>
              </w:rPr>
            </w:pPr>
            <w:r w:rsidRPr="0045213D">
              <w:rPr>
                <w:sz w:val="20"/>
                <w:szCs w:val="20"/>
              </w:rPr>
              <w:t>8</w:t>
            </w:r>
          </w:p>
        </w:tc>
        <w:tc>
          <w:tcPr>
            <w:tcW w:w="1916" w:type="dxa"/>
            <w:tcBorders>
              <w:top w:val="nil"/>
              <w:left w:val="nil"/>
              <w:bottom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-4.125.677</w:t>
            </w:r>
          </w:p>
        </w:tc>
        <w:tc>
          <w:tcPr>
            <w:tcW w:w="1916" w:type="dxa"/>
            <w:tcBorders>
              <w:top w:val="nil"/>
              <w:left w:val="nil"/>
              <w:bottom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bottom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8.112.643</w:t>
            </w:r>
          </w:p>
        </w:tc>
      </w:tr>
      <w:tr w:rsidR="002707BB" w:rsidRPr="00517832" w:rsidTr="0030271B">
        <w:trPr>
          <w:trHeight w:val="225"/>
          <w:jc w:val="center"/>
        </w:trPr>
        <w:tc>
          <w:tcPr>
            <w:tcW w:w="669" w:type="dxa"/>
            <w:tcBorders>
              <w:top w:val="nil"/>
              <w:left w:val="nil"/>
              <w:right w:val="nil"/>
            </w:tcBorders>
            <w:shd w:val="clear" w:color="auto" w:fill="auto"/>
            <w:noWrap/>
          </w:tcPr>
          <w:p w:rsidR="002707BB" w:rsidRPr="0045213D" w:rsidRDefault="002707BB" w:rsidP="002707BB">
            <w:pPr>
              <w:jc w:val="center"/>
              <w:rPr>
                <w:sz w:val="20"/>
                <w:szCs w:val="20"/>
              </w:rPr>
            </w:pPr>
            <w:r w:rsidRPr="0045213D">
              <w:rPr>
                <w:sz w:val="20"/>
                <w:szCs w:val="20"/>
              </w:rPr>
              <w:t>9</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9.016.007</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8.112.644</w:t>
            </w:r>
          </w:p>
        </w:tc>
      </w:tr>
      <w:tr w:rsidR="002707BB" w:rsidRPr="00517832" w:rsidTr="0030271B">
        <w:trPr>
          <w:trHeight w:val="225"/>
          <w:jc w:val="center"/>
        </w:trPr>
        <w:tc>
          <w:tcPr>
            <w:tcW w:w="669" w:type="dxa"/>
            <w:tcBorders>
              <w:top w:val="nil"/>
              <w:left w:val="nil"/>
              <w:right w:val="nil"/>
            </w:tcBorders>
            <w:shd w:val="clear" w:color="auto" w:fill="auto"/>
            <w:noWrap/>
          </w:tcPr>
          <w:p w:rsidR="002707BB" w:rsidRPr="0045213D" w:rsidRDefault="002707BB" w:rsidP="002707BB">
            <w:pPr>
              <w:jc w:val="center"/>
              <w:rPr>
                <w:sz w:val="20"/>
                <w:szCs w:val="20"/>
              </w:rPr>
            </w:pPr>
            <w:r w:rsidRPr="0045213D">
              <w:rPr>
                <w:sz w:val="20"/>
                <w:szCs w:val="20"/>
              </w:rPr>
              <w:t>10</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9.016.008</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8.112.645</w:t>
            </w:r>
          </w:p>
        </w:tc>
      </w:tr>
      <w:tr w:rsidR="002707BB" w:rsidRPr="00517832" w:rsidTr="0030271B">
        <w:trPr>
          <w:trHeight w:val="225"/>
          <w:jc w:val="center"/>
        </w:trPr>
        <w:tc>
          <w:tcPr>
            <w:tcW w:w="669" w:type="dxa"/>
            <w:tcBorders>
              <w:top w:val="nil"/>
              <w:left w:val="nil"/>
              <w:right w:val="nil"/>
            </w:tcBorders>
            <w:shd w:val="clear" w:color="auto" w:fill="auto"/>
            <w:noWrap/>
          </w:tcPr>
          <w:p w:rsidR="002707BB" w:rsidRPr="0045213D" w:rsidRDefault="002707BB" w:rsidP="002707BB">
            <w:pPr>
              <w:jc w:val="center"/>
              <w:rPr>
                <w:sz w:val="20"/>
                <w:szCs w:val="20"/>
              </w:rPr>
            </w:pPr>
            <w:r w:rsidRPr="0045213D">
              <w:rPr>
                <w:sz w:val="20"/>
                <w:szCs w:val="20"/>
              </w:rPr>
              <w:t>11</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9.016.009</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8.112.646</w:t>
            </w:r>
          </w:p>
        </w:tc>
      </w:tr>
      <w:tr w:rsidR="002707BB" w:rsidRPr="00517832" w:rsidTr="0030271B">
        <w:trPr>
          <w:trHeight w:val="225"/>
          <w:jc w:val="center"/>
        </w:trPr>
        <w:tc>
          <w:tcPr>
            <w:tcW w:w="669" w:type="dxa"/>
            <w:tcBorders>
              <w:top w:val="nil"/>
              <w:left w:val="nil"/>
              <w:right w:val="nil"/>
            </w:tcBorders>
            <w:shd w:val="clear" w:color="auto" w:fill="auto"/>
            <w:noWrap/>
          </w:tcPr>
          <w:p w:rsidR="002707BB" w:rsidRPr="0045213D" w:rsidRDefault="002707BB" w:rsidP="002707BB">
            <w:pPr>
              <w:jc w:val="center"/>
              <w:rPr>
                <w:sz w:val="20"/>
                <w:szCs w:val="20"/>
              </w:rPr>
            </w:pPr>
            <w:r w:rsidRPr="0045213D">
              <w:rPr>
                <w:sz w:val="20"/>
                <w:szCs w:val="20"/>
              </w:rPr>
              <w:t>12</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9.016.010</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8.112.647</w:t>
            </w:r>
          </w:p>
        </w:tc>
      </w:tr>
      <w:tr w:rsidR="002707BB" w:rsidRPr="00517832" w:rsidTr="0030271B">
        <w:trPr>
          <w:trHeight w:val="225"/>
          <w:jc w:val="center"/>
        </w:trPr>
        <w:tc>
          <w:tcPr>
            <w:tcW w:w="669" w:type="dxa"/>
            <w:tcBorders>
              <w:top w:val="nil"/>
              <w:left w:val="nil"/>
              <w:right w:val="nil"/>
            </w:tcBorders>
            <w:shd w:val="clear" w:color="auto" w:fill="auto"/>
            <w:noWrap/>
          </w:tcPr>
          <w:p w:rsidR="002707BB" w:rsidRPr="0045213D" w:rsidRDefault="002707BB" w:rsidP="002707BB">
            <w:pPr>
              <w:jc w:val="center"/>
              <w:rPr>
                <w:sz w:val="20"/>
                <w:szCs w:val="20"/>
              </w:rPr>
            </w:pPr>
            <w:r w:rsidRPr="0045213D">
              <w:rPr>
                <w:sz w:val="20"/>
                <w:szCs w:val="20"/>
              </w:rPr>
              <w:t>13</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9.016.011</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8.112.648</w:t>
            </w:r>
          </w:p>
        </w:tc>
      </w:tr>
      <w:tr w:rsidR="002707BB" w:rsidRPr="00517832" w:rsidTr="0030271B">
        <w:trPr>
          <w:trHeight w:val="225"/>
          <w:jc w:val="center"/>
        </w:trPr>
        <w:tc>
          <w:tcPr>
            <w:tcW w:w="669" w:type="dxa"/>
            <w:tcBorders>
              <w:top w:val="nil"/>
              <w:left w:val="nil"/>
              <w:right w:val="nil"/>
            </w:tcBorders>
            <w:shd w:val="clear" w:color="auto" w:fill="auto"/>
            <w:noWrap/>
            <w:hideMark/>
          </w:tcPr>
          <w:p w:rsidR="002707BB" w:rsidRPr="0045213D" w:rsidRDefault="002707BB" w:rsidP="002707BB">
            <w:pPr>
              <w:jc w:val="center"/>
              <w:rPr>
                <w:sz w:val="20"/>
                <w:szCs w:val="20"/>
              </w:rPr>
            </w:pPr>
            <w:r w:rsidRPr="0045213D">
              <w:rPr>
                <w:sz w:val="20"/>
                <w:szCs w:val="20"/>
              </w:rPr>
              <w:t>14</w:t>
            </w:r>
          </w:p>
        </w:tc>
        <w:tc>
          <w:tcPr>
            <w:tcW w:w="1916" w:type="dxa"/>
            <w:tcBorders>
              <w:top w:val="nil"/>
              <w:left w:val="nil"/>
              <w:right w:val="nil"/>
            </w:tcBorders>
            <w:vAlign w:val="bottom"/>
          </w:tcPr>
          <w:p w:rsidR="002707BB" w:rsidRPr="002707BB" w:rsidRDefault="002707BB" w:rsidP="002707BB">
            <w:pPr>
              <w:jc w:val="right"/>
              <w:rPr>
                <w:color w:val="000000"/>
                <w:sz w:val="20"/>
                <w:szCs w:val="20"/>
              </w:rPr>
            </w:pPr>
            <w:r w:rsidRPr="002707BB">
              <w:rPr>
                <w:color w:val="000000"/>
                <w:sz w:val="20"/>
                <w:szCs w:val="20"/>
              </w:rPr>
              <w:t>9.016.012</w:t>
            </w:r>
          </w:p>
        </w:tc>
        <w:tc>
          <w:tcPr>
            <w:tcW w:w="1916" w:type="dxa"/>
            <w:tcBorders>
              <w:top w:val="nil"/>
              <w:left w:val="nil"/>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8.112.649</w:t>
            </w:r>
          </w:p>
        </w:tc>
      </w:tr>
      <w:tr w:rsidR="002707BB" w:rsidRPr="00517832" w:rsidTr="0030271B">
        <w:trPr>
          <w:trHeight w:val="225"/>
          <w:jc w:val="center"/>
        </w:trPr>
        <w:tc>
          <w:tcPr>
            <w:tcW w:w="669" w:type="dxa"/>
            <w:tcBorders>
              <w:top w:val="nil"/>
              <w:left w:val="nil"/>
              <w:bottom w:val="single" w:sz="4" w:space="0" w:color="auto"/>
              <w:right w:val="nil"/>
            </w:tcBorders>
            <w:shd w:val="clear" w:color="auto" w:fill="auto"/>
            <w:noWrap/>
            <w:hideMark/>
          </w:tcPr>
          <w:p w:rsidR="002707BB" w:rsidRPr="0045213D" w:rsidRDefault="002707BB" w:rsidP="002707BB">
            <w:pPr>
              <w:jc w:val="center"/>
              <w:rPr>
                <w:sz w:val="20"/>
                <w:szCs w:val="20"/>
              </w:rPr>
            </w:pPr>
            <w:r w:rsidRPr="0045213D">
              <w:rPr>
                <w:sz w:val="20"/>
                <w:szCs w:val="20"/>
              </w:rPr>
              <w:t>15</w:t>
            </w:r>
          </w:p>
        </w:tc>
        <w:tc>
          <w:tcPr>
            <w:tcW w:w="1916" w:type="dxa"/>
            <w:tcBorders>
              <w:top w:val="nil"/>
              <w:left w:val="nil"/>
              <w:bottom w:val="single" w:sz="4" w:space="0" w:color="auto"/>
              <w:right w:val="nil"/>
            </w:tcBorders>
            <w:vAlign w:val="bottom"/>
          </w:tcPr>
          <w:p w:rsidR="002707BB" w:rsidRPr="002707BB" w:rsidRDefault="002707BB" w:rsidP="002707BB">
            <w:pPr>
              <w:jc w:val="right"/>
              <w:rPr>
                <w:color w:val="000000"/>
                <w:sz w:val="20"/>
                <w:szCs w:val="20"/>
              </w:rPr>
            </w:pPr>
            <w:r w:rsidRPr="002707BB">
              <w:rPr>
                <w:color w:val="000000"/>
                <w:sz w:val="20"/>
                <w:szCs w:val="20"/>
              </w:rPr>
              <w:t>9.016.013</w:t>
            </w:r>
          </w:p>
        </w:tc>
        <w:tc>
          <w:tcPr>
            <w:tcW w:w="1916" w:type="dxa"/>
            <w:tcBorders>
              <w:top w:val="nil"/>
              <w:left w:val="nil"/>
              <w:bottom w:val="single" w:sz="4" w:space="0" w:color="auto"/>
              <w:right w:val="nil"/>
            </w:tcBorders>
            <w:shd w:val="clear" w:color="auto" w:fill="auto"/>
            <w:noWrap/>
            <w:vAlign w:val="bottom"/>
          </w:tcPr>
          <w:p w:rsidR="002707BB" w:rsidRPr="0030271B" w:rsidRDefault="002707BB" w:rsidP="002707BB">
            <w:pPr>
              <w:jc w:val="right"/>
              <w:rPr>
                <w:color w:val="000000"/>
                <w:sz w:val="20"/>
                <w:szCs w:val="20"/>
              </w:rPr>
            </w:pPr>
            <w:r w:rsidRPr="0030271B">
              <w:rPr>
                <w:color w:val="000000"/>
                <w:sz w:val="20"/>
                <w:szCs w:val="20"/>
              </w:rPr>
              <w:t>793.000</w:t>
            </w:r>
          </w:p>
        </w:tc>
        <w:tc>
          <w:tcPr>
            <w:tcW w:w="1876" w:type="dxa"/>
            <w:tcBorders>
              <w:top w:val="nil"/>
              <w:left w:val="nil"/>
              <w:bottom w:val="single" w:sz="4" w:space="0" w:color="auto"/>
              <w:right w:val="nil"/>
            </w:tcBorders>
            <w:shd w:val="clear" w:color="auto" w:fill="auto"/>
            <w:noWrap/>
            <w:vAlign w:val="bottom"/>
          </w:tcPr>
          <w:p w:rsidR="002707BB" w:rsidRPr="00DF788C" w:rsidRDefault="002707BB" w:rsidP="002707BB">
            <w:pPr>
              <w:jc w:val="right"/>
              <w:rPr>
                <w:color w:val="000000"/>
                <w:sz w:val="20"/>
                <w:szCs w:val="20"/>
              </w:rPr>
            </w:pPr>
            <w:r w:rsidRPr="00DF788C">
              <w:rPr>
                <w:color w:val="000000"/>
                <w:sz w:val="20"/>
                <w:szCs w:val="20"/>
              </w:rPr>
              <w:t>8.112.650</w:t>
            </w:r>
          </w:p>
        </w:tc>
      </w:tr>
    </w:tbl>
    <w:p w:rsidR="00517832" w:rsidRDefault="00517832" w:rsidP="00517832">
      <w:pPr>
        <w:ind w:left="1560"/>
      </w:pPr>
      <w:r w:rsidRPr="009E7F7F">
        <w:rPr>
          <w:sz w:val="18"/>
        </w:rPr>
        <w:t xml:space="preserve">Montos en </w:t>
      </w:r>
      <w:r w:rsidR="0030271B">
        <w:rPr>
          <w:sz w:val="18"/>
        </w:rPr>
        <w:t>USD</w:t>
      </w:r>
      <w:r w:rsidRPr="009E7F7F">
        <w:rPr>
          <w:sz w:val="18"/>
        </w:rPr>
        <w:t>.</w:t>
      </w:r>
      <w:r>
        <w:rPr>
          <w:sz w:val="18"/>
        </w:rPr>
        <w:t xml:space="preserve"> Sin descontar.</w:t>
      </w:r>
    </w:p>
    <w:p w:rsidR="00843C83" w:rsidRPr="00383A39" w:rsidRDefault="00843C83" w:rsidP="00843C83">
      <w:pPr>
        <w:rPr>
          <w:bCs/>
          <w:lang w:val="es-ES_tradnl"/>
        </w:rPr>
      </w:pPr>
    </w:p>
    <w:p w:rsidR="00A51F9D" w:rsidRPr="00A51F9D" w:rsidRDefault="00383A39" w:rsidP="005012F5">
      <w:pPr>
        <w:pStyle w:val="ListParagraph"/>
        <w:numPr>
          <w:ilvl w:val="0"/>
          <w:numId w:val="12"/>
        </w:numPr>
        <w:ind w:left="567" w:hanging="567"/>
        <w:rPr>
          <w:bCs/>
          <w:lang w:val="es-ES_tradnl"/>
        </w:rPr>
      </w:pPr>
      <w:r w:rsidRPr="000B55B4">
        <w:t xml:space="preserve">Descontando los flujos, en el cuadro </w:t>
      </w:r>
      <w:r w:rsidR="00DF42E1">
        <w:t>9</w:t>
      </w:r>
      <w:r w:rsidRPr="000B55B4">
        <w:t xml:space="preserve"> se muestra que los beneficios igualan a los costos con una tasa interna de retorno del </w:t>
      </w:r>
      <w:r w:rsidR="0030271B">
        <w:t>2</w:t>
      </w:r>
      <w:r w:rsidR="002707BB">
        <w:t>5</w:t>
      </w:r>
      <w:r w:rsidR="0030271B">
        <w:t>,</w:t>
      </w:r>
      <w:r w:rsidR="002707BB">
        <w:t>4</w:t>
      </w:r>
      <w:r w:rsidRPr="000B55B4">
        <w:t xml:space="preserve">%, netamente superior a cualquiera de las tasas de descuento alternativas (6% y 12%). </w:t>
      </w:r>
      <w:r w:rsidR="00A51F9D">
        <w:t>Los flujos descontados de bene</w:t>
      </w:r>
      <w:r w:rsidR="002707BB">
        <w:t>ficios son superiores en un 97,6</w:t>
      </w:r>
      <w:r w:rsidR="00A51F9D">
        <w:t xml:space="preserve">% a los flujos descontados de costos, para una tasa de descuento del 6%. </w:t>
      </w:r>
      <w:r w:rsidR="00A221FD">
        <w:t xml:space="preserve">En el caso de aplicar la tasa del 12%, similar a la tasa social de descuento, los flujos descontados de beneficios superan en un </w:t>
      </w:r>
      <w:r w:rsidR="002707BB">
        <w:t>70,6</w:t>
      </w:r>
      <w:r w:rsidR="00A221FD">
        <w:t>% al de costos.</w:t>
      </w:r>
    </w:p>
    <w:p w:rsidR="00A51F9D" w:rsidRPr="00A51F9D" w:rsidRDefault="00A51F9D" w:rsidP="00A51F9D">
      <w:pPr>
        <w:pStyle w:val="ListParagraph"/>
        <w:ind w:left="567"/>
        <w:rPr>
          <w:bCs/>
          <w:lang w:val="es-ES_tradnl"/>
        </w:rPr>
      </w:pPr>
    </w:p>
    <w:p w:rsidR="00934C93" w:rsidRPr="00D177C1" w:rsidRDefault="00934C93" w:rsidP="00934C93">
      <w:pPr>
        <w:pStyle w:val="ListParagraph"/>
        <w:spacing w:after="60"/>
        <w:ind w:left="360" w:right="473"/>
        <w:jc w:val="center"/>
        <w:rPr>
          <w:b/>
          <w:sz w:val="20"/>
        </w:rPr>
      </w:pPr>
      <w:r>
        <w:rPr>
          <w:b/>
          <w:sz w:val="20"/>
        </w:rPr>
        <w:t xml:space="preserve">Cuadro </w:t>
      </w:r>
      <w:r w:rsidR="00DF42E1">
        <w:rPr>
          <w:b/>
          <w:sz w:val="20"/>
        </w:rPr>
        <w:t>9</w:t>
      </w:r>
      <w:r w:rsidRPr="00D177C1">
        <w:rPr>
          <w:b/>
          <w:sz w:val="20"/>
        </w:rPr>
        <w:t xml:space="preserve">. </w:t>
      </w:r>
      <w:r>
        <w:rPr>
          <w:b/>
          <w:sz w:val="20"/>
        </w:rPr>
        <w:t xml:space="preserve">Resultados </w:t>
      </w:r>
    </w:p>
    <w:tbl>
      <w:tblPr>
        <w:tblW w:w="7513" w:type="dxa"/>
        <w:jc w:val="center"/>
        <w:tblCellMar>
          <w:left w:w="70" w:type="dxa"/>
          <w:right w:w="70" w:type="dxa"/>
        </w:tblCellMar>
        <w:tblLook w:val="04A0" w:firstRow="1" w:lastRow="0" w:firstColumn="1" w:lastColumn="0" w:noHBand="0" w:noVBand="1"/>
      </w:tblPr>
      <w:tblGrid>
        <w:gridCol w:w="3402"/>
        <w:gridCol w:w="2127"/>
        <w:gridCol w:w="1984"/>
      </w:tblGrid>
      <w:tr w:rsidR="00934C93" w:rsidRPr="00934C93" w:rsidTr="00BA2FB2">
        <w:trPr>
          <w:trHeight w:val="225"/>
          <w:jc w:val="center"/>
        </w:trPr>
        <w:tc>
          <w:tcPr>
            <w:tcW w:w="3402" w:type="dxa"/>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934C93" w:rsidP="00934C93">
            <w:pPr>
              <w:jc w:val="left"/>
              <w:rPr>
                <w:b/>
                <w:bCs/>
                <w:color w:val="000000"/>
                <w:sz w:val="20"/>
                <w:szCs w:val="20"/>
                <w:lang w:val="es-ES_tradnl" w:eastAsia="es-ES_tradnl"/>
              </w:rPr>
            </w:pPr>
            <w:r w:rsidRPr="00934C93">
              <w:rPr>
                <w:b/>
                <w:bCs/>
                <w:color w:val="000000"/>
                <w:sz w:val="20"/>
                <w:szCs w:val="20"/>
                <w:lang w:val="es-ES_tradnl" w:eastAsia="es-ES_tradnl"/>
              </w:rPr>
              <w:t>TIR</w:t>
            </w:r>
          </w:p>
        </w:tc>
        <w:tc>
          <w:tcPr>
            <w:tcW w:w="4111" w:type="dxa"/>
            <w:gridSpan w:val="2"/>
            <w:tcBorders>
              <w:top w:val="single" w:sz="4" w:space="0" w:color="auto"/>
              <w:left w:val="nil"/>
              <w:bottom w:val="single" w:sz="4" w:space="0" w:color="auto"/>
              <w:right w:val="nil"/>
            </w:tcBorders>
            <w:shd w:val="clear" w:color="auto" w:fill="D9D9D9" w:themeFill="background1" w:themeFillShade="D9"/>
            <w:noWrap/>
            <w:vAlign w:val="bottom"/>
            <w:hideMark/>
          </w:tcPr>
          <w:p w:rsidR="00934C93" w:rsidRPr="00934C93" w:rsidRDefault="002707BB" w:rsidP="00934C93">
            <w:pPr>
              <w:jc w:val="center"/>
              <w:rPr>
                <w:b/>
                <w:bCs/>
                <w:color w:val="000000"/>
                <w:sz w:val="20"/>
                <w:szCs w:val="20"/>
                <w:lang w:val="es-ES_tradnl" w:eastAsia="es-ES_tradnl"/>
              </w:rPr>
            </w:pPr>
            <w:r>
              <w:rPr>
                <w:b/>
                <w:bCs/>
                <w:color w:val="000000"/>
                <w:sz w:val="20"/>
                <w:szCs w:val="20"/>
                <w:lang w:val="es-ES_tradnl" w:eastAsia="es-ES_tradnl"/>
              </w:rPr>
              <w:t>25,4</w:t>
            </w:r>
            <w:r w:rsidR="0030271B">
              <w:rPr>
                <w:b/>
                <w:bCs/>
                <w:color w:val="000000"/>
                <w:sz w:val="20"/>
                <w:szCs w:val="20"/>
                <w:lang w:val="es-ES_tradnl" w:eastAsia="es-ES_tradnl"/>
              </w:rPr>
              <w:t>%</w:t>
            </w:r>
          </w:p>
        </w:tc>
      </w:tr>
      <w:tr w:rsidR="00934C93" w:rsidRPr="00934C93" w:rsidTr="00BA2FB2">
        <w:trPr>
          <w:trHeight w:val="225"/>
          <w:jc w:val="center"/>
        </w:trPr>
        <w:tc>
          <w:tcPr>
            <w:tcW w:w="3402" w:type="dxa"/>
            <w:tcBorders>
              <w:top w:val="single" w:sz="4" w:space="0" w:color="auto"/>
              <w:left w:val="nil"/>
              <w:right w:val="nil"/>
            </w:tcBorders>
            <w:shd w:val="clear" w:color="auto" w:fill="auto"/>
            <w:noWrap/>
            <w:vAlign w:val="bottom"/>
            <w:hideMark/>
          </w:tcPr>
          <w:p w:rsidR="00934C93" w:rsidRPr="00934C93" w:rsidRDefault="00934C93" w:rsidP="00934C93">
            <w:pPr>
              <w:jc w:val="left"/>
              <w:rPr>
                <w:b/>
                <w:bCs/>
                <w:color w:val="000000"/>
                <w:sz w:val="20"/>
                <w:szCs w:val="20"/>
                <w:lang w:val="es-ES_tradnl" w:eastAsia="es-ES_tradnl"/>
              </w:rPr>
            </w:pPr>
          </w:p>
        </w:tc>
        <w:tc>
          <w:tcPr>
            <w:tcW w:w="2127" w:type="dxa"/>
            <w:tcBorders>
              <w:top w:val="single" w:sz="4" w:space="0" w:color="auto"/>
              <w:left w:val="nil"/>
              <w:right w:val="nil"/>
            </w:tcBorders>
            <w:shd w:val="clear" w:color="auto" w:fill="auto"/>
            <w:noWrap/>
            <w:vAlign w:val="bottom"/>
            <w:hideMark/>
          </w:tcPr>
          <w:p w:rsidR="00934C93" w:rsidRPr="00934C93" w:rsidRDefault="00934C93" w:rsidP="00934C93">
            <w:pPr>
              <w:jc w:val="center"/>
              <w:rPr>
                <w:b/>
                <w:bCs/>
                <w:color w:val="000000"/>
                <w:sz w:val="20"/>
                <w:szCs w:val="20"/>
                <w:lang w:val="es-ES_tradnl" w:eastAsia="es-ES_tradnl"/>
              </w:rPr>
            </w:pPr>
          </w:p>
        </w:tc>
        <w:tc>
          <w:tcPr>
            <w:tcW w:w="1984" w:type="dxa"/>
            <w:tcBorders>
              <w:top w:val="single" w:sz="4" w:space="0" w:color="auto"/>
              <w:left w:val="nil"/>
              <w:right w:val="nil"/>
            </w:tcBorders>
            <w:shd w:val="clear" w:color="auto" w:fill="auto"/>
            <w:noWrap/>
            <w:vAlign w:val="bottom"/>
            <w:hideMark/>
          </w:tcPr>
          <w:p w:rsidR="00934C93" w:rsidRPr="00934C93" w:rsidRDefault="00934C93" w:rsidP="00934C93">
            <w:pPr>
              <w:jc w:val="center"/>
              <w:rPr>
                <w:b/>
                <w:bCs/>
                <w:color w:val="000000"/>
                <w:sz w:val="20"/>
                <w:szCs w:val="20"/>
                <w:lang w:val="es-ES_tradnl" w:eastAsia="es-ES_tradnl"/>
              </w:rPr>
            </w:pPr>
          </w:p>
        </w:tc>
      </w:tr>
      <w:tr w:rsidR="0030271B" w:rsidRPr="00934C93" w:rsidTr="00BA2FB2">
        <w:trPr>
          <w:trHeight w:val="225"/>
          <w:jc w:val="center"/>
        </w:trPr>
        <w:tc>
          <w:tcPr>
            <w:tcW w:w="3402" w:type="dxa"/>
            <w:tcBorders>
              <w:top w:val="nil"/>
              <w:left w:val="nil"/>
              <w:bottom w:val="single" w:sz="4" w:space="0" w:color="auto"/>
              <w:right w:val="nil"/>
            </w:tcBorders>
            <w:shd w:val="clear" w:color="auto" w:fill="auto"/>
            <w:noWrap/>
            <w:vAlign w:val="bottom"/>
            <w:hideMark/>
          </w:tcPr>
          <w:p w:rsidR="0030271B" w:rsidRPr="0030271B" w:rsidRDefault="0030271B" w:rsidP="0030271B">
            <w:pPr>
              <w:jc w:val="left"/>
              <w:rPr>
                <w:color w:val="000000"/>
                <w:sz w:val="20"/>
                <w:szCs w:val="18"/>
              </w:rPr>
            </w:pPr>
            <w:r w:rsidRPr="0030271B">
              <w:rPr>
                <w:color w:val="000000"/>
                <w:sz w:val="20"/>
                <w:szCs w:val="18"/>
              </w:rPr>
              <w:t>Tasa de descuento</w:t>
            </w:r>
          </w:p>
        </w:tc>
        <w:tc>
          <w:tcPr>
            <w:tcW w:w="2127" w:type="dxa"/>
            <w:tcBorders>
              <w:top w:val="nil"/>
              <w:left w:val="nil"/>
              <w:bottom w:val="single" w:sz="4" w:space="0" w:color="auto"/>
              <w:right w:val="nil"/>
            </w:tcBorders>
            <w:shd w:val="clear" w:color="auto" w:fill="auto"/>
            <w:noWrap/>
            <w:vAlign w:val="bottom"/>
            <w:hideMark/>
          </w:tcPr>
          <w:p w:rsidR="0030271B" w:rsidRPr="00934C93" w:rsidRDefault="0030271B" w:rsidP="0030271B">
            <w:pPr>
              <w:jc w:val="right"/>
              <w:rPr>
                <w:color w:val="000000"/>
                <w:sz w:val="20"/>
                <w:szCs w:val="20"/>
                <w:lang w:val="es-ES_tradnl" w:eastAsia="es-ES_tradnl"/>
              </w:rPr>
            </w:pPr>
            <w:r w:rsidRPr="00934C93">
              <w:rPr>
                <w:color w:val="000000"/>
                <w:sz w:val="20"/>
                <w:szCs w:val="20"/>
                <w:lang w:val="es-ES_tradnl" w:eastAsia="es-ES_tradnl"/>
              </w:rPr>
              <w:t>6,0%</w:t>
            </w:r>
          </w:p>
        </w:tc>
        <w:tc>
          <w:tcPr>
            <w:tcW w:w="1984" w:type="dxa"/>
            <w:tcBorders>
              <w:top w:val="nil"/>
              <w:left w:val="nil"/>
              <w:bottom w:val="single" w:sz="4" w:space="0" w:color="auto"/>
              <w:right w:val="nil"/>
            </w:tcBorders>
            <w:shd w:val="clear" w:color="auto" w:fill="auto"/>
            <w:noWrap/>
            <w:vAlign w:val="bottom"/>
            <w:hideMark/>
          </w:tcPr>
          <w:p w:rsidR="0030271B" w:rsidRPr="00934C93" w:rsidRDefault="0030271B" w:rsidP="0030271B">
            <w:pPr>
              <w:jc w:val="right"/>
              <w:rPr>
                <w:color w:val="000000"/>
                <w:sz w:val="20"/>
                <w:szCs w:val="20"/>
                <w:lang w:val="es-ES_tradnl" w:eastAsia="es-ES_tradnl"/>
              </w:rPr>
            </w:pPr>
            <w:r w:rsidRPr="00934C93">
              <w:rPr>
                <w:color w:val="000000"/>
                <w:sz w:val="20"/>
                <w:szCs w:val="20"/>
                <w:lang w:val="es-ES_tradnl" w:eastAsia="es-ES_tradnl"/>
              </w:rPr>
              <w:t>12%</w:t>
            </w:r>
          </w:p>
        </w:tc>
      </w:tr>
      <w:tr w:rsidR="002707BB" w:rsidRPr="00934C93" w:rsidTr="00BA2FB2">
        <w:trPr>
          <w:trHeight w:val="225"/>
          <w:jc w:val="center"/>
        </w:trPr>
        <w:tc>
          <w:tcPr>
            <w:tcW w:w="3402" w:type="dxa"/>
            <w:tcBorders>
              <w:top w:val="single" w:sz="4" w:space="0" w:color="auto"/>
              <w:left w:val="nil"/>
              <w:bottom w:val="nil"/>
              <w:right w:val="nil"/>
            </w:tcBorders>
            <w:shd w:val="clear" w:color="auto" w:fill="auto"/>
            <w:noWrap/>
            <w:vAlign w:val="bottom"/>
            <w:hideMark/>
          </w:tcPr>
          <w:p w:rsidR="002707BB" w:rsidRPr="0030271B" w:rsidRDefault="002707BB" w:rsidP="002707BB">
            <w:pPr>
              <w:rPr>
                <w:color w:val="000000"/>
                <w:sz w:val="20"/>
                <w:szCs w:val="18"/>
              </w:rPr>
            </w:pPr>
            <w:r w:rsidRPr="0030271B">
              <w:rPr>
                <w:color w:val="000000"/>
                <w:sz w:val="20"/>
                <w:szCs w:val="18"/>
              </w:rPr>
              <w:t>Beneficios (VPB)</w:t>
            </w:r>
          </w:p>
        </w:tc>
        <w:tc>
          <w:tcPr>
            <w:tcW w:w="2127" w:type="dxa"/>
            <w:tcBorders>
              <w:top w:val="single" w:sz="4" w:space="0" w:color="auto"/>
              <w:left w:val="nil"/>
              <w:bottom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58.095.896</w:t>
            </w:r>
          </w:p>
        </w:tc>
        <w:tc>
          <w:tcPr>
            <w:tcW w:w="1984" w:type="dxa"/>
            <w:tcBorders>
              <w:top w:val="single" w:sz="4" w:space="0" w:color="auto"/>
              <w:left w:val="nil"/>
              <w:bottom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34.689.637</w:t>
            </w:r>
          </w:p>
        </w:tc>
      </w:tr>
      <w:tr w:rsidR="002707BB" w:rsidRPr="00934C93" w:rsidTr="00BA2FB2">
        <w:trPr>
          <w:trHeight w:val="225"/>
          <w:jc w:val="center"/>
        </w:trPr>
        <w:tc>
          <w:tcPr>
            <w:tcW w:w="3402" w:type="dxa"/>
            <w:tcBorders>
              <w:top w:val="nil"/>
              <w:left w:val="nil"/>
              <w:bottom w:val="nil"/>
              <w:right w:val="nil"/>
            </w:tcBorders>
            <w:shd w:val="clear" w:color="auto" w:fill="auto"/>
            <w:noWrap/>
            <w:vAlign w:val="bottom"/>
            <w:hideMark/>
          </w:tcPr>
          <w:p w:rsidR="002707BB" w:rsidRPr="0030271B" w:rsidRDefault="002707BB" w:rsidP="002707BB">
            <w:pPr>
              <w:rPr>
                <w:color w:val="000000"/>
                <w:sz w:val="20"/>
                <w:szCs w:val="18"/>
              </w:rPr>
            </w:pPr>
            <w:r w:rsidRPr="0030271B">
              <w:rPr>
                <w:color w:val="000000"/>
                <w:sz w:val="20"/>
                <w:szCs w:val="18"/>
              </w:rPr>
              <w:t>Costos (VPC)</w:t>
            </w:r>
          </w:p>
        </w:tc>
        <w:tc>
          <w:tcPr>
            <w:tcW w:w="2127" w:type="dxa"/>
            <w:tcBorders>
              <w:top w:val="nil"/>
              <w:left w:val="nil"/>
              <w:bottom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25.864.752</w:t>
            </w:r>
          </w:p>
        </w:tc>
        <w:tc>
          <w:tcPr>
            <w:tcW w:w="1984" w:type="dxa"/>
            <w:tcBorders>
              <w:top w:val="nil"/>
              <w:left w:val="nil"/>
              <w:bottom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20.334.613</w:t>
            </w:r>
          </w:p>
        </w:tc>
      </w:tr>
      <w:tr w:rsidR="002707BB" w:rsidRPr="00934C93" w:rsidTr="00BA2FB2">
        <w:trPr>
          <w:trHeight w:val="225"/>
          <w:jc w:val="center"/>
        </w:trPr>
        <w:tc>
          <w:tcPr>
            <w:tcW w:w="3402" w:type="dxa"/>
            <w:tcBorders>
              <w:top w:val="nil"/>
              <w:left w:val="nil"/>
              <w:right w:val="nil"/>
            </w:tcBorders>
            <w:shd w:val="clear" w:color="auto" w:fill="auto"/>
            <w:noWrap/>
            <w:vAlign w:val="bottom"/>
            <w:hideMark/>
          </w:tcPr>
          <w:p w:rsidR="002707BB" w:rsidRPr="0030271B" w:rsidRDefault="002707BB" w:rsidP="002707BB">
            <w:pPr>
              <w:rPr>
                <w:color w:val="000000"/>
                <w:sz w:val="20"/>
                <w:szCs w:val="18"/>
              </w:rPr>
            </w:pPr>
            <w:r w:rsidRPr="0030271B">
              <w:rPr>
                <w:color w:val="000000"/>
                <w:sz w:val="20"/>
                <w:szCs w:val="18"/>
              </w:rPr>
              <w:t>Saldo neto (VPN)</w:t>
            </w:r>
          </w:p>
        </w:tc>
        <w:tc>
          <w:tcPr>
            <w:tcW w:w="2127" w:type="dxa"/>
            <w:tcBorders>
              <w:top w:val="nil"/>
              <w:left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32.231.144</w:t>
            </w:r>
          </w:p>
        </w:tc>
        <w:tc>
          <w:tcPr>
            <w:tcW w:w="1984" w:type="dxa"/>
            <w:tcBorders>
              <w:top w:val="nil"/>
              <w:left w:val="nil"/>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14.355.024</w:t>
            </w:r>
          </w:p>
        </w:tc>
      </w:tr>
      <w:tr w:rsidR="002707BB" w:rsidRPr="00934C93" w:rsidTr="00BA2FB2">
        <w:trPr>
          <w:trHeight w:val="225"/>
          <w:jc w:val="center"/>
        </w:trPr>
        <w:tc>
          <w:tcPr>
            <w:tcW w:w="3402" w:type="dxa"/>
            <w:tcBorders>
              <w:top w:val="nil"/>
              <w:left w:val="nil"/>
              <w:bottom w:val="single" w:sz="4" w:space="0" w:color="auto"/>
              <w:right w:val="nil"/>
            </w:tcBorders>
            <w:shd w:val="clear" w:color="auto" w:fill="auto"/>
            <w:noWrap/>
            <w:vAlign w:val="bottom"/>
            <w:hideMark/>
          </w:tcPr>
          <w:p w:rsidR="002707BB" w:rsidRPr="0030271B" w:rsidRDefault="002707BB" w:rsidP="002707BB">
            <w:pPr>
              <w:rPr>
                <w:color w:val="000000"/>
                <w:sz w:val="20"/>
                <w:szCs w:val="18"/>
              </w:rPr>
            </w:pPr>
            <w:r>
              <w:rPr>
                <w:color w:val="000000"/>
                <w:sz w:val="20"/>
                <w:szCs w:val="18"/>
              </w:rPr>
              <w:t>Beneficios sobre costos (</w:t>
            </w:r>
            <w:r w:rsidRPr="0030271B">
              <w:rPr>
                <w:color w:val="000000"/>
                <w:sz w:val="20"/>
                <w:szCs w:val="18"/>
              </w:rPr>
              <w:t>VPB/VPC</w:t>
            </w:r>
            <w:r>
              <w:rPr>
                <w:color w:val="000000"/>
                <w:sz w:val="20"/>
                <w:szCs w:val="18"/>
              </w:rPr>
              <w:t>)</w:t>
            </w:r>
          </w:p>
        </w:tc>
        <w:tc>
          <w:tcPr>
            <w:tcW w:w="2127" w:type="dxa"/>
            <w:tcBorders>
              <w:top w:val="nil"/>
              <w:left w:val="nil"/>
              <w:bottom w:val="single" w:sz="4" w:space="0" w:color="auto"/>
              <w:right w:val="nil"/>
            </w:tcBorders>
            <w:shd w:val="clear" w:color="auto" w:fill="auto"/>
            <w:noWrap/>
            <w:vAlign w:val="bottom"/>
            <w:hideMark/>
          </w:tcPr>
          <w:p w:rsidR="002707BB" w:rsidRPr="002707BB" w:rsidRDefault="002707BB" w:rsidP="002707BB">
            <w:pPr>
              <w:jc w:val="right"/>
              <w:rPr>
                <w:color w:val="000000"/>
                <w:sz w:val="20"/>
                <w:szCs w:val="20"/>
              </w:rPr>
            </w:pPr>
            <w:r>
              <w:rPr>
                <w:color w:val="000000"/>
                <w:sz w:val="20"/>
                <w:szCs w:val="20"/>
              </w:rPr>
              <w:t>97</w:t>
            </w:r>
            <w:r w:rsidRPr="002707BB">
              <w:rPr>
                <w:color w:val="000000"/>
                <w:sz w:val="20"/>
                <w:szCs w:val="20"/>
              </w:rPr>
              <w:t>,6%</w:t>
            </w:r>
          </w:p>
        </w:tc>
        <w:tc>
          <w:tcPr>
            <w:tcW w:w="1984" w:type="dxa"/>
            <w:tcBorders>
              <w:top w:val="nil"/>
              <w:left w:val="nil"/>
              <w:bottom w:val="single" w:sz="4" w:space="0" w:color="auto"/>
              <w:right w:val="nil"/>
            </w:tcBorders>
            <w:shd w:val="clear" w:color="auto" w:fill="auto"/>
            <w:noWrap/>
            <w:vAlign w:val="bottom"/>
            <w:hideMark/>
          </w:tcPr>
          <w:p w:rsidR="002707BB" w:rsidRPr="002707BB" w:rsidRDefault="002707BB" w:rsidP="002707BB">
            <w:pPr>
              <w:jc w:val="right"/>
              <w:rPr>
                <w:color w:val="000000"/>
                <w:sz w:val="20"/>
                <w:szCs w:val="20"/>
              </w:rPr>
            </w:pPr>
            <w:r w:rsidRPr="002707BB">
              <w:rPr>
                <w:color w:val="000000"/>
                <w:sz w:val="20"/>
                <w:szCs w:val="20"/>
              </w:rPr>
              <w:t>70,6%</w:t>
            </w:r>
          </w:p>
        </w:tc>
      </w:tr>
    </w:tbl>
    <w:p w:rsidR="00843C83" w:rsidRDefault="00070A2F" w:rsidP="00D23A87">
      <w:pPr>
        <w:ind w:left="1134"/>
        <w:rPr>
          <w:bCs/>
          <w:lang w:val="es-ES_tradnl"/>
        </w:rPr>
      </w:pPr>
      <w:r w:rsidRPr="009E7F7F">
        <w:rPr>
          <w:sz w:val="18"/>
        </w:rPr>
        <w:t xml:space="preserve">Montos en </w:t>
      </w:r>
      <w:r w:rsidR="0030271B">
        <w:rPr>
          <w:sz w:val="18"/>
        </w:rPr>
        <w:t>USD</w:t>
      </w:r>
      <w:r w:rsidRPr="009E7F7F">
        <w:rPr>
          <w:sz w:val="18"/>
        </w:rPr>
        <w:t>.</w:t>
      </w:r>
    </w:p>
    <w:p w:rsidR="00070A2F" w:rsidRDefault="00070A2F" w:rsidP="00843C83">
      <w:pPr>
        <w:rPr>
          <w:bCs/>
          <w:lang w:val="es-ES_tradnl"/>
        </w:rPr>
      </w:pPr>
    </w:p>
    <w:p w:rsidR="00A51F9D" w:rsidRPr="000B55B4" w:rsidRDefault="00A51F9D" w:rsidP="00A51F9D">
      <w:pPr>
        <w:pStyle w:val="ListParagraph"/>
        <w:numPr>
          <w:ilvl w:val="0"/>
          <w:numId w:val="12"/>
        </w:numPr>
        <w:ind w:left="567" w:hanging="567"/>
        <w:rPr>
          <w:bCs/>
          <w:lang w:val="es-ES_tradnl"/>
        </w:rPr>
      </w:pPr>
      <w:r w:rsidRPr="000B55B4">
        <w:t>Por tanto, en relación con estas tasas de descuento</w:t>
      </w:r>
      <w:r>
        <w:t xml:space="preserve"> y</w:t>
      </w:r>
      <w:r w:rsidR="00C83558">
        <w:t xml:space="preserve"> </w:t>
      </w:r>
      <w:r w:rsidRPr="000B55B4">
        <w:t>aplicando el criterio de Kaldor-Hicks, el proyecto es altamente eficiente</w:t>
      </w:r>
      <w:r>
        <w:t xml:space="preserve"> y superior a las tasas de descuento de referencia que puedan aplicarse (6% y 12%). Por tanto, el Programa se justificaría independientemente de su comparación con otras alternativas</w:t>
      </w:r>
      <w:r w:rsidRPr="000B55B4">
        <w:t>.</w:t>
      </w:r>
      <w:r w:rsidRPr="00204895">
        <w:rPr>
          <w:rStyle w:val="FootnoteReference"/>
        </w:rPr>
        <w:footnoteReference w:id="20"/>
      </w:r>
    </w:p>
    <w:p w:rsidR="00A51F9D" w:rsidRPr="00383A39" w:rsidRDefault="00A51F9D" w:rsidP="00A51F9D">
      <w:pPr>
        <w:rPr>
          <w:bCs/>
          <w:lang w:val="es-ES_tradnl"/>
        </w:rPr>
      </w:pPr>
    </w:p>
    <w:p w:rsidR="002707BB" w:rsidRDefault="002707BB" w:rsidP="00843C83">
      <w:pPr>
        <w:rPr>
          <w:bCs/>
          <w:lang w:val="es-ES_tradnl"/>
        </w:rPr>
        <w:sectPr w:rsidR="002707BB" w:rsidSect="009B7F87">
          <w:pgSz w:w="12240" w:h="15840" w:code="1"/>
          <w:pgMar w:top="1418" w:right="1325" w:bottom="1418" w:left="1418" w:header="709" w:footer="856" w:gutter="0"/>
          <w:cols w:space="708"/>
          <w:docGrid w:linePitch="360"/>
        </w:sectPr>
      </w:pPr>
    </w:p>
    <w:p w:rsidR="00843C83" w:rsidRPr="00934C93" w:rsidRDefault="00934C93" w:rsidP="00310721">
      <w:pPr>
        <w:pStyle w:val="Heading1"/>
      </w:pPr>
      <w:bookmarkStart w:id="39" w:name="_Toc373498457"/>
      <w:r w:rsidRPr="00934C93">
        <w:lastRenderedPageBreak/>
        <w:t>Análisis de sensibilidad</w:t>
      </w:r>
      <w:bookmarkEnd w:id="39"/>
    </w:p>
    <w:p w:rsidR="003934AB" w:rsidRDefault="00BA2FB2" w:rsidP="005012F5">
      <w:pPr>
        <w:pStyle w:val="ListParagraph"/>
        <w:numPr>
          <w:ilvl w:val="0"/>
          <w:numId w:val="12"/>
        </w:numPr>
        <w:ind w:left="567" w:hanging="567"/>
        <w:rPr>
          <w:bCs/>
          <w:lang w:val="es-ES_tradnl"/>
        </w:rPr>
      </w:pPr>
      <w:r>
        <w:rPr>
          <w:bCs/>
          <w:lang w:val="es-ES_tradnl"/>
        </w:rPr>
        <w:t>Siguiendo los</w:t>
      </w:r>
      <w:r w:rsidR="00A46C73" w:rsidRPr="00363B72">
        <w:rPr>
          <w:bCs/>
          <w:lang w:val="es-ES_tradnl"/>
        </w:rPr>
        <w:t xml:space="preserve"> criterios</w:t>
      </w:r>
      <w:r w:rsidR="00A46C73" w:rsidRPr="0029515A">
        <w:rPr>
          <w:bCs/>
          <w:lang w:val="es-ES_tradnl"/>
        </w:rPr>
        <w:t xml:space="preserve"> que se establecen en Drummond</w:t>
      </w:r>
      <w:r w:rsidR="00976DB3">
        <w:rPr>
          <w:bCs/>
          <w:lang w:val="es-ES_tradnl"/>
        </w:rPr>
        <w:t xml:space="preserve"> </w:t>
      </w:r>
      <w:r w:rsidR="00A46C73" w:rsidRPr="00B462D2">
        <w:rPr>
          <w:bCs/>
          <w:i/>
          <w:lang w:val="es-ES_tradnl"/>
        </w:rPr>
        <w:t>et alia</w:t>
      </w:r>
      <w:r w:rsidR="00A46C73" w:rsidRPr="00245893">
        <w:rPr>
          <w:bCs/>
          <w:lang w:val="es-ES_tradnl"/>
        </w:rPr>
        <w:t xml:space="preserve"> (</w:t>
      </w:r>
      <w:r w:rsidR="00A46C73" w:rsidRPr="0042098D">
        <w:rPr>
          <w:bCs/>
          <w:lang w:val="es-ES_tradnl"/>
        </w:rPr>
        <w:t>2005: 42</w:t>
      </w:r>
      <w:r w:rsidR="007F5ED8">
        <w:rPr>
          <w:bCs/>
          <w:lang w:val="es-ES_tradnl"/>
        </w:rPr>
        <w:t>y ss.</w:t>
      </w:r>
      <w:r w:rsidR="00A46C73" w:rsidRPr="003A6301">
        <w:rPr>
          <w:bCs/>
          <w:lang w:val="es-ES_tradnl"/>
        </w:rPr>
        <w:t>)</w:t>
      </w:r>
      <w:r>
        <w:rPr>
          <w:bCs/>
          <w:lang w:val="es-ES_tradnl"/>
        </w:rPr>
        <w:t>, con</w:t>
      </w:r>
      <w:r w:rsidRPr="00245893">
        <w:rPr>
          <w:bCs/>
          <w:lang w:val="es-ES_tradnl"/>
        </w:rPr>
        <w:t xml:space="preserve"> la realizaci</w:t>
      </w:r>
      <w:r>
        <w:rPr>
          <w:bCs/>
          <w:lang w:val="es-ES_tradnl"/>
        </w:rPr>
        <w:t>ón del análisis de sensibilidad</w:t>
      </w:r>
      <w:r w:rsidR="00976DB3">
        <w:rPr>
          <w:bCs/>
          <w:lang w:val="es-ES_tradnl"/>
        </w:rPr>
        <w:t xml:space="preserve"> </w:t>
      </w:r>
      <w:r>
        <w:rPr>
          <w:bCs/>
          <w:lang w:val="es-ES_tradnl"/>
        </w:rPr>
        <w:t>se</w:t>
      </w:r>
      <w:r w:rsidR="00B8275A" w:rsidRPr="0029515A">
        <w:rPr>
          <w:bCs/>
          <w:lang w:val="es-ES_tradnl"/>
        </w:rPr>
        <w:t xml:space="preserve"> trata </w:t>
      </w:r>
      <w:r w:rsidR="00B8275A" w:rsidRPr="00B462D2">
        <w:rPr>
          <w:bCs/>
          <w:lang w:val="es-ES_tradnl"/>
        </w:rPr>
        <w:t>básicamente de conocer la robustez del análisis</w:t>
      </w:r>
      <w:r w:rsidR="004A2025" w:rsidRPr="00B462D2">
        <w:rPr>
          <w:bCs/>
          <w:lang w:val="es-ES_tradnl"/>
        </w:rPr>
        <w:t xml:space="preserve"> económico</w:t>
      </w:r>
      <w:r w:rsidR="00B8275A" w:rsidRPr="00B462D2">
        <w:rPr>
          <w:bCs/>
          <w:lang w:val="es-ES_tradnl"/>
        </w:rPr>
        <w:t xml:space="preserve"> realizado</w:t>
      </w:r>
      <w:r w:rsidR="00D23A87">
        <w:rPr>
          <w:bCs/>
          <w:lang w:val="es-ES_tradnl"/>
        </w:rPr>
        <w:t>, independientemente de la previsibilidad de la ocurrencia de un suceso</w:t>
      </w:r>
      <w:r w:rsidR="00B8275A" w:rsidRPr="00B462D2">
        <w:rPr>
          <w:bCs/>
          <w:lang w:val="es-ES_tradnl"/>
        </w:rPr>
        <w:t>. P</w:t>
      </w:r>
      <w:r w:rsidR="004A2025" w:rsidRPr="00B462D2">
        <w:rPr>
          <w:bCs/>
          <w:lang w:val="es-ES_tradnl"/>
        </w:rPr>
        <w:t>ara ello</w:t>
      </w:r>
      <w:r w:rsidR="00976DB3">
        <w:rPr>
          <w:bCs/>
          <w:lang w:val="es-ES_tradnl"/>
        </w:rPr>
        <w:t xml:space="preserve"> </w:t>
      </w:r>
      <w:r w:rsidR="004A2025" w:rsidRPr="00B462D2">
        <w:rPr>
          <w:bCs/>
          <w:lang w:val="es-ES_tradnl"/>
        </w:rPr>
        <w:t xml:space="preserve">los resultados </w:t>
      </w:r>
      <w:r>
        <w:rPr>
          <w:bCs/>
          <w:lang w:val="es-ES_tradnl"/>
        </w:rPr>
        <w:t>del análisis</w:t>
      </w:r>
      <w:r w:rsidR="00976DB3">
        <w:rPr>
          <w:bCs/>
          <w:lang w:val="es-ES_tradnl"/>
        </w:rPr>
        <w:t xml:space="preserve"> </w:t>
      </w:r>
      <w:r w:rsidR="00B8275A" w:rsidRPr="00B462D2">
        <w:rPr>
          <w:bCs/>
          <w:lang w:val="es-ES_tradnl"/>
        </w:rPr>
        <w:t xml:space="preserve">se han sometido </w:t>
      </w:r>
      <w:r w:rsidR="00F6059C" w:rsidRPr="00B462D2">
        <w:rPr>
          <w:bCs/>
          <w:lang w:val="es-ES_tradnl"/>
        </w:rPr>
        <w:t xml:space="preserve">a un análisis de </w:t>
      </w:r>
      <w:r w:rsidR="00FD0541">
        <w:rPr>
          <w:bCs/>
          <w:lang w:val="es-ES_tradnl"/>
        </w:rPr>
        <w:t>sensibilidad</w:t>
      </w:r>
      <w:r w:rsidR="00F6059C" w:rsidRPr="00B462D2">
        <w:rPr>
          <w:bCs/>
          <w:lang w:val="es-ES_tradnl"/>
        </w:rPr>
        <w:t xml:space="preserve">, consistente en </w:t>
      </w:r>
      <w:r w:rsidR="003934AB">
        <w:rPr>
          <w:bCs/>
          <w:lang w:val="es-ES_tradnl"/>
        </w:rPr>
        <w:t xml:space="preserve">determinar la reducción de </w:t>
      </w:r>
      <w:r w:rsidR="00F6059C" w:rsidRPr="00B462D2">
        <w:rPr>
          <w:bCs/>
          <w:lang w:val="es-ES_tradnl"/>
        </w:rPr>
        <w:t xml:space="preserve">beneficios </w:t>
      </w:r>
      <w:r w:rsidR="003934AB">
        <w:rPr>
          <w:bCs/>
          <w:lang w:val="es-ES_tradnl"/>
        </w:rPr>
        <w:t xml:space="preserve">y el aumento de los costos que harían que la TIR se situara por debajo del umbral </w:t>
      </w:r>
      <w:r w:rsidR="006676EC">
        <w:rPr>
          <w:bCs/>
          <w:lang w:val="es-ES_tradnl"/>
        </w:rPr>
        <w:t xml:space="preserve">crítico </w:t>
      </w:r>
      <w:r w:rsidR="003934AB">
        <w:rPr>
          <w:bCs/>
          <w:lang w:val="es-ES_tradnl"/>
        </w:rPr>
        <w:t>del 12%.</w:t>
      </w:r>
    </w:p>
    <w:p w:rsidR="003934AB" w:rsidRDefault="003934AB" w:rsidP="003934AB">
      <w:pPr>
        <w:pStyle w:val="ListParagraph"/>
        <w:ind w:left="567"/>
        <w:rPr>
          <w:bCs/>
          <w:lang w:val="es-ES_tradnl"/>
        </w:rPr>
      </w:pPr>
    </w:p>
    <w:p w:rsidR="003934AB" w:rsidRDefault="00411ADE" w:rsidP="003934AB">
      <w:pPr>
        <w:pStyle w:val="ListParagraph"/>
        <w:numPr>
          <w:ilvl w:val="0"/>
          <w:numId w:val="12"/>
        </w:numPr>
        <w:ind w:left="567" w:hanging="567"/>
        <w:rPr>
          <w:bCs/>
          <w:lang w:val="es-ES_tradnl"/>
        </w:rPr>
      </w:pPr>
      <w:r>
        <w:rPr>
          <w:bCs/>
          <w:lang w:val="es-ES_tradnl"/>
        </w:rPr>
        <w:t xml:space="preserve">En </w:t>
      </w:r>
      <w:r w:rsidR="003934AB">
        <w:rPr>
          <w:bCs/>
          <w:lang w:val="es-ES_tradnl"/>
        </w:rPr>
        <w:t xml:space="preserve">el cuadro </w:t>
      </w:r>
      <w:r w:rsidR="00FD0541">
        <w:rPr>
          <w:bCs/>
          <w:lang w:val="es-ES_tradnl"/>
        </w:rPr>
        <w:t>10</w:t>
      </w:r>
      <w:r>
        <w:rPr>
          <w:bCs/>
          <w:lang w:val="es-ES_tradnl"/>
        </w:rPr>
        <w:t xml:space="preserve"> se muestran los resultados de una simulación en la </w:t>
      </w:r>
      <w:r w:rsidR="003934AB">
        <w:rPr>
          <w:bCs/>
          <w:lang w:val="es-ES_tradnl"/>
        </w:rPr>
        <w:t>que los beneficios se</w:t>
      </w:r>
      <w:r>
        <w:rPr>
          <w:bCs/>
          <w:lang w:val="es-ES_tradnl"/>
        </w:rPr>
        <w:t xml:space="preserve"> reducen</w:t>
      </w:r>
      <w:r w:rsidR="003934AB">
        <w:rPr>
          <w:bCs/>
          <w:lang w:val="es-ES_tradnl"/>
        </w:rPr>
        <w:t xml:space="preserve"> un </w:t>
      </w:r>
      <w:r>
        <w:rPr>
          <w:bCs/>
          <w:lang w:val="es-ES_tradnl"/>
        </w:rPr>
        <w:t xml:space="preserve">30% y los costos aumentan un 20%. </w:t>
      </w:r>
      <w:r w:rsidR="007F7652">
        <w:rPr>
          <w:bCs/>
          <w:lang w:val="es-ES_tradnl"/>
        </w:rPr>
        <w:t xml:space="preserve">Este es un escenario bastante extremo. </w:t>
      </w:r>
      <w:r>
        <w:rPr>
          <w:bCs/>
          <w:lang w:val="es-ES_tradnl"/>
        </w:rPr>
        <w:t xml:space="preserve">La TIR resultante es del </w:t>
      </w:r>
      <w:r w:rsidR="007F7652">
        <w:rPr>
          <w:bCs/>
          <w:lang w:val="es-ES_tradnl"/>
        </w:rPr>
        <w:t>12,0</w:t>
      </w:r>
      <w:r>
        <w:rPr>
          <w:bCs/>
          <w:lang w:val="es-ES_tradnl"/>
        </w:rPr>
        <w:t>%.</w:t>
      </w:r>
    </w:p>
    <w:p w:rsidR="003934AB" w:rsidRDefault="003934AB" w:rsidP="003934AB">
      <w:pPr>
        <w:pStyle w:val="ListParagraph"/>
        <w:ind w:left="567"/>
        <w:rPr>
          <w:bCs/>
          <w:lang w:val="es-ES_tradnl"/>
        </w:rPr>
      </w:pPr>
    </w:p>
    <w:p w:rsidR="00934C93" w:rsidRPr="003F41B8" w:rsidRDefault="003F41B8" w:rsidP="003F41B8">
      <w:pPr>
        <w:pStyle w:val="ListParagraph"/>
        <w:spacing w:after="60"/>
        <w:ind w:left="360" w:right="473"/>
        <w:jc w:val="center"/>
        <w:rPr>
          <w:b/>
          <w:sz w:val="20"/>
        </w:rPr>
      </w:pPr>
      <w:r w:rsidRPr="003F41B8">
        <w:rPr>
          <w:b/>
          <w:sz w:val="20"/>
        </w:rPr>
        <w:t xml:space="preserve">Cuadro </w:t>
      </w:r>
      <w:r w:rsidR="00FD0541">
        <w:rPr>
          <w:b/>
          <w:sz w:val="20"/>
        </w:rPr>
        <w:t>10</w:t>
      </w:r>
      <w:r w:rsidRPr="003F41B8">
        <w:rPr>
          <w:b/>
          <w:sz w:val="20"/>
        </w:rPr>
        <w:t>. Resultados del análisis de sensibilidad</w:t>
      </w:r>
    </w:p>
    <w:tbl>
      <w:tblPr>
        <w:tblW w:w="7372" w:type="dxa"/>
        <w:jc w:val="center"/>
        <w:tblCellMar>
          <w:left w:w="70" w:type="dxa"/>
          <w:right w:w="70" w:type="dxa"/>
        </w:tblCellMar>
        <w:tblLook w:val="04A0" w:firstRow="1" w:lastRow="0" w:firstColumn="1" w:lastColumn="0" w:noHBand="0" w:noVBand="1"/>
      </w:tblPr>
      <w:tblGrid>
        <w:gridCol w:w="3403"/>
        <w:gridCol w:w="2126"/>
        <w:gridCol w:w="1843"/>
      </w:tblGrid>
      <w:tr w:rsidR="00A46C73" w:rsidRPr="00E435C8" w:rsidTr="00D23A87">
        <w:trPr>
          <w:trHeight w:val="225"/>
          <w:jc w:val="center"/>
        </w:trPr>
        <w:tc>
          <w:tcPr>
            <w:tcW w:w="3403" w:type="dxa"/>
            <w:tcBorders>
              <w:top w:val="single" w:sz="4" w:space="0" w:color="auto"/>
              <w:left w:val="nil"/>
              <w:bottom w:val="nil"/>
              <w:right w:val="nil"/>
            </w:tcBorders>
            <w:shd w:val="clear" w:color="auto" w:fill="D9D9D9" w:themeFill="background1" w:themeFillShade="D9"/>
            <w:noWrap/>
            <w:vAlign w:val="bottom"/>
            <w:hideMark/>
          </w:tcPr>
          <w:p w:rsidR="00A46C73" w:rsidRPr="00E435C8" w:rsidRDefault="00A46C73" w:rsidP="00E435C8">
            <w:pPr>
              <w:jc w:val="left"/>
              <w:rPr>
                <w:b/>
                <w:bCs/>
                <w:color w:val="000000"/>
                <w:sz w:val="20"/>
                <w:szCs w:val="20"/>
                <w:lang w:val="es-ES_tradnl" w:eastAsia="es-ES_tradnl"/>
              </w:rPr>
            </w:pPr>
            <w:r w:rsidRPr="00E435C8">
              <w:rPr>
                <w:b/>
                <w:bCs/>
                <w:color w:val="000000"/>
                <w:sz w:val="20"/>
                <w:szCs w:val="20"/>
                <w:lang w:val="es-ES_tradnl" w:eastAsia="es-ES_tradnl"/>
              </w:rPr>
              <w:t>TIR</w:t>
            </w:r>
          </w:p>
        </w:tc>
        <w:tc>
          <w:tcPr>
            <w:tcW w:w="3969" w:type="dxa"/>
            <w:gridSpan w:val="2"/>
            <w:tcBorders>
              <w:top w:val="single" w:sz="4" w:space="0" w:color="auto"/>
              <w:left w:val="nil"/>
              <w:bottom w:val="nil"/>
              <w:right w:val="nil"/>
            </w:tcBorders>
            <w:shd w:val="clear" w:color="auto" w:fill="D9D9D9" w:themeFill="background1" w:themeFillShade="D9"/>
            <w:noWrap/>
            <w:vAlign w:val="bottom"/>
            <w:hideMark/>
          </w:tcPr>
          <w:p w:rsidR="00A46C73" w:rsidRPr="00E435C8" w:rsidRDefault="00411ADE" w:rsidP="00E435C8">
            <w:pPr>
              <w:jc w:val="center"/>
              <w:rPr>
                <w:b/>
                <w:bCs/>
                <w:color w:val="000000"/>
                <w:sz w:val="20"/>
                <w:szCs w:val="20"/>
                <w:lang w:val="es-ES_tradnl" w:eastAsia="es-ES_tradnl"/>
              </w:rPr>
            </w:pPr>
            <w:r>
              <w:rPr>
                <w:b/>
                <w:bCs/>
                <w:color w:val="000000"/>
                <w:sz w:val="20"/>
                <w:szCs w:val="20"/>
                <w:lang w:val="es-ES_tradnl" w:eastAsia="es-ES_tradnl"/>
              </w:rPr>
              <w:t>1</w:t>
            </w:r>
            <w:r w:rsidR="00FD0541">
              <w:rPr>
                <w:b/>
                <w:bCs/>
                <w:color w:val="000000"/>
                <w:sz w:val="20"/>
                <w:szCs w:val="20"/>
                <w:lang w:val="es-ES_tradnl" w:eastAsia="es-ES_tradnl"/>
              </w:rPr>
              <w:t>2</w:t>
            </w:r>
            <w:r w:rsidR="00A46C73" w:rsidRPr="00E435C8">
              <w:rPr>
                <w:b/>
                <w:bCs/>
                <w:color w:val="000000"/>
                <w:sz w:val="20"/>
                <w:szCs w:val="20"/>
                <w:lang w:val="es-ES_tradnl" w:eastAsia="es-ES_tradnl"/>
              </w:rPr>
              <w:t>%</w:t>
            </w:r>
          </w:p>
        </w:tc>
      </w:tr>
      <w:tr w:rsidR="00A46C73" w:rsidRPr="00E435C8" w:rsidTr="00D23A87">
        <w:trPr>
          <w:trHeight w:val="225"/>
          <w:jc w:val="center"/>
        </w:trPr>
        <w:tc>
          <w:tcPr>
            <w:tcW w:w="3403" w:type="dxa"/>
            <w:tcBorders>
              <w:top w:val="nil"/>
              <w:left w:val="nil"/>
              <w:right w:val="nil"/>
            </w:tcBorders>
            <w:shd w:val="clear" w:color="auto" w:fill="auto"/>
            <w:noWrap/>
            <w:vAlign w:val="bottom"/>
            <w:hideMark/>
          </w:tcPr>
          <w:p w:rsidR="00A46C73" w:rsidRPr="00E435C8" w:rsidRDefault="00A46C73" w:rsidP="00E435C8">
            <w:pPr>
              <w:jc w:val="left"/>
              <w:rPr>
                <w:b/>
                <w:bCs/>
                <w:color w:val="000000"/>
                <w:sz w:val="20"/>
                <w:szCs w:val="20"/>
                <w:lang w:val="es-ES_tradnl" w:eastAsia="es-ES_tradnl"/>
              </w:rPr>
            </w:pPr>
          </w:p>
        </w:tc>
        <w:tc>
          <w:tcPr>
            <w:tcW w:w="2126" w:type="dxa"/>
            <w:tcBorders>
              <w:top w:val="nil"/>
              <w:left w:val="nil"/>
              <w:right w:val="nil"/>
            </w:tcBorders>
            <w:shd w:val="clear" w:color="auto" w:fill="auto"/>
            <w:noWrap/>
            <w:vAlign w:val="bottom"/>
            <w:hideMark/>
          </w:tcPr>
          <w:p w:rsidR="00A46C73" w:rsidRPr="00E435C8" w:rsidRDefault="00A46C73" w:rsidP="00E435C8">
            <w:pPr>
              <w:jc w:val="center"/>
              <w:rPr>
                <w:b/>
                <w:bCs/>
                <w:color w:val="000000"/>
                <w:sz w:val="20"/>
                <w:szCs w:val="20"/>
                <w:lang w:val="es-ES_tradnl" w:eastAsia="es-ES_tradnl"/>
              </w:rPr>
            </w:pPr>
          </w:p>
        </w:tc>
        <w:tc>
          <w:tcPr>
            <w:tcW w:w="1843" w:type="dxa"/>
            <w:tcBorders>
              <w:top w:val="nil"/>
              <w:left w:val="nil"/>
              <w:right w:val="nil"/>
            </w:tcBorders>
            <w:shd w:val="clear" w:color="auto" w:fill="auto"/>
            <w:noWrap/>
            <w:vAlign w:val="bottom"/>
            <w:hideMark/>
          </w:tcPr>
          <w:p w:rsidR="00A46C73" w:rsidRPr="00E435C8" w:rsidRDefault="00A46C73" w:rsidP="00E435C8">
            <w:pPr>
              <w:jc w:val="center"/>
              <w:rPr>
                <w:b/>
                <w:bCs/>
                <w:color w:val="000000"/>
                <w:sz w:val="20"/>
                <w:szCs w:val="20"/>
                <w:lang w:val="es-ES_tradnl" w:eastAsia="es-ES_tradnl"/>
              </w:rPr>
            </w:pPr>
          </w:p>
        </w:tc>
      </w:tr>
      <w:tr w:rsidR="00A46C73" w:rsidRPr="00E435C8" w:rsidTr="00D23A87">
        <w:trPr>
          <w:trHeight w:val="225"/>
          <w:jc w:val="center"/>
        </w:trPr>
        <w:tc>
          <w:tcPr>
            <w:tcW w:w="3403" w:type="dxa"/>
            <w:tcBorders>
              <w:top w:val="nil"/>
              <w:left w:val="nil"/>
              <w:bottom w:val="single" w:sz="4" w:space="0" w:color="auto"/>
              <w:right w:val="nil"/>
            </w:tcBorders>
            <w:shd w:val="clear" w:color="auto" w:fill="auto"/>
            <w:noWrap/>
            <w:vAlign w:val="bottom"/>
            <w:hideMark/>
          </w:tcPr>
          <w:p w:rsidR="00A46C73" w:rsidRPr="00E435C8" w:rsidRDefault="00A46C73" w:rsidP="00E435C8">
            <w:pPr>
              <w:jc w:val="left"/>
              <w:rPr>
                <w:color w:val="000000"/>
                <w:sz w:val="20"/>
                <w:szCs w:val="20"/>
                <w:lang w:val="es-ES_tradnl" w:eastAsia="es-ES_tradnl"/>
              </w:rPr>
            </w:pPr>
            <w:r w:rsidRPr="00E435C8">
              <w:rPr>
                <w:color w:val="000000"/>
                <w:sz w:val="20"/>
                <w:szCs w:val="20"/>
                <w:lang w:val="es-ES_tradnl" w:eastAsia="es-ES_tradnl"/>
              </w:rPr>
              <w:t>Tasa de descuento</w:t>
            </w:r>
          </w:p>
        </w:tc>
        <w:tc>
          <w:tcPr>
            <w:tcW w:w="2126" w:type="dxa"/>
            <w:tcBorders>
              <w:top w:val="nil"/>
              <w:left w:val="nil"/>
              <w:bottom w:val="single" w:sz="4" w:space="0" w:color="auto"/>
              <w:right w:val="nil"/>
            </w:tcBorders>
            <w:shd w:val="clear" w:color="auto" w:fill="auto"/>
            <w:noWrap/>
            <w:vAlign w:val="bottom"/>
            <w:hideMark/>
          </w:tcPr>
          <w:p w:rsidR="00A46C73" w:rsidRPr="00E435C8" w:rsidRDefault="00A46C73" w:rsidP="00E435C8">
            <w:pPr>
              <w:jc w:val="right"/>
              <w:rPr>
                <w:color w:val="000000"/>
                <w:sz w:val="20"/>
                <w:szCs w:val="20"/>
                <w:lang w:val="es-ES_tradnl" w:eastAsia="es-ES_tradnl"/>
              </w:rPr>
            </w:pPr>
            <w:r w:rsidRPr="00E435C8">
              <w:rPr>
                <w:color w:val="000000"/>
                <w:sz w:val="20"/>
                <w:szCs w:val="20"/>
                <w:lang w:val="es-ES_tradnl" w:eastAsia="es-ES_tradnl"/>
              </w:rPr>
              <w:t>6,0%</w:t>
            </w:r>
          </w:p>
        </w:tc>
        <w:tc>
          <w:tcPr>
            <w:tcW w:w="1843" w:type="dxa"/>
            <w:tcBorders>
              <w:top w:val="nil"/>
              <w:left w:val="nil"/>
              <w:bottom w:val="single" w:sz="4" w:space="0" w:color="auto"/>
              <w:right w:val="nil"/>
            </w:tcBorders>
            <w:shd w:val="clear" w:color="auto" w:fill="auto"/>
            <w:noWrap/>
            <w:vAlign w:val="bottom"/>
            <w:hideMark/>
          </w:tcPr>
          <w:p w:rsidR="00A46C73" w:rsidRPr="00E435C8" w:rsidRDefault="00A46C73" w:rsidP="00E435C8">
            <w:pPr>
              <w:jc w:val="right"/>
              <w:rPr>
                <w:color w:val="000000"/>
                <w:sz w:val="20"/>
                <w:szCs w:val="20"/>
                <w:lang w:val="es-ES_tradnl" w:eastAsia="es-ES_tradnl"/>
              </w:rPr>
            </w:pPr>
            <w:r w:rsidRPr="00E435C8">
              <w:rPr>
                <w:color w:val="000000"/>
                <w:sz w:val="20"/>
                <w:szCs w:val="20"/>
                <w:lang w:val="es-ES_tradnl" w:eastAsia="es-ES_tradnl"/>
              </w:rPr>
              <w:t>12%</w:t>
            </w:r>
          </w:p>
        </w:tc>
      </w:tr>
      <w:tr w:rsidR="007F7652" w:rsidRPr="00E435C8" w:rsidTr="00D23A87">
        <w:trPr>
          <w:trHeight w:val="225"/>
          <w:jc w:val="center"/>
        </w:trPr>
        <w:tc>
          <w:tcPr>
            <w:tcW w:w="3403" w:type="dxa"/>
            <w:tcBorders>
              <w:top w:val="single" w:sz="4" w:space="0" w:color="auto"/>
              <w:left w:val="nil"/>
              <w:bottom w:val="nil"/>
              <w:right w:val="nil"/>
            </w:tcBorders>
            <w:shd w:val="clear" w:color="auto" w:fill="auto"/>
            <w:noWrap/>
            <w:vAlign w:val="bottom"/>
            <w:hideMark/>
          </w:tcPr>
          <w:p w:rsidR="007F7652" w:rsidRPr="0030271B" w:rsidRDefault="007F7652" w:rsidP="007F7652">
            <w:pPr>
              <w:rPr>
                <w:color w:val="000000"/>
                <w:sz w:val="20"/>
                <w:szCs w:val="18"/>
              </w:rPr>
            </w:pPr>
            <w:r w:rsidRPr="0030271B">
              <w:rPr>
                <w:color w:val="000000"/>
                <w:sz w:val="20"/>
                <w:szCs w:val="18"/>
              </w:rPr>
              <w:t>Beneficios (VPB)</w:t>
            </w:r>
          </w:p>
        </w:tc>
        <w:tc>
          <w:tcPr>
            <w:tcW w:w="2126" w:type="dxa"/>
            <w:tcBorders>
              <w:top w:val="single" w:sz="4" w:space="0" w:color="auto"/>
              <w:left w:val="nil"/>
              <w:bottom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40.667.127</w:t>
            </w:r>
          </w:p>
        </w:tc>
        <w:tc>
          <w:tcPr>
            <w:tcW w:w="1843" w:type="dxa"/>
            <w:tcBorders>
              <w:top w:val="single" w:sz="4" w:space="0" w:color="auto"/>
              <w:left w:val="nil"/>
              <w:bottom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24.282.746</w:t>
            </w:r>
          </w:p>
        </w:tc>
      </w:tr>
      <w:tr w:rsidR="007F7652" w:rsidRPr="00E435C8" w:rsidTr="00D23A87">
        <w:trPr>
          <w:trHeight w:val="225"/>
          <w:jc w:val="center"/>
        </w:trPr>
        <w:tc>
          <w:tcPr>
            <w:tcW w:w="3403" w:type="dxa"/>
            <w:tcBorders>
              <w:top w:val="nil"/>
              <w:left w:val="nil"/>
              <w:bottom w:val="nil"/>
              <w:right w:val="nil"/>
            </w:tcBorders>
            <w:shd w:val="clear" w:color="auto" w:fill="auto"/>
            <w:noWrap/>
            <w:vAlign w:val="bottom"/>
            <w:hideMark/>
          </w:tcPr>
          <w:p w:rsidR="007F7652" w:rsidRPr="0030271B" w:rsidRDefault="007F7652" w:rsidP="007F7652">
            <w:pPr>
              <w:rPr>
                <w:color w:val="000000"/>
                <w:sz w:val="20"/>
                <w:szCs w:val="18"/>
              </w:rPr>
            </w:pPr>
            <w:r w:rsidRPr="0030271B">
              <w:rPr>
                <w:color w:val="000000"/>
                <w:sz w:val="20"/>
                <w:szCs w:val="18"/>
              </w:rPr>
              <w:t>Costos (VPC)</w:t>
            </w:r>
          </w:p>
        </w:tc>
        <w:tc>
          <w:tcPr>
            <w:tcW w:w="2126" w:type="dxa"/>
            <w:tcBorders>
              <w:top w:val="nil"/>
              <w:left w:val="nil"/>
              <w:bottom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31.037.702</w:t>
            </w:r>
          </w:p>
        </w:tc>
        <w:tc>
          <w:tcPr>
            <w:tcW w:w="1843" w:type="dxa"/>
            <w:tcBorders>
              <w:top w:val="nil"/>
              <w:left w:val="nil"/>
              <w:bottom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24.401.535</w:t>
            </w:r>
          </w:p>
        </w:tc>
      </w:tr>
      <w:tr w:rsidR="007F7652" w:rsidRPr="00E435C8" w:rsidTr="00D23A87">
        <w:trPr>
          <w:trHeight w:val="225"/>
          <w:jc w:val="center"/>
        </w:trPr>
        <w:tc>
          <w:tcPr>
            <w:tcW w:w="3403" w:type="dxa"/>
            <w:tcBorders>
              <w:top w:val="nil"/>
              <w:left w:val="nil"/>
              <w:right w:val="nil"/>
            </w:tcBorders>
            <w:shd w:val="clear" w:color="auto" w:fill="auto"/>
            <w:noWrap/>
            <w:vAlign w:val="bottom"/>
            <w:hideMark/>
          </w:tcPr>
          <w:p w:rsidR="007F7652" w:rsidRPr="0030271B" w:rsidRDefault="007F7652" w:rsidP="007F7652">
            <w:pPr>
              <w:rPr>
                <w:color w:val="000000"/>
                <w:sz w:val="20"/>
                <w:szCs w:val="18"/>
              </w:rPr>
            </w:pPr>
            <w:r w:rsidRPr="0030271B">
              <w:rPr>
                <w:color w:val="000000"/>
                <w:sz w:val="20"/>
                <w:szCs w:val="18"/>
              </w:rPr>
              <w:t>Saldo neto (VPN)</w:t>
            </w:r>
          </w:p>
        </w:tc>
        <w:tc>
          <w:tcPr>
            <w:tcW w:w="2126" w:type="dxa"/>
            <w:tcBorders>
              <w:top w:val="nil"/>
              <w:left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9.629.425</w:t>
            </w:r>
          </w:p>
        </w:tc>
        <w:tc>
          <w:tcPr>
            <w:tcW w:w="1843" w:type="dxa"/>
            <w:tcBorders>
              <w:top w:val="nil"/>
              <w:left w:val="nil"/>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-118.790</w:t>
            </w:r>
          </w:p>
        </w:tc>
      </w:tr>
      <w:tr w:rsidR="007F7652" w:rsidRPr="00E435C8" w:rsidTr="00D23A87">
        <w:trPr>
          <w:trHeight w:val="225"/>
          <w:jc w:val="center"/>
        </w:trPr>
        <w:tc>
          <w:tcPr>
            <w:tcW w:w="3403" w:type="dxa"/>
            <w:tcBorders>
              <w:top w:val="nil"/>
              <w:left w:val="nil"/>
              <w:bottom w:val="single" w:sz="4" w:space="0" w:color="auto"/>
              <w:right w:val="nil"/>
            </w:tcBorders>
            <w:shd w:val="clear" w:color="auto" w:fill="auto"/>
            <w:noWrap/>
            <w:vAlign w:val="bottom"/>
            <w:hideMark/>
          </w:tcPr>
          <w:p w:rsidR="007F7652" w:rsidRPr="0030271B" w:rsidRDefault="007F7652" w:rsidP="007F7652">
            <w:pPr>
              <w:rPr>
                <w:color w:val="000000"/>
                <w:sz w:val="20"/>
                <w:szCs w:val="18"/>
              </w:rPr>
            </w:pPr>
            <w:r>
              <w:rPr>
                <w:color w:val="000000"/>
                <w:sz w:val="20"/>
                <w:szCs w:val="18"/>
              </w:rPr>
              <w:t>Beneficios sobre costos (</w:t>
            </w:r>
            <w:r w:rsidRPr="0030271B">
              <w:rPr>
                <w:color w:val="000000"/>
                <w:sz w:val="20"/>
                <w:szCs w:val="18"/>
              </w:rPr>
              <w:t>VPB/VPC</w:t>
            </w:r>
            <w:r>
              <w:rPr>
                <w:color w:val="000000"/>
                <w:sz w:val="20"/>
                <w:szCs w:val="18"/>
              </w:rPr>
              <w:t>)</w:t>
            </w:r>
          </w:p>
        </w:tc>
        <w:tc>
          <w:tcPr>
            <w:tcW w:w="2126" w:type="dxa"/>
            <w:tcBorders>
              <w:top w:val="nil"/>
              <w:left w:val="nil"/>
              <w:bottom w:val="single" w:sz="4" w:space="0" w:color="auto"/>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131,0%</w:t>
            </w:r>
          </w:p>
        </w:tc>
        <w:tc>
          <w:tcPr>
            <w:tcW w:w="1843" w:type="dxa"/>
            <w:tcBorders>
              <w:top w:val="nil"/>
              <w:left w:val="nil"/>
              <w:bottom w:val="single" w:sz="4" w:space="0" w:color="auto"/>
              <w:right w:val="nil"/>
            </w:tcBorders>
            <w:shd w:val="clear" w:color="auto" w:fill="auto"/>
            <w:noWrap/>
            <w:vAlign w:val="bottom"/>
            <w:hideMark/>
          </w:tcPr>
          <w:p w:rsidR="007F7652" w:rsidRPr="007F7652" w:rsidRDefault="007F7652" w:rsidP="007F7652">
            <w:pPr>
              <w:jc w:val="right"/>
              <w:rPr>
                <w:color w:val="000000"/>
                <w:sz w:val="20"/>
                <w:szCs w:val="20"/>
                <w:lang w:val="es-ES_tradnl" w:eastAsia="es-ES_tradnl"/>
              </w:rPr>
            </w:pPr>
            <w:r w:rsidRPr="007F7652">
              <w:rPr>
                <w:color w:val="000000"/>
                <w:sz w:val="20"/>
                <w:szCs w:val="20"/>
                <w:lang w:val="es-ES_tradnl" w:eastAsia="es-ES_tradnl"/>
              </w:rPr>
              <w:t>99,5%</w:t>
            </w:r>
          </w:p>
        </w:tc>
      </w:tr>
    </w:tbl>
    <w:p w:rsidR="00D23A87" w:rsidRDefault="00D23A87" w:rsidP="00D23A87">
      <w:pPr>
        <w:ind w:left="1134"/>
        <w:rPr>
          <w:bCs/>
          <w:lang w:val="es-ES_tradnl"/>
        </w:rPr>
      </w:pPr>
      <w:r w:rsidRPr="009E7F7F">
        <w:rPr>
          <w:sz w:val="18"/>
        </w:rPr>
        <w:t xml:space="preserve">Montos en </w:t>
      </w:r>
      <w:r>
        <w:rPr>
          <w:sz w:val="18"/>
        </w:rPr>
        <w:t>USD</w:t>
      </w:r>
      <w:r w:rsidRPr="009E7F7F">
        <w:rPr>
          <w:sz w:val="18"/>
        </w:rPr>
        <w:t>.</w:t>
      </w:r>
    </w:p>
    <w:p w:rsidR="00934C93" w:rsidRDefault="00934C93" w:rsidP="00843C83">
      <w:pPr>
        <w:rPr>
          <w:bCs/>
          <w:lang w:val="es-ES_tradnl"/>
        </w:rPr>
      </w:pPr>
    </w:p>
    <w:p w:rsidR="00FD0541" w:rsidRDefault="00FD0541" w:rsidP="00FD0541">
      <w:pPr>
        <w:pStyle w:val="ListParagraph"/>
        <w:numPr>
          <w:ilvl w:val="0"/>
          <w:numId w:val="12"/>
        </w:numPr>
        <w:ind w:left="567" w:hanging="567"/>
        <w:rPr>
          <w:bCs/>
          <w:lang w:val="es-ES_tradnl"/>
        </w:rPr>
      </w:pPr>
      <w:r>
        <w:rPr>
          <w:bCs/>
          <w:lang w:val="es-ES_tradnl"/>
        </w:rPr>
        <w:t>De este análisis de sensibilidad puede concluirse que no existen riesgos de pérdida de rentabilidad, lo que indica en todo caso la seguridad del retorno económico del Programa.</w:t>
      </w:r>
    </w:p>
    <w:p w:rsidR="00FD0541" w:rsidRPr="00415A19" w:rsidRDefault="00FD0541" w:rsidP="00843C83">
      <w:pPr>
        <w:rPr>
          <w:bCs/>
          <w:lang w:val="es-ES_tradnl"/>
        </w:rPr>
      </w:pPr>
    </w:p>
    <w:p w:rsidR="003A6301" w:rsidRPr="00415A19" w:rsidRDefault="003A6301" w:rsidP="00843C83">
      <w:pPr>
        <w:rPr>
          <w:bCs/>
          <w:lang w:val="es-ES_tradnl"/>
        </w:rPr>
      </w:pPr>
    </w:p>
    <w:p w:rsidR="002707BB" w:rsidRDefault="002707BB" w:rsidP="00310721">
      <w:pPr>
        <w:pStyle w:val="Heading1"/>
        <w:sectPr w:rsidR="002707BB" w:rsidSect="009B7F87">
          <w:pgSz w:w="12240" w:h="15840" w:code="1"/>
          <w:pgMar w:top="1418" w:right="1325" w:bottom="1418" w:left="1418" w:header="709" w:footer="856" w:gutter="0"/>
          <w:cols w:space="708"/>
          <w:docGrid w:linePitch="360"/>
        </w:sectPr>
      </w:pPr>
    </w:p>
    <w:p w:rsidR="00934C93" w:rsidRPr="00934C93" w:rsidRDefault="00934C93" w:rsidP="00310721">
      <w:pPr>
        <w:pStyle w:val="Heading1"/>
      </w:pPr>
      <w:bookmarkStart w:id="40" w:name="_Toc373498458"/>
      <w:r w:rsidRPr="00934C93">
        <w:lastRenderedPageBreak/>
        <w:t>Conclusiones</w:t>
      </w:r>
      <w:bookmarkEnd w:id="40"/>
    </w:p>
    <w:p w:rsidR="00981F8A" w:rsidRDefault="00FE47F4" w:rsidP="005012F5">
      <w:pPr>
        <w:pStyle w:val="ListParagraph"/>
        <w:numPr>
          <w:ilvl w:val="0"/>
          <w:numId w:val="12"/>
        </w:numPr>
        <w:ind w:left="567" w:hanging="567"/>
        <w:rPr>
          <w:bCs/>
          <w:lang w:val="es-ES_tradnl"/>
        </w:rPr>
      </w:pPr>
      <w:r>
        <w:rPr>
          <w:bCs/>
          <w:lang w:val="es-ES_tradnl"/>
        </w:rPr>
        <w:t xml:space="preserve">Los resultados del análisis costo-beneficio no ofrecen dudas acerca de la contundencia de los beneficios </w:t>
      </w:r>
      <w:r w:rsidR="00354DFB">
        <w:rPr>
          <w:bCs/>
          <w:lang w:val="es-ES_tradnl"/>
        </w:rPr>
        <w:t xml:space="preserve">a obtener </w:t>
      </w:r>
      <w:r>
        <w:rPr>
          <w:bCs/>
          <w:lang w:val="es-ES_tradnl"/>
        </w:rPr>
        <w:t>en relación con los costos estimados</w:t>
      </w:r>
      <w:r w:rsidR="00BA2FB2">
        <w:rPr>
          <w:bCs/>
          <w:lang w:val="es-ES_tradnl"/>
        </w:rPr>
        <w:t xml:space="preserve">. </w:t>
      </w:r>
      <w:r w:rsidR="00981F8A">
        <w:rPr>
          <w:bCs/>
          <w:lang w:val="es-ES_tradnl"/>
        </w:rPr>
        <w:t xml:space="preserve">La tasa interna de retorno prevista es del </w:t>
      </w:r>
      <w:r w:rsidR="008126A7">
        <w:rPr>
          <w:bCs/>
          <w:lang w:val="es-ES_tradnl"/>
        </w:rPr>
        <w:t>25,4</w:t>
      </w:r>
      <w:r w:rsidR="00981F8A">
        <w:rPr>
          <w:bCs/>
          <w:lang w:val="es-ES_tradnl"/>
        </w:rPr>
        <w:t xml:space="preserve">%, con unos </w:t>
      </w:r>
      <w:r w:rsidR="00ED7EBA">
        <w:rPr>
          <w:bCs/>
          <w:lang w:val="es-ES_tradnl"/>
        </w:rPr>
        <w:t xml:space="preserve">flujos </w:t>
      </w:r>
      <w:r w:rsidR="00A51F9D">
        <w:rPr>
          <w:bCs/>
          <w:lang w:val="es-ES_tradnl"/>
        </w:rPr>
        <w:t xml:space="preserve">de beneficios </w:t>
      </w:r>
      <w:r w:rsidR="00ED7EBA">
        <w:rPr>
          <w:bCs/>
          <w:lang w:val="es-ES_tradnl"/>
        </w:rPr>
        <w:t xml:space="preserve">en valor presente </w:t>
      </w:r>
      <w:r w:rsidR="00981F8A">
        <w:rPr>
          <w:bCs/>
          <w:lang w:val="es-ES_tradnl"/>
        </w:rPr>
        <w:t>superiores en un 97,</w:t>
      </w:r>
      <w:r w:rsidR="008126A7">
        <w:rPr>
          <w:bCs/>
          <w:lang w:val="es-ES_tradnl"/>
        </w:rPr>
        <w:t>6</w:t>
      </w:r>
      <w:r w:rsidR="00981F8A">
        <w:rPr>
          <w:bCs/>
          <w:lang w:val="es-ES_tradnl"/>
        </w:rPr>
        <w:t>%</w:t>
      </w:r>
      <w:r w:rsidR="00ED7EBA">
        <w:rPr>
          <w:bCs/>
          <w:lang w:val="es-ES_tradnl"/>
        </w:rPr>
        <w:t xml:space="preserve"> a los costos</w:t>
      </w:r>
      <w:r w:rsidR="00A51F9D">
        <w:rPr>
          <w:bCs/>
          <w:lang w:val="es-ES_tradnl"/>
        </w:rPr>
        <w:t xml:space="preserve"> en el caso de aplicar una tasa de descuento del 6%, y del </w:t>
      </w:r>
      <w:r w:rsidR="009158CB">
        <w:rPr>
          <w:bCs/>
          <w:lang w:val="es-ES_tradnl"/>
        </w:rPr>
        <w:t>70,6</w:t>
      </w:r>
      <w:r w:rsidR="00A51F9D">
        <w:rPr>
          <w:bCs/>
          <w:lang w:val="es-ES_tradnl"/>
        </w:rPr>
        <w:t>% para una tasa de descuento del 12%</w:t>
      </w:r>
      <w:r w:rsidR="00981F8A">
        <w:rPr>
          <w:bCs/>
          <w:lang w:val="es-ES_tradnl"/>
        </w:rPr>
        <w:t>.</w:t>
      </w:r>
    </w:p>
    <w:p w:rsidR="00981F8A" w:rsidRDefault="00981F8A" w:rsidP="00981F8A">
      <w:pPr>
        <w:pStyle w:val="ListParagraph"/>
        <w:ind w:left="567"/>
        <w:rPr>
          <w:bCs/>
          <w:lang w:val="es-ES_tradnl"/>
        </w:rPr>
      </w:pPr>
    </w:p>
    <w:p w:rsidR="00543BCD" w:rsidRDefault="00FE47F4" w:rsidP="005012F5">
      <w:pPr>
        <w:pStyle w:val="ListParagraph"/>
        <w:numPr>
          <w:ilvl w:val="0"/>
          <w:numId w:val="12"/>
        </w:numPr>
        <w:ind w:left="567" w:hanging="567"/>
        <w:rPr>
          <w:bCs/>
          <w:lang w:val="es-ES_tradnl"/>
        </w:rPr>
      </w:pPr>
      <w:r>
        <w:rPr>
          <w:bCs/>
          <w:lang w:val="es-ES_tradnl"/>
        </w:rPr>
        <w:t xml:space="preserve">Desde este punto de vista, </w:t>
      </w:r>
      <w:r w:rsidR="00543BCD">
        <w:rPr>
          <w:bCs/>
          <w:lang w:val="es-ES_tradnl"/>
        </w:rPr>
        <w:t>siguiendo el criterio de Kaldor-Hicks</w:t>
      </w:r>
      <w:r w:rsidR="00354DFB">
        <w:rPr>
          <w:bCs/>
          <w:lang w:val="es-ES_tradnl"/>
        </w:rPr>
        <w:t xml:space="preserve"> de eficiencia </w:t>
      </w:r>
      <w:r w:rsidR="00DF203B">
        <w:rPr>
          <w:bCs/>
          <w:lang w:val="es-ES_tradnl"/>
        </w:rPr>
        <w:t>absoluta, quedaría</w:t>
      </w:r>
      <w:r>
        <w:rPr>
          <w:bCs/>
          <w:lang w:val="es-ES_tradnl"/>
        </w:rPr>
        <w:t xml:space="preserve"> justificada la inversión prevista dentro del marco del </w:t>
      </w:r>
      <w:r w:rsidR="009075E7">
        <w:rPr>
          <w:bCs/>
          <w:lang w:val="es-ES_tradnl"/>
        </w:rPr>
        <w:t xml:space="preserve">Programa </w:t>
      </w:r>
      <w:r>
        <w:rPr>
          <w:bCs/>
          <w:lang w:val="es-ES_tradnl"/>
        </w:rPr>
        <w:t xml:space="preserve">BID. </w:t>
      </w:r>
    </w:p>
    <w:p w:rsidR="00934C93" w:rsidRPr="00415A19" w:rsidRDefault="00934C93" w:rsidP="00843C83">
      <w:pPr>
        <w:rPr>
          <w:bCs/>
          <w:lang w:val="es-ES_tradnl"/>
        </w:rPr>
      </w:pPr>
    </w:p>
    <w:p w:rsidR="00843C83" w:rsidRPr="00415A19" w:rsidRDefault="00843C83" w:rsidP="00843C83">
      <w:pPr>
        <w:rPr>
          <w:bCs/>
          <w:lang w:val="es-ES_tradnl"/>
        </w:rPr>
      </w:pPr>
    </w:p>
    <w:p w:rsidR="00843C83" w:rsidRPr="00415A19" w:rsidRDefault="00843C83" w:rsidP="00843C83">
      <w:pPr>
        <w:rPr>
          <w:bCs/>
          <w:lang w:val="es-ES_tradnl"/>
        </w:rPr>
        <w:sectPr w:rsidR="00843C83" w:rsidRPr="00415A19" w:rsidSect="009B7F87">
          <w:pgSz w:w="12240" w:h="15840" w:code="1"/>
          <w:pgMar w:top="1418" w:right="1325" w:bottom="1418" w:left="1418" w:header="709" w:footer="856" w:gutter="0"/>
          <w:cols w:space="708"/>
          <w:docGrid w:linePitch="360"/>
        </w:sect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7517B6" w:rsidRDefault="00843C83" w:rsidP="00843C83">
      <w:pPr>
        <w:rPr>
          <w:b/>
          <w:bCs/>
          <w:lang w:val="es-ES_tradnl"/>
        </w:rPr>
      </w:pPr>
    </w:p>
    <w:p w:rsidR="00843C83" w:rsidRPr="0049380C" w:rsidRDefault="00843C83" w:rsidP="00DC3FF2">
      <w:pPr>
        <w:pStyle w:val="Anexo"/>
        <w:numPr>
          <w:ilvl w:val="0"/>
          <w:numId w:val="0"/>
        </w:numPr>
        <w:rPr>
          <w:lang w:val="en-US"/>
        </w:rPr>
      </w:pPr>
      <w:bookmarkStart w:id="41" w:name="_Toc373498459"/>
      <w:r w:rsidRPr="0049380C">
        <w:rPr>
          <w:lang w:val="en-US"/>
        </w:rPr>
        <w:t>ANEXOS</w:t>
      </w:r>
      <w:bookmarkEnd w:id="41"/>
    </w:p>
    <w:p w:rsidR="00843C83" w:rsidRPr="0049380C" w:rsidRDefault="00843C83" w:rsidP="00DC3FF2">
      <w:pPr>
        <w:pStyle w:val="Anexo"/>
        <w:numPr>
          <w:ilvl w:val="0"/>
          <w:numId w:val="0"/>
        </w:numPr>
        <w:rPr>
          <w:bCs/>
          <w:lang w:val="en-US"/>
        </w:rPr>
        <w:sectPr w:rsidR="00843C83" w:rsidRPr="0049380C" w:rsidSect="004222A8">
          <w:pgSz w:w="12240" w:h="15840" w:code="1"/>
          <w:pgMar w:top="1418" w:right="1418" w:bottom="1418" w:left="1418" w:header="709" w:footer="856" w:gutter="0"/>
          <w:cols w:space="708"/>
          <w:docGrid w:linePitch="360"/>
        </w:sectPr>
      </w:pPr>
    </w:p>
    <w:p w:rsidR="00843C83" w:rsidRPr="0049380C" w:rsidRDefault="00843C83" w:rsidP="00DC3FF2">
      <w:pPr>
        <w:pStyle w:val="Title"/>
        <w:tabs>
          <w:tab w:val="left" w:pos="1134"/>
        </w:tabs>
        <w:rPr>
          <w:rFonts w:ascii="Times New Roman" w:hAnsi="Times New Roman"/>
          <w:sz w:val="22"/>
          <w:lang w:val="en-US"/>
        </w:rPr>
      </w:pPr>
      <w:r w:rsidRPr="0049380C">
        <w:rPr>
          <w:rFonts w:ascii="Times New Roman" w:hAnsi="Times New Roman"/>
          <w:sz w:val="22"/>
          <w:lang w:val="en-US"/>
        </w:rPr>
        <w:lastRenderedPageBreak/>
        <w:t xml:space="preserve">Anexo A. </w:t>
      </w:r>
      <w:r w:rsidRPr="0049380C">
        <w:rPr>
          <w:rFonts w:ascii="Times New Roman" w:hAnsi="Times New Roman"/>
          <w:sz w:val="22"/>
          <w:lang w:val="en-US"/>
        </w:rPr>
        <w:tab/>
        <w:t>Referencias</w:t>
      </w:r>
      <w:bookmarkEnd w:id="36"/>
      <w:bookmarkEnd w:id="37"/>
    </w:p>
    <w:p w:rsidR="00843C83" w:rsidRPr="00D92BA7" w:rsidRDefault="00843C83" w:rsidP="00843C83">
      <w:pPr>
        <w:spacing w:before="120" w:after="120"/>
        <w:rPr>
          <w:lang w:val="en-GB"/>
        </w:rPr>
      </w:pPr>
      <w:r w:rsidRPr="0049380C">
        <w:rPr>
          <w:lang w:val="en-US"/>
        </w:rPr>
        <w:t xml:space="preserve">Campbell H. y Richard </w:t>
      </w:r>
      <w:r>
        <w:rPr>
          <w:lang w:val="en-GB"/>
        </w:rPr>
        <w:t>Brown (2003).</w:t>
      </w:r>
      <w:r w:rsidRPr="00D92BA7">
        <w:rPr>
          <w:lang w:val="en-GB"/>
        </w:rPr>
        <w:t xml:space="preserve"> Benefit-Cost Analysis. Cambridge University Press.</w:t>
      </w:r>
    </w:p>
    <w:p w:rsidR="00843C83" w:rsidRPr="00581CB5" w:rsidRDefault="00843C83" w:rsidP="00843C83">
      <w:pPr>
        <w:spacing w:before="120" w:after="120"/>
        <w:rPr>
          <w:lang w:val="en-US"/>
        </w:rPr>
      </w:pPr>
      <w:r w:rsidRPr="00D92BA7">
        <w:rPr>
          <w:lang w:val="en-US"/>
        </w:rPr>
        <w:t>Caplin A. y John Leahy (2004)</w:t>
      </w:r>
      <w:r>
        <w:rPr>
          <w:lang w:val="en-US"/>
        </w:rPr>
        <w:t>.</w:t>
      </w:r>
      <w:r w:rsidRPr="00D92BA7">
        <w:rPr>
          <w:lang w:val="en-US"/>
        </w:rPr>
        <w:t xml:space="preserve"> The Social Discount Rate. </w:t>
      </w:r>
      <w:r w:rsidRPr="00581CB5">
        <w:rPr>
          <w:lang w:val="en-US"/>
        </w:rPr>
        <w:t>New York University.</w:t>
      </w:r>
    </w:p>
    <w:p w:rsidR="00843C83" w:rsidRDefault="00843C83" w:rsidP="00843C83">
      <w:pPr>
        <w:spacing w:before="120" w:after="120"/>
        <w:rPr>
          <w:lang w:val="en-US"/>
        </w:rPr>
      </w:pPr>
      <w:r w:rsidRPr="00D92BA7">
        <w:rPr>
          <w:lang w:val="en-US"/>
        </w:rPr>
        <w:t>Cowen T. (2001)</w:t>
      </w:r>
      <w:r>
        <w:rPr>
          <w:lang w:val="en-US"/>
        </w:rPr>
        <w:t>.</w:t>
      </w:r>
      <w:r w:rsidRPr="00D92BA7">
        <w:rPr>
          <w:lang w:val="en-US"/>
        </w:rPr>
        <w:t xml:space="preserve"> What is the Correct Intergenerational Discount Rate?</w:t>
      </w:r>
    </w:p>
    <w:p w:rsidR="0056096C" w:rsidRDefault="0056096C" w:rsidP="00843C83">
      <w:pPr>
        <w:spacing w:before="120" w:after="120"/>
      </w:pPr>
      <w:r w:rsidRPr="0056096C">
        <w:t xml:space="preserve">CPA-Ferrere (2008). </w:t>
      </w:r>
      <w:r w:rsidRPr="0056096C">
        <w:rPr>
          <w:i/>
        </w:rPr>
        <w:t>Diagnóstico del Sistema Integrado de Información Financiera (SIIF)</w:t>
      </w:r>
      <w:r w:rsidRPr="0056096C">
        <w:t>.</w:t>
      </w:r>
    </w:p>
    <w:p w:rsidR="0056096C" w:rsidRPr="0056096C" w:rsidRDefault="0056096C" w:rsidP="00843C83">
      <w:pPr>
        <w:spacing w:before="120" w:after="120"/>
      </w:pPr>
      <w:r w:rsidRPr="0056096C">
        <w:t xml:space="preserve">CPA-Ferrere (2012). </w:t>
      </w:r>
      <w:r w:rsidRPr="0056096C">
        <w:rPr>
          <w:i/>
        </w:rPr>
        <w:t>Modelo conceptual del SIIF</w:t>
      </w:r>
      <w:r w:rsidRPr="0056096C">
        <w:t xml:space="preserve"> (borrador de informe).</w:t>
      </w:r>
    </w:p>
    <w:p w:rsidR="00843C83" w:rsidRPr="00D92BA7" w:rsidRDefault="00843C83" w:rsidP="00843C83">
      <w:pPr>
        <w:spacing w:before="120" w:after="120"/>
        <w:rPr>
          <w:lang w:val="en-US"/>
        </w:rPr>
      </w:pPr>
      <w:r w:rsidRPr="004A45F4">
        <w:t xml:space="preserve">Drummond M., Mark Sculpher, George Torrance, Bernie O´Brian y Greg Stoddart (2005). </w:t>
      </w:r>
      <w:r>
        <w:rPr>
          <w:lang w:val="en-US"/>
        </w:rPr>
        <w:t xml:space="preserve">Methods for the Economic Evaluation of Health Care Programmes. Oxford University Press. </w:t>
      </w:r>
    </w:p>
    <w:p w:rsidR="00843C83" w:rsidRPr="002B411D" w:rsidRDefault="00843C83" w:rsidP="00843C83">
      <w:pPr>
        <w:spacing w:before="120" w:after="120"/>
        <w:rPr>
          <w:lang w:val="en-US"/>
        </w:rPr>
      </w:pPr>
      <w:r w:rsidRPr="00D92BA7">
        <w:rPr>
          <w:lang w:val="en-US"/>
        </w:rPr>
        <w:t>Fuguitt D. y Shanton J. Wilcox (1999)</w:t>
      </w:r>
      <w:r>
        <w:rPr>
          <w:lang w:val="en-US"/>
        </w:rPr>
        <w:t>.</w:t>
      </w:r>
      <w:r w:rsidRPr="00D92BA7">
        <w:rPr>
          <w:lang w:val="en-US"/>
        </w:rPr>
        <w:t xml:space="preserve"> Cost-Benefit Analysis for Public Sector Decision Makers. </w:t>
      </w:r>
      <w:r w:rsidRPr="002B411D">
        <w:rPr>
          <w:lang w:val="en-US"/>
        </w:rPr>
        <w:t xml:space="preserve">Quorum Books. </w:t>
      </w:r>
    </w:p>
    <w:p w:rsidR="00843C83" w:rsidRPr="002B411D" w:rsidRDefault="00843C83" w:rsidP="00843C83">
      <w:pPr>
        <w:spacing w:before="120" w:after="120"/>
        <w:rPr>
          <w:lang w:val="en-US"/>
        </w:rPr>
      </w:pPr>
      <w:r w:rsidRPr="002B411D">
        <w:rPr>
          <w:lang w:val="en-US"/>
        </w:rPr>
        <w:t xml:space="preserve">Graves, P. E. (2007). </w:t>
      </w:r>
      <w:r w:rsidRPr="00D92BA7">
        <w:rPr>
          <w:lang w:val="en-US"/>
        </w:rPr>
        <w:t>Environmental Economics. A Critique of Benefit-Cost Analy</w:t>
      </w:r>
      <w:r w:rsidR="00983D0F">
        <w:rPr>
          <w:lang w:val="en-US"/>
        </w:rPr>
        <w:t>s</w:t>
      </w:r>
      <w:r w:rsidRPr="00D92BA7">
        <w:rPr>
          <w:lang w:val="en-US"/>
        </w:rPr>
        <w:t xml:space="preserve">is. </w:t>
      </w:r>
      <w:r w:rsidRPr="002B411D">
        <w:rPr>
          <w:lang w:val="en-US"/>
        </w:rPr>
        <w:t>Rowman&amp; Littlefield Publishers.</w:t>
      </w:r>
    </w:p>
    <w:p w:rsidR="00843C83" w:rsidRPr="002B411D" w:rsidRDefault="00843C83" w:rsidP="00843C83">
      <w:pPr>
        <w:spacing w:before="120" w:after="120"/>
        <w:rPr>
          <w:lang w:val="es-ES_tradnl"/>
        </w:rPr>
      </w:pPr>
      <w:r w:rsidRPr="00D92BA7">
        <w:rPr>
          <w:lang w:val="en-GB"/>
        </w:rPr>
        <w:t>López H. (2008)</w:t>
      </w:r>
      <w:r>
        <w:rPr>
          <w:lang w:val="en-GB"/>
        </w:rPr>
        <w:t>.</w:t>
      </w:r>
      <w:r w:rsidRPr="00D92BA7">
        <w:rPr>
          <w:lang w:val="en-US"/>
        </w:rPr>
        <w:t xml:space="preserve">The Social Discount Rate: Estimates for Nine Latin American Countries. </w:t>
      </w:r>
      <w:r w:rsidRPr="002B411D">
        <w:rPr>
          <w:lang w:val="es-ES_tradnl"/>
        </w:rPr>
        <w:t>Policy</w:t>
      </w:r>
      <w:r w:rsidR="00DF203B">
        <w:rPr>
          <w:lang w:val="es-ES_tradnl"/>
        </w:rPr>
        <w:t xml:space="preserve"> </w:t>
      </w:r>
      <w:r w:rsidRPr="002B411D">
        <w:rPr>
          <w:lang w:val="es-ES_tradnl"/>
        </w:rPr>
        <w:t>Research</w:t>
      </w:r>
      <w:r w:rsidR="00DF203B">
        <w:rPr>
          <w:lang w:val="es-ES_tradnl"/>
        </w:rPr>
        <w:t xml:space="preserve"> </w:t>
      </w:r>
      <w:r w:rsidRPr="002B411D">
        <w:rPr>
          <w:lang w:val="es-ES_tradnl"/>
        </w:rPr>
        <w:t>Working</w:t>
      </w:r>
      <w:r w:rsidR="00DF203B">
        <w:rPr>
          <w:lang w:val="es-ES_tradnl"/>
        </w:rPr>
        <w:t xml:space="preserve"> </w:t>
      </w:r>
      <w:r w:rsidRPr="002B411D">
        <w:rPr>
          <w:lang w:val="es-ES_tradnl"/>
        </w:rPr>
        <w:t>Paper 4639.</w:t>
      </w:r>
    </w:p>
    <w:p w:rsidR="00843C83" w:rsidRPr="00615072" w:rsidRDefault="00843C83" w:rsidP="00843C83">
      <w:pPr>
        <w:spacing w:before="120" w:after="120"/>
        <w:rPr>
          <w:lang w:val="en-US"/>
        </w:rPr>
      </w:pPr>
      <w:r w:rsidRPr="00D92BA7">
        <w:t>Pasqual J. (1999)</w:t>
      </w:r>
      <w:r>
        <w:t>.</w:t>
      </w:r>
      <w:r w:rsidRPr="00D92BA7">
        <w:t xml:space="preserve"> La evaluación de políticas y proyectos. </w:t>
      </w:r>
      <w:r w:rsidRPr="00615072">
        <w:rPr>
          <w:lang w:val="en-US"/>
        </w:rPr>
        <w:t>Icaria.</w:t>
      </w:r>
    </w:p>
    <w:p w:rsidR="00843C83" w:rsidRDefault="00843C83" w:rsidP="00843C83">
      <w:pPr>
        <w:spacing w:before="120" w:after="120"/>
        <w:rPr>
          <w:lang w:val="es-ES_tradnl"/>
        </w:rPr>
      </w:pPr>
      <w:r>
        <w:rPr>
          <w:lang w:val="en-US"/>
        </w:rPr>
        <w:t>P</w:t>
      </w:r>
      <w:r w:rsidRPr="00A01B1A">
        <w:rPr>
          <w:lang w:val="en-US"/>
        </w:rPr>
        <w:t>etitti D. (2000). Meta-Analysis, Decision Analysis, and Cost-</w:t>
      </w:r>
      <w:r w:rsidR="00DF203B">
        <w:rPr>
          <w:lang w:val="en-US"/>
        </w:rPr>
        <w:t>Effectiveness</w:t>
      </w:r>
      <w:r>
        <w:rPr>
          <w:lang w:val="en-US"/>
        </w:rPr>
        <w:t xml:space="preserve"> Analysis. </w:t>
      </w:r>
      <w:r w:rsidRPr="004B2440">
        <w:rPr>
          <w:lang w:val="es-ES_tradnl"/>
        </w:rPr>
        <w:t>Oxford University</w:t>
      </w:r>
      <w:r w:rsidR="00DF203B">
        <w:rPr>
          <w:lang w:val="es-ES_tradnl"/>
        </w:rPr>
        <w:t xml:space="preserve"> </w:t>
      </w:r>
      <w:r w:rsidRPr="004B2440">
        <w:rPr>
          <w:lang w:val="es-ES_tradnl"/>
        </w:rPr>
        <w:t xml:space="preserve">Press. </w:t>
      </w:r>
    </w:p>
    <w:p w:rsidR="00983D0F" w:rsidRPr="004A45F4" w:rsidRDefault="00CC4D8F" w:rsidP="00843C83">
      <w:pPr>
        <w:spacing w:before="120" w:after="120"/>
        <w:rPr>
          <w:lang w:val="pt-BR"/>
        </w:rPr>
      </w:pPr>
      <w:r>
        <w:rPr>
          <w:lang w:val="es-ES_tradnl"/>
        </w:rPr>
        <w:t>Tesorería</w:t>
      </w:r>
      <w:r w:rsidR="00983D0F">
        <w:rPr>
          <w:lang w:val="es-ES_tradnl"/>
        </w:rPr>
        <w:t xml:space="preserve"> General de la Nación – TGN (2013</w:t>
      </w:r>
      <w:r>
        <w:rPr>
          <w:lang w:val="es-ES_tradnl"/>
        </w:rPr>
        <w:t>)</w:t>
      </w:r>
      <w:r w:rsidR="00983D0F">
        <w:rPr>
          <w:lang w:val="es-ES_tradnl"/>
        </w:rPr>
        <w:t xml:space="preserve">. </w:t>
      </w:r>
      <w:r w:rsidRPr="00CC4D8F">
        <w:t>La Cuenta Única Nacional a lo largo del SIIF – el caso uruguayo</w:t>
      </w:r>
      <w:r>
        <w:t xml:space="preserve">. </w:t>
      </w:r>
      <w:r w:rsidR="00017305" w:rsidRPr="004A45F4">
        <w:rPr>
          <w:lang w:val="pt-BR"/>
        </w:rPr>
        <w:t>II Jornadas MEF – CGN.</w:t>
      </w:r>
    </w:p>
    <w:p w:rsidR="00843C83" w:rsidRPr="004A45F4" w:rsidRDefault="00843C83" w:rsidP="00843C83">
      <w:pPr>
        <w:rPr>
          <w:lang w:val="pt-BR"/>
        </w:rPr>
      </w:pPr>
    </w:p>
    <w:p w:rsidR="00843C83" w:rsidRPr="004A45F4" w:rsidRDefault="00843C83" w:rsidP="00843C83">
      <w:pPr>
        <w:rPr>
          <w:lang w:val="pt-BR"/>
        </w:rPr>
      </w:pPr>
    </w:p>
    <w:p w:rsidR="004222A8" w:rsidRPr="004A45F4" w:rsidRDefault="004222A8" w:rsidP="00843C83">
      <w:pPr>
        <w:rPr>
          <w:lang w:val="pt-BR"/>
        </w:rPr>
        <w:sectPr w:rsidR="004222A8" w:rsidRPr="004A45F4" w:rsidSect="00843C83">
          <w:type w:val="continuous"/>
          <w:pgSz w:w="12240" w:h="15840" w:code="1"/>
          <w:pgMar w:top="851" w:right="1418" w:bottom="851" w:left="1418" w:header="709" w:footer="856" w:gutter="0"/>
          <w:cols w:space="708"/>
          <w:docGrid w:linePitch="360"/>
        </w:sectPr>
      </w:pPr>
    </w:p>
    <w:p w:rsidR="006D5597" w:rsidRPr="004A45F4" w:rsidRDefault="006D5597" w:rsidP="00DC3FF2">
      <w:pPr>
        <w:pStyle w:val="Title"/>
        <w:tabs>
          <w:tab w:val="left" w:pos="1134"/>
        </w:tabs>
        <w:rPr>
          <w:rFonts w:ascii="Times New Roman" w:hAnsi="Times New Roman"/>
          <w:sz w:val="22"/>
          <w:lang w:val="pt-BR"/>
        </w:rPr>
      </w:pPr>
      <w:r w:rsidRPr="004A45F4">
        <w:rPr>
          <w:rFonts w:ascii="Times New Roman" w:hAnsi="Times New Roman"/>
          <w:sz w:val="22"/>
          <w:lang w:val="pt-BR"/>
        </w:rPr>
        <w:lastRenderedPageBreak/>
        <w:t xml:space="preserve">Anexo B. </w:t>
      </w:r>
      <w:r w:rsidRPr="004A45F4">
        <w:rPr>
          <w:rFonts w:ascii="Times New Roman" w:hAnsi="Times New Roman"/>
          <w:sz w:val="22"/>
          <w:lang w:val="pt-BR"/>
        </w:rPr>
        <w:tab/>
        <w:t>Matriz de resultados</w:t>
      </w:r>
    </w:p>
    <w:p w:rsidR="006D5597" w:rsidRPr="004A45F4" w:rsidRDefault="006D5597" w:rsidP="006D5597">
      <w:pPr>
        <w:jc w:val="center"/>
        <w:rPr>
          <w:b/>
          <w:bCs/>
          <w:smallCaps/>
          <w:spacing w:val="5"/>
          <w:sz w:val="24"/>
          <w:szCs w:val="24"/>
          <w:lang w:val="pt-BR"/>
        </w:rPr>
      </w:pPr>
      <w:r w:rsidRPr="004A45F4">
        <w:rPr>
          <w:rStyle w:val="BookTitle"/>
          <w:bCs/>
          <w:sz w:val="24"/>
          <w:szCs w:val="24"/>
          <w:lang w:val="pt-BR"/>
        </w:rPr>
        <w:t>RESULTADOS ESPERADOS</w:t>
      </w:r>
    </w:p>
    <w:p w:rsidR="006D5597" w:rsidRPr="004A45F4" w:rsidRDefault="006D5597" w:rsidP="006D5597">
      <w:pPr>
        <w:rPr>
          <w:lang w:val="pt-BR"/>
        </w:rPr>
      </w:pPr>
    </w:p>
    <w:p w:rsidR="00843C83" w:rsidRPr="006D5597" w:rsidRDefault="00843C83" w:rsidP="00843C83">
      <w:pPr>
        <w:rPr>
          <w:lang w:val="pt-BR"/>
        </w:rPr>
      </w:pPr>
    </w:p>
    <w:p w:rsidR="00FF21D8" w:rsidRPr="00231ED4" w:rsidRDefault="00FF21D8" w:rsidP="00FF21D8">
      <w:pPr>
        <w:pStyle w:val="Paragraph"/>
        <w:numPr>
          <w:ilvl w:val="0"/>
          <w:numId w:val="0"/>
        </w:numPr>
        <w:ind w:left="2832" w:hanging="2832"/>
        <w:jc w:val="center"/>
        <w:rPr>
          <w:b/>
          <w:szCs w:val="24"/>
        </w:rPr>
      </w:pPr>
      <w:r w:rsidRPr="00231ED4">
        <w:rPr>
          <w:b/>
          <w:szCs w:val="24"/>
        </w:rPr>
        <w:t>Programa de modernización de la gestión financiera pública para</w:t>
      </w:r>
      <w:r>
        <w:rPr>
          <w:b/>
          <w:szCs w:val="24"/>
        </w:rPr>
        <w:t xml:space="preserve"> una mayor eficiencia del Gasto (</w:t>
      </w:r>
      <w:r w:rsidRPr="00231ED4">
        <w:rPr>
          <w:b/>
          <w:szCs w:val="24"/>
        </w:rPr>
        <w:t>UR-L1089</w:t>
      </w:r>
      <w:r>
        <w:rPr>
          <w:b/>
          <w:szCs w:val="24"/>
        </w:rPr>
        <w:t>)</w:t>
      </w:r>
    </w:p>
    <w:p w:rsidR="00FF21D8" w:rsidRDefault="00FF21D8" w:rsidP="00FF21D8">
      <w:pPr>
        <w:pStyle w:val="Paragraph"/>
        <w:numPr>
          <w:ilvl w:val="0"/>
          <w:numId w:val="0"/>
        </w:numPr>
        <w:ind w:left="2832" w:hanging="2832"/>
        <w:jc w:val="center"/>
        <w:rPr>
          <w:b/>
          <w:sz w:val="28"/>
          <w:szCs w:val="28"/>
        </w:rPr>
      </w:pPr>
      <w:r>
        <w:rPr>
          <w:b/>
          <w:sz w:val="28"/>
          <w:szCs w:val="28"/>
        </w:rPr>
        <w:t>MATRIZ DE RESULTADOS</w:t>
      </w:r>
    </w:p>
    <w:p w:rsidR="00E14418" w:rsidRPr="00E14418" w:rsidRDefault="00E14418" w:rsidP="00E14418">
      <w:pPr>
        <w:pStyle w:val="Paragraph"/>
        <w:numPr>
          <w:ilvl w:val="0"/>
          <w:numId w:val="0"/>
        </w:numPr>
        <w:ind w:left="2832" w:hanging="2832"/>
        <w:rPr>
          <w:sz w:val="28"/>
          <w:szCs w:val="28"/>
        </w:rPr>
      </w:pPr>
    </w:p>
    <w:tbl>
      <w:tblPr>
        <w:tblStyle w:val="TableGrid"/>
        <w:tblW w:w="4991" w:type="pct"/>
        <w:tblLook w:val="04A0" w:firstRow="1" w:lastRow="0" w:firstColumn="1" w:lastColumn="0" w:noHBand="0" w:noVBand="1"/>
      </w:tblPr>
      <w:tblGrid>
        <w:gridCol w:w="2468"/>
        <w:gridCol w:w="1262"/>
        <w:gridCol w:w="891"/>
        <w:gridCol w:w="928"/>
        <w:gridCol w:w="791"/>
        <w:gridCol w:w="928"/>
        <w:gridCol w:w="928"/>
        <w:gridCol w:w="971"/>
        <w:gridCol w:w="1298"/>
        <w:gridCol w:w="1536"/>
        <w:gridCol w:w="2321"/>
        <w:gridCol w:w="6"/>
      </w:tblGrid>
      <w:tr w:rsidR="00FF21D8" w:rsidRPr="00FF21D8" w:rsidTr="00E14418">
        <w:trPr>
          <w:cantSplit/>
          <w:trHeight w:val="20"/>
          <w:tblHeader/>
        </w:trPr>
        <w:tc>
          <w:tcPr>
            <w:tcW w:w="861" w:type="pct"/>
            <w:vMerge w:val="restar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Indicadores Propuestos</w:t>
            </w:r>
          </w:p>
        </w:tc>
        <w:tc>
          <w:tcPr>
            <w:tcW w:w="440" w:type="pct"/>
            <w:vMerge w:val="restar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Unidad de Medida</w:t>
            </w:r>
          </w:p>
        </w:tc>
        <w:tc>
          <w:tcPr>
            <w:tcW w:w="635" w:type="pct"/>
            <w:gridSpan w:val="2"/>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Línea de Base</w:t>
            </w:r>
          </w:p>
        </w:tc>
        <w:tc>
          <w:tcPr>
            <w:tcW w:w="1263" w:type="pct"/>
            <w:gridSpan w:val="4"/>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Valores intermedios (según año)</w:t>
            </w:r>
          </w:p>
        </w:tc>
        <w:tc>
          <w:tcPr>
            <w:tcW w:w="453"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Meta (2019)</w:t>
            </w:r>
          </w:p>
        </w:tc>
        <w:tc>
          <w:tcPr>
            <w:tcW w:w="536" w:type="pct"/>
            <w:vMerge w:val="restar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Fuente / Medio de Verificación</w:t>
            </w:r>
          </w:p>
        </w:tc>
        <w:tc>
          <w:tcPr>
            <w:tcW w:w="812" w:type="pct"/>
            <w:gridSpan w:val="2"/>
            <w:vMerge w:val="restar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Observaciones</w:t>
            </w:r>
          </w:p>
        </w:tc>
      </w:tr>
      <w:tr w:rsidR="00FF21D8" w:rsidRPr="00FF21D8" w:rsidTr="00E14418">
        <w:trPr>
          <w:cantSplit/>
          <w:trHeight w:val="20"/>
          <w:tblHeader/>
        </w:trPr>
        <w:tc>
          <w:tcPr>
            <w:tcW w:w="861" w:type="pct"/>
            <w:vMerge/>
            <w:vAlign w:val="center"/>
          </w:tcPr>
          <w:p w:rsidR="00FF21D8" w:rsidRPr="00FF21D8" w:rsidRDefault="00FF21D8" w:rsidP="00102978">
            <w:pPr>
              <w:spacing w:before="30" w:after="30" w:line="276" w:lineRule="auto"/>
              <w:jc w:val="center"/>
              <w:rPr>
                <w:b/>
                <w:sz w:val="18"/>
                <w:szCs w:val="18"/>
                <w:lang w:val="es-ES_tradnl"/>
              </w:rPr>
            </w:pPr>
          </w:p>
        </w:tc>
        <w:tc>
          <w:tcPr>
            <w:tcW w:w="440" w:type="pct"/>
            <w:vMerge/>
            <w:vAlign w:val="center"/>
          </w:tcPr>
          <w:p w:rsidR="00FF21D8" w:rsidRPr="00FF21D8" w:rsidRDefault="00FF21D8" w:rsidP="00102978">
            <w:pPr>
              <w:spacing w:before="30" w:after="30" w:line="276" w:lineRule="auto"/>
              <w:jc w:val="center"/>
              <w:rPr>
                <w:b/>
                <w:sz w:val="18"/>
                <w:szCs w:val="18"/>
                <w:lang w:val="es-ES_tradnl"/>
              </w:rPr>
            </w:pPr>
          </w:p>
        </w:tc>
        <w:tc>
          <w:tcPr>
            <w:tcW w:w="311"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Valor</w:t>
            </w:r>
          </w:p>
        </w:tc>
        <w:tc>
          <w:tcPr>
            <w:tcW w:w="324"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Año</w:t>
            </w:r>
          </w:p>
        </w:tc>
        <w:tc>
          <w:tcPr>
            <w:tcW w:w="276"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2015</w:t>
            </w:r>
          </w:p>
        </w:tc>
        <w:tc>
          <w:tcPr>
            <w:tcW w:w="324"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2016</w:t>
            </w:r>
          </w:p>
        </w:tc>
        <w:tc>
          <w:tcPr>
            <w:tcW w:w="324"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2017</w:t>
            </w:r>
          </w:p>
        </w:tc>
        <w:tc>
          <w:tcPr>
            <w:tcW w:w="339"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2018</w:t>
            </w:r>
          </w:p>
        </w:tc>
        <w:tc>
          <w:tcPr>
            <w:tcW w:w="453" w:type="pct"/>
            <w:vAlign w:val="center"/>
          </w:tcPr>
          <w:p w:rsidR="00FF21D8" w:rsidRPr="00FF21D8" w:rsidRDefault="00FF21D8" w:rsidP="00102978">
            <w:pPr>
              <w:spacing w:before="30" w:after="30" w:line="276" w:lineRule="auto"/>
              <w:jc w:val="center"/>
              <w:rPr>
                <w:b/>
                <w:sz w:val="18"/>
                <w:szCs w:val="18"/>
                <w:lang w:val="es-ES_tradnl"/>
              </w:rPr>
            </w:pPr>
            <w:r w:rsidRPr="00FF21D8">
              <w:rPr>
                <w:b/>
                <w:sz w:val="18"/>
                <w:szCs w:val="18"/>
                <w:lang w:val="es-ES_tradnl"/>
              </w:rPr>
              <w:t>Valor</w:t>
            </w:r>
          </w:p>
        </w:tc>
        <w:tc>
          <w:tcPr>
            <w:tcW w:w="536" w:type="pct"/>
            <w:vMerge/>
            <w:vAlign w:val="center"/>
          </w:tcPr>
          <w:p w:rsidR="00FF21D8" w:rsidRPr="00FF21D8" w:rsidRDefault="00FF21D8" w:rsidP="00102978">
            <w:pPr>
              <w:spacing w:before="30" w:after="30" w:line="276" w:lineRule="auto"/>
              <w:jc w:val="center"/>
              <w:rPr>
                <w:b/>
                <w:sz w:val="18"/>
                <w:szCs w:val="18"/>
                <w:lang w:val="es-ES_tradnl"/>
              </w:rPr>
            </w:pPr>
          </w:p>
        </w:tc>
        <w:tc>
          <w:tcPr>
            <w:tcW w:w="812" w:type="pct"/>
            <w:gridSpan w:val="2"/>
            <w:vMerge/>
            <w:vAlign w:val="center"/>
          </w:tcPr>
          <w:p w:rsidR="00FF21D8" w:rsidRPr="00FF21D8" w:rsidRDefault="00FF21D8" w:rsidP="00102978">
            <w:pPr>
              <w:spacing w:before="30" w:after="30" w:line="276" w:lineRule="auto"/>
              <w:jc w:val="center"/>
              <w:rPr>
                <w:b/>
                <w:sz w:val="18"/>
                <w:szCs w:val="18"/>
                <w:lang w:val="es-ES_tradnl"/>
              </w:rPr>
            </w:pPr>
          </w:p>
        </w:tc>
      </w:tr>
      <w:tr w:rsidR="00FF21D8" w:rsidRPr="00FF21D8" w:rsidTr="00E14418">
        <w:trPr>
          <w:gridAfter w:val="1"/>
          <w:wAfter w:w="2" w:type="pct"/>
          <w:cantSplit/>
          <w:trHeight w:val="20"/>
        </w:trPr>
        <w:tc>
          <w:tcPr>
            <w:tcW w:w="4998" w:type="pct"/>
            <w:gridSpan w:val="11"/>
            <w:shd w:val="clear" w:color="auto" w:fill="D9D9D9" w:themeFill="background1" w:themeFillShade="D9"/>
            <w:vAlign w:val="center"/>
          </w:tcPr>
          <w:p w:rsidR="00FF21D8" w:rsidRPr="00FF21D8" w:rsidRDefault="00FF21D8" w:rsidP="00102978">
            <w:pPr>
              <w:spacing w:before="30" w:after="30" w:line="276" w:lineRule="auto"/>
              <w:rPr>
                <w:b/>
                <w:sz w:val="18"/>
                <w:szCs w:val="18"/>
              </w:rPr>
            </w:pPr>
            <w:r w:rsidRPr="00FF21D8">
              <w:rPr>
                <w:b/>
                <w:sz w:val="18"/>
                <w:szCs w:val="18"/>
              </w:rPr>
              <w:t>I. OBJETIVO:</w:t>
            </w:r>
          </w:p>
          <w:p w:rsidR="00FF21D8" w:rsidRPr="00FF21D8" w:rsidRDefault="00FF21D8" w:rsidP="00102978">
            <w:pPr>
              <w:spacing w:before="30" w:after="30" w:line="276" w:lineRule="auto"/>
              <w:rPr>
                <w:sz w:val="18"/>
                <w:szCs w:val="18"/>
              </w:rPr>
            </w:pPr>
            <w:r w:rsidRPr="00FF21D8">
              <w:rPr>
                <w:sz w:val="18"/>
                <w:szCs w:val="18"/>
              </w:rPr>
              <w:t>Mejora de la eficiencia en la gestión financiera pública, incluyendo la gestión contable, presupuestaria, deuda y de tesorería.</w:t>
            </w:r>
          </w:p>
          <w:p w:rsidR="00FF21D8" w:rsidRPr="00FF21D8" w:rsidRDefault="00FF21D8" w:rsidP="00102978">
            <w:pPr>
              <w:spacing w:before="30" w:after="30" w:line="276" w:lineRule="auto"/>
              <w:rPr>
                <w:b/>
                <w:sz w:val="18"/>
                <w:szCs w:val="18"/>
                <w:lang w:val="es-ES_tradnl"/>
              </w:rPr>
            </w:pPr>
            <w:r w:rsidRPr="00FF21D8">
              <w:rPr>
                <w:b/>
                <w:sz w:val="18"/>
                <w:szCs w:val="18"/>
                <w:lang w:val="es-ES_tradnl"/>
              </w:rPr>
              <w:t>Indicadores de IMPACTO</w:t>
            </w:r>
          </w:p>
        </w:tc>
      </w:tr>
      <w:tr w:rsidR="00FF21D8" w:rsidRPr="00FF21D8" w:rsidTr="00E14418">
        <w:trPr>
          <w:cantSplit/>
          <w:trHeight w:val="20"/>
        </w:trPr>
        <w:tc>
          <w:tcPr>
            <w:tcW w:w="861" w:type="pct"/>
            <w:vAlign w:val="center"/>
          </w:tcPr>
          <w:p w:rsidR="00FF21D8" w:rsidRPr="00FF21D8" w:rsidRDefault="00FF21D8" w:rsidP="00FF21D8">
            <w:pPr>
              <w:pStyle w:val="ListParagraph"/>
              <w:numPr>
                <w:ilvl w:val="0"/>
                <w:numId w:val="39"/>
              </w:numPr>
              <w:spacing w:before="30" w:after="30" w:line="276" w:lineRule="auto"/>
              <w:ind w:left="284" w:hanging="284"/>
              <w:rPr>
                <w:sz w:val="18"/>
                <w:szCs w:val="18"/>
              </w:rPr>
            </w:pPr>
            <w:r w:rsidRPr="00FF21D8">
              <w:rPr>
                <w:sz w:val="18"/>
                <w:szCs w:val="18"/>
                <w:lang w:val="es-ES_tradnl"/>
              </w:rPr>
              <w:t>Tiempo de demora en el proceso de tramitación de facturas para estar en condiciones de ser pagadas (priorizadas)</w:t>
            </w:r>
          </w:p>
        </w:tc>
        <w:tc>
          <w:tcPr>
            <w:tcW w:w="440"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Días calendario</w:t>
            </w:r>
          </w:p>
        </w:tc>
        <w:tc>
          <w:tcPr>
            <w:tcW w:w="311"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51</w:t>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2014</w:t>
            </w:r>
          </w:p>
        </w:tc>
        <w:tc>
          <w:tcPr>
            <w:tcW w:w="276"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45</w:t>
            </w:r>
            <w:r w:rsidRPr="00FF21D8">
              <w:rPr>
                <w:rStyle w:val="FootnoteReference"/>
                <w:sz w:val="18"/>
                <w:szCs w:val="18"/>
                <w:lang w:val="es-ES_tradnl"/>
              </w:rPr>
              <w:footnoteReference w:id="21"/>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339"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453"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29</w:t>
            </w:r>
          </w:p>
        </w:tc>
        <w:tc>
          <w:tcPr>
            <w:tcW w:w="536"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SIIF</w:t>
            </w:r>
          </w:p>
        </w:tc>
        <w:tc>
          <w:tcPr>
            <w:tcW w:w="812" w:type="pct"/>
            <w:gridSpan w:val="2"/>
            <w:vAlign w:val="center"/>
          </w:tcPr>
          <w:p w:rsidR="00FF21D8" w:rsidRPr="00FF21D8" w:rsidRDefault="00FF21D8" w:rsidP="00102978">
            <w:pPr>
              <w:spacing w:before="30" w:after="30" w:line="276" w:lineRule="auto"/>
              <w:rPr>
                <w:sz w:val="18"/>
                <w:szCs w:val="18"/>
                <w:lang w:val="es-ES_tradnl"/>
              </w:rPr>
            </w:pPr>
            <w:r w:rsidRPr="00FF21D8">
              <w:rPr>
                <w:sz w:val="18"/>
                <w:szCs w:val="18"/>
                <w:lang w:val="es-ES_tradnl"/>
              </w:rPr>
              <w:t>Días promedio contados desde el momento de entrega de la factura por parte del proveedor hasta su priorización.</w:t>
            </w:r>
          </w:p>
        </w:tc>
      </w:tr>
      <w:tr w:rsidR="00FF21D8" w:rsidRPr="00FF21D8" w:rsidTr="00E14418">
        <w:trPr>
          <w:gridAfter w:val="1"/>
          <w:wAfter w:w="2" w:type="pct"/>
          <w:cantSplit/>
          <w:trHeight w:val="20"/>
        </w:trPr>
        <w:tc>
          <w:tcPr>
            <w:tcW w:w="861" w:type="pct"/>
            <w:vAlign w:val="center"/>
          </w:tcPr>
          <w:p w:rsidR="00FF21D8" w:rsidRPr="00FF21D8" w:rsidRDefault="00FF21D8" w:rsidP="00FF21D8">
            <w:pPr>
              <w:pStyle w:val="ListParagraph"/>
              <w:numPr>
                <w:ilvl w:val="0"/>
                <w:numId w:val="39"/>
              </w:numPr>
              <w:spacing w:before="30" w:after="30" w:line="276" w:lineRule="auto"/>
              <w:ind w:left="284" w:hanging="284"/>
              <w:rPr>
                <w:sz w:val="18"/>
                <w:szCs w:val="18"/>
              </w:rPr>
            </w:pPr>
            <w:r w:rsidRPr="00FF21D8">
              <w:rPr>
                <w:sz w:val="18"/>
                <w:szCs w:val="18"/>
              </w:rPr>
              <w:t>Costos financieros asociados a cuentas bancarias por fuera de la CUN, de acuerdo a la normativa vigente.</w:t>
            </w:r>
          </w:p>
        </w:tc>
        <w:tc>
          <w:tcPr>
            <w:tcW w:w="440" w:type="pct"/>
            <w:vAlign w:val="center"/>
          </w:tcPr>
          <w:p w:rsidR="00FF21D8" w:rsidRPr="00FF21D8" w:rsidRDefault="00FF21D8" w:rsidP="00102978">
            <w:pPr>
              <w:jc w:val="center"/>
              <w:rPr>
                <w:color w:val="000000"/>
                <w:sz w:val="18"/>
                <w:szCs w:val="18"/>
              </w:rPr>
            </w:pPr>
            <w:r w:rsidRPr="00FF21D8">
              <w:rPr>
                <w:color w:val="000000"/>
                <w:sz w:val="18"/>
                <w:szCs w:val="18"/>
              </w:rPr>
              <w:t>Porcentaje de pagos</w:t>
            </w:r>
          </w:p>
          <w:p w:rsidR="00FF21D8" w:rsidRPr="00FF21D8" w:rsidRDefault="00FF21D8" w:rsidP="00102978">
            <w:pPr>
              <w:spacing w:before="30" w:after="30" w:line="276" w:lineRule="auto"/>
              <w:jc w:val="center"/>
              <w:rPr>
                <w:sz w:val="18"/>
                <w:szCs w:val="18"/>
                <w:lang w:val="es-ES_tradnl"/>
              </w:rPr>
            </w:pPr>
            <w:r w:rsidRPr="00FF21D8">
              <w:rPr>
                <w:color w:val="000000"/>
                <w:sz w:val="18"/>
                <w:szCs w:val="18"/>
              </w:rPr>
              <w:t>(total costos 2012: USD 4,9 millones)</w:t>
            </w:r>
          </w:p>
        </w:tc>
        <w:tc>
          <w:tcPr>
            <w:tcW w:w="311" w:type="pct"/>
            <w:vAlign w:val="center"/>
          </w:tcPr>
          <w:p w:rsidR="00FF21D8" w:rsidRPr="00FF21D8" w:rsidRDefault="00FF21D8" w:rsidP="00102978">
            <w:pPr>
              <w:jc w:val="center"/>
              <w:rPr>
                <w:color w:val="000000"/>
                <w:sz w:val="18"/>
                <w:szCs w:val="18"/>
              </w:rPr>
            </w:pPr>
            <w:r w:rsidRPr="00FF21D8">
              <w:rPr>
                <w:color w:val="000000"/>
                <w:sz w:val="18"/>
                <w:szCs w:val="18"/>
              </w:rPr>
              <w:t>100%</w:t>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2014</w:t>
            </w:r>
          </w:p>
        </w:tc>
        <w:tc>
          <w:tcPr>
            <w:tcW w:w="276"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324"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80%</w:t>
            </w:r>
          </w:p>
        </w:tc>
        <w:tc>
          <w:tcPr>
            <w:tcW w:w="339"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w:t>
            </w:r>
          </w:p>
        </w:tc>
        <w:tc>
          <w:tcPr>
            <w:tcW w:w="453"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10%</w:t>
            </w:r>
          </w:p>
        </w:tc>
        <w:tc>
          <w:tcPr>
            <w:tcW w:w="536" w:type="pct"/>
            <w:vAlign w:val="center"/>
          </w:tcPr>
          <w:p w:rsidR="00FF21D8" w:rsidRPr="00FF21D8" w:rsidRDefault="00FF21D8" w:rsidP="00102978">
            <w:pPr>
              <w:spacing w:before="30" w:after="30" w:line="276" w:lineRule="auto"/>
              <w:jc w:val="center"/>
              <w:rPr>
                <w:sz w:val="18"/>
                <w:szCs w:val="18"/>
                <w:lang w:val="es-ES_tradnl"/>
              </w:rPr>
            </w:pPr>
            <w:r w:rsidRPr="00FF21D8">
              <w:rPr>
                <w:sz w:val="18"/>
                <w:szCs w:val="18"/>
                <w:lang w:val="es-ES_tradnl"/>
              </w:rPr>
              <w:t>Informe TGN</w:t>
            </w:r>
          </w:p>
        </w:tc>
        <w:tc>
          <w:tcPr>
            <w:tcW w:w="810" w:type="pct"/>
            <w:vAlign w:val="center"/>
          </w:tcPr>
          <w:p w:rsidR="00FF21D8" w:rsidRPr="00FF21D8" w:rsidRDefault="00FF21D8" w:rsidP="00102978">
            <w:pPr>
              <w:spacing w:before="30" w:after="30"/>
              <w:rPr>
                <w:sz w:val="18"/>
                <w:szCs w:val="18"/>
              </w:rPr>
            </w:pPr>
            <w:r w:rsidRPr="00FF21D8">
              <w:rPr>
                <w:b/>
                <w:sz w:val="18"/>
                <w:szCs w:val="18"/>
                <w:lang w:val="es-ES_tradnl"/>
              </w:rPr>
              <w:t>Costos incluidos</w:t>
            </w:r>
            <w:r w:rsidRPr="00FF21D8">
              <w:rPr>
                <w:sz w:val="18"/>
                <w:szCs w:val="18"/>
                <w:lang w:val="es-ES_tradnl"/>
              </w:rPr>
              <w:t xml:space="preserve">: (a) </w:t>
            </w:r>
            <w:r w:rsidRPr="00FF21D8">
              <w:rPr>
                <w:sz w:val="18"/>
                <w:szCs w:val="18"/>
              </w:rPr>
              <w:t>Pagos al BROU por activos inmovilizados a cargo de la TGN; y (b) gastos de administración de cuentas corrientes a cargo de los incisos</w:t>
            </w:r>
          </w:p>
          <w:p w:rsidR="00FF21D8" w:rsidRPr="00FF21D8" w:rsidRDefault="00FF21D8" w:rsidP="00102978">
            <w:pPr>
              <w:spacing w:before="30" w:after="30"/>
              <w:rPr>
                <w:sz w:val="18"/>
                <w:szCs w:val="18"/>
              </w:rPr>
            </w:pPr>
            <w:r w:rsidRPr="00FF21D8">
              <w:rPr>
                <w:b/>
                <w:sz w:val="18"/>
                <w:szCs w:val="18"/>
              </w:rPr>
              <w:t>Cálculo</w:t>
            </w:r>
            <w:r w:rsidRPr="00FF21D8">
              <w:rPr>
                <w:sz w:val="18"/>
                <w:szCs w:val="18"/>
              </w:rPr>
              <w:t xml:space="preserve">: </w:t>
            </w:r>
          </w:p>
          <w:p w:rsidR="00FF21D8" w:rsidRPr="00FF21D8" w:rsidRDefault="00FF21D8" w:rsidP="00102978">
            <w:pPr>
              <w:spacing w:before="30" w:after="30"/>
              <w:rPr>
                <w:sz w:val="18"/>
                <w:szCs w:val="18"/>
              </w:rPr>
            </w:pPr>
            <w:r w:rsidRPr="00FF21D8">
              <w:rPr>
                <w:sz w:val="18"/>
                <w:szCs w:val="18"/>
              </w:rPr>
              <w:t>Numerador: Pagos al BROU por conceptos (a) y (b)</w:t>
            </w:r>
          </w:p>
          <w:p w:rsidR="00FF21D8" w:rsidRPr="00FF21D8" w:rsidRDefault="00FF21D8" w:rsidP="00102978">
            <w:pPr>
              <w:spacing w:before="30" w:after="30"/>
              <w:rPr>
                <w:sz w:val="18"/>
                <w:szCs w:val="18"/>
                <w:lang w:val="es-ES_tradnl"/>
              </w:rPr>
            </w:pPr>
            <w:r w:rsidRPr="00FF21D8">
              <w:rPr>
                <w:sz w:val="18"/>
                <w:szCs w:val="18"/>
              </w:rPr>
              <w:t>Denominador: Pagos al BROU año base</w:t>
            </w:r>
          </w:p>
        </w:tc>
      </w:tr>
    </w:tbl>
    <w:p w:rsidR="00FF21D8" w:rsidRDefault="00FF21D8" w:rsidP="00FF21D8">
      <w:r>
        <w:br w:type="page"/>
      </w:r>
    </w:p>
    <w:tbl>
      <w:tblPr>
        <w:tblStyle w:val="TableGrid"/>
        <w:tblW w:w="14335" w:type="dxa"/>
        <w:tblLayout w:type="fixed"/>
        <w:tblLook w:val="04A0" w:firstRow="1" w:lastRow="0" w:firstColumn="1" w:lastColumn="0" w:noHBand="0" w:noVBand="1"/>
      </w:tblPr>
      <w:tblGrid>
        <w:gridCol w:w="2321"/>
        <w:gridCol w:w="1360"/>
        <w:gridCol w:w="874"/>
        <w:gridCol w:w="986"/>
        <w:gridCol w:w="771"/>
        <w:gridCol w:w="6"/>
        <w:gridCol w:w="930"/>
        <w:gridCol w:w="848"/>
        <w:gridCol w:w="995"/>
        <w:gridCol w:w="1446"/>
        <w:gridCol w:w="1559"/>
        <w:gridCol w:w="2239"/>
      </w:tblGrid>
      <w:tr w:rsidR="00FF21D8" w:rsidRPr="00E14418" w:rsidTr="00E14418">
        <w:trPr>
          <w:cantSplit/>
          <w:tblHeader/>
        </w:trPr>
        <w:tc>
          <w:tcPr>
            <w:tcW w:w="2321"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sz w:val="18"/>
                <w:szCs w:val="18"/>
              </w:rPr>
              <w:lastRenderedPageBreak/>
              <w:br w:type="page"/>
            </w:r>
            <w:r w:rsidRPr="00E14418">
              <w:rPr>
                <w:b/>
                <w:sz w:val="18"/>
                <w:szCs w:val="18"/>
                <w:lang w:val="es-ES_tradnl"/>
              </w:rPr>
              <w:t>Indicadores Propuestos</w:t>
            </w:r>
          </w:p>
        </w:tc>
        <w:tc>
          <w:tcPr>
            <w:tcW w:w="1360"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Unidad de Medida</w:t>
            </w:r>
          </w:p>
        </w:tc>
        <w:tc>
          <w:tcPr>
            <w:tcW w:w="1860" w:type="dxa"/>
            <w:gridSpan w:val="2"/>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Línea de Base</w:t>
            </w:r>
          </w:p>
        </w:tc>
        <w:tc>
          <w:tcPr>
            <w:tcW w:w="3550" w:type="dxa"/>
            <w:gridSpan w:val="5"/>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Valores intermedios (según año)</w:t>
            </w:r>
          </w:p>
        </w:tc>
        <w:tc>
          <w:tcPr>
            <w:tcW w:w="144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Meta (2019)</w:t>
            </w:r>
          </w:p>
        </w:tc>
        <w:tc>
          <w:tcPr>
            <w:tcW w:w="1559"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Fuente / Medio de Verificación</w:t>
            </w:r>
          </w:p>
        </w:tc>
        <w:tc>
          <w:tcPr>
            <w:tcW w:w="2239"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Observaciones</w:t>
            </w:r>
          </w:p>
        </w:tc>
      </w:tr>
      <w:tr w:rsidR="00FF21D8" w:rsidRPr="00E14418" w:rsidTr="00E14418">
        <w:trPr>
          <w:cantSplit/>
          <w:tblHeader/>
        </w:trPr>
        <w:tc>
          <w:tcPr>
            <w:tcW w:w="2321" w:type="dxa"/>
            <w:vMerge/>
            <w:vAlign w:val="center"/>
          </w:tcPr>
          <w:p w:rsidR="00FF21D8" w:rsidRPr="00E14418" w:rsidRDefault="00FF21D8" w:rsidP="00102978">
            <w:pPr>
              <w:spacing w:before="30" w:after="30" w:line="276" w:lineRule="auto"/>
              <w:jc w:val="center"/>
              <w:rPr>
                <w:b/>
                <w:sz w:val="18"/>
                <w:szCs w:val="18"/>
                <w:lang w:val="es-ES_tradnl"/>
              </w:rPr>
            </w:pPr>
          </w:p>
        </w:tc>
        <w:tc>
          <w:tcPr>
            <w:tcW w:w="1360" w:type="dxa"/>
            <w:vMerge/>
            <w:vAlign w:val="center"/>
          </w:tcPr>
          <w:p w:rsidR="00FF21D8" w:rsidRPr="00E14418" w:rsidRDefault="00FF21D8" w:rsidP="00102978">
            <w:pPr>
              <w:spacing w:before="30" w:after="30" w:line="276" w:lineRule="auto"/>
              <w:jc w:val="center"/>
              <w:rPr>
                <w:b/>
                <w:sz w:val="18"/>
                <w:szCs w:val="18"/>
                <w:lang w:val="es-ES_tradnl"/>
              </w:rPr>
            </w:pPr>
          </w:p>
        </w:tc>
        <w:tc>
          <w:tcPr>
            <w:tcW w:w="874"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w:t>
            </w:r>
          </w:p>
        </w:tc>
        <w:tc>
          <w:tcPr>
            <w:tcW w:w="98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Año</w:t>
            </w:r>
          </w:p>
        </w:tc>
        <w:tc>
          <w:tcPr>
            <w:tcW w:w="771"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2015</w:t>
            </w:r>
          </w:p>
        </w:tc>
        <w:tc>
          <w:tcPr>
            <w:tcW w:w="936" w:type="dxa"/>
            <w:gridSpan w:val="2"/>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2016</w:t>
            </w:r>
          </w:p>
        </w:tc>
        <w:tc>
          <w:tcPr>
            <w:tcW w:w="848"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2017</w:t>
            </w:r>
          </w:p>
        </w:tc>
        <w:tc>
          <w:tcPr>
            <w:tcW w:w="995"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2018</w:t>
            </w:r>
          </w:p>
        </w:tc>
        <w:tc>
          <w:tcPr>
            <w:tcW w:w="144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w:t>
            </w:r>
          </w:p>
        </w:tc>
        <w:tc>
          <w:tcPr>
            <w:tcW w:w="1559" w:type="dxa"/>
            <w:vMerge/>
            <w:vAlign w:val="center"/>
          </w:tcPr>
          <w:p w:rsidR="00FF21D8" w:rsidRPr="00E14418" w:rsidRDefault="00FF21D8" w:rsidP="00102978">
            <w:pPr>
              <w:spacing w:before="30" w:after="30" w:line="276" w:lineRule="auto"/>
              <w:jc w:val="center"/>
              <w:rPr>
                <w:b/>
                <w:sz w:val="18"/>
                <w:szCs w:val="18"/>
                <w:lang w:val="es-ES_tradnl"/>
              </w:rPr>
            </w:pPr>
          </w:p>
        </w:tc>
        <w:tc>
          <w:tcPr>
            <w:tcW w:w="2239" w:type="dxa"/>
            <w:vMerge/>
            <w:vAlign w:val="center"/>
          </w:tcPr>
          <w:p w:rsidR="00FF21D8" w:rsidRPr="00E14418" w:rsidRDefault="00FF21D8" w:rsidP="00102978">
            <w:pPr>
              <w:spacing w:before="30" w:after="30" w:line="276" w:lineRule="auto"/>
              <w:jc w:val="center"/>
              <w:rPr>
                <w:b/>
                <w:sz w:val="18"/>
                <w:szCs w:val="18"/>
                <w:lang w:val="es-ES_tradnl"/>
              </w:rPr>
            </w:pPr>
          </w:p>
        </w:tc>
      </w:tr>
      <w:tr w:rsidR="00FF21D8" w:rsidRPr="00E14418" w:rsidTr="00E14418">
        <w:trPr>
          <w:cantSplit/>
        </w:trPr>
        <w:tc>
          <w:tcPr>
            <w:tcW w:w="14335" w:type="dxa"/>
            <w:gridSpan w:val="12"/>
            <w:shd w:val="clear" w:color="auto" w:fill="D9D9D9" w:themeFill="background1" w:themeFillShade="D9"/>
            <w:vAlign w:val="center"/>
          </w:tcPr>
          <w:p w:rsidR="00FF21D8" w:rsidRPr="00E14418" w:rsidRDefault="00FF21D8" w:rsidP="00102978">
            <w:pPr>
              <w:spacing w:before="30" w:after="30" w:line="276" w:lineRule="auto"/>
              <w:rPr>
                <w:b/>
                <w:sz w:val="18"/>
                <w:szCs w:val="18"/>
                <w:lang w:val="es-ES_tradnl"/>
              </w:rPr>
            </w:pPr>
            <w:r w:rsidRPr="00E14418">
              <w:rPr>
                <w:b/>
                <w:sz w:val="18"/>
                <w:szCs w:val="18"/>
                <w:lang w:val="es-ES_tradnl"/>
              </w:rPr>
              <w:t>II. EFECTOS ESPERADOS:</w:t>
            </w:r>
          </w:p>
          <w:p w:rsidR="00FF21D8" w:rsidRPr="00E14418" w:rsidRDefault="00FF21D8" w:rsidP="00102978">
            <w:pPr>
              <w:spacing w:before="30" w:after="30" w:line="276" w:lineRule="auto"/>
              <w:rPr>
                <w:sz w:val="18"/>
                <w:szCs w:val="18"/>
              </w:rPr>
            </w:pPr>
            <w:r w:rsidRPr="00E14418">
              <w:rPr>
                <w:sz w:val="18"/>
                <w:szCs w:val="18"/>
              </w:rPr>
              <w:t>El sistema ofrece información oportuna, integral y con adecuados niveles de apertura para la gestión financiera pública.</w:t>
            </w:r>
          </w:p>
          <w:p w:rsidR="00FF21D8" w:rsidRPr="00E14418" w:rsidRDefault="00FF21D8" w:rsidP="00102978">
            <w:pPr>
              <w:spacing w:before="30" w:after="30" w:line="276" w:lineRule="auto"/>
              <w:rPr>
                <w:b/>
                <w:sz w:val="18"/>
                <w:szCs w:val="18"/>
                <w:lang w:val="es-ES_tradnl"/>
              </w:rPr>
            </w:pPr>
            <w:r w:rsidRPr="00E14418">
              <w:rPr>
                <w:b/>
                <w:sz w:val="18"/>
                <w:szCs w:val="18"/>
              </w:rPr>
              <w:t>Indicadores de RESULTADOS</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rPr>
            </w:pPr>
            <w:r w:rsidRPr="00E14418">
              <w:rPr>
                <w:sz w:val="18"/>
                <w:szCs w:val="18"/>
              </w:rPr>
              <w:br w:type="page"/>
            </w:r>
            <w:r w:rsidRPr="00E14418">
              <w:rPr>
                <w:sz w:val="18"/>
                <w:szCs w:val="18"/>
                <w:lang w:val="es-ES_tradnl"/>
              </w:rPr>
              <w:t>P1. Años del presupuesto quinquenal con información presupuestaria en línea y actualizada.</w:t>
            </w:r>
          </w:p>
        </w:tc>
        <w:tc>
          <w:tcPr>
            <w:tcW w:w="136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Años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 año</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UPN</w:t>
            </w:r>
          </w:p>
        </w:tc>
        <w:tc>
          <w:tcPr>
            <w:tcW w:w="2239" w:type="dxa"/>
            <w:vAlign w:val="center"/>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P2. Número de sistemas de gestión que interoperan con el SIIF 2.</w:t>
            </w:r>
          </w:p>
        </w:tc>
        <w:tc>
          <w:tcPr>
            <w:tcW w:w="1360"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Sistemas interoperables con SIIF 2.</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división de sistemas del MEF</w:t>
            </w:r>
          </w:p>
        </w:tc>
        <w:tc>
          <w:tcPr>
            <w:tcW w:w="223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Al menos 5 entre los siguientes:  SICE, SNIP, SGH, RUPE, BCU-Deuda Pública, BCU-Pagos, BROU-Pagos</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C1</w:t>
            </w:r>
            <w:r w:rsidRPr="00E14418">
              <w:rPr>
                <w:b/>
                <w:sz w:val="18"/>
                <w:szCs w:val="18"/>
                <w:lang w:val="es-ES_tradnl"/>
              </w:rPr>
              <w:t xml:space="preserve">. </w:t>
            </w:r>
            <w:r w:rsidRPr="00E14418">
              <w:rPr>
                <w:sz w:val="18"/>
                <w:szCs w:val="18"/>
                <w:lang w:val="es-ES_tradnl"/>
              </w:rPr>
              <w:t>% de asientos contables financieros automatizados sobre total de asientos financieros procesados por el sistema.</w:t>
            </w:r>
          </w:p>
        </w:tc>
        <w:tc>
          <w:tcPr>
            <w:tcW w:w="1360"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Asientos contables generados por movimientos financieros.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100%</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100%</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CGN</w:t>
            </w:r>
          </w:p>
        </w:tc>
        <w:tc>
          <w:tcPr>
            <w:tcW w:w="223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Universo de asientos financieros anuales igual a 900 mil asientos.</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C2 Estados financieros principales emitidos en forma automática y oportuna por el sistema, armonizados con los estándares internacionales.</w:t>
            </w:r>
          </w:p>
        </w:tc>
        <w:tc>
          <w:tcPr>
            <w:tcW w:w="1360"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Estados financieros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7</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CGN</w:t>
            </w:r>
          </w:p>
        </w:tc>
        <w:tc>
          <w:tcPr>
            <w:tcW w:w="223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Actuales: Ejecución presupuestaria de Gasto y de Recursos</w:t>
            </w:r>
          </w:p>
          <w:p w:rsidR="00FF21D8" w:rsidRPr="00E14418" w:rsidRDefault="00FF21D8" w:rsidP="00102978">
            <w:pPr>
              <w:spacing w:before="30" w:after="30" w:line="276" w:lineRule="auto"/>
              <w:rPr>
                <w:sz w:val="18"/>
                <w:szCs w:val="18"/>
                <w:lang w:val="es-ES_tradnl"/>
              </w:rPr>
            </w:pPr>
            <w:r w:rsidRPr="00E14418">
              <w:rPr>
                <w:sz w:val="18"/>
                <w:szCs w:val="18"/>
                <w:lang w:val="es-ES_tradnl"/>
              </w:rPr>
              <w:t>Principales: Est. Situación Patrimonial, Estado de Resultados, EOAF, Evolución del Patrimonio, Notas a los Estados Contables, Cuadro de Bienes de Uso</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rPr>
            </w:pPr>
            <w:r w:rsidRPr="00E14418">
              <w:rPr>
                <w:sz w:val="18"/>
                <w:szCs w:val="18"/>
              </w:rPr>
              <w:t>T1. Nº de cuentas fuera de la CUN, de acuerdo a la normativa vigente.</w:t>
            </w:r>
          </w:p>
        </w:tc>
        <w:tc>
          <w:tcPr>
            <w:tcW w:w="1360" w:type="dxa"/>
            <w:vAlign w:val="center"/>
          </w:tcPr>
          <w:p w:rsidR="00FF21D8" w:rsidRPr="00E14418" w:rsidRDefault="00FF21D8" w:rsidP="00102978">
            <w:pPr>
              <w:jc w:val="center"/>
              <w:rPr>
                <w:color w:val="000000"/>
                <w:sz w:val="18"/>
                <w:szCs w:val="18"/>
              </w:rPr>
            </w:pPr>
            <w:r w:rsidRPr="00E14418">
              <w:rPr>
                <w:color w:val="000000"/>
                <w:sz w:val="18"/>
                <w:szCs w:val="18"/>
              </w:rPr>
              <w:t xml:space="preserve">Porcentaje de reducción </w:t>
            </w:r>
          </w:p>
          <w:p w:rsidR="00FF21D8" w:rsidRPr="00E14418" w:rsidRDefault="00FF21D8" w:rsidP="00102978">
            <w:pPr>
              <w:spacing w:before="30" w:after="30" w:line="276" w:lineRule="auto"/>
              <w:jc w:val="center"/>
              <w:rPr>
                <w:sz w:val="18"/>
                <w:szCs w:val="18"/>
                <w:lang w:val="es-ES_tradnl"/>
              </w:rPr>
            </w:pPr>
            <w:r w:rsidRPr="00E14418">
              <w:rPr>
                <w:color w:val="000000"/>
                <w:sz w:val="18"/>
                <w:szCs w:val="18"/>
              </w:rPr>
              <w:t>(total cuentas 2014: 576)</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576</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90%</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TGN</w:t>
            </w:r>
          </w:p>
        </w:tc>
        <w:tc>
          <w:tcPr>
            <w:tcW w:w="2239" w:type="dxa"/>
            <w:vAlign w:val="center"/>
          </w:tcPr>
          <w:p w:rsidR="00FF21D8" w:rsidRPr="00E14418" w:rsidRDefault="00FF21D8" w:rsidP="00102978">
            <w:pPr>
              <w:spacing w:before="30" w:after="30" w:line="276" w:lineRule="auto"/>
              <w:rPr>
                <w:sz w:val="18"/>
                <w:szCs w:val="18"/>
                <w:lang w:val="es-ES_tradnl"/>
              </w:rPr>
            </w:pPr>
            <w:r w:rsidRPr="00E14418">
              <w:rPr>
                <w:b/>
                <w:sz w:val="18"/>
                <w:szCs w:val="18"/>
                <w:lang w:val="es-ES_tradnl"/>
              </w:rPr>
              <w:t>Tipos de cuentas:</w:t>
            </w:r>
            <w:r w:rsidRPr="00E14418">
              <w:rPr>
                <w:sz w:val="18"/>
                <w:szCs w:val="18"/>
                <w:lang w:val="es-ES_tradnl"/>
              </w:rPr>
              <w:t>:</w:t>
            </w:r>
          </w:p>
          <w:p w:rsidR="00FF21D8" w:rsidRPr="00E14418" w:rsidRDefault="00FF21D8" w:rsidP="00FF21D8">
            <w:pPr>
              <w:pStyle w:val="ListParagraph"/>
              <w:numPr>
                <w:ilvl w:val="0"/>
                <w:numId w:val="44"/>
              </w:numPr>
              <w:spacing w:before="30" w:after="30" w:line="276" w:lineRule="auto"/>
              <w:ind w:left="317" w:hanging="317"/>
              <w:contextualSpacing/>
              <w:rPr>
                <w:sz w:val="18"/>
                <w:szCs w:val="18"/>
                <w:lang w:val="es-ES_tradnl"/>
              </w:rPr>
            </w:pPr>
            <w:r w:rsidRPr="00E14418">
              <w:rPr>
                <w:sz w:val="18"/>
                <w:szCs w:val="18"/>
                <w:lang w:val="es-ES_tradnl"/>
              </w:rPr>
              <w:t xml:space="preserve">cuentas para el pago de nóminas (140), y </w:t>
            </w:r>
          </w:p>
          <w:p w:rsidR="00FF21D8" w:rsidRPr="00E14418" w:rsidRDefault="00FF21D8" w:rsidP="00FF21D8">
            <w:pPr>
              <w:pStyle w:val="ListParagraph"/>
              <w:numPr>
                <w:ilvl w:val="0"/>
                <w:numId w:val="44"/>
              </w:numPr>
              <w:spacing w:before="30" w:after="30" w:line="276" w:lineRule="auto"/>
              <w:ind w:left="317" w:hanging="317"/>
              <w:contextualSpacing/>
              <w:rPr>
                <w:sz w:val="18"/>
                <w:szCs w:val="18"/>
                <w:lang w:val="es-ES_tradnl"/>
              </w:rPr>
            </w:pPr>
            <w:r w:rsidRPr="00E14418">
              <w:rPr>
                <w:sz w:val="18"/>
                <w:szCs w:val="18"/>
                <w:lang w:val="es-ES_tradnl"/>
              </w:rPr>
              <w:t>nómina y otros gastos (436)</w:t>
            </w:r>
          </w:p>
          <w:p w:rsidR="00FF21D8" w:rsidRPr="00E14418" w:rsidRDefault="00FF21D8" w:rsidP="00102978">
            <w:pPr>
              <w:spacing w:before="30" w:after="30"/>
              <w:rPr>
                <w:sz w:val="18"/>
                <w:szCs w:val="18"/>
              </w:rPr>
            </w:pPr>
            <w:r w:rsidRPr="00E14418">
              <w:rPr>
                <w:b/>
                <w:sz w:val="18"/>
                <w:szCs w:val="18"/>
              </w:rPr>
              <w:t>Cálculo</w:t>
            </w:r>
            <w:r w:rsidRPr="00E14418">
              <w:rPr>
                <w:sz w:val="18"/>
                <w:szCs w:val="18"/>
              </w:rPr>
              <w:t xml:space="preserve">: </w:t>
            </w:r>
          </w:p>
          <w:p w:rsidR="00FF21D8" w:rsidRPr="00E14418" w:rsidRDefault="00FF21D8" w:rsidP="00102978">
            <w:pPr>
              <w:spacing w:before="30" w:after="30"/>
              <w:rPr>
                <w:sz w:val="18"/>
                <w:szCs w:val="18"/>
              </w:rPr>
            </w:pPr>
            <w:r w:rsidRPr="00E14418">
              <w:rPr>
                <w:sz w:val="18"/>
                <w:szCs w:val="18"/>
              </w:rPr>
              <w:t xml:space="preserve">Numerador: Cuentas a) y b) por fuera CUN </w:t>
            </w:r>
          </w:p>
          <w:p w:rsidR="00FF21D8" w:rsidRPr="00E14418" w:rsidRDefault="00FF21D8" w:rsidP="00102978">
            <w:pPr>
              <w:spacing w:before="30" w:after="30" w:line="276" w:lineRule="auto"/>
              <w:rPr>
                <w:sz w:val="18"/>
                <w:szCs w:val="18"/>
                <w:lang w:val="es-ES_tradnl"/>
              </w:rPr>
            </w:pPr>
            <w:r w:rsidRPr="00E14418">
              <w:rPr>
                <w:sz w:val="18"/>
                <w:szCs w:val="18"/>
              </w:rPr>
              <w:t>Denominador: Cuentas al año base (576)</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lastRenderedPageBreak/>
              <w:t>T2. % del gasto de la administración central con el registro de pagos desagregado por objeto del gasto conforme a la clasificación presupuestaria, en tiempo real.</w:t>
            </w:r>
          </w:p>
        </w:tc>
        <w:tc>
          <w:tcPr>
            <w:tcW w:w="1360"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Pagos por objeto del gasto.</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60%</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TGN</w:t>
            </w:r>
          </w:p>
        </w:tc>
        <w:tc>
          <w:tcPr>
            <w:tcW w:w="223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Desagregación: gastos de funcionamiento por objeto del gasto, inversiones por proyecto</w:t>
            </w:r>
          </w:p>
        </w:tc>
      </w:tr>
      <w:tr w:rsidR="00FF21D8" w:rsidRPr="00E14418" w:rsidTr="00E14418">
        <w:trPr>
          <w:cantSplit/>
        </w:trPr>
        <w:tc>
          <w:tcPr>
            <w:tcW w:w="232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TECNOLÓGICO: Número de transacciones por segundo procesadas por la base de datos</w:t>
            </w:r>
          </w:p>
        </w:tc>
        <w:tc>
          <w:tcPr>
            <w:tcW w:w="1360"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Transacciones por segundo</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0"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848"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7</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10</w:t>
            </w:r>
          </w:p>
        </w:tc>
        <w:tc>
          <w:tcPr>
            <w:tcW w:w="1559"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División Sistemas</w:t>
            </w:r>
          </w:p>
        </w:tc>
        <w:tc>
          <w:tcPr>
            <w:tcW w:w="2239" w:type="dxa"/>
            <w:vAlign w:val="center"/>
          </w:tcPr>
          <w:p w:rsidR="00FF21D8" w:rsidRPr="00E14418" w:rsidRDefault="00FF21D8" w:rsidP="00102978">
            <w:pPr>
              <w:spacing w:before="30" w:after="30" w:line="276" w:lineRule="auto"/>
              <w:rPr>
                <w:sz w:val="18"/>
                <w:szCs w:val="18"/>
                <w:lang w:val="es-ES_tradnl"/>
              </w:rPr>
            </w:pPr>
          </w:p>
        </w:tc>
      </w:tr>
    </w:tbl>
    <w:p w:rsidR="00FF21D8" w:rsidRDefault="00FF21D8" w:rsidP="00FF21D8">
      <w:r>
        <w:br w:type="page"/>
      </w:r>
    </w:p>
    <w:tbl>
      <w:tblPr>
        <w:tblStyle w:val="TableGrid"/>
        <w:tblW w:w="14197" w:type="dxa"/>
        <w:tblLayout w:type="fixed"/>
        <w:tblLook w:val="04A0" w:firstRow="1" w:lastRow="0" w:firstColumn="1" w:lastColumn="0" w:noHBand="0" w:noVBand="1"/>
      </w:tblPr>
      <w:tblGrid>
        <w:gridCol w:w="2516"/>
        <w:gridCol w:w="1023"/>
        <w:gridCol w:w="874"/>
        <w:gridCol w:w="986"/>
        <w:gridCol w:w="771"/>
        <w:gridCol w:w="6"/>
        <w:gridCol w:w="934"/>
        <w:gridCol w:w="989"/>
        <w:gridCol w:w="995"/>
        <w:gridCol w:w="1446"/>
        <w:gridCol w:w="1701"/>
        <w:gridCol w:w="1956"/>
      </w:tblGrid>
      <w:tr w:rsidR="00FF21D8" w:rsidRPr="00E14418" w:rsidTr="00E14418">
        <w:trPr>
          <w:cantSplit/>
          <w:trHeight w:val="871"/>
          <w:tblHeader/>
        </w:trPr>
        <w:tc>
          <w:tcPr>
            <w:tcW w:w="2516"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sz w:val="18"/>
                <w:szCs w:val="18"/>
              </w:rPr>
              <w:lastRenderedPageBreak/>
              <w:br w:type="page"/>
            </w:r>
            <w:r w:rsidRPr="00E14418">
              <w:rPr>
                <w:b/>
                <w:sz w:val="18"/>
                <w:szCs w:val="18"/>
                <w:lang w:val="es-ES_tradnl"/>
              </w:rPr>
              <w:t>Indicadores Propuestos</w:t>
            </w:r>
          </w:p>
        </w:tc>
        <w:tc>
          <w:tcPr>
            <w:tcW w:w="1023"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Unidad de Medida</w:t>
            </w:r>
          </w:p>
        </w:tc>
        <w:tc>
          <w:tcPr>
            <w:tcW w:w="1860" w:type="dxa"/>
            <w:gridSpan w:val="2"/>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Línea de Base</w:t>
            </w:r>
          </w:p>
        </w:tc>
        <w:tc>
          <w:tcPr>
            <w:tcW w:w="3695" w:type="dxa"/>
            <w:gridSpan w:val="5"/>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Valores intermedios (según año)</w:t>
            </w:r>
          </w:p>
        </w:tc>
        <w:tc>
          <w:tcPr>
            <w:tcW w:w="144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Meta (2019)</w:t>
            </w:r>
          </w:p>
        </w:tc>
        <w:tc>
          <w:tcPr>
            <w:tcW w:w="1701"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Fuente / Medio de Verificación</w:t>
            </w:r>
          </w:p>
        </w:tc>
        <w:tc>
          <w:tcPr>
            <w:tcW w:w="1956" w:type="dxa"/>
            <w:vMerge w:val="restart"/>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Observaciones</w:t>
            </w:r>
          </w:p>
        </w:tc>
      </w:tr>
      <w:tr w:rsidR="00FF21D8" w:rsidRPr="00E14418" w:rsidTr="00E14418">
        <w:trPr>
          <w:cantSplit/>
          <w:trHeight w:val="150"/>
          <w:tblHeader/>
        </w:trPr>
        <w:tc>
          <w:tcPr>
            <w:tcW w:w="2516" w:type="dxa"/>
            <w:vMerge/>
            <w:vAlign w:val="center"/>
          </w:tcPr>
          <w:p w:rsidR="00FF21D8" w:rsidRPr="00E14418" w:rsidRDefault="00FF21D8" w:rsidP="00102978">
            <w:pPr>
              <w:spacing w:before="30" w:after="30" w:line="276" w:lineRule="auto"/>
              <w:jc w:val="center"/>
              <w:rPr>
                <w:b/>
                <w:sz w:val="18"/>
                <w:szCs w:val="18"/>
                <w:lang w:val="es-ES_tradnl"/>
              </w:rPr>
            </w:pPr>
          </w:p>
        </w:tc>
        <w:tc>
          <w:tcPr>
            <w:tcW w:w="1023" w:type="dxa"/>
            <w:vMerge/>
            <w:vAlign w:val="center"/>
          </w:tcPr>
          <w:p w:rsidR="00FF21D8" w:rsidRPr="00E14418" w:rsidRDefault="00FF21D8" w:rsidP="00102978">
            <w:pPr>
              <w:spacing w:before="30" w:after="30" w:line="276" w:lineRule="auto"/>
              <w:jc w:val="center"/>
              <w:rPr>
                <w:b/>
                <w:sz w:val="18"/>
                <w:szCs w:val="18"/>
                <w:lang w:val="es-ES_tradnl"/>
              </w:rPr>
            </w:pPr>
          </w:p>
        </w:tc>
        <w:tc>
          <w:tcPr>
            <w:tcW w:w="874"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w:t>
            </w:r>
          </w:p>
        </w:tc>
        <w:tc>
          <w:tcPr>
            <w:tcW w:w="98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Año</w:t>
            </w:r>
          </w:p>
        </w:tc>
        <w:tc>
          <w:tcPr>
            <w:tcW w:w="771"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2015</w:t>
            </w:r>
          </w:p>
        </w:tc>
        <w:tc>
          <w:tcPr>
            <w:tcW w:w="940" w:type="dxa"/>
            <w:gridSpan w:val="2"/>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2016</w:t>
            </w:r>
          </w:p>
        </w:tc>
        <w:tc>
          <w:tcPr>
            <w:tcW w:w="989"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2017</w:t>
            </w:r>
          </w:p>
        </w:tc>
        <w:tc>
          <w:tcPr>
            <w:tcW w:w="995"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2018</w:t>
            </w:r>
          </w:p>
        </w:tc>
        <w:tc>
          <w:tcPr>
            <w:tcW w:w="1446" w:type="dxa"/>
            <w:vAlign w:val="center"/>
          </w:tcPr>
          <w:p w:rsidR="00FF21D8" w:rsidRPr="00E14418" w:rsidRDefault="00FF21D8" w:rsidP="00102978">
            <w:pPr>
              <w:spacing w:before="30" w:after="30" w:line="276" w:lineRule="auto"/>
              <w:jc w:val="center"/>
              <w:rPr>
                <w:b/>
                <w:sz w:val="18"/>
                <w:szCs w:val="18"/>
                <w:lang w:val="es-ES_tradnl"/>
              </w:rPr>
            </w:pPr>
            <w:r w:rsidRPr="00E14418">
              <w:rPr>
                <w:b/>
                <w:sz w:val="18"/>
                <w:szCs w:val="18"/>
                <w:lang w:val="es-ES_tradnl"/>
              </w:rPr>
              <w:t>Valor</w:t>
            </w:r>
          </w:p>
        </w:tc>
        <w:tc>
          <w:tcPr>
            <w:tcW w:w="1701" w:type="dxa"/>
            <w:vMerge/>
            <w:vAlign w:val="center"/>
          </w:tcPr>
          <w:p w:rsidR="00FF21D8" w:rsidRPr="00E14418" w:rsidRDefault="00FF21D8" w:rsidP="00102978">
            <w:pPr>
              <w:spacing w:before="30" w:after="30" w:line="276" w:lineRule="auto"/>
              <w:jc w:val="center"/>
              <w:rPr>
                <w:b/>
                <w:sz w:val="18"/>
                <w:szCs w:val="18"/>
                <w:lang w:val="es-ES_tradnl"/>
              </w:rPr>
            </w:pPr>
          </w:p>
        </w:tc>
        <w:tc>
          <w:tcPr>
            <w:tcW w:w="1956" w:type="dxa"/>
            <w:vMerge/>
            <w:vAlign w:val="center"/>
          </w:tcPr>
          <w:p w:rsidR="00FF21D8" w:rsidRPr="00E14418" w:rsidRDefault="00FF21D8" w:rsidP="00102978">
            <w:pPr>
              <w:spacing w:before="30" w:after="30" w:line="276" w:lineRule="auto"/>
              <w:jc w:val="center"/>
              <w:rPr>
                <w:b/>
                <w:sz w:val="18"/>
                <w:szCs w:val="18"/>
                <w:lang w:val="es-ES_tradnl"/>
              </w:rPr>
            </w:pPr>
          </w:p>
        </w:tc>
      </w:tr>
      <w:tr w:rsidR="00FF21D8" w:rsidRPr="00E14418" w:rsidTr="00E14418">
        <w:trPr>
          <w:cantSplit/>
          <w:trHeight w:val="615"/>
        </w:trPr>
        <w:tc>
          <w:tcPr>
            <w:tcW w:w="14197" w:type="dxa"/>
            <w:gridSpan w:val="12"/>
            <w:shd w:val="clear" w:color="auto" w:fill="D9D9D9" w:themeFill="background1" w:themeFillShade="D9"/>
            <w:vAlign w:val="center"/>
          </w:tcPr>
          <w:p w:rsidR="00FF21D8" w:rsidRPr="00E14418" w:rsidRDefault="00FF21D8" w:rsidP="00102978">
            <w:pPr>
              <w:spacing w:before="30" w:after="30" w:line="276" w:lineRule="auto"/>
              <w:rPr>
                <w:sz w:val="18"/>
                <w:szCs w:val="18"/>
                <w:lang w:val="es-ES_tradnl"/>
              </w:rPr>
            </w:pPr>
            <w:r w:rsidRPr="00E14418">
              <w:rPr>
                <w:sz w:val="18"/>
                <w:szCs w:val="18"/>
              </w:rPr>
              <w:br w:type="page"/>
            </w:r>
            <w:r w:rsidRPr="00E14418">
              <w:rPr>
                <w:b/>
                <w:sz w:val="18"/>
                <w:szCs w:val="18"/>
              </w:rPr>
              <w:t>Indicadores de PRODUCTOS</w:t>
            </w:r>
          </w:p>
        </w:tc>
      </w:tr>
      <w:tr w:rsidR="00FF21D8" w:rsidRPr="00E14418" w:rsidTr="00E14418">
        <w:trPr>
          <w:cantSplit/>
          <w:trHeight w:val="618"/>
        </w:trPr>
        <w:tc>
          <w:tcPr>
            <w:tcW w:w="2516" w:type="dxa"/>
            <w:vAlign w:val="center"/>
          </w:tcPr>
          <w:p w:rsidR="00FF21D8" w:rsidRPr="00E14418" w:rsidRDefault="00FF21D8" w:rsidP="00FF21D8">
            <w:pPr>
              <w:pStyle w:val="subpar"/>
              <w:numPr>
                <w:ilvl w:val="1"/>
                <w:numId w:val="40"/>
              </w:numPr>
              <w:spacing w:before="30" w:after="30"/>
              <w:ind w:left="426" w:hanging="426"/>
              <w:rPr>
                <w:sz w:val="18"/>
                <w:szCs w:val="18"/>
              </w:rPr>
            </w:pPr>
            <w:r w:rsidRPr="00E14418">
              <w:rPr>
                <w:sz w:val="18"/>
                <w:szCs w:val="18"/>
              </w:rPr>
              <w:t>Procesos de: (i) ejecución presupuestaria, (ii) registración contable, (iii) gestión de tesorería y (iv) registro de deuda; mapeados, optimizados, validados e integrados hasta el nivel 3 (tareas) en BPM.</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Proceso</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Informes de procesos validados por el MEF</w:t>
            </w:r>
          </w:p>
        </w:tc>
        <w:tc>
          <w:tcPr>
            <w:tcW w:w="1956" w:type="dxa"/>
            <w:vAlign w:val="center"/>
          </w:tcPr>
          <w:p w:rsidR="00FF21D8" w:rsidRPr="00E14418" w:rsidRDefault="00FF21D8" w:rsidP="00102978">
            <w:pPr>
              <w:spacing w:before="30" w:after="30" w:line="276" w:lineRule="auto"/>
              <w:jc w:val="center"/>
              <w:rPr>
                <w:sz w:val="18"/>
                <w:szCs w:val="18"/>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0"/>
              </w:numPr>
              <w:spacing w:before="30" w:after="30"/>
              <w:ind w:left="426" w:hanging="426"/>
              <w:rPr>
                <w:sz w:val="18"/>
                <w:szCs w:val="18"/>
              </w:rPr>
            </w:pPr>
            <w:r w:rsidRPr="00E14418">
              <w:rPr>
                <w:sz w:val="18"/>
                <w:szCs w:val="18"/>
              </w:rPr>
              <w:t>Marco normativo contable adaptado a los procesos optimizados y manuales armonizados con los estándares internacionales.</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Manuales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CGN</w:t>
            </w:r>
          </w:p>
        </w:tc>
        <w:tc>
          <w:tcPr>
            <w:tcW w:w="1956"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Manual de Contabilidad Gubernamental, Normas Particulares</w:t>
            </w:r>
          </w:p>
          <w:p w:rsidR="00FF21D8" w:rsidRPr="00E14418" w:rsidRDefault="00FF21D8" w:rsidP="00102978">
            <w:pPr>
              <w:spacing w:before="30" w:after="30" w:line="276" w:lineRule="auto"/>
              <w:rPr>
                <w:sz w:val="18"/>
                <w:szCs w:val="18"/>
                <w:lang w:val="es-ES_tradnl"/>
              </w:rPr>
            </w:pPr>
            <w:r w:rsidRPr="00E14418">
              <w:rPr>
                <w:sz w:val="18"/>
                <w:szCs w:val="18"/>
                <w:lang w:val="es-ES_tradnl"/>
              </w:rPr>
              <w:t>Presupuesto, Activos, Consolidación y Matriz de Conversión</w:t>
            </w: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0"/>
              </w:numPr>
              <w:spacing w:before="30" w:after="30"/>
              <w:ind w:left="426" w:hanging="426"/>
              <w:rPr>
                <w:sz w:val="18"/>
                <w:szCs w:val="18"/>
              </w:rPr>
            </w:pPr>
            <w:r w:rsidRPr="00E14418">
              <w:rPr>
                <w:sz w:val="18"/>
                <w:szCs w:val="18"/>
              </w:rPr>
              <w:t>Plan de Cuentas Contables y Clasificadores Presupuestarios, actualizados e integrados.</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Manuales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CGN</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1"/>
              </w:numPr>
              <w:spacing w:before="30" w:after="30"/>
              <w:ind w:left="426" w:hanging="426"/>
              <w:rPr>
                <w:sz w:val="18"/>
                <w:szCs w:val="18"/>
              </w:rPr>
            </w:pPr>
            <w:r w:rsidRPr="00E14418">
              <w:rPr>
                <w:sz w:val="18"/>
                <w:szCs w:val="18"/>
              </w:rPr>
              <w:t>Arquitectura tecnológica del SIIF2 definida y operativa.</w:t>
            </w:r>
          </w:p>
          <w:p w:rsidR="00FF21D8" w:rsidRPr="00E14418" w:rsidRDefault="00FF21D8" w:rsidP="00FF21D8">
            <w:pPr>
              <w:pStyle w:val="subpar"/>
              <w:numPr>
                <w:ilvl w:val="1"/>
                <w:numId w:val="43"/>
              </w:numPr>
              <w:spacing w:before="30" w:after="30"/>
              <w:ind w:left="709" w:hanging="283"/>
              <w:rPr>
                <w:sz w:val="18"/>
                <w:szCs w:val="18"/>
              </w:rPr>
            </w:pPr>
            <w:r w:rsidRPr="00E14418">
              <w:rPr>
                <w:sz w:val="18"/>
                <w:szCs w:val="18"/>
              </w:rPr>
              <w:t>Arquitectura y ambientes tecnológicos del SIIF2 definidos y dimensionados.</w:t>
            </w:r>
          </w:p>
          <w:p w:rsidR="00FF21D8" w:rsidRPr="00E14418" w:rsidRDefault="00FF21D8" w:rsidP="00FF21D8">
            <w:pPr>
              <w:pStyle w:val="subpar"/>
              <w:numPr>
                <w:ilvl w:val="1"/>
                <w:numId w:val="43"/>
              </w:numPr>
              <w:spacing w:before="30" w:after="30"/>
              <w:ind w:left="709" w:hanging="283"/>
              <w:rPr>
                <w:sz w:val="18"/>
                <w:szCs w:val="18"/>
              </w:rPr>
            </w:pPr>
            <w:r w:rsidRPr="00E14418">
              <w:rPr>
                <w:sz w:val="18"/>
                <w:szCs w:val="18"/>
              </w:rPr>
              <w:t xml:space="preserve">Ambientes tecnológicos del SIIF2 instalados (desarrollo, </w:t>
            </w:r>
            <w:r w:rsidRPr="00E14418">
              <w:rPr>
                <w:i/>
                <w:sz w:val="18"/>
                <w:szCs w:val="18"/>
              </w:rPr>
              <w:t>testing</w:t>
            </w:r>
            <w:r w:rsidRPr="00E14418">
              <w:rPr>
                <w:sz w:val="18"/>
                <w:szCs w:val="18"/>
              </w:rPr>
              <w:t>, pre producción y producción).</w:t>
            </w:r>
          </w:p>
        </w:tc>
        <w:tc>
          <w:tcPr>
            <w:tcW w:w="1023" w:type="dxa"/>
            <w:vAlign w:val="center"/>
          </w:tcPr>
          <w:p w:rsidR="00FF21D8" w:rsidRPr="00E14418" w:rsidRDefault="00FF21D8" w:rsidP="00102978">
            <w:pPr>
              <w:spacing w:before="30" w:after="30" w:line="276" w:lineRule="auto"/>
              <w:rPr>
                <w:sz w:val="18"/>
                <w:szCs w:val="18"/>
                <w:lang w:val="es-ES_tradnl"/>
              </w:rPr>
            </w:pPr>
          </w:p>
          <w:p w:rsidR="00FF21D8" w:rsidRPr="00E14418" w:rsidRDefault="00FF21D8" w:rsidP="00102978">
            <w:pPr>
              <w:spacing w:before="30" w:after="30" w:line="276" w:lineRule="auto"/>
              <w:rPr>
                <w:sz w:val="18"/>
                <w:szCs w:val="18"/>
                <w:lang w:val="es-ES_tradnl"/>
              </w:rPr>
            </w:pPr>
            <w:r w:rsidRPr="00E14418">
              <w:rPr>
                <w:sz w:val="18"/>
                <w:szCs w:val="18"/>
                <w:lang w:val="es-ES_tradnl"/>
              </w:rPr>
              <w:t>Informe</w:t>
            </w:r>
          </w:p>
          <w:p w:rsidR="00FF21D8" w:rsidRPr="00E14418" w:rsidRDefault="00FF21D8" w:rsidP="00102978">
            <w:pPr>
              <w:spacing w:before="30" w:after="30" w:line="276" w:lineRule="auto"/>
              <w:rPr>
                <w:sz w:val="18"/>
                <w:szCs w:val="18"/>
                <w:lang w:val="es-ES_tradnl"/>
              </w:rPr>
            </w:pPr>
          </w:p>
          <w:p w:rsidR="00FF21D8" w:rsidRPr="00E14418" w:rsidRDefault="00FF21D8" w:rsidP="00102978">
            <w:pPr>
              <w:spacing w:before="30" w:after="30" w:line="276" w:lineRule="auto"/>
              <w:rPr>
                <w:sz w:val="18"/>
                <w:szCs w:val="18"/>
                <w:lang w:val="es-ES_tradnl"/>
              </w:rPr>
            </w:pPr>
            <w:r w:rsidRPr="00E14418">
              <w:rPr>
                <w:sz w:val="18"/>
                <w:szCs w:val="18"/>
                <w:lang w:val="es-ES_tradnl"/>
              </w:rPr>
              <w:t>Ambiente</w:t>
            </w:r>
          </w:p>
        </w:tc>
        <w:tc>
          <w:tcPr>
            <w:tcW w:w="874" w:type="dxa"/>
            <w:vAlign w:val="center"/>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tc>
        <w:tc>
          <w:tcPr>
            <w:tcW w:w="986" w:type="dxa"/>
            <w:vAlign w:val="center"/>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rPr>
                <w:sz w:val="18"/>
                <w:szCs w:val="18"/>
                <w:lang w:val="es-ES_tradnl"/>
              </w:rPr>
            </w:pPr>
          </w:p>
        </w:tc>
        <w:tc>
          <w:tcPr>
            <w:tcW w:w="777" w:type="dxa"/>
            <w:gridSpan w:val="2"/>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89"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w:t>
            </w:r>
          </w:p>
        </w:tc>
        <w:tc>
          <w:tcPr>
            <w:tcW w:w="995"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w:t>
            </w: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UCP</w:t>
            </w:r>
          </w:p>
        </w:tc>
        <w:tc>
          <w:tcPr>
            <w:tcW w:w="1956"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 xml:space="preserve">Informe de arquitectura (2015), el informe de dimensionamiento (2016). </w:t>
            </w:r>
          </w:p>
          <w:p w:rsidR="00FF21D8" w:rsidRPr="00E14418" w:rsidRDefault="00FF21D8" w:rsidP="00102978">
            <w:pPr>
              <w:spacing w:before="30" w:after="30" w:line="276" w:lineRule="auto"/>
              <w:rPr>
                <w:sz w:val="18"/>
                <w:szCs w:val="18"/>
                <w:lang w:val="es-ES_tradnl"/>
              </w:rPr>
            </w:pPr>
            <w:r w:rsidRPr="00E14418">
              <w:rPr>
                <w:sz w:val="18"/>
                <w:szCs w:val="18"/>
                <w:lang w:val="es-ES_tradnl"/>
              </w:rPr>
              <w:t xml:space="preserve">Ambientes a partir del 2017. </w:t>
            </w: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1"/>
              </w:numPr>
              <w:spacing w:before="30" w:after="30"/>
              <w:ind w:left="426" w:hanging="426"/>
              <w:rPr>
                <w:sz w:val="18"/>
                <w:szCs w:val="18"/>
              </w:rPr>
            </w:pPr>
            <w:r w:rsidRPr="00E14418">
              <w:rPr>
                <w:sz w:val="18"/>
                <w:szCs w:val="18"/>
                <w:lang w:val="es-ES"/>
              </w:rPr>
              <w:lastRenderedPageBreak/>
              <w:t xml:space="preserve">Cantidad de funcionalidades/requisitos </w:t>
            </w:r>
            <w:r w:rsidRPr="00E14418">
              <w:rPr>
                <w:sz w:val="18"/>
                <w:szCs w:val="18"/>
              </w:rPr>
              <w:t>del SIIF2 correspondientes a: (i) Módulo Transaccional; (ii) Módulo Agregación (BI); (iii) Mecanismos de Interoperabilidad, desarrolladas.</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Funcionalidades / requisitos</w:t>
            </w:r>
          </w:p>
        </w:tc>
        <w:tc>
          <w:tcPr>
            <w:tcW w:w="874"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50</w:t>
            </w:r>
          </w:p>
        </w:tc>
        <w:tc>
          <w:tcPr>
            <w:tcW w:w="989"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200</w:t>
            </w:r>
          </w:p>
        </w:tc>
        <w:tc>
          <w:tcPr>
            <w:tcW w:w="995"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tcPr>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p>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250</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Meta original: TDR del SIIF 2.</w:t>
            </w:r>
          </w:p>
          <w:p w:rsidR="00FF21D8" w:rsidRPr="00E14418" w:rsidRDefault="00FF21D8" w:rsidP="00102978">
            <w:pPr>
              <w:spacing w:before="30" w:after="30" w:line="276" w:lineRule="auto"/>
              <w:rPr>
                <w:sz w:val="18"/>
                <w:szCs w:val="18"/>
                <w:lang w:val="es-ES_tradnl"/>
              </w:rPr>
            </w:pPr>
            <w:r w:rsidRPr="00E14418">
              <w:rPr>
                <w:sz w:val="18"/>
                <w:szCs w:val="18"/>
                <w:lang w:val="es-ES_tradnl"/>
              </w:rPr>
              <w:t>Matriz de aceptación de entregables.</w:t>
            </w:r>
          </w:p>
        </w:tc>
        <w:tc>
          <w:tcPr>
            <w:tcW w:w="1956"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Valores intermedios de avance: 2016, 20% de la meta, 2017, 80%, de acuerdo a la metodología de desarrollo.</w:t>
            </w: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1"/>
              </w:numPr>
              <w:spacing w:before="30" w:after="30"/>
              <w:ind w:left="426" w:hanging="426"/>
              <w:rPr>
                <w:sz w:val="18"/>
                <w:szCs w:val="18"/>
              </w:rPr>
            </w:pPr>
            <w:r w:rsidRPr="00E14418">
              <w:rPr>
                <w:sz w:val="18"/>
                <w:szCs w:val="18"/>
              </w:rPr>
              <w:t>Cantidad de Unidades Ejecutoras de la administración central con SIIF2 en operación.</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Unidades Ejecutoras</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10</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70</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SIIF 2 / Informe de CGN</w:t>
            </w:r>
          </w:p>
        </w:tc>
        <w:tc>
          <w:tcPr>
            <w:tcW w:w="1956" w:type="dxa"/>
          </w:tcPr>
          <w:p w:rsidR="00FF21D8" w:rsidRPr="00E14418" w:rsidRDefault="00FF21D8" w:rsidP="00102978">
            <w:pPr>
              <w:spacing w:before="30" w:after="30" w:line="276" w:lineRule="auto"/>
              <w:rPr>
                <w:sz w:val="18"/>
                <w:szCs w:val="18"/>
                <w:lang w:val="es-ES_tradnl"/>
              </w:rPr>
            </w:pPr>
            <w:r w:rsidRPr="00E14418">
              <w:rPr>
                <w:sz w:val="18"/>
                <w:szCs w:val="18"/>
                <w:lang w:val="es-ES_tradnl"/>
              </w:rPr>
              <w:t>126 unidades ejecutoras en la Administración Central</w:t>
            </w: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2"/>
              </w:numPr>
              <w:spacing w:before="30" w:after="30"/>
              <w:ind w:left="426" w:hanging="426"/>
              <w:rPr>
                <w:sz w:val="18"/>
                <w:szCs w:val="18"/>
              </w:rPr>
            </w:pPr>
            <w:r w:rsidRPr="00E14418">
              <w:rPr>
                <w:sz w:val="18"/>
                <w:szCs w:val="18"/>
              </w:rPr>
              <w:t>Diagnóstico y propuesta de fortalecimiento de la CGN.</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UCP</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2"/>
              </w:numPr>
              <w:spacing w:before="30" w:after="30"/>
              <w:ind w:left="426" w:hanging="426"/>
              <w:rPr>
                <w:sz w:val="18"/>
                <w:szCs w:val="18"/>
              </w:rPr>
            </w:pPr>
            <w:r w:rsidRPr="00E14418">
              <w:rPr>
                <w:sz w:val="18"/>
                <w:szCs w:val="18"/>
              </w:rPr>
              <w:t>Personal de la CGN capacitado</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Personal</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80</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80</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200</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UCP</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2"/>
              </w:numPr>
              <w:spacing w:before="30" w:after="30"/>
              <w:ind w:left="426" w:hanging="426"/>
              <w:rPr>
                <w:sz w:val="18"/>
                <w:szCs w:val="18"/>
              </w:rPr>
            </w:pPr>
            <w:r w:rsidRPr="00E14418">
              <w:rPr>
                <w:sz w:val="18"/>
                <w:szCs w:val="18"/>
              </w:rPr>
              <w:t>Ejecución del plan de gestión del cambio en la CGN.</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UCP</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2"/>
              </w:numPr>
              <w:spacing w:before="30" w:after="30"/>
              <w:ind w:left="426" w:hanging="426"/>
              <w:rPr>
                <w:sz w:val="18"/>
                <w:szCs w:val="18"/>
              </w:rPr>
            </w:pPr>
            <w:r w:rsidRPr="00E14418">
              <w:rPr>
                <w:sz w:val="18"/>
                <w:szCs w:val="18"/>
              </w:rPr>
              <w:t>Sistemas de gestión de UPN y TGN desarrollados.</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1</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UPN y TGN</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r w:rsidR="00FF21D8" w:rsidRPr="00E14418" w:rsidTr="00E14418">
        <w:trPr>
          <w:cantSplit/>
          <w:trHeight w:val="185"/>
        </w:trPr>
        <w:tc>
          <w:tcPr>
            <w:tcW w:w="2516" w:type="dxa"/>
            <w:vAlign w:val="center"/>
          </w:tcPr>
          <w:p w:rsidR="00FF21D8" w:rsidRPr="00E14418" w:rsidRDefault="00FF21D8" w:rsidP="00FF21D8">
            <w:pPr>
              <w:pStyle w:val="subpar"/>
              <w:numPr>
                <w:ilvl w:val="1"/>
                <w:numId w:val="42"/>
              </w:numPr>
              <w:spacing w:before="30" w:after="30"/>
              <w:ind w:left="426" w:hanging="426"/>
              <w:rPr>
                <w:sz w:val="18"/>
                <w:szCs w:val="18"/>
              </w:rPr>
            </w:pPr>
            <w:r w:rsidRPr="00E14418">
              <w:rPr>
                <w:sz w:val="18"/>
                <w:szCs w:val="18"/>
              </w:rPr>
              <w:t>Personal de UPN y TGN capacitados</w:t>
            </w:r>
          </w:p>
        </w:tc>
        <w:tc>
          <w:tcPr>
            <w:tcW w:w="1023"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Personal</w:t>
            </w:r>
          </w:p>
        </w:tc>
        <w:tc>
          <w:tcPr>
            <w:tcW w:w="87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0</w:t>
            </w:r>
          </w:p>
        </w:tc>
        <w:tc>
          <w:tcPr>
            <w:tcW w:w="98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2014</w:t>
            </w:r>
          </w:p>
        </w:tc>
        <w:tc>
          <w:tcPr>
            <w:tcW w:w="777" w:type="dxa"/>
            <w:gridSpan w:val="2"/>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w:t>
            </w:r>
          </w:p>
        </w:tc>
        <w:tc>
          <w:tcPr>
            <w:tcW w:w="934"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20</w:t>
            </w:r>
          </w:p>
        </w:tc>
        <w:tc>
          <w:tcPr>
            <w:tcW w:w="989"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995"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w:t>
            </w:r>
          </w:p>
        </w:tc>
        <w:tc>
          <w:tcPr>
            <w:tcW w:w="1446" w:type="dxa"/>
            <w:vAlign w:val="center"/>
          </w:tcPr>
          <w:p w:rsidR="00FF21D8" w:rsidRPr="00E14418" w:rsidRDefault="00FF21D8" w:rsidP="00102978">
            <w:pPr>
              <w:spacing w:before="30" w:after="30" w:line="276" w:lineRule="auto"/>
              <w:jc w:val="center"/>
              <w:rPr>
                <w:sz w:val="18"/>
                <w:szCs w:val="18"/>
                <w:lang w:val="es-ES_tradnl"/>
              </w:rPr>
            </w:pPr>
            <w:r w:rsidRPr="00E14418">
              <w:rPr>
                <w:sz w:val="18"/>
                <w:szCs w:val="18"/>
                <w:lang w:val="es-ES_tradnl"/>
              </w:rPr>
              <w:t>40</w:t>
            </w:r>
          </w:p>
        </w:tc>
        <w:tc>
          <w:tcPr>
            <w:tcW w:w="1701" w:type="dxa"/>
            <w:vAlign w:val="center"/>
          </w:tcPr>
          <w:p w:rsidR="00FF21D8" w:rsidRPr="00E14418" w:rsidRDefault="00FF21D8" w:rsidP="00102978">
            <w:pPr>
              <w:spacing w:before="30" w:after="30" w:line="276" w:lineRule="auto"/>
              <w:rPr>
                <w:sz w:val="18"/>
                <w:szCs w:val="18"/>
                <w:lang w:val="es-ES_tradnl"/>
              </w:rPr>
            </w:pPr>
            <w:r w:rsidRPr="00E14418">
              <w:rPr>
                <w:sz w:val="18"/>
                <w:szCs w:val="18"/>
                <w:lang w:val="es-ES_tradnl"/>
              </w:rPr>
              <w:t>Informe de la UCP</w:t>
            </w:r>
          </w:p>
        </w:tc>
        <w:tc>
          <w:tcPr>
            <w:tcW w:w="1956" w:type="dxa"/>
            <w:vAlign w:val="center"/>
          </w:tcPr>
          <w:p w:rsidR="00FF21D8" w:rsidRPr="00E14418" w:rsidRDefault="00FF21D8" w:rsidP="00102978">
            <w:pPr>
              <w:spacing w:before="30" w:after="30" w:line="276" w:lineRule="auto"/>
              <w:jc w:val="center"/>
              <w:rPr>
                <w:sz w:val="18"/>
                <w:szCs w:val="18"/>
                <w:lang w:val="es-ES_tradnl"/>
              </w:rPr>
            </w:pPr>
          </w:p>
        </w:tc>
      </w:tr>
    </w:tbl>
    <w:p w:rsidR="00FF21D8" w:rsidRPr="00E23C59" w:rsidRDefault="00FF21D8" w:rsidP="00FF21D8">
      <w:pPr>
        <w:spacing w:after="200" w:line="276" w:lineRule="auto"/>
        <w:rPr>
          <w:lang w:val="es-ES_tradnl"/>
        </w:rPr>
      </w:pPr>
    </w:p>
    <w:p w:rsidR="00FF21D8" w:rsidRPr="009B5484" w:rsidRDefault="00FF21D8" w:rsidP="00FF21D8">
      <w:pPr>
        <w:spacing w:after="200" w:line="276" w:lineRule="auto"/>
        <w:rPr>
          <w:lang w:val="es-ES_tradnl"/>
        </w:rPr>
      </w:pPr>
    </w:p>
    <w:p w:rsidR="004222A8" w:rsidRPr="006D5597" w:rsidRDefault="004222A8">
      <w:pPr>
        <w:rPr>
          <w:lang w:val="pt-BR"/>
        </w:rPr>
        <w:sectPr w:rsidR="004222A8" w:rsidRPr="006D5597" w:rsidSect="006D5597">
          <w:pgSz w:w="15840" w:h="12240" w:orient="landscape" w:code="1"/>
          <w:pgMar w:top="851" w:right="851" w:bottom="1418" w:left="851" w:header="709" w:footer="856" w:gutter="0"/>
          <w:cols w:space="708"/>
          <w:docGrid w:linePitch="360"/>
        </w:sectPr>
      </w:pPr>
    </w:p>
    <w:p w:rsidR="00843C83" w:rsidRPr="006D5597" w:rsidRDefault="00843C83">
      <w:pPr>
        <w:rPr>
          <w:lang w:val="pt-BR"/>
        </w:rPr>
      </w:pPr>
    </w:p>
    <w:p w:rsidR="00E60866" w:rsidRPr="006D5597" w:rsidRDefault="00E60866">
      <w:pPr>
        <w:rPr>
          <w:lang w:val="pt-BR"/>
        </w:rPr>
      </w:pPr>
    </w:p>
    <w:sectPr w:rsidR="00E60866" w:rsidRPr="006D5597" w:rsidSect="004222A8">
      <w:pgSz w:w="12240" w:h="15840" w:code="1"/>
      <w:pgMar w:top="851" w:right="1418" w:bottom="851" w:left="1418" w:header="709" w:footer="8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F4C" w:rsidRDefault="00F34F4C" w:rsidP="00D04EC0">
      <w:r>
        <w:separator/>
      </w:r>
    </w:p>
  </w:endnote>
  <w:endnote w:type="continuationSeparator" w:id="0">
    <w:p w:rsidR="00F34F4C" w:rsidRDefault="00F34F4C"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F87" w:rsidRDefault="009B7F87" w:rsidP="001A0694">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F87" w:rsidRDefault="009B7F87" w:rsidP="001A0694">
    <w:pPr>
      <w:pStyle w:val="Footer"/>
      <w:jc w:val="right"/>
    </w:pPr>
    <w:r>
      <w:fldChar w:fldCharType="begin"/>
    </w:r>
    <w:r>
      <w:instrText>PAGE   \* MERGEFORMAT</w:instrText>
    </w:r>
    <w:r>
      <w:fldChar w:fldCharType="separate"/>
    </w:r>
    <w:r w:rsidR="00E42B11">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F4C" w:rsidRDefault="00F34F4C" w:rsidP="00D04EC0">
      <w:r>
        <w:separator/>
      </w:r>
    </w:p>
  </w:footnote>
  <w:footnote w:type="continuationSeparator" w:id="0">
    <w:p w:rsidR="00F34F4C" w:rsidRDefault="00F34F4C" w:rsidP="00D04EC0">
      <w:r>
        <w:continuationSeparator/>
      </w:r>
    </w:p>
  </w:footnote>
  <w:footnote w:id="1">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Dentro de la Administración Central se enmarcan todos los ministerios del Poder Ejecutivo. Además, los incisos o entidades del artículo 220 son Poder Judicial, Tribunal de Cuentas, Universidad de la República y ASSE.</w:t>
      </w:r>
    </w:p>
  </w:footnote>
  <w:footnote w:id="2">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Ver Propuesta para el Desarrollo de la Operación (POD).</w:t>
      </w:r>
    </w:p>
  </w:footnote>
  <w:footnote w:id="3">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El Sistema de Información Presupuestaria (SIP) sólo cuenta información del Presupuesto Quinquenal en línea y actualizada durante el primer año del quinquenio. Esto se debe a que se ingresa la información  en el momento en que el Presupuesto Quinquenal es aprobado por el Parlamento a valores históricos y posteriormente no sufre actualizaciones. Ver EEO1.</w:t>
      </w:r>
    </w:p>
  </w:footnote>
  <w:footnote w:id="4">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En la actualidad el SIIF no es interoperable con ningún otro sistema financiero del Sector Público.</w:t>
      </w:r>
    </w:p>
  </w:footnote>
  <w:footnote w:id="5">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P</w:t>
      </w:r>
      <w:r w:rsidRPr="00E42B11">
        <w:rPr>
          <w:lang w:val="es-ES_tradnl"/>
        </w:rPr>
        <w:t xml:space="preserve">ara la formulación y ejecución presupuestaria se utiliza el SIP y el Sistema de Ejecución de Gasto (SEG), ambos módulos cuenta con la información del Presupuesto Nacional, sin embargo el SIP cuenta con la versión aprobada formalmente por el Parlamento y a valores históricos. Por su parte el SEG cuenta con información actualizada del presupuesto a valores monetarios corrientes. </w:t>
      </w:r>
    </w:p>
  </w:footnote>
  <w:footnote w:id="6">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Dato proporcionado por el MEF. </w:t>
      </w:r>
    </w:p>
  </w:footnote>
  <w:footnote w:id="7">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Ver la Presentación del Tribunal de Cuentas en el anexo EEO4. </w:t>
      </w:r>
    </w:p>
  </w:footnote>
  <w:footnote w:id="8">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En la sección </w:t>
      </w:r>
      <w:r w:rsidRPr="00E42B11">
        <w:fldChar w:fldCharType="begin"/>
      </w:r>
      <w:r w:rsidRPr="00E42B11">
        <w:instrText xml:space="preserve"> REF _Ref370402829 \r \h </w:instrText>
      </w:r>
      <w:r w:rsidR="00E42B11">
        <w:instrText xml:space="preserve"> \* MERGEFORMAT </w:instrText>
      </w:r>
      <w:r w:rsidRPr="00E42B11">
        <w:fldChar w:fldCharType="separate"/>
      </w:r>
      <w:r w:rsidRPr="00E42B11">
        <w:t>3.3</w:t>
      </w:r>
      <w:r w:rsidRPr="00E42B11">
        <w:fldChar w:fldCharType="end"/>
      </w:r>
      <w:r w:rsidRPr="00E42B11">
        <w:t xml:space="preserve"> se analiza en detalle la metodología de cálculo y monetización.</w:t>
      </w:r>
    </w:p>
  </w:footnote>
  <w:footnote w:id="9">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Aplicando el tipo de cambio medio del año 2013 (UYU 20,36 por dólar).</w:t>
      </w:r>
    </w:p>
  </w:footnote>
  <w:footnote w:id="10">
    <w:p w:rsidR="009B7F87" w:rsidRPr="00E42B11" w:rsidRDefault="009B7F87" w:rsidP="00E42B11">
      <w:pPr>
        <w:pStyle w:val="FootnoteText"/>
        <w:ind w:left="360" w:hanging="360"/>
        <w:rPr>
          <w:lang w:val="es-ES_tradnl"/>
        </w:rPr>
      </w:pPr>
      <w:r w:rsidRPr="00E42B11">
        <w:rPr>
          <w:rStyle w:val="FootnoteReference"/>
        </w:rPr>
        <w:footnoteRef/>
      </w:r>
      <w:r w:rsidRPr="00E42B11">
        <w:rPr>
          <w:lang w:val="es-ES_tradnl"/>
        </w:rPr>
        <w:t xml:space="preserve"> </w:t>
      </w:r>
      <w:r w:rsidR="00E42B11">
        <w:rPr>
          <w:lang w:val="es-ES_tradnl"/>
        </w:rPr>
        <w:tab/>
      </w:r>
      <w:r w:rsidRPr="00E42B11">
        <w:rPr>
          <w:lang w:val="es-ES_tradnl"/>
        </w:rPr>
        <w:t>Para un mayor detalle de estas reglas y sus distintas variantes, puede consultarse Fuguitt y Wilcox (1999: 82 y ss.).</w:t>
      </w:r>
    </w:p>
  </w:footnote>
  <w:footnote w:id="11">
    <w:p w:rsidR="009B7F87" w:rsidRPr="00E42B11" w:rsidRDefault="009B7F87" w:rsidP="00E42B11">
      <w:pPr>
        <w:pStyle w:val="Footer"/>
        <w:ind w:left="360" w:hanging="360"/>
        <w:rPr>
          <w:sz w:val="20"/>
          <w:szCs w:val="20"/>
        </w:rPr>
      </w:pPr>
      <w:r w:rsidRPr="00E42B11">
        <w:rPr>
          <w:rStyle w:val="FootnoteReference"/>
          <w:szCs w:val="20"/>
        </w:rPr>
        <w:footnoteRef/>
      </w:r>
      <w:r w:rsidRPr="00E42B11">
        <w:rPr>
          <w:sz w:val="20"/>
          <w:szCs w:val="20"/>
        </w:rPr>
        <w:t xml:space="preserve"> </w:t>
      </w:r>
      <w:r w:rsidR="00E42B11">
        <w:rPr>
          <w:sz w:val="20"/>
          <w:szCs w:val="20"/>
        </w:rPr>
        <w:tab/>
      </w:r>
      <w:r w:rsidRPr="00E42B11">
        <w:rPr>
          <w:sz w:val="20"/>
          <w:szCs w:val="20"/>
        </w:rPr>
        <w:t xml:space="preserve">Para un análisis </w:t>
      </w:r>
      <w:r w:rsidRPr="00E42B11">
        <w:rPr>
          <w:sz w:val="20"/>
          <w:szCs w:val="20"/>
          <w:lang w:val="es-ES_tradnl"/>
        </w:rPr>
        <w:t>exhaustivo de la situación de la gestión presupuestaria y del funcionamiento del SIIF</w:t>
      </w:r>
      <w:r w:rsidRPr="00E42B11">
        <w:rPr>
          <w:sz w:val="20"/>
          <w:szCs w:val="20"/>
        </w:rPr>
        <w:t xml:space="preserve"> se puede consultar CPA-Ferrere (2008). </w:t>
      </w:r>
      <w:r w:rsidRPr="00E42B11">
        <w:rPr>
          <w:i/>
          <w:sz w:val="20"/>
          <w:szCs w:val="20"/>
        </w:rPr>
        <w:t>Diagnóstico del Sistema Integrado de Información Financiera (SIIF)</w:t>
      </w:r>
      <w:r w:rsidRPr="00E42B11">
        <w:rPr>
          <w:sz w:val="20"/>
          <w:szCs w:val="20"/>
        </w:rPr>
        <w:t xml:space="preserve">. </w:t>
      </w:r>
    </w:p>
  </w:footnote>
  <w:footnote w:id="12">
    <w:p w:rsidR="009B7F87" w:rsidRPr="00E42B11" w:rsidRDefault="009B7F87" w:rsidP="00E42B11">
      <w:pPr>
        <w:pStyle w:val="Footer"/>
        <w:ind w:left="360" w:hanging="360"/>
        <w:rPr>
          <w:sz w:val="20"/>
          <w:szCs w:val="20"/>
        </w:rPr>
      </w:pPr>
      <w:r w:rsidRPr="00E42B11">
        <w:rPr>
          <w:rStyle w:val="FootnoteReference"/>
          <w:szCs w:val="20"/>
        </w:rPr>
        <w:footnoteRef/>
      </w:r>
      <w:r w:rsidR="00E42B11">
        <w:rPr>
          <w:sz w:val="20"/>
          <w:szCs w:val="20"/>
        </w:rPr>
        <w:t xml:space="preserve"> </w:t>
      </w:r>
      <w:r w:rsidR="00E42B11">
        <w:rPr>
          <w:sz w:val="20"/>
          <w:szCs w:val="20"/>
        </w:rPr>
        <w:tab/>
      </w:r>
      <w:r w:rsidRPr="00E42B11">
        <w:rPr>
          <w:sz w:val="20"/>
          <w:szCs w:val="20"/>
        </w:rPr>
        <w:t xml:space="preserve">CPA-Ferrere (2012). </w:t>
      </w:r>
      <w:r w:rsidRPr="00E42B11">
        <w:rPr>
          <w:i/>
          <w:sz w:val="20"/>
          <w:szCs w:val="20"/>
        </w:rPr>
        <w:t>Modelo conceptual del SIIF</w:t>
      </w:r>
      <w:r w:rsidRPr="00E42B11">
        <w:rPr>
          <w:sz w:val="20"/>
          <w:szCs w:val="20"/>
        </w:rPr>
        <w:t xml:space="preserve"> (borrador de informe). </w:t>
      </w:r>
    </w:p>
  </w:footnote>
  <w:footnote w:id="13">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El BNDES aplica otros criterios en sus estudios de viabilidad de las inversiones, donde priman los factores de rentabilidad de muy largo plazo </w:t>
      </w:r>
    </w:p>
  </w:footnote>
  <w:footnote w:id="14">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Ver párrafo </w:t>
      </w:r>
      <w:r w:rsidRPr="00E42B11">
        <w:fldChar w:fldCharType="begin"/>
      </w:r>
      <w:r w:rsidRPr="00E42B11">
        <w:instrText xml:space="preserve"> REF _Ref373326688 \r \h </w:instrText>
      </w:r>
      <w:r w:rsidR="00E42B11">
        <w:instrText xml:space="preserve"> \* MERGEFORMAT </w:instrText>
      </w:r>
      <w:r w:rsidRPr="00E42B11">
        <w:fldChar w:fldCharType="separate"/>
      </w:r>
      <w:r w:rsidRPr="00E42B11">
        <w:t>29</w:t>
      </w:r>
      <w:r w:rsidRPr="00E42B11">
        <w:fldChar w:fldCharType="end"/>
      </w:r>
      <w:r w:rsidRPr="00E42B11">
        <w:t>.</w:t>
      </w:r>
    </w:p>
  </w:footnote>
  <w:footnote w:id="15">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El máximo permitido por el Banco Central del Uruguay (BCU) es del 16,68%, para préstamos comerciales empresas pequeñas con un plazo de vencimiento no superior a 366 días. Para empresas grandes y medianas y con el mismo vencimiento, la tasa máxima fijada por el BCU es del 14,02% (fuente: </w:t>
      </w:r>
      <w:hyperlink r:id="rId1" w:history="1">
        <w:r w:rsidRPr="00E42B11">
          <w:rPr>
            <w:rStyle w:val="Hyperlink"/>
          </w:rPr>
          <w:t>http://www.bcu.gub.uy/Servicios-Financieros-SSF/Tasas%20Medias%20de%20Inters/tasas_medias_interes.pdf</w:t>
        </w:r>
      </w:hyperlink>
      <w:r w:rsidRPr="00E42B11">
        <w:t xml:space="preserve">). </w:t>
      </w:r>
    </w:p>
  </w:footnote>
  <w:footnote w:id="16">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La CUN puede definirse como una </w:t>
      </w:r>
      <w:r w:rsidRPr="00E42B11">
        <w:rPr>
          <w:bCs/>
        </w:rPr>
        <w:t>estructura unificada de las cuentas bancarias del Tesoro Nacional</w:t>
      </w:r>
      <w:r w:rsidRPr="00E42B11">
        <w:t xml:space="preserve"> que facilita la consolidación y la utilización óptima de los recursos de efectivo del gobierno (TGN 2013). Engloba a los organismos del Presupuesto Nacional (ministerios) y organismos del artículo 220 de la Constitución (Tribunal de Cuentas, Corte Electoral, ANEP, ASSE, Poder Judicial y Universidad de la República).</w:t>
      </w:r>
    </w:p>
  </w:footnote>
  <w:footnote w:id="17">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Se sigue TGN (2013).</w:t>
      </w:r>
    </w:p>
  </w:footnote>
  <w:footnote w:id="18">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El encaje al 100% está determinado por el artículo 8º de la Ley 14.867 que regula el ordenamiento financiero del Estado. </w:t>
      </w:r>
    </w:p>
  </w:footnote>
  <w:footnote w:id="19">
    <w:p w:rsidR="009B7F87" w:rsidRPr="00E42B11" w:rsidRDefault="009B7F87" w:rsidP="00E42B11">
      <w:pPr>
        <w:pStyle w:val="FootnoteText"/>
        <w:ind w:left="360" w:hanging="360"/>
      </w:pPr>
      <w:r w:rsidRPr="00E42B11">
        <w:rPr>
          <w:rStyle w:val="FootnoteReference"/>
        </w:rPr>
        <w:footnoteRef/>
      </w:r>
      <w:r w:rsidRPr="00E42B11">
        <w:t xml:space="preserve"> </w:t>
      </w:r>
      <w:r w:rsidR="00E42B11">
        <w:tab/>
      </w:r>
      <w:r w:rsidRPr="00E42B11">
        <w:t xml:space="preserve">Resultado de la operación: USD 4,9 millones menos USD 491.000. </w:t>
      </w:r>
    </w:p>
  </w:footnote>
  <w:footnote w:id="20">
    <w:p w:rsidR="009B7F87" w:rsidRPr="00E42B11" w:rsidRDefault="009B7F87" w:rsidP="00E42B11">
      <w:pPr>
        <w:pStyle w:val="FootnoteText"/>
        <w:ind w:left="360" w:hanging="360"/>
      </w:pPr>
      <w:r w:rsidRPr="00E42B11">
        <w:rPr>
          <w:rStyle w:val="FootnoteReference"/>
        </w:rPr>
        <w:footnoteRef/>
      </w:r>
      <w:r w:rsidR="00E42B11">
        <w:rPr>
          <w:lang w:val="es-ES_tradnl"/>
        </w:rPr>
        <w:t xml:space="preserve"> </w:t>
      </w:r>
      <w:r w:rsidR="00E42B11">
        <w:rPr>
          <w:lang w:val="es-ES_tradnl"/>
        </w:rPr>
        <w:tab/>
      </w:r>
      <w:r w:rsidRPr="00E42B11">
        <w:rPr>
          <w:lang w:val="es-ES_tradnl"/>
        </w:rPr>
        <w:t>Fuguitt y Wilcox (1999: 82 y ss.).</w:t>
      </w:r>
    </w:p>
  </w:footnote>
  <w:footnote w:id="21">
    <w:p w:rsidR="009B7F87" w:rsidRPr="00E42B11" w:rsidRDefault="009B7F87" w:rsidP="00E42B11">
      <w:pPr>
        <w:pStyle w:val="FootnoteText"/>
        <w:ind w:left="360" w:hanging="360"/>
      </w:pPr>
      <w:bookmarkStart w:id="42" w:name="_GoBack"/>
      <w:bookmarkEnd w:id="42"/>
      <w:r w:rsidRPr="00E42B11">
        <w:rPr>
          <w:rStyle w:val="FootnoteReference"/>
        </w:rPr>
        <w:footnoteRef/>
      </w:r>
      <w:r w:rsidRPr="00E42B11">
        <w:t xml:space="preserve"> </w:t>
      </w:r>
      <w:r w:rsidR="00E42B11">
        <w:tab/>
      </w:r>
      <w:r w:rsidRPr="00E42B11">
        <w:t xml:space="preserve">Reducción de seis días imputable a la finalización de la optimización de procesos.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D63E81"/>
    <w:multiLevelType w:val="multilevel"/>
    <w:tmpl w:val="1B10B896"/>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nsid w:val="027D3323"/>
    <w:multiLevelType w:val="multilevel"/>
    <w:tmpl w:val="A79CC0B0"/>
    <w:lvl w:ilvl="0">
      <w:start w:val="1"/>
      <w:numFmt w:val="decimal"/>
      <w:lvlText w:val="%1."/>
      <w:lvlJc w:val="left"/>
      <w:pPr>
        <w:ind w:left="360" w:hanging="360"/>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nsid w:val="17ED09DE"/>
    <w:multiLevelType w:val="hybridMultilevel"/>
    <w:tmpl w:val="559E0B32"/>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1A2B1859"/>
    <w:multiLevelType w:val="multilevel"/>
    <w:tmpl w:val="0CE2BF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24A76315"/>
    <w:multiLevelType w:val="multilevel"/>
    <w:tmpl w:val="EB76D0E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8627FB2"/>
    <w:multiLevelType w:val="multilevel"/>
    <w:tmpl w:val="C04CC0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1E27521"/>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8">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34DC2D21"/>
    <w:multiLevelType w:val="hybridMultilevel"/>
    <w:tmpl w:val="1756ABA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0">
    <w:nsid w:val="34EB5D09"/>
    <w:multiLevelType w:val="multilevel"/>
    <w:tmpl w:val="BA70CA90"/>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nsid w:val="35F1209E"/>
    <w:multiLevelType w:val="multilevel"/>
    <w:tmpl w:val="F6F0FC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FE5C5C"/>
    <w:multiLevelType w:val="hybridMultilevel"/>
    <w:tmpl w:val="8F2C31AA"/>
    <w:lvl w:ilvl="0" w:tplc="AB9CE96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nsid w:val="3E644D43"/>
    <w:multiLevelType w:val="hybridMultilevel"/>
    <w:tmpl w:val="743C9A3C"/>
    <w:lvl w:ilvl="0" w:tplc="8FD2056A">
      <w:start w:val="1"/>
      <w:numFmt w:val="bullet"/>
      <w:lvlText w:val="•"/>
      <w:lvlJc w:val="left"/>
      <w:pPr>
        <w:tabs>
          <w:tab w:val="num" w:pos="927"/>
        </w:tabs>
        <w:ind w:left="927" w:hanging="360"/>
      </w:pPr>
      <w:rPr>
        <w:rFonts w:ascii="Georgia" w:hAnsi="Georgia" w:hint="default"/>
      </w:rPr>
    </w:lvl>
    <w:lvl w:ilvl="1" w:tplc="0B9EF048" w:tentative="1">
      <w:start w:val="1"/>
      <w:numFmt w:val="bullet"/>
      <w:lvlText w:val="•"/>
      <w:lvlJc w:val="left"/>
      <w:pPr>
        <w:tabs>
          <w:tab w:val="num" w:pos="1647"/>
        </w:tabs>
        <w:ind w:left="1647" w:hanging="360"/>
      </w:pPr>
      <w:rPr>
        <w:rFonts w:ascii="Georgia" w:hAnsi="Georgia" w:hint="default"/>
      </w:rPr>
    </w:lvl>
    <w:lvl w:ilvl="2" w:tplc="C38ED9A8" w:tentative="1">
      <w:start w:val="1"/>
      <w:numFmt w:val="bullet"/>
      <w:lvlText w:val="•"/>
      <w:lvlJc w:val="left"/>
      <w:pPr>
        <w:tabs>
          <w:tab w:val="num" w:pos="2367"/>
        </w:tabs>
        <w:ind w:left="2367" w:hanging="360"/>
      </w:pPr>
      <w:rPr>
        <w:rFonts w:ascii="Georgia" w:hAnsi="Georgia" w:hint="default"/>
      </w:rPr>
    </w:lvl>
    <w:lvl w:ilvl="3" w:tplc="B29E0D66" w:tentative="1">
      <w:start w:val="1"/>
      <w:numFmt w:val="bullet"/>
      <w:lvlText w:val="•"/>
      <w:lvlJc w:val="left"/>
      <w:pPr>
        <w:tabs>
          <w:tab w:val="num" w:pos="3087"/>
        </w:tabs>
        <w:ind w:left="3087" w:hanging="360"/>
      </w:pPr>
      <w:rPr>
        <w:rFonts w:ascii="Georgia" w:hAnsi="Georgia" w:hint="default"/>
      </w:rPr>
    </w:lvl>
    <w:lvl w:ilvl="4" w:tplc="5B262196" w:tentative="1">
      <w:start w:val="1"/>
      <w:numFmt w:val="bullet"/>
      <w:lvlText w:val="•"/>
      <w:lvlJc w:val="left"/>
      <w:pPr>
        <w:tabs>
          <w:tab w:val="num" w:pos="3807"/>
        </w:tabs>
        <w:ind w:left="3807" w:hanging="360"/>
      </w:pPr>
      <w:rPr>
        <w:rFonts w:ascii="Georgia" w:hAnsi="Georgia" w:hint="default"/>
      </w:rPr>
    </w:lvl>
    <w:lvl w:ilvl="5" w:tplc="D7601884" w:tentative="1">
      <w:start w:val="1"/>
      <w:numFmt w:val="bullet"/>
      <w:lvlText w:val="•"/>
      <w:lvlJc w:val="left"/>
      <w:pPr>
        <w:tabs>
          <w:tab w:val="num" w:pos="4527"/>
        </w:tabs>
        <w:ind w:left="4527" w:hanging="360"/>
      </w:pPr>
      <w:rPr>
        <w:rFonts w:ascii="Georgia" w:hAnsi="Georgia" w:hint="default"/>
      </w:rPr>
    </w:lvl>
    <w:lvl w:ilvl="6" w:tplc="BDF85DAE" w:tentative="1">
      <w:start w:val="1"/>
      <w:numFmt w:val="bullet"/>
      <w:lvlText w:val="•"/>
      <w:lvlJc w:val="left"/>
      <w:pPr>
        <w:tabs>
          <w:tab w:val="num" w:pos="5247"/>
        </w:tabs>
        <w:ind w:left="5247" w:hanging="360"/>
      </w:pPr>
      <w:rPr>
        <w:rFonts w:ascii="Georgia" w:hAnsi="Georgia" w:hint="default"/>
      </w:rPr>
    </w:lvl>
    <w:lvl w:ilvl="7" w:tplc="746E2BC6" w:tentative="1">
      <w:start w:val="1"/>
      <w:numFmt w:val="bullet"/>
      <w:lvlText w:val="•"/>
      <w:lvlJc w:val="left"/>
      <w:pPr>
        <w:tabs>
          <w:tab w:val="num" w:pos="5967"/>
        </w:tabs>
        <w:ind w:left="5967" w:hanging="360"/>
      </w:pPr>
      <w:rPr>
        <w:rFonts w:ascii="Georgia" w:hAnsi="Georgia" w:hint="default"/>
      </w:rPr>
    </w:lvl>
    <w:lvl w:ilvl="8" w:tplc="B3A0807E" w:tentative="1">
      <w:start w:val="1"/>
      <w:numFmt w:val="bullet"/>
      <w:lvlText w:val="•"/>
      <w:lvlJc w:val="left"/>
      <w:pPr>
        <w:tabs>
          <w:tab w:val="num" w:pos="6687"/>
        </w:tabs>
        <w:ind w:left="6687" w:hanging="360"/>
      </w:pPr>
      <w:rPr>
        <w:rFonts w:ascii="Georgia" w:hAnsi="Georgia" w:hint="default"/>
      </w:rPr>
    </w:lvl>
  </w:abstractNum>
  <w:abstractNum w:abstractNumId="24">
    <w:nsid w:val="404847DE"/>
    <w:multiLevelType w:val="hybridMultilevel"/>
    <w:tmpl w:val="BEB0F2A2"/>
    <w:lvl w:ilvl="0" w:tplc="040A000F">
      <w:start w:val="1"/>
      <w:numFmt w:val="decimal"/>
      <w:lvlText w:val="%1."/>
      <w:lvlJc w:val="left"/>
      <w:pPr>
        <w:ind w:left="360" w:hanging="360"/>
      </w:pPr>
    </w:lvl>
    <w:lvl w:ilvl="1" w:tplc="C1AEBDC0">
      <w:start w:val="1"/>
      <w:numFmt w:val="lowerLetter"/>
      <w:lvlText w:val="%2."/>
      <w:lvlJc w:val="left"/>
      <w:pPr>
        <w:ind w:left="1425" w:hanging="705"/>
      </w:pPr>
      <w:rPr>
        <w:rFonts w:hint="default"/>
      </w:r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5">
    <w:nsid w:val="412456E0"/>
    <w:multiLevelType w:val="multilevel"/>
    <w:tmpl w:val="9E0CB1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5B90457"/>
    <w:multiLevelType w:val="hybridMultilevel"/>
    <w:tmpl w:val="343EAEE8"/>
    <w:lvl w:ilvl="0" w:tplc="442260C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7">
    <w:nsid w:val="461C5906"/>
    <w:multiLevelType w:val="multilevel"/>
    <w:tmpl w:val="FA701C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479148ED"/>
    <w:multiLevelType w:val="hybridMultilevel"/>
    <w:tmpl w:val="559E0B32"/>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nsid w:val="523B7099"/>
    <w:multiLevelType w:val="multilevel"/>
    <w:tmpl w:val="D0B06FE4"/>
    <w:lvl w:ilvl="0">
      <w:start w:val="2"/>
      <w:numFmt w:val="decimal"/>
      <w:lvlText w:val="%1"/>
      <w:lvlJc w:val="left"/>
      <w:pPr>
        <w:ind w:left="360" w:hanging="360"/>
      </w:pPr>
      <w:rPr>
        <w:rFonts w:hint="default"/>
      </w:rPr>
    </w:lvl>
    <w:lvl w:ilvl="1">
      <w:start w:val="1"/>
      <w:numFmt w:val="bullet"/>
      <w:lvlText w:val=""/>
      <w:lvlJc w:val="left"/>
      <w:pPr>
        <w:ind w:left="1146" w:hanging="360"/>
      </w:pPr>
      <w:rPr>
        <w:rFonts w:ascii="Symbol" w:hAnsi="Symbol"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0">
    <w:nsid w:val="54D239DB"/>
    <w:multiLevelType w:val="multilevel"/>
    <w:tmpl w:val="BC68625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Times New Roman" w:hAnsi="Times New Roman" w:cs="Times New Roman" w:hint="default"/>
        <w:b w:val="0"/>
        <w:sz w:val="24"/>
        <w:szCs w:val="24"/>
      </w:rPr>
    </w:lvl>
    <w:lvl w:ilvl="2">
      <w:start w:val="1"/>
      <w:numFmt w:val="lowerLetter"/>
      <w:lvlText w:val="%3."/>
      <w:lvlJc w:val="left"/>
      <w:pPr>
        <w:tabs>
          <w:tab w:val="num" w:pos="2592"/>
        </w:tabs>
        <w:ind w:left="2592" w:hanging="432"/>
      </w:pPr>
      <w:rPr>
        <w:lang w:val="pt-BR"/>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1">
    <w:nsid w:val="58086875"/>
    <w:multiLevelType w:val="hybridMultilevel"/>
    <w:tmpl w:val="23B2A538"/>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2">
    <w:nsid w:val="5A0718AF"/>
    <w:multiLevelType w:val="hybridMultilevel"/>
    <w:tmpl w:val="069AA3F8"/>
    <w:lvl w:ilvl="0" w:tplc="0C0A0017">
      <w:start w:val="1"/>
      <w:numFmt w:val="lowerLetter"/>
      <w:lvlText w:val="%1)"/>
      <w:lvlJc w:val="left"/>
      <w:pPr>
        <w:ind w:left="927" w:hanging="360"/>
      </w:pPr>
    </w:lvl>
    <w:lvl w:ilvl="1" w:tplc="0C0A0017">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3">
    <w:nsid w:val="5A8564A6"/>
    <w:multiLevelType w:val="hybridMultilevel"/>
    <w:tmpl w:val="8F2C31AA"/>
    <w:lvl w:ilvl="0" w:tplc="AB9CE96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4">
    <w:nsid w:val="5EF073FC"/>
    <w:multiLevelType w:val="hybridMultilevel"/>
    <w:tmpl w:val="31CCE2DC"/>
    <w:lvl w:ilvl="0" w:tplc="52D4034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F6C6D76"/>
    <w:multiLevelType w:val="hybridMultilevel"/>
    <w:tmpl w:val="D4A8CA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41B23D0"/>
    <w:multiLevelType w:val="hybridMultilevel"/>
    <w:tmpl w:val="CF044932"/>
    <w:lvl w:ilvl="0" w:tplc="0C0A0017">
      <w:start w:val="1"/>
      <w:numFmt w:val="lowerLetter"/>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649A280F"/>
    <w:multiLevelType w:val="hybridMultilevel"/>
    <w:tmpl w:val="07DC04FE"/>
    <w:lvl w:ilvl="0" w:tplc="6C580ED4">
      <w:start w:val="1"/>
      <w:numFmt w:val="bullet"/>
      <w:lvlText w:val=""/>
      <w:lvlJc w:val="left"/>
      <w:pPr>
        <w:ind w:left="1636" w:hanging="360"/>
      </w:pPr>
      <w:rPr>
        <w:rFonts w:ascii="Symbol" w:hAnsi="Symbol" w:hint="default"/>
      </w:rPr>
    </w:lvl>
    <w:lvl w:ilvl="1" w:tplc="0C0A0003" w:tentative="1">
      <w:start w:val="1"/>
      <w:numFmt w:val="bullet"/>
      <w:lvlText w:val="o"/>
      <w:lvlJc w:val="left"/>
      <w:pPr>
        <w:ind w:left="2356" w:hanging="360"/>
      </w:pPr>
      <w:rPr>
        <w:rFonts w:ascii="Courier New" w:hAnsi="Courier New" w:cs="Courier New" w:hint="default"/>
      </w:rPr>
    </w:lvl>
    <w:lvl w:ilvl="2" w:tplc="0C0A0005" w:tentative="1">
      <w:start w:val="1"/>
      <w:numFmt w:val="bullet"/>
      <w:lvlText w:val=""/>
      <w:lvlJc w:val="left"/>
      <w:pPr>
        <w:ind w:left="3076" w:hanging="360"/>
      </w:pPr>
      <w:rPr>
        <w:rFonts w:ascii="Wingdings" w:hAnsi="Wingdings" w:hint="default"/>
      </w:rPr>
    </w:lvl>
    <w:lvl w:ilvl="3" w:tplc="0C0A0001" w:tentative="1">
      <w:start w:val="1"/>
      <w:numFmt w:val="bullet"/>
      <w:lvlText w:val=""/>
      <w:lvlJc w:val="left"/>
      <w:pPr>
        <w:ind w:left="3796" w:hanging="360"/>
      </w:pPr>
      <w:rPr>
        <w:rFonts w:ascii="Symbol" w:hAnsi="Symbol" w:hint="default"/>
      </w:rPr>
    </w:lvl>
    <w:lvl w:ilvl="4" w:tplc="0C0A0003" w:tentative="1">
      <w:start w:val="1"/>
      <w:numFmt w:val="bullet"/>
      <w:lvlText w:val="o"/>
      <w:lvlJc w:val="left"/>
      <w:pPr>
        <w:ind w:left="4516" w:hanging="360"/>
      </w:pPr>
      <w:rPr>
        <w:rFonts w:ascii="Courier New" w:hAnsi="Courier New" w:cs="Courier New" w:hint="default"/>
      </w:rPr>
    </w:lvl>
    <w:lvl w:ilvl="5" w:tplc="0C0A0005" w:tentative="1">
      <w:start w:val="1"/>
      <w:numFmt w:val="bullet"/>
      <w:lvlText w:val=""/>
      <w:lvlJc w:val="left"/>
      <w:pPr>
        <w:ind w:left="5236" w:hanging="360"/>
      </w:pPr>
      <w:rPr>
        <w:rFonts w:ascii="Wingdings" w:hAnsi="Wingdings" w:hint="default"/>
      </w:rPr>
    </w:lvl>
    <w:lvl w:ilvl="6" w:tplc="0C0A0001" w:tentative="1">
      <w:start w:val="1"/>
      <w:numFmt w:val="bullet"/>
      <w:lvlText w:val=""/>
      <w:lvlJc w:val="left"/>
      <w:pPr>
        <w:ind w:left="5956" w:hanging="360"/>
      </w:pPr>
      <w:rPr>
        <w:rFonts w:ascii="Symbol" w:hAnsi="Symbol" w:hint="default"/>
      </w:rPr>
    </w:lvl>
    <w:lvl w:ilvl="7" w:tplc="0C0A0003" w:tentative="1">
      <w:start w:val="1"/>
      <w:numFmt w:val="bullet"/>
      <w:lvlText w:val="o"/>
      <w:lvlJc w:val="left"/>
      <w:pPr>
        <w:ind w:left="6676" w:hanging="360"/>
      </w:pPr>
      <w:rPr>
        <w:rFonts w:ascii="Courier New" w:hAnsi="Courier New" w:cs="Courier New" w:hint="default"/>
      </w:rPr>
    </w:lvl>
    <w:lvl w:ilvl="8" w:tplc="0C0A0005" w:tentative="1">
      <w:start w:val="1"/>
      <w:numFmt w:val="bullet"/>
      <w:lvlText w:val=""/>
      <w:lvlJc w:val="left"/>
      <w:pPr>
        <w:ind w:left="7396" w:hanging="360"/>
      </w:pPr>
      <w:rPr>
        <w:rFonts w:ascii="Wingdings" w:hAnsi="Wingdings" w:hint="default"/>
      </w:rPr>
    </w:lvl>
  </w:abstractNum>
  <w:abstractNum w:abstractNumId="38">
    <w:nsid w:val="6E5F06E5"/>
    <w:multiLevelType w:val="hybridMultilevel"/>
    <w:tmpl w:val="7102CE9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nsid w:val="6F641CA6"/>
    <w:multiLevelType w:val="hybridMultilevel"/>
    <w:tmpl w:val="46B01D40"/>
    <w:lvl w:ilvl="0" w:tplc="FD5095E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nsid w:val="72E8766E"/>
    <w:multiLevelType w:val="hybridMultilevel"/>
    <w:tmpl w:val="8F2C31AA"/>
    <w:lvl w:ilvl="0" w:tplc="AB9CE96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1">
    <w:nsid w:val="7A607ADF"/>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4"/>
  </w:num>
  <w:num w:numId="13">
    <w:abstractNumId w:val="12"/>
  </w:num>
  <w:num w:numId="14">
    <w:abstractNumId w:val="17"/>
  </w:num>
  <w:num w:numId="15">
    <w:abstractNumId w:val="19"/>
  </w:num>
  <w:num w:numId="16">
    <w:abstractNumId w:val="11"/>
  </w:num>
  <w:num w:numId="17">
    <w:abstractNumId w:val="33"/>
  </w:num>
  <w:num w:numId="18">
    <w:abstractNumId w:val="37"/>
  </w:num>
  <w:num w:numId="19">
    <w:abstractNumId w:val="32"/>
  </w:num>
  <w:num w:numId="20">
    <w:abstractNumId w:val="23"/>
  </w:num>
  <w:num w:numId="21">
    <w:abstractNumId w:val="21"/>
  </w:num>
  <w:num w:numId="22">
    <w:abstractNumId w:val="25"/>
  </w:num>
  <w:num w:numId="23">
    <w:abstractNumId w:val="14"/>
  </w:num>
  <w:num w:numId="24">
    <w:abstractNumId w:val="14"/>
  </w:num>
  <w:num w:numId="25">
    <w:abstractNumId w:val="14"/>
  </w:num>
  <w:num w:numId="26">
    <w:abstractNumId w:val="27"/>
  </w:num>
  <w:num w:numId="27">
    <w:abstractNumId w:val="15"/>
  </w:num>
  <w:num w:numId="28">
    <w:abstractNumId w:val="34"/>
  </w:num>
  <w:num w:numId="29">
    <w:abstractNumId w:val="22"/>
  </w:num>
  <w:num w:numId="30">
    <w:abstractNumId w:val="39"/>
  </w:num>
  <w:num w:numId="31">
    <w:abstractNumId w:val="13"/>
  </w:num>
  <w:num w:numId="32">
    <w:abstractNumId w:val="28"/>
  </w:num>
  <w:num w:numId="33">
    <w:abstractNumId w:val="41"/>
  </w:num>
  <w:num w:numId="34">
    <w:abstractNumId w:val="31"/>
  </w:num>
  <w:num w:numId="35">
    <w:abstractNumId w:val="40"/>
  </w:num>
  <w:num w:numId="36">
    <w:abstractNumId w:val="38"/>
  </w:num>
  <w:num w:numId="37">
    <w:abstractNumId w:val="26"/>
  </w:num>
  <w:num w:numId="38">
    <w:abstractNumId w:val="30"/>
  </w:num>
  <w:num w:numId="39">
    <w:abstractNumId w:val="35"/>
  </w:num>
  <w:num w:numId="40">
    <w:abstractNumId w:val="16"/>
  </w:num>
  <w:num w:numId="41">
    <w:abstractNumId w:val="20"/>
  </w:num>
  <w:num w:numId="42">
    <w:abstractNumId w:val="10"/>
  </w:num>
  <w:num w:numId="43">
    <w:abstractNumId w:val="29"/>
  </w:num>
  <w:num w:numId="44">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CL" w:vendorID="64" w:dllVersion="131078" w:nlCheck="1" w:checkStyle="1"/>
  <w:activeWritingStyle w:appName="MSWord" w:lang="pt-BR" w:vendorID="64" w:dllVersion="131078" w:nlCheck="1" w:checkStyle="0"/>
  <w:activeWritingStyle w:appName="MSWord" w:lang="es-UY"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1C9A"/>
    <w:rsid w:val="000022B3"/>
    <w:rsid w:val="00006638"/>
    <w:rsid w:val="00010D61"/>
    <w:rsid w:val="00011AD3"/>
    <w:rsid w:val="000127F7"/>
    <w:rsid w:val="00012A86"/>
    <w:rsid w:val="00013BED"/>
    <w:rsid w:val="00013EF5"/>
    <w:rsid w:val="00014890"/>
    <w:rsid w:val="00014D73"/>
    <w:rsid w:val="000155D9"/>
    <w:rsid w:val="000167FF"/>
    <w:rsid w:val="00017305"/>
    <w:rsid w:val="0002054C"/>
    <w:rsid w:val="0002292D"/>
    <w:rsid w:val="0002356C"/>
    <w:rsid w:val="00023687"/>
    <w:rsid w:val="00024096"/>
    <w:rsid w:val="00024268"/>
    <w:rsid w:val="0002462A"/>
    <w:rsid w:val="000250AF"/>
    <w:rsid w:val="00025E6B"/>
    <w:rsid w:val="00026E53"/>
    <w:rsid w:val="00027A3A"/>
    <w:rsid w:val="00027E30"/>
    <w:rsid w:val="0003078A"/>
    <w:rsid w:val="0003338D"/>
    <w:rsid w:val="000339F4"/>
    <w:rsid w:val="00034A69"/>
    <w:rsid w:val="00035899"/>
    <w:rsid w:val="000370C6"/>
    <w:rsid w:val="00037F13"/>
    <w:rsid w:val="00040650"/>
    <w:rsid w:val="0004079A"/>
    <w:rsid w:val="00041026"/>
    <w:rsid w:val="000413EA"/>
    <w:rsid w:val="00041731"/>
    <w:rsid w:val="00042D8B"/>
    <w:rsid w:val="000430A5"/>
    <w:rsid w:val="00043DA2"/>
    <w:rsid w:val="00046021"/>
    <w:rsid w:val="000466A3"/>
    <w:rsid w:val="00046AF0"/>
    <w:rsid w:val="00046FDA"/>
    <w:rsid w:val="000478CC"/>
    <w:rsid w:val="000507BD"/>
    <w:rsid w:val="000515B9"/>
    <w:rsid w:val="00053BA0"/>
    <w:rsid w:val="00055F90"/>
    <w:rsid w:val="000567C7"/>
    <w:rsid w:val="00057E05"/>
    <w:rsid w:val="00060105"/>
    <w:rsid w:val="00060AB7"/>
    <w:rsid w:val="00064011"/>
    <w:rsid w:val="0006505A"/>
    <w:rsid w:val="000650E7"/>
    <w:rsid w:val="00067B8C"/>
    <w:rsid w:val="00070A2F"/>
    <w:rsid w:val="0007174B"/>
    <w:rsid w:val="00072ABA"/>
    <w:rsid w:val="00072EE5"/>
    <w:rsid w:val="00073134"/>
    <w:rsid w:val="00074355"/>
    <w:rsid w:val="00074DCA"/>
    <w:rsid w:val="00076BBB"/>
    <w:rsid w:val="00076E6D"/>
    <w:rsid w:val="00081CD5"/>
    <w:rsid w:val="0008261D"/>
    <w:rsid w:val="000865EF"/>
    <w:rsid w:val="00086BF0"/>
    <w:rsid w:val="00090970"/>
    <w:rsid w:val="000922FF"/>
    <w:rsid w:val="00093A3A"/>
    <w:rsid w:val="000944BF"/>
    <w:rsid w:val="000949A3"/>
    <w:rsid w:val="00094F4A"/>
    <w:rsid w:val="00096F7F"/>
    <w:rsid w:val="000A053D"/>
    <w:rsid w:val="000A06DE"/>
    <w:rsid w:val="000A1628"/>
    <w:rsid w:val="000A1992"/>
    <w:rsid w:val="000A2AB3"/>
    <w:rsid w:val="000A2D1F"/>
    <w:rsid w:val="000A5801"/>
    <w:rsid w:val="000A586A"/>
    <w:rsid w:val="000A5E32"/>
    <w:rsid w:val="000B00C1"/>
    <w:rsid w:val="000B0871"/>
    <w:rsid w:val="000B1297"/>
    <w:rsid w:val="000B1D4C"/>
    <w:rsid w:val="000B275B"/>
    <w:rsid w:val="000B28CA"/>
    <w:rsid w:val="000B519A"/>
    <w:rsid w:val="000B53D2"/>
    <w:rsid w:val="000B55B4"/>
    <w:rsid w:val="000B5686"/>
    <w:rsid w:val="000B6AF0"/>
    <w:rsid w:val="000B7263"/>
    <w:rsid w:val="000C0A77"/>
    <w:rsid w:val="000C159F"/>
    <w:rsid w:val="000C1629"/>
    <w:rsid w:val="000C17C6"/>
    <w:rsid w:val="000C282F"/>
    <w:rsid w:val="000C2EAD"/>
    <w:rsid w:val="000C3083"/>
    <w:rsid w:val="000C5373"/>
    <w:rsid w:val="000C5972"/>
    <w:rsid w:val="000C7345"/>
    <w:rsid w:val="000C7499"/>
    <w:rsid w:val="000D1C59"/>
    <w:rsid w:val="000D38FA"/>
    <w:rsid w:val="000D3A88"/>
    <w:rsid w:val="000D44B4"/>
    <w:rsid w:val="000D481B"/>
    <w:rsid w:val="000D5296"/>
    <w:rsid w:val="000D5429"/>
    <w:rsid w:val="000D7913"/>
    <w:rsid w:val="000D7957"/>
    <w:rsid w:val="000E0839"/>
    <w:rsid w:val="000E141B"/>
    <w:rsid w:val="000E3828"/>
    <w:rsid w:val="000E4C6C"/>
    <w:rsid w:val="000E55EA"/>
    <w:rsid w:val="000E5EC6"/>
    <w:rsid w:val="000E5F45"/>
    <w:rsid w:val="000E68EF"/>
    <w:rsid w:val="000E697E"/>
    <w:rsid w:val="000E78AC"/>
    <w:rsid w:val="000E7D60"/>
    <w:rsid w:val="000F1A1B"/>
    <w:rsid w:val="000F2057"/>
    <w:rsid w:val="000F37AC"/>
    <w:rsid w:val="000F5250"/>
    <w:rsid w:val="000F5F9A"/>
    <w:rsid w:val="000F60BB"/>
    <w:rsid w:val="000F615C"/>
    <w:rsid w:val="000F6222"/>
    <w:rsid w:val="000F7FA8"/>
    <w:rsid w:val="001002E2"/>
    <w:rsid w:val="00101772"/>
    <w:rsid w:val="00102978"/>
    <w:rsid w:val="00102B62"/>
    <w:rsid w:val="00103A26"/>
    <w:rsid w:val="00103D3A"/>
    <w:rsid w:val="00104B0E"/>
    <w:rsid w:val="00104E03"/>
    <w:rsid w:val="00105ADE"/>
    <w:rsid w:val="00107412"/>
    <w:rsid w:val="00107D21"/>
    <w:rsid w:val="00110654"/>
    <w:rsid w:val="00110AEA"/>
    <w:rsid w:val="0011108D"/>
    <w:rsid w:val="001121DE"/>
    <w:rsid w:val="001123AE"/>
    <w:rsid w:val="001146B1"/>
    <w:rsid w:val="00114ABF"/>
    <w:rsid w:val="001164AA"/>
    <w:rsid w:val="00116EE5"/>
    <w:rsid w:val="00117DC0"/>
    <w:rsid w:val="0012267D"/>
    <w:rsid w:val="00122899"/>
    <w:rsid w:val="001228EF"/>
    <w:rsid w:val="001245AB"/>
    <w:rsid w:val="001268DC"/>
    <w:rsid w:val="00126F36"/>
    <w:rsid w:val="0013072C"/>
    <w:rsid w:val="00130C87"/>
    <w:rsid w:val="00133645"/>
    <w:rsid w:val="00134CA1"/>
    <w:rsid w:val="0013680B"/>
    <w:rsid w:val="00136A0B"/>
    <w:rsid w:val="00136B76"/>
    <w:rsid w:val="00137506"/>
    <w:rsid w:val="0013752D"/>
    <w:rsid w:val="001379BD"/>
    <w:rsid w:val="00140937"/>
    <w:rsid w:val="00142495"/>
    <w:rsid w:val="00143D15"/>
    <w:rsid w:val="00144B37"/>
    <w:rsid w:val="00145179"/>
    <w:rsid w:val="00145871"/>
    <w:rsid w:val="00145B76"/>
    <w:rsid w:val="0014706F"/>
    <w:rsid w:val="00147325"/>
    <w:rsid w:val="00150C0A"/>
    <w:rsid w:val="00152382"/>
    <w:rsid w:val="001526D4"/>
    <w:rsid w:val="00152AFA"/>
    <w:rsid w:val="00154780"/>
    <w:rsid w:val="00155C32"/>
    <w:rsid w:val="0015617B"/>
    <w:rsid w:val="0015682F"/>
    <w:rsid w:val="001577AB"/>
    <w:rsid w:val="00157A27"/>
    <w:rsid w:val="00160076"/>
    <w:rsid w:val="0016015B"/>
    <w:rsid w:val="00161072"/>
    <w:rsid w:val="0016257E"/>
    <w:rsid w:val="00163252"/>
    <w:rsid w:val="00163DCB"/>
    <w:rsid w:val="00164496"/>
    <w:rsid w:val="001649BE"/>
    <w:rsid w:val="00165D50"/>
    <w:rsid w:val="0016659F"/>
    <w:rsid w:val="00172EF6"/>
    <w:rsid w:val="00173517"/>
    <w:rsid w:val="00173F0B"/>
    <w:rsid w:val="0017426A"/>
    <w:rsid w:val="001742D0"/>
    <w:rsid w:val="0017454C"/>
    <w:rsid w:val="0017791C"/>
    <w:rsid w:val="00180434"/>
    <w:rsid w:val="00180945"/>
    <w:rsid w:val="0018095D"/>
    <w:rsid w:val="0018272B"/>
    <w:rsid w:val="001830AA"/>
    <w:rsid w:val="00186010"/>
    <w:rsid w:val="00186882"/>
    <w:rsid w:val="00190494"/>
    <w:rsid w:val="00193360"/>
    <w:rsid w:val="001955F0"/>
    <w:rsid w:val="00195625"/>
    <w:rsid w:val="00195E06"/>
    <w:rsid w:val="00197225"/>
    <w:rsid w:val="00197506"/>
    <w:rsid w:val="001A0694"/>
    <w:rsid w:val="001A0C14"/>
    <w:rsid w:val="001A2052"/>
    <w:rsid w:val="001A2A7E"/>
    <w:rsid w:val="001A3254"/>
    <w:rsid w:val="001A40CE"/>
    <w:rsid w:val="001A54B2"/>
    <w:rsid w:val="001A6008"/>
    <w:rsid w:val="001A6333"/>
    <w:rsid w:val="001A6501"/>
    <w:rsid w:val="001A7C57"/>
    <w:rsid w:val="001B06AB"/>
    <w:rsid w:val="001B4AC4"/>
    <w:rsid w:val="001B63C2"/>
    <w:rsid w:val="001B703C"/>
    <w:rsid w:val="001B77CD"/>
    <w:rsid w:val="001B78EB"/>
    <w:rsid w:val="001C00AE"/>
    <w:rsid w:val="001C0B29"/>
    <w:rsid w:val="001C1249"/>
    <w:rsid w:val="001C16B1"/>
    <w:rsid w:val="001C36AA"/>
    <w:rsid w:val="001C3CF2"/>
    <w:rsid w:val="001C3EBE"/>
    <w:rsid w:val="001C45E9"/>
    <w:rsid w:val="001C4805"/>
    <w:rsid w:val="001C6C4B"/>
    <w:rsid w:val="001C78A0"/>
    <w:rsid w:val="001D05C5"/>
    <w:rsid w:val="001D2BBE"/>
    <w:rsid w:val="001D3771"/>
    <w:rsid w:val="001D45A4"/>
    <w:rsid w:val="001D50A9"/>
    <w:rsid w:val="001D7104"/>
    <w:rsid w:val="001D7BBA"/>
    <w:rsid w:val="001E07A2"/>
    <w:rsid w:val="001E2E96"/>
    <w:rsid w:val="001E6314"/>
    <w:rsid w:val="001E720E"/>
    <w:rsid w:val="001F0EAC"/>
    <w:rsid w:val="001F1594"/>
    <w:rsid w:val="001F30D1"/>
    <w:rsid w:val="001F37E7"/>
    <w:rsid w:val="001F4D8B"/>
    <w:rsid w:val="001F5023"/>
    <w:rsid w:val="001F6CAA"/>
    <w:rsid w:val="001F711D"/>
    <w:rsid w:val="002001E6"/>
    <w:rsid w:val="00200298"/>
    <w:rsid w:val="00200A8D"/>
    <w:rsid w:val="00203531"/>
    <w:rsid w:val="00203911"/>
    <w:rsid w:val="00204592"/>
    <w:rsid w:val="00204895"/>
    <w:rsid w:val="002048AD"/>
    <w:rsid w:val="00204BFD"/>
    <w:rsid w:val="002056F5"/>
    <w:rsid w:val="00206389"/>
    <w:rsid w:val="00206888"/>
    <w:rsid w:val="00210EC2"/>
    <w:rsid w:val="0021151D"/>
    <w:rsid w:val="00211968"/>
    <w:rsid w:val="00211A6F"/>
    <w:rsid w:val="0021254A"/>
    <w:rsid w:val="00212706"/>
    <w:rsid w:val="002142D6"/>
    <w:rsid w:val="00215302"/>
    <w:rsid w:val="00215726"/>
    <w:rsid w:val="00216907"/>
    <w:rsid w:val="0021696C"/>
    <w:rsid w:val="002177E0"/>
    <w:rsid w:val="00221952"/>
    <w:rsid w:val="0022394C"/>
    <w:rsid w:val="002248BE"/>
    <w:rsid w:val="002249AA"/>
    <w:rsid w:val="002256FC"/>
    <w:rsid w:val="00226D32"/>
    <w:rsid w:val="00227112"/>
    <w:rsid w:val="00230EE7"/>
    <w:rsid w:val="00232515"/>
    <w:rsid w:val="00232E0F"/>
    <w:rsid w:val="002331B9"/>
    <w:rsid w:val="00235293"/>
    <w:rsid w:val="002359ED"/>
    <w:rsid w:val="00235A1A"/>
    <w:rsid w:val="002367B7"/>
    <w:rsid w:val="00236A3B"/>
    <w:rsid w:val="00237248"/>
    <w:rsid w:val="002402F0"/>
    <w:rsid w:val="0024089D"/>
    <w:rsid w:val="0024160B"/>
    <w:rsid w:val="00243686"/>
    <w:rsid w:val="002442E2"/>
    <w:rsid w:val="00245614"/>
    <w:rsid w:val="00245893"/>
    <w:rsid w:val="00245E40"/>
    <w:rsid w:val="00246271"/>
    <w:rsid w:val="00250757"/>
    <w:rsid w:val="00250EE0"/>
    <w:rsid w:val="002511AA"/>
    <w:rsid w:val="00251AB8"/>
    <w:rsid w:val="00251CAF"/>
    <w:rsid w:val="0025225B"/>
    <w:rsid w:val="0025397E"/>
    <w:rsid w:val="0025420B"/>
    <w:rsid w:val="00254C9C"/>
    <w:rsid w:val="0025503A"/>
    <w:rsid w:val="002550BC"/>
    <w:rsid w:val="00255FE7"/>
    <w:rsid w:val="00256A2E"/>
    <w:rsid w:val="00256DBA"/>
    <w:rsid w:val="0026058F"/>
    <w:rsid w:val="0026085A"/>
    <w:rsid w:val="0026101A"/>
    <w:rsid w:val="002616C2"/>
    <w:rsid w:val="00262BA7"/>
    <w:rsid w:val="00263C4B"/>
    <w:rsid w:val="00267B80"/>
    <w:rsid w:val="002707BB"/>
    <w:rsid w:val="00270A89"/>
    <w:rsid w:val="00272B60"/>
    <w:rsid w:val="00272C06"/>
    <w:rsid w:val="00273EAB"/>
    <w:rsid w:val="00276DF2"/>
    <w:rsid w:val="0027703D"/>
    <w:rsid w:val="00280D39"/>
    <w:rsid w:val="00281C0D"/>
    <w:rsid w:val="002820D5"/>
    <w:rsid w:val="002834A1"/>
    <w:rsid w:val="00283D5F"/>
    <w:rsid w:val="0028698C"/>
    <w:rsid w:val="00286A2D"/>
    <w:rsid w:val="0029033E"/>
    <w:rsid w:val="00291C87"/>
    <w:rsid w:val="00292EF0"/>
    <w:rsid w:val="00293217"/>
    <w:rsid w:val="00293329"/>
    <w:rsid w:val="00293DAE"/>
    <w:rsid w:val="002943C0"/>
    <w:rsid w:val="002944B3"/>
    <w:rsid w:val="0029515A"/>
    <w:rsid w:val="0029519E"/>
    <w:rsid w:val="00295A8C"/>
    <w:rsid w:val="00295C21"/>
    <w:rsid w:val="00296029"/>
    <w:rsid w:val="00296C07"/>
    <w:rsid w:val="002A05FD"/>
    <w:rsid w:val="002A2A19"/>
    <w:rsid w:val="002A42BD"/>
    <w:rsid w:val="002A4E38"/>
    <w:rsid w:val="002A5670"/>
    <w:rsid w:val="002A6F30"/>
    <w:rsid w:val="002A7146"/>
    <w:rsid w:val="002B0C25"/>
    <w:rsid w:val="002B2484"/>
    <w:rsid w:val="002B2C2C"/>
    <w:rsid w:val="002B3067"/>
    <w:rsid w:val="002B3484"/>
    <w:rsid w:val="002B5C07"/>
    <w:rsid w:val="002B5EA4"/>
    <w:rsid w:val="002C0359"/>
    <w:rsid w:val="002C04EF"/>
    <w:rsid w:val="002C0EA1"/>
    <w:rsid w:val="002C11B7"/>
    <w:rsid w:val="002C208E"/>
    <w:rsid w:val="002C348C"/>
    <w:rsid w:val="002C465A"/>
    <w:rsid w:val="002C515F"/>
    <w:rsid w:val="002C5B77"/>
    <w:rsid w:val="002C5C6E"/>
    <w:rsid w:val="002C6759"/>
    <w:rsid w:val="002D01F5"/>
    <w:rsid w:val="002D17DE"/>
    <w:rsid w:val="002D1856"/>
    <w:rsid w:val="002D19BD"/>
    <w:rsid w:val="002D43A0"/>
    <w:rsid w:val="002E09DE"/>
    <w:rsid w:val="002E09E9"/>
    <w:rsid w:val="002E10A6"/>
    <w:rsid w:val="002E23F4"/>
    <w:rsid w:val="002E2A06"/>
    <w:rsid w:val="002E4E29"/>
    <w:rsid w:val="002E6342"/>
    <w:rsid w:val="002E6F3E"/>
    <w:rsid w:val="002F0631"/>
    <w:rsid w:val="002F0AD1"/>
    <w:rsid w:val="002F2816"/>
    <w:rsid w:val="002F4E2C"/>
    <w:rsid w:val="002F5680"/>
    <w:rsid w:val="002F6027"/>
    <w:rsid w:val="002F6744"/>
    <w:rsid w:val="002F6BF4"/>
    <w:rsid w:val="002F6C5C"/>
    <w:rsid w:val="002F6CE6"/>
    <w:rsid w:val="002F6FCE"/>
    <w:rsid w:val="002F74E8"/>
    <w:rsid w:val="003008A8"/>
    <w:rsid w:val="00300B36"/>
    <w:rsid w:val="00301106"/>
    <w:rsid w:val="003021CB"/>
    <w:rsid w:val="0030271B"/>
    <w:rsid w:val="00304005"/>
    <w:rsid w:val="0030441C"/>
    <w:rsid w:val="00304A92"/>
    <w:rsid w:val="003052B2"/>
    <w:rsid w:val="003061F0"/>
    <w:rsid w:val="00306B6A"/>
    <w:rsid w:val="00307AF1"/>
    <w:rsid w:val="00307B0B"/>
    <w:rsid w:val="00310721"/>
    <w:rsid w:val="00311E15"/>
    <w:rsid w:val="003129EF"/>
    <w:rsid w:val="00312CA8"/>
    <w:rsid w:val="0031431E"/>
    <w:rsid w:val="00315766"/>
    <w:rsid w:val="00315E86"/>
    <w:rsid w:val="00320D77"/>
    <w:rsid w:val="00320F1D"/>
    <w:rsid w:val="003228FB"/>
    <w:rsid w:val="00322F3A"/>
    <w:rsid w:val="00324295"/>
    <w:rsid w:val="003263BD"/>
    <w:rsid w:val="003266FD"/>
    <w:rsid w:val="00326C4B"/>
    <w:rsid w:val="00327AAA"/>
    <w:rsid w:val="00330608"/>
    <w:rsid w:val="00330BB7"/>
    <w:rsid w:val="00331580"/>
    <w:rsid w:val="003327D1"/>
    <w:rsid w:val="00334648"/>
    <w:rsid w:val="00334CE0"/>
    <w:rsid w:val="00335956"/>
    <w:rsid w:val="0033646A"/>
    <w:rsid w:val="003371FF"/>
    <w:rsid w:val="0033781B"/>
    <w:rsid w:val="0033787D"/>
    <w:rsid w:val="00341B8D"/>
    <w:rsid w:val="00342AF9"/>
    <w:rsid w:val="00343127"/>
    <w:rsid w:val="003442B6"/>
    <w:rsid w:val="003447A1"/>
    <w:rsid w:val="00345935"/>
    <w:rsid w:val="00350E2F"/>
    <w:rsid w:val="00352E5A"/>
    <w:rsid w:val="003530CD"/>
    <w:rsid w:val="00354DFB"/>
    <w:rsid w:val="003550FB"/>
    <w:rsid w:val="00355484"/>
    <w:rsid w:val="0035555F"/>
    <w:rsid w:val="00356CFE"/>
    <w:rsid w:val="00357D8E"/>
    <w:rsid w:val="003629A2"/>
    <w:rsid w:val="00362D98"/>
    <w:rsid w:val="00362E9A"/>
    <w:rsid w:val="00363B72"/>
    <w:rsid w:val="00364076"/>
    <w:rsid w:val="003661EC"/>
    <w:rsid w:val="00367F0A"/>
    <w:rsid w:val="00370C2F"/>
    <w:rsid w:val="00370DBE"/>
    <w:rsid w:val="00372BF2"/>
    <w:rsid w:val="00372D79"/>
    <w:rsid w:val="00373563"/>
    <w:rsid w:val="00374181"/>
    <w:rsid w:val="00375BCB"/>
    <w:rsid w:val="00375CB5"/>
    <w:rsid w:val="00376613"/>
    <w:rsid w:val="003778D6"/>
    <w:rsid w:val="00377C26"/>
    <w:rsid w:val="003813D7"/>
    <w:rsid w:val="00382E56"/>
    <w:rsid w:val="00382F76"/>
    <w:rsid w:val="0038334F"/>
    <w:rsid w:val="00383A39"/>
    <w:rsid w:val="003861F0"/>
    <w:rsid w:val="003901AE"/>
    <w:rsid w:val="00390BBA"/>
    <w:rsid w:val="003926D2"/>
    <w:rsid w:val="00392BC1"/>
    <w:rsid w:val="003934AB"/>
    <w:rsid w:val="00393D76"/>
    <w:rsid w:val="00394F42"/>
    <w:rsid w:val="00395F29"/>
    <w:rsid w:val="003979A2"/>
    <w:rsid w:val="003A00AE"/>
    <w:rsid w:val="003A0A1C"/>
    <w:rsid w:val="003A2E86"/>
    <w:rsid w:val="003A37CF"/>
    <w:rsid w:val="003A580D"/>
    <w:rsid w:val="003A6301"/>
    <w:rsid w:val="003A6D66"/>
    <w:rsid w:val="003A7F5E"/>
    <w:rsid w:val="003B1BF2"/>
    <w:rsid w:val="003B260D"/>
    <w:rsid w:val="003B28F5"/>
    <w:rsid w:val="003B296A"/>
    <w:rsid w:val="003B3BDE"/>
    <w:rsid w:val="003B498E"/>
    <w:rsid w:val="003B72B1"/>
    <w:rsid w:val="003B72CE"/>
    <w:rsid w:val="003B7719"/>
    <w:rsid w:val="003C36A5"/>
    <w:rsid w:val="003C7DF4"/>
    <w:rsid w:val="003D092E"/>
    <w:rsid w:val="003D0FC8"/>
    <w:rsid w:val="003D162D"/>
    <w:rsid w:val="003D1678"/>
    <w:rsid w:val="003D2540"/>
    <w:rsid w:val="003D27B9"/>
    <w:rsid w:val="003D4885"/>
    <w:rsid w:val="003D62F8"/>
    <w:rsid w:val="003D6C6E"/>
    <w:rsid w:val="003D6FBA"/>
    <w:rsid w:val="003E0A8C"/>
    <w:rsid w:val="003E295A"/>
    <w:rsid w:val="003E53A4"/>
    <w:rsid w:val="003E6CB5"/>
    <w:rsid w:val="003E7804"/>
    <w:rsid w:val="003F1025"/>
    <w:rsid w:val="003F1260"/>
    <w:rsid w:val="003F1634"/>
    <w:rsid w:val="003F169B"/>
    <w:rsid w:val="003F16A8"/>
    <w:rsid w:val="003F2555"/>
    <w:rsid w:val="003F305A"/>
    <w:rsid w:val="003F41B8"/>
    <w:rsid w:val="003F4617"/>
    <w:rsid w:val="003F5F7E"/>
    <w:rsid w:val="003F6DCA"/>
    <w:rsid w:val="00401073"/>
    <w:rsid w:val="0040125E"/>
    <w:rsid w:val="00402548"/>
    <w:rsid w:val="00402B52"/>
    <w:rsid w:val="00402C8D"/>
    <w:rsid w:val="0040531C"/>
    <w:rsid w:val="004055E7"/>
    <w:rsid w:val="00406543"/>
    <w:rsid w:val="00406F9D"/>
    <w:rsid w:val="00407C62"/>
    <w:rsid w:val="0041195A"/>
    <w:rsid w:val="00411ADE"/>
    <w:rsid w:val="00412E57"/>
    <w:rsid w:val="00415A19"/>
    <w:rsid w:val="00415F0E"/>
    <w:rsid w:val="0042098D"/>
    <w:rsid w:val="00420C65"/>
    <w:rsid w:val="00421800"/>
    <w:rsid w:val="004221D9"/>
    <w:rsid w:val="004222A8"/>
    <w:rsid w:val="00422F2A"/>
    <w:rsid w:val="004234D2"/>
    <w:rsid w:val="00424A2C"/>
    <w:rsid w:val="00426D47"/>
    <w:rsid w:val="00427644"/>
    <w:rsid w:val="00432B84"/>
    <w:rsid w:val="0043399F"/>
    <w:rsid w:val="0043483C"/>
    <w:rsid w:val="00434D3D"/>
    <w:rsid w:val="004357A9"/>
    <w:rsid w:val="00436404"/>
    <w:rsid w:val="004401AD"/>
    <w:rsid w:val="0044098D"/>
    <w:rsid w:val="00440CE4"/>
    <w:rsid w:val="004433C4"/>
    <w:rsid w:val="004466B4"/>
    <w:rsid w:val="0044718C"/>
    <w:rsid w:val="004478BC"/>
    <w:rsid w:val="004479A3"/>
    <w:rsid w:val="00450C42"/>
    <w:rsid w:val="004512B3"/>
    <w:rsid w:val="00451C78"/>
    <w:rsid w:val="0045213D"/>
    <w:rsid w:val="00454BA5"/>
    <w:rsid w:val="00456605"/>
    <w:rsid w:val="00457FD3"/>
    <w:rsid w:val="0046320C"/>
    <w:rsid w:val="00463594"/>
    <w:rsid w:val="00465B38"/>
    <w:rsid w:val="00465DD0"/>
    <w:rsid w:val="0046630D"/>
    <w:rsid w:val="00466C5A"/>
    <w:rsid w:val="004700BC"/>
    <w:rsid w:val="0047039A"/>
    <w:rsid w:val="0047119D"/>
    <w:rsid w:val="00471C81"/>
    <w:rsid w:val="00473E7A"/>
    <w:rsid w:val="004753C4"/>
    <w:rsid w:val="00475430"/>
    <w:rsid w:val="0047600A"/>
    <w:rsid w:val="00477438"/>
    <w:rsid w:val="00480D6D"/>
    <w:rsid w:val="00480E20"/>
    <w:rsid w:val="00481143"/>
    <w:rsid w:val="00481A1F"/>
    <w:rsid w:val="00481B35"/>
    <w:rsid w:val="0048345A"/>
    <w:rsid w:val="004834BD"/>
    <w:rsid w:val="00483891"/>
    <w:rsid w:val="004858AF"/>
    <w:rsid w:val="004870FE"/>
    <w:rsid w:val="00487930"/>
    <w:rsid w:val="00487DB2"/>
    <w:rsid w:val="004908FE"/>
    <w:rsid w:val="004909C4"/>
    <w:rsid w:val="0049171B"/>
    <w:rsid w:val="00493168"/>
    <w:rsid w:val="0049380C"/>
    <w:rsid w:val="00494F2A"/>
    <w:rsid w:val="00495EAC"/>
    <w:rsid w:val="00496680"/>
    <w:rsid w:val="00497056"/>
    <w:rsid w:val="00497543"/>
    <w:rsid w:val="00497E57"/>
    <w:rsid w:val="004A0460"/>
    <w:rsid w:val="004A09CE"/>
    <w:rsid w:val="004A2025"/>
    <w:rsid w:val="004A3E10"/>
    <w:rsid w:val="004A45F4"/>
    <w:rsid w:val="004A477C"/>
    <w:rsid w:val="004A52C0"/>
    <w:rsid w:val="004A74E8"/>
    <w:rsid w:val="004A77DF"/>
    <w:rsid w:val="004B198C"/>
    <w:rsid w:val="004B1F98"/>
    <w:rsid w:val="004B2440"/>
    <w:rsid w:val="004B2C0E"/>
    <w:rsid w:val="004B3E90"/>
    <w:rsid w:val="004B6105"/>
    <w:rsid w:val="004B6434"/>
    <w:rsid w:val="004C28D7"/>
    <w:rsid w:val="004C3847"/>
    <w:rsid w:val="004C5AFB"/>
    <w:rsid w:val="004C7009"/>
    <w:rsid w:val="004C7BC0"/>
    <w:rsid w:val="004C7F4B"/>
    <w:rsid w:val="004D006B"/>
    <w:rsid w:val="004D05A8"/>
    <w:rsid w:val="004D21F8"/>
    <w:rsid w:val="004D305E"/>
    <w:rsid w:val="004D51ED"/>
    <w:rsid w:val="004D5F25"/>
    <w:rsid w:val="004D7B32"/>
    <w:rsid w:val="004E0672"/>
    <w:rsid w:val="004E0A7B"/>
    <w:rsid w:val="004E0F07"/>
    <w:rsid w:val="004E2D57"/>
    <w:rsid w:val="004E444E"/>
    <w:rsid w:val="004E53FF"/>
    <w:rsid w:val="004E6C47"/>
    <w:rsid w:val="004E6F4E"/>
    <w:rsid w:val="004F004D"/>
    <w:rsid w:val="004F00F8"/>
    <w:rsid w:val="004F12AA"/>
    <w:rsid w:val="004F22D6"/>
    <w:rsid w:val="004F4EBD"/>
    <w:rsid w:val="004F5066"/>
    <w:rsid w:val="004F683F"/>
    <w:rsid w:val="005012F5"/>
    <w:rsid w:val="00503C1F"/>
    <w:rsid w:val="00505A30"/>
    <w:rsid w:val="00506E22"/>
    <w:rsid w:val="00506F9A"/>
    <w:rsid w:val="00507D80"/>
    <w:rsid w:val="0051150B"/>
    <w:rsid w:val="005116E5"/>
    <w:rsid w:val="0051233A"/>
    <w:rsid w:val="00513319"/>
    <w:rsid w:val="00514766"/>
    <w:rsid w:val="005162B5"/>
    <w:rsid w:val="0051718F"/>
    <w:rsid w:val="005171C2"/>
    <w:rsid w:val="00517832"/>
    <w:rsid w:val="0051798D"/>
    <w:rsid w:val="00517FA3"/>
    <w:rsid w:val="005203FF"/>
    <w:rsid w:val="00520E15"/>
    <w:rsid w:val="005217FC"/>
    <w:rsid w:val="00525CD0"/>
    <w:rsid w:val="00525DA9"/>
    <w:rsid w:val="00527527"/>
    <w:rsid w:val="00527B64"/>
    <w:rsid w:val="00534D55"/>
    <w:rsid w:val="00534FD6"/>
    <w:rsid w:val="00535C1C"/>
    <w:rsid w:val="00535CA5"/>
    <w:rsid w:val="00536125"/>
    <w:rsid w:val="005374C7"/>
    <w:rsid w:val="005379A4"/>
    <w:rsid w:val="00541B55"/>
    <w:rsid w:val="00543BCD"/>
    <w:rsid w:val="00545C4A"/>
    <w:rsid w:val="00545D97"/>
    <w:rsid w:val="005463CC"/>
    <w:rsid w:val="00550727"/>
    <w:rsid w:val="00551FF9"/>
    <w:rsid w:val="00552102"/>
    <w:rsid w:val="00553BEA"/>
    <w:rsid w:val="00555B55"/>
    <w:rsid w:val="00555CB1"/>
    <w:rsid w:val="005561E9"/>
    <w:rsid w:val="005608D5"/>
    <w:rsid w:val="0056096C"/>
    <w:rsid w:val="00561C67"/>
    <w:rsid w:val="00561F33"/>
    <w:rsid w:val="005624B7"/>
    <w:rsid w:val="00562D56"/>
    <w:rsid w:val="00562F01"/>
    <w:rsid w:val="00563B92"/>
    <w:rsid w:val="00564391"/>
    <w:rsid w:val="0056455D"/>
    <w:rsid w:val="00565C7A"/>
    <w:rsid w:val="00565E45"/>
    <w:rsid w:val="00566BFC"/>
    <w:rsid w:val="005671DF"/>
    <w:rsid w:val="005674A5"/>
    <w:rsid w:val="0057132F"/>
    <w:rsid w:val="00571599"/>
    <w:rsid w:val="00572143"/>
    <w:rsid w:val="0057353F"/>
    <w:rsid w:val="005751AE"/>
    <w:rsid w:val="005759CA"/>
    <w:rsid w:val="00575E67"/>
    <w:rsid w:val="00577265"/>
    <w:rsid w:val="00581CB5"/>
    <w:rsid w:val="00581E27"/>
    <w:rsid w:val="00582018"/>
    <w:rsid w:val="005840C3"/>
    <w:rsid w:val="0058579A"/>
    <w:rsid w:val="005861A4"/>
    <w:rsid w:val="00590687"/>
    <w:rsid w:val="00591B53"/>
    <w:rsid w:val="00592BB1"/>
    <w:rsid w:val="00592DF1"/>
    <w:rsid w:val="0059368A"/>
    <w:rsid w:val="00593C7F"/>
    <w:rsid w:val="00593CB9"/>
    <w:rsid w:val="00594201"/>
    <w:rsid w:val="00594DAB"/>
    <w:rsid w:val="00596718"/>
    <w:rsid w:val="005A0B2E"/>
    <w:rsid w:val="005A132C"/>
    <w:rsid w:val="005A1514"/>
    <w:rsid w:val="005A19F3"/>
    <w:rsid w:val="005A26D3"/>
    <w:rsid w:val="005A3742"/>
    <w:rsid w:val="005A37F9"/>
    <w:rsid w:val="005A474B"/>
    <w:rsid w:val="005A4C63"/>
    <w:rsid w:val="005A6A95"/>
    <w:rsid w:val="005A6C74"/>
    <w:rsid w:val="005A75FD"/>
    <w:rsid w:val="005A7F3C"/>
    <w:rsid w:val="005B06C3"/>
    <w:rsid w:val="005B102A"/>
    <w:rsid w:val="005B11AB"/>
    <w:rsid w:val="005B2FF5"/>
    <w:rsid w:val="005B310F"/>
    <w:rsid w:val="005B4A68"/>
    <w:rsid w:val="005B52DA"/>
    <w:rsid w:val="005B5557"/>
    <w:rsid w:val="005B7618"/>
    <w:rsid w:val="005B7BE9"/>
    <w:rsid w:val="005C15BC"/>
    <w:rsid w:val="005C35B3"/>
    <w:rsid w:val="005C5525"/>
    <w:rsid w:val="005C5B55"/>
    <w:rsid w:val="005C62D4"/>
    <w:rsid w:val="005C6A56"/>
    <w:rsid w:val="005C75A5"/>
    <w:rsid w:val="005C7C26"/>
    <w:rsid w:val="005D035B"/>
    <w:rsid w:val="005D1291"/>
    <w:rsid w:val="005D1934"/>
    <w:rsid w:val="005D21C0"/>
    <w:rsid w:val="005D2BFE"/>
    <w:rsid w:val="005D3B9C"/>
    <w:rsid w:val="005D3C12"/>
    <w:rsid w:val="005D3FC3"/>
    <w:rsid w:val="005D60C0"/>
    <w:rsid w:val="005D656D"/>
    <w:rsid w:val="005E05E9"/>
    <w:rsid w:val="005E1485"/>
    <w:rsid w:val="005E188A"/>
    <w:rsid w:val="005E18EC"/>
    <w:rsid w:val="005E2255"/>
    <w:rsid w:val="005E2418"/>
    <w:rsid w:val="005E348D"/>
    <w:rsid w:val="005E391F"/>
    <w:rsid w:val="005E3F44"/>
    <w:rsid w:val="005E4729"/>
    <w:rsid w:val="005E691A"/>
    <w:rsid w:val="005F155A"/>
    <w:rsid w:val="005F1638"/>
    <w:rsid w:val="005F2498"/>
    <w:rsid w:val="005F2A27"/>
    <w:rsid w:val="005F4251"/>
    <w:rsid w:val="005F4F43"/>
    <w:rsid w:val="005F6511"/>
    <w:rsid w:val="005F660C"/>
    <w:rsid w:val="006000C9"/>
    <w:rsid w:val="00600563"/>
    <w:rsid w:val="00600A78"/>
    <w:rsid w:val="00600D7E"/>
    <w:rsid w:val="00601C9F"/>
    <w:rsid w:val="00602146"/>
    <w:rsid w:val="006039B6"/>
    <w:rsid w:val="00603B68"/>
    <w:rsid w:val="006040DB"/>
    <w:rsid w:val="00605B42"/>
    <w:rsid w:val="00606251"/>
    <w:rsid w:val="0060678B"/>
    <w:rsid w:val="006077EA"/>
    <w:rsid w:val="006079CE"/>
    <w:rsid w:val="00610278"/>
    <w:rsid w:val="0061171B"/>
    <w:rsid w:val="00612C45"/>
    <w:rsid w:val="00613D30"/>
    <w:rsid w:val="00613D8F"/>
    <w:rsid w:val="00615072"/>
    <w:rsid w:val="0061653C"/>
    <w:rsid w:val="00620B96"/>
    <w:rsid w:val="00622528"/>
    <w:rsid w:val="006238D4"/>
    <w:rsid w:val="006249D9"/>
    <w:rsid w:val="0062515A"/>
    <w:rsid w:val="00625272"/>
    <w:rsid w:val="00626CB2"/>
    <w:rsid w:val="00630708"/>
    <w:rsid w:val="00633093"/>
    <w:rsid w:val="0063466D"/>
    <w:rsid w:val="0063495F"/>
    <w:rsid w:val="00636775"/>
    <w:rsid w:val="00636A58"/>
    <w:rsid w:val="00636C78"/>
    <w:rsid w:val="00640E7A"/>
    <w:rsid w:val="00640E90"/>
    <w:rsid w:val="006428C3"/>
    <w:rsid w:val="00643361"/>
    <w:rsid w:val="0064346B"/>
    <w:rsid w:val="0064481F"/>
    <w:rsid w:val="00645257"/>
    <w:rsid w:val="00645294"/>
    <w:rsid w:val="006458EC"/>
    <w:rsid w:val="00645A13"/>
    <w:rsid w:val="00646727"/>
    <w:rsid w:val="0064778D"/>
    <w:rsid w:val="00650929"/>
    <w:rsid w:val="00651851"/>
    <w:rsid w:val="00652599"/>
    <w:rsid w:val="00657757"/>
    <w:rsid w:val="006611BB"/>
    <w:rsid w:val="006615A5"/>
    <w:rsid w:val="00661854"/>
    <w:rsid w:val="00661992"/>
    <w:rsid w:val="00661F5C"/>
    <w:rsid w:val="0066551F"/>
    <w:rsid w:val="00666E74"/>
    <w:rsid w:val="006676EC"/>
    <w:rsid w:val="006745FF"/>
    <w:rsid w:val="00674D80"/>
    <w:rsid w:val="00674EDF"/>
    <w:rsid w:val="00676F79"/>
    <w:rsid w:val="0067709C"/>
    <w:rsid w:val="006773F8"/>
    <w:rsid w:val="006779EC"/>
    <w:rsid w:val="0068003F"/>
    <w:rsid w:val="0068136D"/>
    <w:rsid w:val="00682BAC"/>
    <w:rsid w:val="00685B60"/>
    <w:rsid w:val="00690C36"/>
    <w:rsid w:val="006913A5"/>
    <w:rsid w:val="00691D07"/>
    <w:rsid w:val="00694BD2"/>
    <w:rsid w:val="00694BEB"/>
    <w:rsid w:val="006950AD"/>
    <w:rsid w:val="006979A4"/>
    <w:rsid w:val="00697E72"/>
    <w:rsid w:val="006A0CE7"/>
    <w:rsid w:val="006A148E"/>
    <w:rsid w:val="006A3719"/>
    <w:rsid w:val="006A4CCC"/>
    <w:rsid w:val="006A5AC1"/>
    <w:rsid w:val="006A686E"/>
    <w:rsid w:val="006A7B2D"/>
    <w:rsid w:val="006A7CD9"/>
    <w:rsid w:val="006B14AD"/>
    <w:rsid w:val="006B1938"/>
    <w:rsid w:val="006B1FF8"/>
    <w:rsid w:val="006B243A"/>
    <w:rsid w:val="006B448D"/>
    <w:rsid w:val="006B77C6"/>
    <w:rsid w:val="006C1C86"/>
    <w:rsid w:val="006C21DB"/>
    <w:rsid w:val="006C3E55"/>
    <w:rsid w:val="006C4010"/>
    <w:rsid w:val="006C53BA"/>
    <w:rsid w:val="006C5B2A"/>
    <w:rsid w:val="006C7042"/>
    <w:rsid w:val="006C7498"/>
    <w:rsid w:val="006D0053"/>
    <w:rsid w:val="006D13D9"/>
    <w:rsid w:val="006D1EAF"/>
    <w:rsid w:val="006D22B2"/>
    <w:rsid w:val="006D28F6"/>
    <w:rsid w:val="006D4C1A"/>
    <w:rsid w:val="006D51E0"/>
    <w:rsid w:val="006D5597"/>
    <w:rsid w:val="006D5DB1"/>
    <w:rsid w:val="006D6400"/>
    <w:rsid w:val="006E03BA"/>
    <w:rsid w:val="006E235B"/>
    <w:rsid w:val="006E290B"/>
    <w:rsid w:val="006E2ADB"/>
    <w:rsid w:val="006E32D1"/>
    <w:rsid w:val="006E3AD2"/>
    <w:rsid w:val="006E5002"/>
    <w:rsid w:val="006E7048"/>
    <w:rsid w:val="006F0205"/>
    <w:rsid w:val="006F0819"/>
    <w:rsid w:val="006F2ADC"/>
    <w:rsid w:val="006F2D68"/>
    <w:rsid w:val="006F5B1B"/>
    <w:rsid w:val="006F5B5A"/>
    <w:rsid w:val="006F6E33"/>
    <w:rsid w:val="00700189"/>
    <w:rsid w:val="00702FE0"/>
    <w:rsid w:val="00703D81"/>
    <w:rsid w:val="00704007"/>
    <w:rsid w:val="00704DBA"/>
    <w:rsid w:val="007066D9"/>
    <w:rsid w:val="00706B26"/>
    <w:rsid w:val="00706E05"/>
    <w:rsid w:val="0071198D"/>
    <w:rsid w:val="00713E1D"/>
    <w:rsid w:val="00713F93"/>
    <w:rsid w:val="007141E8"/>
    <w:rsid w:val="0071452C"/>
    <w:rsid w:val="0071728B"/>
    <w:rsid w:val="007203BA"/>
    <w:rsid w:val="0072126A"/>
    <w:rsid w:val="00721A56"/>
    <w:rsid w:val="00721E18"/>
    <w:rsid w:val="00723773"/>
    <w:rsid w:val="00723B96"/>
    <w:rsid w:val="007244D7"/>
    <w:rsid w:val="007244F0"/>
    <w:rsid w:val="00724B41"/>
    <w:rsid w:val="007260D0"/>
    <w:rsid w:val="007262A9"/>
    <w:rsid w:val="007262BA"/>
    <w:rsid w:val="00732527"/>
    <w:rsid w:val="00735090"/>
    <w:rsid w:val="007352F9"/>
    <w:rsid w:val="00735E76"/>
    <w:rsid w:val="00740F47"/>
    <w:rsid w:val="007414A8"/>
    <w:rsid w:val="0074435A"/>
    <w:rsid w:val="00745F93"/>
    <w:rsid w:val="00746B42"/>
    <w:rsid w:val="00746C3B"/>
    <w:rsid w:val="0074728C"/>
    <w:rsid w:val="00747B63"/>
    <w:rsid w:val="0075174E"/>
    <w:rsid w:val="007519E3"/>
    <w:rsid w:val="007524B7"/>
    <w:rsid w:val="00755C7B"/>
    <w:rsid w:val="007570D1"/>
    <w:rsid w:val="00757DA7"/>
    <w:rsid w:val="00757F92"/>
    <w:rsid w:val="00760A83"/>
    <w:rsid w:val="007614EF"/>
    <w:rsid w:val="00762ADB"/>
    <w:rsid w:val="00762C02"/>
    <w:rsid w:val="00764CCE"/>
    <w:rsid w:val="00765111"/>
    <w:rsid w:val="0076537E"/>
    <w:rsid w:val="00771C58"/>
    <w:rsid w:val="00773688"/>
    <w:rsid w:val="007747BD"/>
    <w:rsid w:val="00775D80"/>
    <w:rsid w:val="00777C93"/>
    <w:rsid w:val="00780364"/>
    <w:rsid w:val="0078256B"/>
    <w:rsid w:val="00782699"/>
    <w:rsid w:val="00783631"/>
    <w:rsid w:val="00783F51"/>
    <w:rsid w:val="007840D2"/>
    <w:rsid w:val="00786CC9"/>
    <w:rsid w:val="007872B8"/>
    <w:rsid w:val="00787D71"/>
    <w:rsid w:val="00790ABD"/>
    <w:rsid w:val="00791421"/>
    <w:rsid w:val="00791A9B"/>
    <w:rsid w:val="00792335"/>
    <w:rsid w:val="007933E5"/>
    <w:rsid w:val="0079406E"/>
    <w:rsid w:val="00797A1D"/>
    <w:rsid w:val="00797F5C"/>
    <w:rsid w:val="007A1F3A"/>
    <w:rsid w:val="007A2275"/>
    <w:rsid w:val="007A40A5"/>
    <w:rsid w:val="007A4EFB"/>
    <w:rsid w:val="007A6E5E"/>
    <w:rsid w:val="007B08C9"/>
    <w:rsid w:val="007B185C"/>
    <w:rsid w:val="007B26E3"/>
    <w:rsid w:val="007B48C4"/>
    <w:rsid w:val="007B761E"/>
    <w:rsid w:val="007C096B"/>
    <w:rsid w:val="007C0B1F"/>
    <w:rsid w:val="007C165F"/>
    <w:rsid w:val="007C2116"/>
    <w:rsid w:val="007C39BE"/>
    <w:rsid w:val="007C3B46"/>
    <w:rsid w:val="007C74ED"/>
    <w:rsid w:val="007C7A28"/>
    <w:rsid w:val="007C7D56"/>
    <w:rsid w:val="007D1C52"/>
    <w:rsid w:val="007D326D"/>
    <w:rsid w:val="007D4952"/>
    <w:rsid w:val="007D49FD"/>
    <w:rsid w:val="007D568F"/>
    <w:rsid w:val="007D5828"/>
    <w:rsid w:val="007D5CEF"/>
    <w:rsid w:val="007D6B7E"/>
    <w:rsid w:val="007E0EE5"/>
    <w:rsid w:val="007E165A"/>
    <w:rsid w:val="007E343C"/>
    <w:rsid w:val="007E36CC"/>
    <w:rsid w:val="007E6684"/>
    <w:rsid w:val="007E7B70"/>
    <w:rsid w:val="007F06EF"/>
    <w:rsid w:val="007F16A1"/>
    <w:rsid w:val="007F26A1"/>
    <w:rsid w:val="007F2F80"/>
    <w:rsid w:val="007F3A46"/>
    <w:rsid w:val="007F442B"/>
    <w:rsid w:val="007F4BD4"/>
    <w:rsid w:val="007F4EED"/>
    <w:rsid w:val="007F530F"/>
    <w:rsid w:val="007F5CD0"/>
    <w:rsid w:val="007F5ED8"/>
    <w:rsid w:val="007F6A0C"/>
    <w:rsid w:val="007F707A"/>
    <w:rsid w:val="007F7562"/>
    <w:rsid w:val="007F7652"/>
    <w:rsid w:val="007F78A3"/>
    <w:rsid w:val="007F7913"/>
    <w:rsid w:val="008001BE"/>
    <w:rsid w:val="00801883"/>
    <w:rsid w:val="008039F3"/>
    <w:rsid w:val="00804A7B"/>
    <w:rsid w:val="00804CDE"/>
    <w:rsid w:val="00804F1B"/>
    <w:rsid w:val="00806201"/>
    <w:rsid w:val="008064AB"/>
    <w:rsid w:val="00806823"/>
    <w:rsid w:val="00807D28"/>
    <w:rsid w:val="00810D70"/>
    <w:rsid w:val="00811320"/>
    <w:rsid w:val="00811446"/>
    <w:rsid w:val="0081231B"/>
    <w:rsid w:val="008124D0"/>
    <w:rsid w:val="008126A7"/>
    <w:rsid w:val="00813BA9"/>
    <w:rsid w:val="00814E09"/>
    <w:rsid w:val="00820DA9"/>
    <w:rsid w:val="00823012"/>
    <w:rsid w:val="00823AF0"/>
    <w:rsid w:val="00824E26"/>
    <w:rsid w:val="00824F1E"/>
    <w:rsid w:val="0082613D"/>
    <w:rsid w:val="008263A9"/>
    <w:rsid w:val="008268E8"/>
    <w:rsid w:val="008275C7"/>
    <w:rsid w:val="00827A79"/>
    <w:rsid w:val="00827EA3"/>
    <w:rsid w:val="00830065"/>
    <w:rsid w:val="00830B84"/>
    <w:rsid w:val="00831714"/>
    <w:rsid w:val="00833CA8"/>
    <w:rsid w:val="00834DBE"/>
    <w:rsid w:val="00836BBB"/>
    <w:rsid w:val="00836BE4"/>
    <w:rsid w:val="00837D2E"/>
    <w:rsid w:val="00840298"/>
    <w:rsid w:val="0084112C"/>
    <w:rsid w:val="008422BB"/>
    <w:rsid w:val="00843678"/>
    <w:rsid w:val="00843C83"/>
    <w:rsid w:val="00843CAF"/>
    <w:rsid w:val="0084425B"/>
    <w:rsid w:val="008446FC"/>
    <w:rsid w:val="00844FC7"/>
    <w:rsid w:val="00845F0C"/>
    <w:rsid w:val="00850DAE"/>
    <w:rsid w:val="00850E6F"/>
    <w:rsid w:val="00851DD2"/>
    <w:rsid w:val="00851E3B"/>
    <w:rsid w:val="008528A7"/>
    <w:rsid w:val="008534E8"/>
    <w:rsid w:val="00853D0B"/>
    <w:rsid w:val="00855867"/>
    <w:rsid w:val="00855E20"/>
    <w:rsid w:val="00855F77"/>
    <w:rsid w:val="00856AED"/>
    <w:rsid w:val="00856DBE"/>
    <w:rsid w:val="00857FBC"/>
    <w:rsid w:val="00860581"/>
    <w:rsid w:val="0086117A"/>
    <w:rsid w:val="00861432"/>
    <w:rsid w:val="008614B9"/>
    <w:rsid w:val="00861A3E"/>
    <w:rsid w:val="008623A4"/>
    <w:rsid w:val="00862626"/>
    <w:rsid w:val="00862B28"/>
    <w:rsid w:val="008641BC"/>
    <w:rsid w:val="00864E5F"/>
    <w:rsid w:val="008673F8"/>
    <w:rsid w:val="00867DE6"/>
    <w:rsid w:val="00870BB2"/>
    <w:rsid w:val="00870C0A"/>
    <w:rsid w:val="008718D9"/>
    <w:rsid w:val="00872959"/>
    <w:rsid w:val="008741D2"/>
    <w:rsid w:val="00875AAD"/>
    <w:rsid w:val="00875E41"/>
    <w:rsid w:val="00875F26"/>
    <w:rsid w:val="00875F6A"/>
    <w:rsid w:val="00876BF3"/>
    <w:rsid w:val="00877464"/>
    <w:rsid w:val="00877A3E"/>
    <w:rsid w:val="00877B0C"/>
    <w:rsid w:val="00880309"/>
    <w:rsid w:val="00881C02"/>
    <w:rsid w:val="00881F44"/>
    <w:rsid w:val="008833BF"/>
    <w:rsid w:val="0088656B"/>
    <w:rsid w:val="008877D4"/>
    <w:rsid w:val="00887A07"/>
    <w:rsid w:val="008914A0"/>
    <w:rsid w:val="00891691"/>
    <w:rsid w:val="00891F67"/>
    <w:rsid w:val="008927E2"/>
    <w:rsid w:val="008936D2"/>
    <w:rsid w:val="00893B6F"/>
    <w:rsid w:val="00894569"/>
    <w:rsid w:val="008959B6"/>
    <w:rsid w:val="008968D9"/>
    <w:rsid w:val="00897AE7"/>
    <w:rsid w:val="008A0027"/>
    <w:rsid w:val="008A1072"/>
    <w:rsid w:val="008A1A32"/>
    <w:rsid w:val="008A1C28"/>
    <w:rsid w:val="008A2A34"/>
    <w:rsid w:val="008A2F37"/>
    <w:rsid w:val="008A41CF"/>
    <w:rsid w:val="008A4F7D"/>
    <w:rsid w:val="008A5931"/>
    <w:rsid w:val="008A5AA9"/>
    <w:rsid w:val="008A6602"/>
    <w:rsid w:val="008A6923"/>
    <w:rsid w:val="008A7D5F"/>
    <w:rsid w:val="008B006F"/>
    <w:rsid w:val="008B108D"/>
    <w:rsid w:val="008B229A"/>
    <w:rsid w:val="008B2E3D"/>
    <w:rsid w:val="008B3253"/>
    <w:rsid w:val="008B32AE"/>
    <w:rsid w:val="008B3F16"/>
    <w:rsid w:val="008B45A8"/>
    <w:rsid w:val="008B4D4C"/>
    <w:rsid w:val="008B71D0"/>
    <w:rsid w:val="008B730E"/>
    <w:rsid w:val="008C0899"/>
    <w:rsid w:val="008C212F"/>
    <w:rsid w:val="008C25F2"/>
    <w:rsid w:val="008C3AA7"/>
    <w:rsid w:val="008C443F"/>
    <w:rsid w:val="008C45D5"/>
    <w:rsid w:val="008C4F0D"/>
    <w:rsid w:val="008C74C3"/>
    <w:rsid w:val="008D1236"/>
    <w:rsid w:val="008D1C81"/>
    <w:rsid w:val="008D20F7"/>
    <w:rsid w:val="008D24BE"/>
    <w:rsid w:val="008D2E55"/>
    <w:rsid w:val="008D39FF"/>
    <w:rsid w:val="008D49CB"/>
    <w:rsid w:val="008D5299"/>
    <w:rsid w:val="008D5898"/>
    <w:rsid w:val="008D589D"/>
    <w:rsid w:val="008D59A4"/>
    <w:rsid w:val="008D6148"/>
    <w:rsid w:val="008D76E6"/>
    <w:rsid w:val="008D7AB4"/>
    <w:rsid w:val="008E1995"/>
    <w:rsid w:val="008E3038"/>
    <w:rsid w:val="008E321B"/>
    <w:rsid w:val="008E3E37"/>
    <w:rsid w:val="008E5D7F"/>
    <w:rsid w:val="008E7ED5"/>
    <w:rsid w:val="008F25DF"/>
    <w:rsid w:val="008F284E"/>
    <w:rsid w:val="008F2953"/>
    <w:rsid w:val="008F2C8F"/>
    <w:rsid w:val="008F3126"/>
    <w:rsid w:val="008F3911"/>
    <w:rsid w:val="008F4A52"/>
    <w:rsid w:val="008F4A85"/>
    <w:rsid w:val="008F7370"/>
    <w:rsid w:val="00900422"/>
    <w:rsid w:val="009011FB"/>
    <w:rsid w:val="009022C8"/>
    <w:rsid w:val="00902BB4"/>
    <w:rsid w:val="009030F8"/>
    <w:rsid w:val="009062D2"/>
    <w:rsid w:val="00907065"/>
    <w:rsid w:val="009075E7"/>
    <w:rsid w:val="00910510"/>
    <w:rsid w:val="00910585"/>
    <w:rsid w:val="00911E93"/>
    <w:rsid w:val="00911E9D"/>
    <w:rsid w:val="0091216B"/>
    <w:rsid w:val="009123C4"/>
    <w:rsid w:val="009128FC"/>
    <w:rsid w:val="00913085"/>
    <w:rsid w:val="00913D94"/>
    <w:rsid w:val="00913DE9"/>
    <w:rsid w:val="00914CAC"/>
    <w:rsid w:val="00914D57"/>
    <w:rsid w:val="009158CB"/>
    <w:rsid w:val="00915E63"/>
    <w:rsid w:val="00916076"/>
    <w:rsid w:val="00916618"/>
    <w:rsid w:val="00917D93"/>
    <w:rsid w:val="00920056"/>
    <w:rsid w:val="009208A9"/>
    <w:rsid w:val="00920CBC"/>
    <w:rsid w:val="00921535"/>
    <w:rsid w:val="00921AF2"/>
    <w:rsid w:val="00921D24"/>
    <w:rsid w:val="00921E6B"/>
    <w:rsid w:val="00924ABC"/>
    <w:rsid w:val="00925125"/>
    <w:rsid w:val="00926053"/>
    <w:rsid w:val="009266F9"/>
    <w:rsid w:val="009273DD"/>
    <w:rsid w:val="00927821"/>
    <w:rsid w:val="00930FD9"/>
    <w:rsid w:val="00931332"/>
    <w:rsid w:val="009319D8"/>
    <w:rsid w:val="0093233F"/>
    <w:rsid w:val="00932BA8"/>
    <w:rsid w:val="009335A1"/>
    <w:rsid w:val="009336DC"/>
    <w:rsid w:val="00934176"/>
    <w:rsid w:val="0093446E"/>
    <w:rsid w:val="00934812"/>
    <w:rsid w:val="00934C93"/>
    <w:rsid w:val="00941FE4"/>
    <w:rsid w:val="0094279A"/>
    <w:rsid w:val="009427E5"/>
    <w:rsid w:val="009430D8"/>
    <w:rsid w:val="00943872"/>
    <w:rsid w:val="00943A1D"/>
    <w:rsid w:val="00950DBD"/>
    <w:rsid w:val="0095126A"/>
    <w:rsid w:val="00951719"/>
    <w:rsid w:val="00952717"/>
    <w:rsid w:val="00953168"/>
    <w:rsid w:val="0095332C"/>
    <w:rsid w:val="00953C19"/>
    <w:rsid w:val="00953CEF"/>
    <w:rsid w:val="00953E93"/>
    <w:rsid w:val="0095432C"/>
    <w:rsid w:val="009548C3"/>
    <w:rsid w:val="00954A4C"/>
    <w:rsid w:val="00954CB8"/>
    <w:rsid w:val="0095521E"/>
    <w:rsid w:val="0095547C"/>
    <w:rsid w:val="00955E79"/>
    <w:rsid w:val="00956CF0"/>
    <w:rsid w:val="00957844"/>
    <w:rsid w:val="0096179F"/>
    <w:rsid w:val="009624E6"/>
    <w:rsid w:val="00963DA5"/>
    <w:rsid w:val="00963FC8"/>
    <w:rsid w:val="009644A8"/>
    <w:rsid w:val="00965442"/>
    <w:rsid w:val="00965E83"/>
    <w:rsid w:val="0096624F"/>
    <w:rsid w:val="0096632A"/>
    <w:rsid w:val="00966E7C"/>
    <w:rsid w:val="00966F4C"/>
    <w:rsid w:val="0096786C"/>
    <w:rsid w:val="00967D93"/>
    <w:rsid w:val="0097161A"/>
    <w:rsid w:val="00971D32"/>
    <w:rsid w:val="0097237E"/>
    <w:rsid w:val="0097366C"/>
    <w:rsid w:val="00974492"/>
    <w:rsid w:val="00975553"/>
    <w:rsid w:val="00975E65"/>
    <w:rsid w:val="00976DB3"/>
    <w:rsid w:val="009770CE"/>
    <w:rsid w:val="0098090B"/>
    <w:rsid w:val="00981502"/>
    <w:rsid w:val="0098189D"/>
    <w:rsid w:val="00981F8A"/>
    <w:rsid w:val="00983D0F"/>
    <w:rsid w:val="00984280"/>
    <w:rsid w:val="00984560"/>
    <w:rsid w:val="009847BF"/>
    <w:rsid w:val="00985789"/>
    <w:rsid w:val="00985848"/>
    <w:rsid w:val="00985AF9"/>
    <w:rsid w:val="00990254"/>
    <w:rsid w:val="0099034A"/>
    <w:rsid w:val="00992E3C"/>
    <w:rsid w:val="00993391"/>
    <w:rsid w:val="00993417"/>
    <w:rsid w:val="009940BE"/>
    <w:rsid w:val="00994B8A"/>
    <w:rsid w:val="00994D2F"/>
    <w:rsid w:val="00997A12"/>
    <w:rsid w:val="00997DDA"/>
    <w:rsid w:val="009A0DCA"/>
    <w:rsid w:val="009A1210"/>
    <w:rsid w:val="009A2F74"/>
    <w:rsid w:val="009A32EC"/>
    <w:rsid w:val="009A3C12"/>
    <w:rsid w:val="009A4CC4"/>
    <w:rsid w:val="009A54E0"/>
    <w:rsid w:val="009A741D"/>
    <w:rsid w:val="009B0780"/>
    <w:rsid w:val="009B0EBD"/>
    <w:rsid w:val="009B0F91"/>
    <w:rsid w:val="009B12FF"/>
    <w:rsid w:val="009B32A6"/>
    <w:rsid w:val="009B4E7A"/>
    <w:rsid w:val="009B5023"/>
    <w:rsid w:val="009B51AB"/>
    <w:rsid w:val="009B6C4A"/>
    <w:rsid w:val="009B6DAA"/>
    <w:rsid w:val="009B75B4"/>
    <w:rsid w:val="009B7788"/>
    <w:rsid w:val="009B7860"/>
    <w:rsid w:val="009B7F87"/>
    <w:rsid w:val="009C06E2"/>
    <w:rsid w:val="009C3FD6"/>
    <w:rsid w:val="009C43D1"/>
    <w:rsid w:val="009C521B"/>
    <w:rsid w:val="009C7191"/>
    <w:rsid w:val="009C7DAC"/>
    <w:rsid w:val="009D131A"/>
    <w:rsid w:val="009D4AC4"/>
    <w:rsid w:val="009D50FC"/>
    <w:rsid w:val="009D5DBA"/>
    <w:rsid w:val="009D645C"/>
    <w:rsid w:val="009D76D3"/>
    <w:rsid w:val="009D7888"/>
    <w:rsid w:val="009E000C"/>
    <w:rsid w:val="009E4ABC"/>
    <w:rsid w:val="009E50F8"/>
    <w:rsid w:val="009E5810"/>
    <w:rsid w:val="009E619F"/>
    <w:rsid w:val="009E71FE"/>
    <w:rsid w:val="009E799F"/>
    <w:rsid w:val="009E7F7F"/>
    <w:rsid w:val="009F0167"/>
    <w:rsid w:val="009F35F2"/>
    <w:rsid w:val="009F3B5B"/>
    <w:rsid w:val="009F3BB4"/>
    <w:rsid w:val="009F4429"/>
    <w:rsid w:val="009F65A0"/>
    <w:rsid w:val="009F724B"/>
    <w:rsid w:val="00A01E60"/>
    <w:rsid w:val="00A0272A"/>
    <w:rsid w:val="00A03DD1"/>
    <w:rsid w:val="00A03E5D"/>
    <w:rsid w:val="00A050B2"/>
    <w:rsid w:val="00A052F4"/>
    <w:rsid w:val="00A057A6"/>
    <w:rsid w:val="00A0735B"/>
    <w:rsid w:val="00A07409"/>
    <w:rsid w:val="00A07C49"/>
    <w:rsid w:val="00A1051F"/>
    <w:rsid w:val="00A108C6"/>
    <w:rsid w:val="00A12EBF"/>
    <w:rsid w:val="00A14A67"/>
    <w:rsid w:val="00A14B6D"/>
    <w:rsid w:val="00A1557C"/>
    <w:rsid w:val="00A1694D"/>
    <w:rsid w:val="00A17150"/>
    <w:rsid w:val="00A178DD"/>
    <w:rsid w:val="00A202FC"/>
    <w:rsid w:val="00A21237"/>
    <w:rsid w:val="00A22188"/>
    <w:rsid w:val="00A221FD"/>
    <w:rsid w:val="00A22EBA"/>
    <w:rsid w:val="00A24355"/>
    <w:rsid w:val="00A265D7"/>
    <w:rsid w:val="00A27375"/>
    <w:rsid w:val="00A30923"/>
    <w:rsid w:val="00A30AF1"/>
    <w:rsid w:val="00A30C5A"/>
    <w:rsid w:val="00A31311"/>
    <w:rsid w:val="00A33A99"/>
    <w:rsid w:val="00A35F06"/>
    <w:rsid w:val="00A36AEB"/>
    <w:rsid w:val="00A36B8C"/>
    <w:rsid w:val="00A37391"/>
    <w:rsid w:val="00A3767B"/>
    <w:rsid w:val="00A40004"/>
    <w:rsid w:val="00A40157"/>
    <w:rsid w:val="00A41ED2"/>
    <w:rsid w:val="00A4282D"/>
    <w:rsid w:val="00A43D09"/>
    <w:rsid w:val="00A43D45"/>
    <w:rsid w:val="00A445DC"/>
    <w:rsid w:val="00A46C73"/>
    <w:rsid w:val="00A47BB2"/>
    <w:rsid w:val="00A51E69"/>
    <w:rsid w:val="00A51F9D"/>
    <w:rsid w:val="00A52642"/>
    <w:rsid w:val="00A52E68"/>
    <w:rsid w:val="00A55018"/>
    <w:rsid w:val="00A56BC2"/>
    <w:rsid w:val="00A6012E"/>
    <w:rsid w:val="00A61F18"/>
    <w:rsid w:val="00A62816"/>
    <w:rsid w:val="00A63116"/>
    <w:rsid w:val="00A63365"/>
    <w:rsid w:val="00A64067"/>
    <w:rsid w:val="00A641E9"/>
    <w:rsid w:val="00A65812"/>
    <w:rsid w:val="00A659A5"/>
    <w:rsid w:val="00A660A9"/>
    <w:rsid w:val="00A665C2"/>
    <w:rsid w:val="00A66E39"/>
    <w:rsid w:val="00A66F9C"/>
    <w:rsid w:val="00A672F1"/>
    <w:rsid w:val="00A67D3E"/>
    <w:rsid w:val="00A71A58"/>
    <w:rsid w:val="00A721C1"/>
    <w:rsid w:val="00A7286A"/>
    <w:rsid w:val="00A729D3"/>
    <w:rsid w:val="00A73D40"/>
    <w:rsid w:val="00A741F0"/>
    <w:rsid w:val="00A75578"/>
    <w:rsid w:val="00A75B02"/>
    <w:rsid w:val="00A77B8D"/>
    <w:rsid w:val="00A803B4"/>
    <w:rsid w:val="00A80E90"/>
    <w:rsid w:val="00A81C09"/>
    <w:rsid w:val="00A81FAE"/>
    <w:rsid w:val="00A858CD"/>
    <w:rsid w:val="00A86F10"/>
    <w:rsid w:val="00A87F45"/>
    <w:rsid w:val="00A9099C"/>
    <w:rsid w:val="00A90E9D"/>
    <w:rsid w:val="00A929EB"/>
    <w:rsid w:val="00A95FCF"/>
    <w:rsid w:val="00A97C5A"/>
    <w:rsid w:val="00AA1CC6"/>
    <w:rsid w:val="00AA2A9C"/>
    <w:rsid w:val="00AA3573"/>
    <w:rsid w:val="00AA3B49"/>
    <w:rsid w:val="00AA3F66"/>
    <w:rsid w:val="00AA672B"/>
    <w:rsid w:val="00AA6BC7"/>
    <w:rsid w:val="00AA7EAC"/>
    <w:rsid w:val="00AB0D30"/>
    <w:rsid w:val="00AB3191"/>
    <w:rsid w:val="00AB35FC"/>
    <w:rsid w:val="00AB4056"/>
    <w:rsid w:val="00AB581A"/>
    <w:rsid w:val="00AB5D76"/>
    <w:rsid w:val="00AC0726"/>
    <w:rsid w:val="00AC0786"/>
    <w:rsid w:val="00AC09C8"/>
    <w:rsid w:val="00AC34D2"/>
    <w:rsid w:val="00AC3E44"/>
    <w:rsid w:val="00AC4291"/>
    <w:rsid w:val="00AC4E6A"/>
    <w:rsid w:val="00AC5507"/>
    <w:rsid w:val="00AC5B7D"/>
    <w:rsid w:val="00AC6BDE"/>
    <w:rsid w:val="00AC7863"/>
    <w:rsid w:val="00AD0EA1"/>
    <w:rsid w:val="00AD190A"/>
    <w:rsid w:val="00AD1BB0"/>
    <w:rsid w:val="00AD2CB9"/>
    <w:rsid w:val="00AD323D"/>
    <w:rsid w:val="00AD46F0"/>
    <w:rsid w:val="00AD7F79"/>
    <w:rsid w:val="00AE3302"/>
    <w:rsid w:val="00AE33D5"/>
    <w:rsid w:val="00AE3B3B"/>
    <w:rsid w:val="00AE488A"/>
    <w:rsid w:val="00AE5E6D"/>
    <w:rsid w:val="00AF0320"/>
    <w:rsid w:val="00AF13B4"/>
    <w:rsid w:val="00AF1CB2"/>
    <w:rsid w:val="00AF2394"/>
    <w:rsid w:val="00AF6FB5"/>
    <w:rsid w:val="00B00310"/>
    <w:rsid w:val="00B0180C"/>
    <w:rsid w:val="00B01AC4"/>
    <w:rsid w:val="00B01EB9"/>
    <w:rsid w:val="00B024A7"/>
    <w:rsid w:val="00B04E0A"/>
    <w:rsid w:val="00B04E28"/>
    <w:rsid w:val="00B0503B"/>
    <w:rsid w:val="00B056FE"/>
    <w:rsid w:val="00B06D4B"/>
    <w:rsid w:val="00B06DB8"/>
    <w:rsid w:val="00B07409"/>
    <w:rsid w:val="00B074EE"/>
    <w:rsid w:val="00B10387"/>
    <w:rsid w:val="00B1515B"/>
    <w:rsid w:val="00B200C3"/>
    <w:rsid w:val="00B208ED"/>
    <w:rsid w:val="00B2333A"/>
    <w:rsid w:val="00B23C50"/>
    <w:rsid w:val="00B261E8"/>
    <w:rsid w:val="00B2644C"/>
    <w:rsid w:val="00B270DD"/>
    <w:rsid w:val="00B30022"/>
    <w:rsid w:val="00B30CD5"/>
    <w:rsid w:val="00B36AD7"/>
    <w:rsid w:val="00B36DE4"/>
    <w:rsid w:val="00B40647"/>
    <w:rsid w:val="00B412B2"/>
    <w:rsid w:val="00B423D1"/>
    <w:rsid w:val="00B428AA"/>
    <w:rsid w:val="00B42F37"/>
    <w:rsid w:val="00B4326D"/>
    <w:rsid w:val="00B4395F"/>
    <w:rsid w:val="00B43986"/>
    <w:rsid w:val="00B462D2"/>
    <w:rsid w:val="00B477F9"/>
    <w:rsid w:val="00B51165"/>
    <w:rsid w:val="00B51192"/>
    <w:rsid w:val="00B51F9F"/>
    <w:rsid w:val="00B5216E"/>
    <w:rsid w:val="00B52F04"/>
    <w:rsid w:val="00B53223"/>
    <w:rsid w:val="00B53942"/>
    <w:rsid w:val="00B53B8D"/>
    <w:rsid w:val="00B54049"/>
    <w:rsid w:val="00B54136"/>
    <w:rsid w:val="00B562EB"/>
    <w:rsid w:val="00B566AB"/>
    <w:rsid w:val="00B56EA7"/>
    <w:rsid w:val="00B573E0"/>
    <w:rsid w:val="00B57A7F"/>
    <w:rsid w:val="00B57C0A"/>
    <w:rsid w:val="00B6262A"/>
    <w:rsid w:val="00B627FB"/>
    <w:rsid w:val="00B649CD"/>
    <w:rsid w:val="00B64CE7"/>
    <w:rsid w:val="00B70AE8"/>
    <w:rsid w:val="00B7192A"/>
    <w:rsid w:val="00B71A6F"/>
    <w:rsid w:val="00B72716"/>
    <w:rsid w:val="00B73425"/>
    <w:rsid w:val="00B73A56"/>
    <w:rsid w:val="00B748C9"/>
    <w:rsid w:val="00B756EA"/>
    <w:rsid w:val="00B75F2C"/>
    <w:rsid w:val="00B7608B"/>
    <w:rsid w:val="00B766E2"/>
    <w:rsid w:val="00B7696C"/>
    <w:rsid w:val="00B77702"/>
    <w:rsid w:val="00B80410"/>
    <w:rsid w:val="00B80F8D"/>
    <w:rsid w:val="00B8275A"/>
    <w:rsid w:val="00B83CD3"/>
    <w:rsid w:val="00B857F6"/>
    <w:rsid w:val="00B87BE8"/>
    <w:rsid w:val="00B90440"/>
    <w:rsid w:val="00B90A08"/>
    <w:rsid w:val="00B91603"/>
    <w:rsid w:val="00B9193C"/>
    <w:rsid w:val="00B91D36"/>
    <w:rsid w:val="00B92655"/>
    <w:rsid w:val="00B92C35"/>
    <w:rsid w:val="00B93258"/>
    <w:rsid w:val="00B9345E"/>
    <w:rsid w:val="00B93E5E"/>
    <w:rsid w:val="00B9489D"/>
    <w:rsid w:val="00B95BC7"/>
    <w:rsid w:val="00B973DE"/>
    <w:rsid w:val="00BA018C"/>
    <w:rsid w:val="00BA1E7E"/>
    <w:rsid w:val="00BA2A17"/>
    <w:rsid w:val="00BA2FB2"/>
    <w:rsid w:val="00BA3DB6"/>
    <w:rsid w:val="00BA46B2"/>
    <w:rsid w:val="00BA5831"/>
    <w:rsid w:val="00BA59F9"/>
    <w:rsid w:val="00BA5EB1"/>
    <w:rsid w:val="00BA6660"/>
    <w:rsid w:val="00BA6A03"/>
    <w:rsid w:val="00BA6E57"/>
    <w:rsid w:val="00BA6E8C"/>
    <w:rsid w:val="00BA7828"/>
    <w:rsid w:val="00BB15AE"/>
    <w:rsid w:val="00BC05FB"/>
    <w:rsid w:val="00BC201F"/>
    <w:rsid w:val="00BC22F6"/>
    <w:rsid w:val="00BC3862"/>
    <w:rsid w:val="00BC3EF0"/>
    <w:rsid w:val="00BC447C"/>
    <w:rsid w:val="00BC46B1"/>
    <w:rsid w:val="00BC4C5C"/>
    <w:rsid w:val="00BC70E3"/>
    <w:rsid w:val="00BD1681"/>
    <w:rsid w:val="00BD2051"/>
    <w:rsid w:val="00BD21A0"/>
    <w:rsid w:val="00BD2A7B"/>
    <w:rsid w:val="00BD4057"/>
    <w:rsid w:val="00BD6C5C"/>
    <w:rsid w:val="00BE070F"/>
    <w:rsid w:val="00BE08F4"/>
    <w:rsid w:val="00BE099B"/>
    <w:rsid w:val="00BE36AA"/>
    <w:rsid w:val="00BE4554"/>
    <w:rsid w:val="00BE49C8"/>
    <w:rsid w:val="00BE4CE0"/>
    <w:rsid w:val="00BE5B96"/>
    <w:rsid w:val="00BE752A"/>
    <w:rsid w:val="00BE7ED9"/>
    <w:rsid w:val="00BF0901"/>
    <w:rsid w:val="00BF17E3"/>
    <w:rsid w:val="00BF1B4D"/>
    <w:rsid w:val="00BF2C56"/>
    <w:rsid w:val="00BF3B81"/>
    <w:rsid w:val="00BF6430"/>
    <w:rsid w:val="00C00C39"/>
    <w:rsid w:val="00C01F27"/>
    <w:rsid w:val="00C0214D"/>
    <w:rsid w:val="00C036FE"/>
    <w:rsid w:val="00C03FA8"/>
    <w:rsid w:val="00C0426C"/>
    <w:rsid w:val="00C05801"/>
    <w:rsid w:val="00C063A2"/>
    <w:rsid w:val="00C06498"/>
    <w:rsid w:val="00C104C8"/>
    <w:rsid w:val="00C104D5"/>
    <w:rsid w:val="00C11DA7"/>
    <w:rsid w:val="00C11F79"/>
    <w:rsid w:val="00C1375B"/>
    <w:rsid w:val="00C14E89"/>
    <w:rsid w:val="00C15348"/>
    <w:rsid w:val="00C201C2"/>
    <w:rsid w:val="00C2134C"/>
    <w:rsid w:val="00C21703"/>
    <w:rsid w:val="00C23C36"/>
    <w:rsid w:val="00C24E92"/>
    <w:rsid w:val="00C25299"/>
    <w:rsid w:val="00C256F4"/>
    <w:rsid w:val="00C265C9"/>
    <w:rsid w:val="00C26C06"/>
    <w:rsid w:val="00C27433"/>
    <w:rsid w:val="00C27C44"/>
    <w:rsid w:val="00C3025E"/>
    <w:rsid w:val="00C3074C"/>
    <w:rsid w:val="00C31647"/>
    <w:rsid w:val="00C32A70"/>
    <w:rsid w:val="00C33462"/>
    <w:rsid w:val="00C336C8"/>
    <w:rsid w:val="00C33C05"/>
    <w:rsid w:val="00C3582E"/>
    <w:rsid w:val="00C3797B"/>
    <w:rsid w:val="00C40963"/>
    <w:rsid w:val="00C40C58"/>
    <w:rsid w:val="00C41871"/>
    <w:rsid w:val="00C42EB7"/>
    <w:rsid w:val="00C440A4"/>
    <w:rsid w:val="00C4764B"/>
    <w:rsid w:val="00C50308"/>
    <w:rsid w:val="00C503A8"/>
    <w:rsid w:val="00C51F0E"/>
    <w:rsid w:val="00C525B6"/>
    <w:rsid w:val="00C529D6"/>
    <w:rsid w:val="00C534D8"/>
    <w:rsid w:val="00C53CF5"/>
    <w:rsid w:val="00C54276"/>
    <w:rsid w:val="00C54286"/>
    <w:rsid w:val="00C54352"/>
    <w:rsid w:val="00C54AC3"/>
    <w:rsid w:val="00C54D8A"/>
    <w:rsid w:val="00C568CE"/>
    <w:rsid w:val="00C571D7"/>
    <w:rsid w:val="00C57BE9"/>
    <w:rsid w:val="00C60C2D"/>
    <w:rsid w:val="00C61381"/>
    <w:rsid w:val="00C6160E"/>
    <w:rsid w:val="00C617CE"/>
    <w:rsid w:val="00C622FE"/>
    <w:rsid w:val="00C626E2"/>
    <w:rsid w:val="00C64D56"/>
    <w:rsid w:val="00C65FB5"/>
    <w:rsid w:val="00C66162"/>
    <w:rsid w:val="00C6665C"/>
    <w:rsid w:val="00C6693B"/>
    <w:rsid w:val="00C70435"/>
    <w:rsid w:val="00C70FBF"/>
    <w:rsid w:val="00C71309"/>
    <w:rsid w:val="00C71F15"/>
    <w:rsid w:val="00C72027"/>
    <w:rsid w:val="00C7218B"/>
    <w:rsid w:val="00C73089"/>
    <w:rsid w:val="00C74BBE"/>
    <w:rsid w:val="00C75960"/>
    <w:rsid w:val="00C76BA0"/>
    <w:rsid w:val="00C76DDD"/>
    <w:rsid w:val="00C77235"/>
    <w:rsid w:val="00C77E29"/>
    <w:rsid w:val="00C80578"/>
    <w:rsid w:val="00C80C43"/>
    <w:rsid w:val="00C81802"/>
    <w:rsid w:val="00C821A2"/>
    <w:rsid w:val="00C83003"/>
    <w:rsid w:val="00C8315E"/>
    <w:rsid w:val="00C83558"/>
    <w:rsid w:val="00C83A16"/>
    <w:rsid w:val="00C83D63"/>
    <w:rsid w:val="00C842B9"/>
    <w:rsid w:val="00C8653A"/>
    <w:rsid w:val="00C8660E"/>
    <w:rsid w:val="00C86C57"/>
    <w:rsid w:val="00C875BF"/>
    <w:rsid w:val="00C90F85"/>
    <w:rsid w:val="00C92E08"/>
    <w:rsid w:val="00C93243"/>
    <w:rsid w:val="00C939AC"/>
    <w:rsid w:val="00C94D54"/>
    <w:rsid w:val="00C95967"/>
    <w:rsid w:val="00C96D66"/>
    <w:rsid w:val="00C97E4B"/>
    <w:rsid w:val="00CA064A"/>
    <w:rsid w:val="00CA3AC2"/>
    <w:rsid w:val="00CA3C59"/>
    <w:rsid w:val="00CA4217"/>
    <w:rsid w:val="00CA507D"/>
    <w:rsid w:val="00CA6060"/>
    <w:rsid w:val="00CB0122"/>
    <w:rsid w:val="00CB0150"/>
    <w:rsid w:val="00CB0ADE"/>
    <w:rsid w:val="00CB0B1D"/>
    <w:rsid w:val="00CB11C3"/>
    <w:rsid w:val="00CB3920"/>
    <w:rsid w:val="00CB3984"/>
    <w:rsid w:val="00CB5AC7"/>
    <w:rsid w:val="00CB77F7"/>
    <w:rsid w:val="00CC01AB"/>
    <w:rsid w:val="00CC02ED"/>
    <w:rsid w:val="00CC0BDE"/>
    <w:rsid w:val="00CC1360"/>
    <w:rsid w:val="00CC1B97"/>
    <w:rsid w:val="00CC26E5"/>
    <w:rsid w:val="00CC2772"/>
    <w:rsid w:val="00CC2DF6"/>
    <w:rsid w:val="00CC2F34"/>
    <w:rsid w:val="00CC4311"/>
    <w:rsid w:val="00CC4D8F"/>
    <w:rsid w:val="00CC4E72"/>
    <w:rsid w:val="00CC5DB6"/>
    <w:rsid w:val="00CD06F8"/>
    <w:rsid w:val="00CD18EF"/>
    <w:rsid w:val="00CD35E9"/>
    <w:rsid w:val="00CD3CBB"/>
    <w:rsid w:val="00CD59D0"/>
    <w:rsid w:val="00CD7072"/>
    <w:rsid w:val="00CD79A5"/>
    <w:rsid w:val="00CD7C63"/>
    <w:rsid w:val="00CE0681"/>
    <w:rsid w:val="00CE09BD"/>
    <w:rsid w:val="00CE0C26"/>
    <w:rsid w:val="00CE1781"/>
    <w:rsid w:val="00CE378E"/>
    <w:rsid w:val="00CE648E"/>
    <w:rsid w:val="00CE6F8E"/>
    <w:rsid w:val="00CF002C"/>
    <w:rsid w:val="00CF1F94"/>
    <w:rsid w:val="00CF287F"/>
    <w:rsid w:val="00CF2BD6"/>
    <w:rsid w:val="00CF3980"/>
    <w:rsid w:val="00CF4A60"/>
    <w:rsid w:val="00CF67B2"/>
    <w:rsid w:val="00CF7116"/>
    <w:rsid w:val="00D000AC"/>
    <w:rsid w:val="00D006D8"/>
    <w:rsid w:val="00D0076D"/>
    <w:rsid w:val="00D04EC0"/>
    <w:rsid w:val="00D0502F"/>
    <w:rsid w:val="00D0581E"/>
    <w:rsid w:val="00D05A6E"/>
    <w:rsid w:val="00D06824"/>
    <w:rsid w:val="00D06F1B"/>
    <w:rsid w:val="00D076A4"/>
    <w:rsid w:val="00D1080D"/>
    <w:rsid w:val="00D12703"/>
    <w:rsid w:val="00D128AD"/>
    <w:rsid w:val="00D15824"/>
    <w:rsid w:val="00D1593E"/>
    <w:rsid w:val="00D160BE"/>
    <w:rsid w:val="00D16D29"/>
    <w:rsid w:val="00D16DC5"/>
    <w:rsid w:val="00D177C1"/>
    <w:rsid w:val="00D17F63"/>
    <w:rsid w:val="00D206EE"/>
    <w:rsid w:val="00D213E9"/>
    <w:rsid w:val="00D222EE"/>
    <w:rsid w:val="00D2244D"/>
    <w:rsid w:val="00D22A04"/>
    <w:rsid w:val="00D232DF"/>
    <w:rsid w:val="00D23A87"/>
    <w:rsid w:val="00D258ED"/>
    <w:rsid w:val="00D25C78"/>
    <w:rsid w:val="00D26AD2"/>
    <w:rsid w:val="00D26BA7"/>
    <w:rsid w:val="00D27839"/>
    <w:rsid w:val="00D279FE"/>
    <w:rsid w:val="00D31EB0"/>
    <w:rsid w:val="00D346E7"/>
    <w:rsid w:val="00D34F25"/>
    <w:rsid w:val="00D37865"/>
    <w:rsid w:val="00D413D2"/>
    <w:rsid w:val="00D41462"/>
    <w:rsid w:val="00D41F4D"/>
    <w:rsid w:val="00D44A71"/>
    <w:rsid w:val="00D45041"/>
    <w:rsid w:val="00D45D4B"/>
    <w:rsid w:val="00D45DF2"/>
    <w:rsid w:val="00D46D88"/>
    <w:rsid w:val="00D4793E"/>
    <w:rsid w:val="00D50418"/>
    <w:rsid w:val="00D50E65"/>
    <w:rsid w:val="00D51207"/>
    <w:rsid w:val="00D526D2"/>
    <w:rsid w:val="00D52E63"/>
    <w:rsid w:val="00D54D08"/>
    <w:rsid w:val="00D5637F"/>
    <w:rsid w:val="00D568B0"/>
    <w:rsid w:val="00D57E7F"/>
    <w:rsid w:val="00D6087B"/>
    <w:rsid w:val="00D60D81"/>
    <w:rsid w:val="00D611E5"/>
    <w:rsid w:val="00D6263A"/>
    <w:rsid w:val="00D67122"/>
    <w:rsid w:val="00D70D40"/>
    <w:rsid w:val="00D70E6C"/>
    <w:rsid w:val="00D711E6"/>
    <w:rsid w:val="00D72795"/>
    <w:rsid w:val="00D72825"/>
    <w:rsid w:val="00D7386A"/>
    <w:rsid w:val="00D739FB"/>
    <w:rsid w:val="00D75313"/>
    <w:rsid w:val="00D75B40"/>
    <w:rsid w:val="00D76335"/>
    <w:rsid w:val="00D76567"/>
    <w:rsid w:val="00D81354"/>
    <w:rsid w:val="00D820A5"/>
    <w:rsid w:val="00D82310"/>
    <w:rsid w:val="00D84981"/>
    <w:rsid w:val="00D85B2E"/>
    <w:rsid w:val="00D85C94"/>
    <w:rsid w:val="00D85F7B"/>
    <w:rsid w:val="00D866AE"/>
    <w:rsid w:val="00D87201"/>
    <w:rsid w:val="00D900C7"/>
    <w:rsid w:val="00D901F6"/>
    <w:rsid w:val="00D90758"/>
    <w:rsid w:val="00D9141E"/>
    <w:rsid w:val="00D914EE"/>
    <w:rsid w:val="00D91A03"/>
    <w:rsid w:val="00D932AE"/>
    <w:rsid w:val="00D93F01"/>
    <w:rsid w:val="00D9551A"/>
    <w:rsid w:val="00D958DC"/>
    <w:rsid w:val="00D959D5"/>
    <w:rsid w:val="00D96242"/>
    <w:rsid w:val="00D97E1F"/>
    <w:rsid w:val="00DA0565"/>
    <w:rsid w:val="00DA0B46"/>
    <w:rsid w:val="00DA0C5D"/>
    <w:rsid w:val="00DA1FAB"/>
    <w:rsid w:val="00DA2156"/>
    <w:rsid w:val="00DA30DC"/>
    <w:rsid w:val="00DA3ABC"/>
    <w:rsid w:val="00DA60C8"/>
    <w:rsid w:val="00DA61F1"/>
    <w:rsid w:val="00DA6296"/>
    <w:rsid w:val="00DA7EAD"/>
    <w:rsid w:val="00DB053D"/>
    <w:rsid w:val="00DB0908"/>
    <w:rsid w:val="00DB102D"/>
    <w:rsid w:val="00DB1BC3"/>
    <w:rsid w:val="00DB2105"/>
    <w:rsid w:val="00DB2916"/>
    <w:rsid w:val="00DB29EC"/>
    <w:rsid w:val="00DB2B75"/>
    <w:rsid w:val="00DB37E3"/>
    <w:rsid w:val="00DB41A4"/>
    <w:rsid w:val="00DB4771"/>
    <w:rsid w:val="00DB4A75"/>
    <w:rsid w:val="00DB4B8E"/>
    <w:rsid w:val="00DB4D14"/>
    <w:rsid w:val="00DB5BBF"/>
    <w:rsid w:val="00DB67E2"/>
    <w:rsid w:val="00DB6D9F"/>
    <w:rsid w:val="00DB7014"/>
    <w:rsid w:val="00DB7208"/>
    <w:rsid w:val="00DB7ABB"/>
    <w:rsid w:val="00DC2806"/>
    <w:rsid w:val="00DC3371"/>
    <w:rsid w:val="00DC3FF2"/>
    <w:rsid w:val="00DC4279"/>
    <w:rsid w:val="00DC44EB"/>
    <w:rsid w:val="00DC4F28"/>
    <w:rsid w:val="00DC4FD3"/>
    <w:rsid w:val="00DC55E1"/>
    <w:rsid w:val="00DC5E39"/>
    <w:rsid w:val="00DC612B"/>
    <w:rsid w:val="00DC75E4"/>
    <w:rsid w:val="00DC7606"/>
    <w:rsid w:val="00DC7BD8"/>
    <w:rsid w:val="00DD0623"/>
    <w:rsid w:val="00DD1FBA"/>
    <w:rsid w:val="00DD21D2"/>
    <w:rsid w:val="00DD2BBF"/>
    <w:rsid w:val="00DD3185"/>
    <w:rsid w:val="00DD3BAB"/>
    <w:rsid w:val="00DD4562"/>
    <w:rsid w:val="00DD4EDA"/>
    <w:rsid w:val="00DD5684"/>
    <w:rsid w:val="00DD5714"/>
    <w:rsid w:val="00DD5C98"/>
    <w:rsid w:val="00DD6A93"/>
    <w:rsid w:val="00DD7297"/>
    <w:rsid w:val="00DD764E"/>
    <w:rsid w:val="00DE3E60"/>
    <w:rsid w:val="00DE50C0"/>
    <w:rsid w:val="00DE5AB5"/>
    <w:rsid w:val="00DE62B9"/>
    <w:rsid w:val="00DF0563"/>
    <w:rsid w:val="00DF1573"/>
    <w:rsid w:val="00DF203B"/>
    <w:rsid w:val="00DF34E7"/>
    <w:rsid w:val="00DF3737"/>
    <w:rsid w:val="00DF42E1"/>
    <w:rsid w:val="00DF49C1"/>
    <w:rsid w:val="00DF4B1E"/>
    <w:rsid w:val="00DF6235"/>
    <w:rsid w:val="00DF6BA7"/>
    <w:rsid w:val="00DF788C"/>
    <w:rsid w:val="00E000B8"/>
    <w:rsid w:val="00E0015D"/>
    <w:rsid w:val="00E018F1"/>
    <w:rsid w:val="00E04617"/>
    <w:rsid w:val="00E051C6"/>
    <w:rsid w:val="00E06949"/>
    <w:rsid w:val="00E06FC3"/>
    <w:rsid w:val="00E07523"/>
    <w:rsid w:val="00E11DA9"/>
    <w:rsid w:val="00E120C8"/>
    <w:rsid w:val="00E12E7F"/>
    <w:rsid w:val="00E1307E"/>
    <w:rsid w:val="00E14205"/>
    <w:rsid w:val="00E14418"/>
    <w:rsid w:val="00E15EA7"/>
    <w:rsid w:val="00E16B6A"/>
    <w:rsid w:val="00E17523"/>
    <w:rsid w:val="00E176EF"/>
    <w:rsid w:val="00E17E94"/>
    <w:rsid w:val="00E2058E"/>
    <w:rsid w:val="00E206BC"/>
    <w:rsid w:val="00E21F93"/>
    <w:rsid w:val="00E240EB"/>
    <w:rsid w:val="00E252DF"/>
    <w:rsid w:val="00E27727"/>
    <w:rsid w:val="00E278B9"/>
    <w:rsid w:val="00E2790C"/>
    <w:rsid w:val="00E30412"/>
    <w:rsid w:val="00E32636"/>
    <w:rsid w:val="00E34272"/>
    <w:rsid w:val="00E34B90"/>
    <w:rsid w:val="00E35D1C"/>
    <w:rsid w:val="00E360E3"/>
    <w:rsid w:val="00E369F1"/>
    <w:rsid w:val="00E36CB8"/>
    <w:rsid w:val="00E36FEB"/>
    <w:rsid w:val="00E37377"/>
    <w:rsid w:val="00E40A0F"/>
    <w:rsid w:val="00E40FB0"/>
    <w:rsid w:val="00E4171A"/>
    <w:rsid w:val="00E42877"/>
    <w:rsid w:val="00E42B11"/>
    <w:rsid w:val="00E435C8"/>
    <w:rsid w:val="00E44D92"/>
    <w:rsid w:val="00E450EE"/>
    <w:rsid w:val="00E45F3E"/>
    <w:rsid w:val="00E46CCF"/>
    <w:rsid w:val="00E47F42"/>
    <w:rsid w:val="00E50692"/>
    <w:rsid w:val="00E51457"/>
    <w:rsid w:val="00E52B9B"/>
    <w:rsid w:val="00E53A2A"/>
    <w:rsid w:val="00E559D2"/>
    <w:rsid w:val="00E571C4"/>
    <w:rsid w:val="00E573FD"/>
    <w:rsid w:val="00E606F3"/>
    <w:rsid w:val="00E60866"/>
    <w:rsid w:val="00E619FF"/>
    <w:rsid w:val="00E6298B"/>
    <w:rsid w:val="00E63FC1"/>
    <w:rsid w:val="00E645C4"/>
    <w:rsid w:val="00E65C5A"/>
    <w:rsid w:val="00E66853"/>
    <w:rsid w:val="00E678C8"/>
    <w:rsid w:val="00E70EF9"/>
    <w:rsid w:val="00E71643"/>
    <w:rsid w:val="00E71675"/>
    <w:rsid w:val="00E717AB"/>
    <w:rsid w:val="00E71BA4"/>
    <w:rsid w:val="00E71F1E"/>
    <w:rsid w:val="00E73167"/>
    <w:rsid w:val="00E76098"/>
    <w:rsid w:val="00E7749D"/>
    <w:rsid w:val="00E77993"/>
    <w:rsid w:val="00E80005"/>
    <w:rsid w:val="00E809B5"/>
    <w:rsid w:val="00E80ECA"/>
    <w:rsid w:val="00E80FDB"/>
    <w:rsid w:val="00E855B1"/>
    <w:rsid w:val="00E86DEA"/>
    <w:rsid w:val="00E87DF1"/>
    <w:rsid w:val="00E91927"/>
    <w:rsid w:val="00E91B99"/>
    <w:rsid w:val="00E93D67"/>
    <w:rsid w:val="00E93E1D"/>
    <w:rsid w:val="00E94B89"/>
    <w:rsid w:val="00E95A58"/>
    <w:rsid w:val="00EA0BDA"/>
    <w:rsid w:val="00EA0E8E"/>
    <w:rsid w:val="00EA1612"/>
    <w:rsid w:val="00EA2014"/>
    <w:rsid w:val="00EA2968"/>
    <w:rsid w:val="00EA2E2B"/>
    <w:rsid w:val="00EA3D2C"/>
    <w:rsid w:val="00EA4BFA"/>
    <w:rsid w:val="00EA55AE"/>
    <w:rsid w:val="00EA5627"/>
    <w:rsid w:val="00EA6328"/>
    <w:rsid w:val="00EA63A5"/>
    <w:rsid w:val="00EA7743"/>
    <w:rsid w:val="00EB25FB"/>
    <w:rsid w:val="00EB4220"/>
    <w:rsid w:val="00EB4A06"/>
    <w:rsid w:val="00EB6E41"/>
    <w:rsid w:val="00EB711E"/>
    <w:rsid w:val="00EB749D"/>
    <w:rsid w:val="00EC2204"/>
    <w:rsid w:val="00EC29E4"/>
    <w:rsid w:val="00EC2AD9"/>
    <w:rsid w:val="00EC4199"/>
    <w:rsid w:val="00EC5691"/>
    <w:rsid w:val="00EC621C"/>
    <w:rsid w:val="00EC67AE"/>
    <w:rsid w:val="00EC6839"/>
    <w:rsid w:val="00EC6EDC"/>
    <w:rsid w:val="00EC7A0F"/>
    <w:rsid w:val="00ED0B82"/>
    <w:rsid w:val="00ED26A8"/>
    <w:rsid w:val="00ED523F"/>
    <w:rsid w:val="00ED587E"/>
    <w:rsid w:val="00ED59A1"/>
    <w:rsid w:val="00ED6AD2"/>
    <w:rsid w:val="00ED7546"/>
    <w:rsid w:val="00ED7EBA"/>
    <w:rsid w:val="00ED7F3A"/>
    <w:rsid w:val="00EE0353"/>
    <w:rsid w:val="00EE0B47"/>
    <w:rsid w:val="00EE284E"/>
    <w:rsid w:val="00EE2ED7"/>
    <w:rsid w:val="00EE4A3A"/>
    <w:rsid w:val="00EE5E4C"/>
    <w:rsid w:val="00EE6E60"/>
    <w:rsid w:val="00EE706F"/>
    <w:rsid w:val="00EF04A8"/>
    <w:rsid w:val="00EF0D34"/>
    <w:rsid w:val="00EF0D6A"/>
    <w:rsid w:val="00EF0DC1"/>
    <w:rsid w:val="00EF234B"/>
    <w:rsid w:val="00EF2401"/>
    <w:rsid w:val="00EF4D3E"/>
    <w:rsid w:val="00EF540F"/>
    <w:rsid w:val="00EF54BB"/>
    <w:rsid w:val="00EF5DAD"/>
    <w:rsid w:val="00EF725A"/>
    <w:rsid w:val="00F0163E"/>
    <w:rsid w:val="00F02061"/>
    <w:rsid w:val="00F022D3"/>
    <w:rsid w:val="00F0246C"/>
    <w:rsid w:val="00F034F2"/>
    <w:rsid w:val="00F04280"/>
    <w:rsid w:val="00F0450D"/>
    <w:rsid w:val="00F05461"/>
    <w:rsid w:val="00F0639E"/>
    <w:rsid w:val="00F07542"/>
    <w:rsid w:val="00F07EA3"/>
    <w:rsid w:val="00F104BA"/>
    <w:rsid w:val="00F12B85"/>
    <w:rsid w:val="00F131F7"/>
    <w:rsid w:val="00F135AC"/>
    <w:rsid w:val="00F139F7"/>
    <w:rsid w:val="00F1457E"/>
    <w:rsid w:val="00F150E4"/>
    <w:rsid w:val="00F155C8"/>
    <w:rsid w:val="00F15CE6"/>
    <w:rsid w:val="00F17FB3"/>
    <w:rsid w:val="00F2050D"/>
    <w:rsid w:val="00F20F0E"/>
    <w:rsid w:val="00F20FFD"/>
    <w:rsid w:val="00F230F3"/>
    <w:rsid w:val="00F2424D"/>
    <w:rsid w:val="00F24721"/>
    <w:rsid w:val="00F24A0A"/>
    <w:rsid w:val="00F25EE1"/>
    <w:rsid w:val="00F2646A"/>
    <w:rsid w:val="00F30F9B"/>
    <w:rsid w:val="00F34F4C"/>
    <w:rsid w:val="00F35013"/>
    <w:rsid w:val="00F35378"/>
    <w:rsid w:val="00F35527"/>
    <w:rsid w:val="00F357FC"/>
    <w:rsid w:val="00F36E34"/>
    <w:rsid w:val="00F4124B"/>
    <w:rsid w:val="00F4264C"/>
    <w:rsid w:val="00F42F51"/>
    <w:rsid w:val="00F44D03"/>
    <w:rsid w:val="00F47E78"/>
    <w:rsid w:val="00F510B6"/>
    <w:rsid w:val="00F523A5"/>
    <w:rsid w:val="00F52BFC"/>
    <w:rsid w:val="00F542BE"/>
    <w:rsid w:val="00F54530"/>
    <w:rsid w:val="00F54537"/>
    <w:rsid w:val="00F54561"/>
    <w:rsid w:val="00F55174"/>
    <w:rsid w:val="00F55FE4"/>
    <w:rsid w:val="00F56C20"/>
    <w:rsid w:val="00F56ECF"/>
    <w:rsid w:val="00F575ED"/>
    <w:rsid w:val="00F57E89"/>
    <w:rsid w:val="00F6059C"/>
    <w:rsid w:val="00F60B96"/>
    <w:rsid w:val="00F60F78"/>
    <w:rsid w:val="00F6430A"/>
    <w:rsid w:val="00F645DA"/>
    <w:rsid w:val="00F65387"/>
    <w:rsid w:val="00F65633"/>
    <w:rsid w:val="00F66D9E"/>
    <w:rsid w:val="00F67D24"/>
    <w:rsid w:val="00F70192"/>
    <w:rsid w:val="00F7065C"/>
    <w:rsid w:val="00F70E69"/>
    <w:rsid w:val="00F729A9"/>
    <w:rsid w:val="00F72AEB"/>
    <w:rsid w:val="00F72EA1"/>
    <w:rsid w:val="00F730A8"/>
    <w:rsid w:val="00F7364E"/>
    <w:rsid w:val="00F8026E"/>
    <w:rsid w:val="00F808FE"/>
    <w:rsid w:val="00F81019"/>
    <w:rsid w:val="00F81619"/>
    <w:rsid w:val="00F83925"/>
    <w:rsid w:val="00F844BE"/>
    <w:rsid w:val="00F8492B"/>
    <w:rsid w:val="00F84B20"/>
    <w:rsid w:val="00F85A95"/>
    <w:rsid w:val="00F86410"/>
    <w:rsid w:val="00F90421"/>
    <w:rsid w:val="00F91FBF"/>
    <w:rsid w:val="00F9289A"/>
    <w:rsid w:val="00F92E69"/>
    <w:rsid w:val="00F93E85"/>
    <w:rsid w:val="00F958E0"/>
    <w:rsid w:val="00F95913"/>
    <w:rsid w:val="00F96BD9"/>
    <w:rsid w:val="00F96EEC"/>
    <w:rsid w:val="00F97D1D"/>
    <w:rsid w:val="00FA00CA"/>
    <w:rsid w:val="00FA17C8"/>
    <w:rsid w:val="00FA23FF"/>
    <w:rsid w:val="00FA2628"/>
    <w:rsid w:val="00FA31A5"/>
    <w:rsid w:val="00FA5164"/>
    <w:rsid w:val="00FA57B6"/>
    <w:rsid w:val="00FA644E"/>
    <w:rsid w:val="00FA7F86"/>
    <w:rsid w:val="00FB06AC"/>
    <w:rsid w:val="00FB1483"/>
    <w:rsid w:val="00FB17AD"/>
    <w:rsid w:val="00FB1C92"/>
    <w:rsid w:val="00FB1D57"/>
    <w:rsid w:val="00FB2CC7"/>
    <w:rsid w:val="00FB3FE6"/>
    <w:rsid w:val="00FB4DDC"/>
    <w:rsid w:val="00FB5013"/>
    <w:rsid w:val="00FB6663"/>
    <w:rsid w:val="00FB6FC0"/>
    <w:rsid w:val="00FC00D5"/>
    <w:rsid w:val="00FC1E77"/>
    <w:rsid w:val="00FC51B3"/>
    <w:rsid w:val="00FC66D7"/>
    <w:rsid w:val="00FD0541"/>
    <w:rsid w:val="00FD23FF"/>
    <w:rsid w:val="00FD4641"/>
    <w:rsid w:val="00FD5C35"/>
    <w:rsid w:val="00FD6D5C"/>
    <w:rsid w:val="00FD7434"/>
    <w:rsid w:val="00FE0047"/>
    <w:rsid w:val="00FE0492"/>
    <w:rsid w:val="00FE058F"/>
    <w:rsid w:val="00FE127B"/>
    <w:rsid w:val="00FE35E5"/>
    <w:rsid w:val="00FE47F4"/>
    <w:rsid w:val="00FE4BE2"/>
    <w:rsid w:val="00FE4D92"/>
    <w:rsid w:val="00FE5FF8"/>
    <w:rsid w:val="00FE6245"/>
    <w:rsid w:val="00FE7AD7"/>
    <w:rsid w:val="00FF14BE"/>
    <w:rsid w:val="00FF21D8"/>
    <w:rsid w:val="00FF3A81"/>
    <w:rsid w:val="00FF6B4A"/>
    <w:rsid w:val="00FF73F1"/>
    <w:rsid w:val="00FF74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310721"/>
    <w:pPr>
      <w:keepNext/>
      <w:numPr>
        <w:numId w:val="25"/>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310721"/>
    <w:pPr>
      <w:keepNext/>
      <w:numPr>
        <w:ilvl w:val="1"/>
        <w:numId w:val="25"/>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1A40CE"/>
    <w:pPr>
      <w:keepNext/>
      <w:tabs>
        <w:tab w:val="left" w:pos="720"/>
      </w:tabs>
      <w:spacing w:before="60" w:after="240"/>
      <w:outlineLvl w:val="2"/>
    </w:pPr>
    <w:rPr>
      <w:rFonts w:cs="Arial"/>
      <w:b/>
      <w:bCs/>
      <w:szCs w:val="26"/>
    </w:rPr>
  </w:style>
  <w:style w:type="paragraph" w:styleId="Heading4">
    <w:name w:val="heading 4"/>
    <w:basedOn w:val="Normal"/>
    <w:next w:val="Normal"/>
    <w:link w:val="Heading4Char"/>
    <w:semiHidden/>
    <w:unhideWhenUsed/>
    <w:qFormat/>
    <w:rsid w:val="00606251"/>
    <w:pPr>
      <w:keepNext/>
      <w:numPr>
        <w:ilvl w:val="3"/>
        <w:numId w:val="25"/>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numPr>
        <w:ilvl w:val="4"/>
        <w:numId w:val="25"/>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numPr>
        <w:ilvl w:val="5"/>
        <w:numId w:val="25"/>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numPr>
        <w:ilvl w:val="6"/>
        <w:numId w:val="25"/>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numPr>
        <w:ilvl w:val="7"/>
        <w:numId w:val="25"/>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numPr>
        <w:ilvl w:val="8"/>
        <w:numId w:val="25"/>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aliases w:val="titulo 2,Style 24,pie pddes"/>
    <w:basedOn w:val="DefaultParagraphFont"/>
    <w:uiPriority w:val="99"/>
    <w:semiHidden/>
    <w:qFormat/>
    <w:rsid w:val="00541B55"/>
    <w:rPr>
      <w:rFonts w:ascii="Times New Roman" w:hAnsi="Times New Roman"/>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qFormat/>
    <w:rsid w:val="000B28CA"/>
    <w:pPr>
      <w:tabs>
        <w:tab w:val="center" w:pos="4252"/>
        <w:tab w:val="right" w:pos="8504"/>
      </w:tabs>
    </w:pPr>
  </w:style>
  <w:style w:type="table" w:styleId="TableGrid">
    <w:name w:val="Table Grid"/>
    <w:basedOn w:val="Table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DC75E4"/>
    <w:pPr>
      <w:tabs>
        <w:tab w:val="left" w:pos="1200"/>
        <w:tab w:val="right" w:leader="dot" w:pos="8789"/>
      </w:tabs>
      <w:spacing w:after="100"/>
      <w:ind w:left="709"/>
    </w:pPr>
    <w:rPr>
      <w:rFonts w:eastAsiaTheme="minorEastAsia"/>
      <w:noProof/>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2"/>
      </w:numPr>
      <w:contextualSpacing/>
    </w:pPr>
  </w:style>
  <w:style w:type="paragraph" w:styleId="ListNumber2">
    <w:name w:val="List Number 2"/>
    <w:basedOn w:val="Normal"/>
    <w:rsid w:val="00606251"/>
    <w:pPr>
      <w:numPr>
        <w:numId w:val="3"/>
      </w:numPr>
      <w:contextualSpacing/>
    </w:pPr>
  </w:style>
  <w:style w:type="paragraph" w:styleId="ListNumber3">
    <w:name w:val="List Number 3"/>
    <w:basedOn w:val="Normal"/>
    <w:rsid w:val="00606251"/>
    <w:pPr>
      <w:numPr>
        <w:numId w:val="4"/>
      </w:numPr>
      <w:contextualSpacing/>
    </w:pPr>
  </w:style>
  <w:style w:type="paragraph" w:styleId="ListNumber4">
    <w:name w:val="List Number 4"/>
    <w:basedOn w:val="Normal"/>
    <w:rsid w:val="00606251"/>
    <w:pPr>
      <w:numPr>
        <w:numId w:val="5"/>
      </w:numPr>
      <w:contextualSpacing/>
    </w:pPr>
  </w:style>
  <w:style w:type="paragraph" w:styleId="ListNumber5">
    <w:name w:val="List Number 5"/>
    <w:basedOn w:val="Normal"/>
    <w:rsid w:val="00606251"/>
    <w:pPr>
      <w:numPr>
        <w:numId w:val="6"/>
      </w:numPr>
      <w:contextualSpacing/>
    </w:pPr>
  </w:style>
  <w:style w:type="paragraph" w:styleId="ListBullet">
    <w:name w:val="List Bullet"/>
    <w:basedOn w:val="Normal"/>
    <w:rsid w:val="00606251"/>
    <w:pPr>
      <w:numPr>
        <w:numId w:val="7"/>
      </w:numPr>
      <w:contextualSpacing/>
    </w:pPr>
  </w:style>
  <w:style w:type="paragraph" w:styleId="ListBullet2">
    <w:name w:val="List Bullet 2"/>
    <w:basedOn w:val="Normal"/>
    <w:rsid w:val="00606251"/>
    <w:pPr>
      <w:numPr>
        <w:numId w:val="8"/>
      </w:numPr>
      <w:contextualSpacing/>
    </w:pPr>
  </w:style>
  <w:style w:type="paragraph" w:styleId="ListBullet3">
    <w:name w:val="List Bullet 3"/>
    <w:basedOn w:val="Normal"/>
    <w:rsid w:val="00606251"/>
    <w:pPr>
      <w:numPr>
        <w:numId w:val="9"/>
      </w:numPr>
      <w:contextualSpacing/>
    </w:pPr>
  </w:style>
  <w:style w:type="paragraph" w:styleId="ListBullet4">
    <w:name w:val="List Bullet 4"/>
    <w:basedOn w:val="Normal"/>
    <w:rsid w:val="00606251"/>
    <w:pPr>
      <w:numPr>
        <w:numId w:val="10"/>
      </w:numPr>
      <w:contextualSpacing/>
    </w:pPr>
  </w:style>
  <w:style w:type="paragraph" w:styleId="ListBullet5">
    <w:name w:val="List Bullet 5"/>
    <w:basedOn w:val="Normal"/>
    <w:rsid w:val="00606251"/>
    <w:pPr>
      <w:numPr>
        <w:numId w:val="11"/>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2"/>
      <w:szCs w:val="22"/>
    </w:rPr>
  </w:style>
  <w:style w:type="character" w:customStyle="1" w:styleId="Heading7Char">
    <w:name w:val="Heading 7 Char"/>
    <w:basedOn w:val="DefaultParagraphFont"/>
    <w:link w:val="Heading7"/>
    <w:semiHidden/>
    <w:rsid w:val="00606251"/>
    <w:rPr>
      <w:rFonts w:ascii="Calibri" w:hAnsi="Calibri"/>
      <w:sz w:val="22"/>
      <w:szCs w:val="22"/>
    </w:rPr>
  </w:style>
  <w:style w:type="character" w:customStyle="1" w:styleId="Heading8Char">
    <w:name w:val="Heading 8 Char"/>
    <w:basedOn w:val="DefaultParagraphFont"/>
    <w:link w:val="Heading8"/>
    <w:semiHidden/>
    <w:rsid w:val="00606251"/>
    <w:rPr>
      <w:rFonts w:ascii="Calibri" w:hAnsi="Calibri"/>
      <w:i/>
      <w:iCs/>
      <w:sz w:val="22"/>
      <w:szCs w:val="22"/>
    </w:rPr>
  </w:style>
  <w:style w:type="character" w:customStyle="1" w:styleId="Heading9Char">
    <w:name w:val="Heading 9 Char"/>
    <w:basedOn w:val="DefaultParagraphFont"/>
    <w:link w:val="Heading9"/>
    <w:semiHidden/>
    <w:rsid w:val="00606251"/>
    <w:rPr>
      <w:rFonts w:ascii="Cambria" w:hAnsi="Cambria"/>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3"/>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link w:val="ParagraphChar"/>
    <w:rsid w:val="00C03FA8"/>
    <w:pPr>
      <w:numPr>
        <w:ilvl w:val="1"/>
        <w:numId w:val="13"/>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3"/>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erChar">
    <w:name w:val="Footer Char"/>
    <w:link w:val="Footer"/>
    <w:uiPriority w:val="99"/>
    <w:rsid w:val="00BC22F6"/>
    <w:rPr>
      <w:sz w:val="22"/>
      <w:szCs w:val="22"/>
    </w:rPr>
  </w:style>
  <w:style w:type="character" w:customStyle="1" w:styleId="ParagraphChar">
    <w:name w:val="Paragraph Char"/>
    <w:link w:val="Paragraph"/>
    <w:rsid w:val="00FF21D8"/>
    <w:rPr>
      <w:sz w:val="24"/>
      <w:lang w:eastAsia="en-US"/>
    </w:rPr>
  </w:style>
  <w:style w:type="character" w:customStyle="1" w:styleId="FootnoteTextChar">
    <w:name w:val="Footnote Text Char"/>
    <w:basedOn w:val="DefaultParagraphFont"/>
    <w:link w:val="FootnoteText"/>
    <w:uiPriority w:val="99"/>
    <w:semiHidden/>
    <w:rsid w:val="00FF2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310721"/>
    <w:pPr>
      <w:keepNext/>
      <w:numPr>
        <w:numId w:val="25"/>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310721"/>
    <w:pPr>
      <w:keepNext/>
      <w:numPr>
        <w:ilvl w:val="1"/>
        <w:numId w:val="25"/>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1A40CE"/>
    <w:pPr>
      <w:keepNext/>
      <w:tabs>
        <w:tab w:val="left" w:pos="720"/>
      </w:tabs>
      <w:spacing w:before="60" w:after="240"/>
      <w:outlineLvl w:val="2"/>
    </w:pPr>
    <w:rPr>
      <w:rFonts w:cs="Arial"/>
      <w:b/>
      <w:bCs/>
      <w:szCs w:val="26"/>
    </w:rPr>
  </w:style>
  <w:style w:type="paragraph" w:styleId="Heading4">
    <w:name w:val="heading 4"/>
    <w:basedOn w:val="Normal"/>
    <w:next w:val="Normal"/>
    <w:link w:val="Heading4Char"/>
    <w:semiHidden/>
    <w:unhideWhenUsed/>
    <w:qFormat/>
    <w:rsid w:val="00606251"/>
    <w:pPr>
      <w:keepNext/>
      <w:numPr>
        <w:ilvl w:val="3"/>
        <w:numId w:val="25"/>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numPr>
        <w:ilvl w:val="4"/>
        <w:numId w:val="25"/>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numPr>
        <w:ilvl w:val="5"/>
        <w:numId w:val="25"/>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numPr>
        <w:ilvl w:val="6"/>
        <w:numId w:val="25"/>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numPr>
        <w:ilvl w:val="7"/>
        <w:numId w:val="25"/>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numPr>
        <w:ilvl w:val="8"/>
        <w:numId w:val="25"/>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aliases w:val="titulo 2,Style 24,pie pddes"/>
    <w:basedOn w:val="DefaultParagraphFont"/>
    <w:uiPriority w:val="99"/>
    <w:semiHidden/>
    <w:qFormat/>
    <w:rsid w:val="00541B55"/>
    <w:rPr>
      <w:rFonts w:ascii="Times New Roman" w:hAnsi="Times New Roman"/>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qFormat/>
    <w:rsid w:val="000B28CA"/>
    <w:pPr>
      <w:tabs>
        <w:tab w:val="center" w:pos="4252"/>
        <w:tab w:val="right" w:pos="8504"/>
      </w:tabs>
    </w:pPr>
  </w:style>
  <w:style w:type="table" w:styleId="TableGrid">
    <w:name w:val="Table Grid"/>
    <w:basedOn w:val="Table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DC75E4"/>
    <w:pPr>
      <w:tabs>
        <w:tab w:val="left" w:pos="1200"/>
        <w:tab w:val="right" w:leader="dot" w:pos="8789"/>
      </w:tabs>
      <w:spacing w:after="100"/>
      <w:ind w:left="709"/>
    </w:pPr>
    <w:rPr>
      <w:rFonts w:eastAsiaTheme="minorEastAsia"/>
      <w:noProof/>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2"/>
      </w:numPr>
      <w:contextualSpacing/>
    </w:pPr>
  </w:style>
  <w:style w:type="paragraph" w:styleId="ListNumber2">
    <w:name w:val="List Number 2"/>
    <w:basedOn w:val="Normal"/>
    <w:rsid w:val="00606251"/>
    <w:pPr>
      <w:numPr>
        <w:numId w:val="3"/>
      </w:numPr>
      <w:contextualSpacing/>
    </w:pPr>
  </w:style>
  <w:style w:type="paragraph" w:styleId="ListNumber3">
    <w:name w:val="List Number 3"/>
    <w:basedOn w:val="Normal"/>
    <w:rsid w:val="00606251"/>
    <w:pPr>
      <w:numPr>
        <w:numId w:val="4"/>
      </w:numPr>
      <w:contextualSpacing/>
    </w:pPr>
  </w:style>
  <w:style w:type="paragraph" w:styleId="ListNumber4">
    <w:name w:val="List Number 4"/>
    <w:basedOn w:val="Normal"/>
    <w:rsid w:val="00606251"/>
    <w:pPr>
      <w:numPr>
        <w:numId w:val="5"/>
      </w:numPr>
      <w:contextualSpacing/>
    </w:pPr>
  </w:style>
  <w:style w:type="paragraph" w:styleId="ListNumber5">
    <w:name w:val="List Number 5"/>
    <w:basedOn w:val="Normal"/>
    <w:rsid w:val="00606251"/>
    <w:pPr>
      <w:numPr>
        <w:numId w:val="6"/>
      </w:numPr>
      <w:contextualSpacing/>
    </w:pPr>
  </w:style>
  <w:style w:type="paragraph" w:styleId="ListBullet">
    <w:name w:val="List Bullet"/>
    <w:basedOn w:val="Normal"/>
    <w:rsid w:val="00606251"/>
    <w:pPr>
      <w:numPr>
        <w:numId w:val="7"/>
      </w:numPr>
      <w:contextualSpacing/>
    </w:pPr>
  </w:style>
  <w:style w:type="paragraph" w:styleId="ListBullet2">
    <w:name w:val="List Bullet 2"/>
    <w:basedOn w:val="Normal"/>
    <w:rsid w:val="00606251"/>
    <w:pPr>
      <w:numPr>
        <w:numId w:val="8"/>
      </w:numPr>
      <w:contextualSpacing/>
    </w:pPr>
  </w:style>
  <w:style w:type="paragraph" w:styleId="ListBullet3">
    <w:name w:val="List Bullet 3"/>
    <w:basedOn w:val="Normal"/>
    <w:rsid w:val="00606251"/>
    <w:pPr>
      <w:numPr>
        <w:numId w:val="9"/>
      </w:numPr>
      <w:contextualSpacing/>
    </w:pPr>
  </w:style>
  <w:style w:type="paragraph" w:styleId="ListBullet4">
    <w:name w:val="List Bullet 4"/>
    <w:basedOn w:val="Normal"/>
    <w:rsid w:val="00606251"/>
    <w:pPr>
      <w:numPr>
        <w:numId w:val="10"/>
      </w:numPr>
      <w:contextualSpacing/>
    </w:pPr>
  </w:style>
  <w:style w:type="paragraph" w:styleId="ListBullet5">
    <w:name w:val="List Bullet 5"/>
    <w:basedOn w:val="Normal"/>
    <w:rsid w:val="00606251"/>
    <w:pPr>
      <w:numPr>
        <w:numId w:val="11"/>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2"/>
      <w:szCs w:val="22"/>
    </w:rPr>
  </w:style>
  <w:style w:type="character" w:customStyle="1" w:styleId="Heading7Char">
    <w:name w:val="Heading 7 Char"/>
    <w:basedOn w:val="DefaultParagraphFont"/>
    <w:link w:val="Heading7"/>
    <w:semiHidden/>
    <w:rsid w:val="00606251"/>
    <w:rPr>
      <w:rFonts w:ascii="Calibri" w:hAnsi="Calibri"/>
      <w:sz w:val="22"/>
      <w:szCs w:val="22"/>
    </w:rPr>
  </w:style>
  <w:style w:type="character" w:customStyle="1" w:styleId="Heading8Char">
    <w:name w:val="Heading 8 Char"/>
    <w:basedOn w:val="DefaultParagraphFont"/>
    <w:link w:val="Heading8"/>
    <w:semiHidden/>
    <w:rsid w:val="00606251"/>
    <w:rPr>
      <w:rFonts w:ascii="Calibri" w:hAnsi="Calibri"/>
      <w:i/>
      <w:iCs/>
      <w:sz w:val="22"/>
      <w:szCs w:val="22"/>
    </w:rPr>
  </w:style>
  <w:style w:type="character" w:customStyle="1" w:styleId="Heading9Char">
    <w:name w:val="Heading 9 Char"/>
    <w:basedOn w:val="DefaultParagraphFont"/>
    <w:link w:val="Heading9"/>
    <w:semiHidden/>
    <w:rsid w:val="00606251"/>
    <w:rPr>
      <w:rFonts w:ascii="Cambria" w:hAnsi="Cambria"/>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3"/>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link w:val="ParagraphChar"/>
    <w:rsid w:val="00C03FA8"/>
    <w:pPr>
      <w:numPr>
        <w:ilvl w:val="1"/>
        <w:numId w:val="13"/>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3"/>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erChar">
    <w:name w:val="Footer Char"/>
    <w:link w:val="Footer"/>
    <w:uiPriority w:val="99"/>
    <w:rsid w:val="00BC22F6"/>
    <w:rPr>
      <w:sz w:val="22"/>
      <w:szCs w:val="22"/>
    </w:rPr>
  </w:style>
  <w:style w:type="character" w:customStyle="1" w:styleId="ParagraphChar">
    <w:name w:val="Paragraph Char"/>
    <w:link w:val="Paragraph"/>
    <w:rsid w:val="00FF21D8"/>
    <w:rPr>
      <w:sz w:val="24"/>
      <w:lang w:eastAsia="en-US"/>
    </w:rPr>
  </w:style>
  <w:style w:type="character" w:customStyle="1" w:styleId="FootnoteTextChar">
    <w:name w:val="Footnote Text Char"/>
    <w:basedOn w:val="DefaultParagraphFont"/>
    <w:link w:val="FootnoteText"/>
    <w:uiPriority w:val="99"/>
    <w:semiHidden/>
    <w:rsid w:val="00FF2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21134538">
      <w:bodyDiv w:val="1"/>
      <w:marLeft w:val="0"/>
      <w:marRight w:val="0"/>
      <w:marTop w:val="0"/>
      <w:marBottom w:val="0"/>
      <w:divBdr>
        <w:top w:val="none" w:sz="0" w:space="0" w:color="auto"/>
        <w:left w:val="none" w:sz="0" w:space="0" w:color="auto"/>
        <w:bottom w:val="none" w:sz="0" w:space="0" w:color="auto"/>
        <w:right w:val="none" w:sz="0" w:space="0" w:color="auto"/>
      </w:divBdr>
    </w:div>
    <w:div w:id="26224532">
      <w:bodyDiv w:val="1"/>
      <w:marLeft w:val="0"/>
      <w:marRight w:val="0"/>
      <w:marTop w:val="0"/>
      <w:marBottom w:val="0"/>
      <w:divBdr>
        <w:top w:val="none" w:sz="0" w:space="0" w:color="auto"/>
        <w:left w:val="none" w:sz="0" w:space="0" w:color="auto"/>
        <w:bottom w:val="none" w:sz="0" w:space="0" w:color="auto"/>
        <w:right w:val="none" w:sz="0" w:space="0" w:color="auto"/>
      </w:divBdr>
    </w:div>
    <w:div w:id="46148509">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sChild>
        <w:div w:id="982854659">
          <w:marLeft w:val="576"/>
          <w:marRight w:val="0"/>
          <w:marTop w:val="60"/>
          <w:marBottom w:val="0"/>
          <w:divBdr>
            <w:top w:val="none" w:sz="0" w:space="0" w:color="auto"/>
            <w:left w:val="none" w:sz="0" w:space="0" w:color="auto"/>
            <w:bottom w:val="none" w:sz="0" w:space="0" w:color="auto"/>
            <w:right w:val="none" w:sz="0" w:space="0" w:color="auto"/>
          </w:divBdr>
        </w:div>
      </w:divsChild>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57618416">
      <w:bodyDiv w:val="1"/>
      <w:marLeft w:val="0"/>
      <w:marRight w:val="0"/>
      <w:marTop w:val="0"/>
      <w:marBottom w:val="0"/>
      <w:divBdr>
        <w:top w:val="none" w:sz="0" w:space="0" w:color="auto"/>
        <w:left w:val="none" w:sz="0" w:space="0" w:color="auto"/>
        <w:bottom w:val="none" w:sz="0" w:space="0" w:color="auto"/>
        <w:right w:val="none" w:sz="0" w:space="0" w:color="auto"/>
      </w:divBdr>
    </w:div>
    <w:div w:id="177044434">
      <w:bodyDiv w:val="1"/>
      <w:marLeft w:val="0"/>
      <w:marRight w:val="0"/>
      <w:marTop w:val="0"/>
      <w:marBottom w:val="0"/>
      <w:divBdr>
        <w:top w:val="none" w:sz="0" w:space="0" w:color="auto"/>
        <w:left w:val="none" w:sz="0" w:space="0" w:color="auto"/>
        <w:bottom w:val="none" w:sz="0" w:space="0" w:color="auto"/>
        <w:right w:val="none" w:sz="0" w:space="0" w:color="auto"/>
      </w:divBdr>
    </w:div>
    <w:div w:id="245725788">
      <w:bodyDiv w:val="1"/>
      <w:marLeft w:val="0"/>
      <w:marRight w:val="0"/>
      <w:marTop w:val="0"/>
      <w:marBottom w:val="0"/>
      <w:divBdr>
        <w:top w:val="none" w:sz="0" w:space="0" w:color="auto"/>
        <w:left w:val="none" w:sz="0" w:space="0" w:color="auto"/>
        <w:bottom w:val="none" w:sz="0" w:space="0" w:color="auto"/>
        <w:right w:val="none" w:sz="0" w:space="0" w:color="auto"/>
      </w:divBdr>
    </w:div>
    <w:div w:id="349071900">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388918579">
      <w:bodyDiv w:val="1"/>
      <w:marLeft w:val="0"/>
      <w:marRight w:val="0"/>
      <w:marTop w:val="0"/>
      <w:marBottom w:val="0"/>
      <w:divBdr>
        <w:top w:val="none" w:sz="0" w:space="0" w:color="auto"/>
        <w:left w:val="none" w:sz="0" w:space="0" w:color="auto"/>
        <w:bottom w:val="none" w:sz="0" w:space="0" w:color="auto"/>
        <w:right w:val="none" w:sz="0" w:space="0" w:color="auto"/>
      </w:divBdr>
    </w:div>
    <w:div w:id="486097428">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30845423">
      <w:bodyDiv w:val="1"/>
      <w:marLeft w:val="0"/>
      <w:marRight w:val="0"/>
      <w:marTop w:val="0"/>
      <w:marBottom w:val="0"/>
      <w:divBdr>
        <w:top w:val="none" w:sz="0" w:space="0" w:color="auto"/>
        <w:left w:val="none" w:sz="0" w:space="0" w:color="auto"/>
        <w:bottom w:val="none" w:sz="0" w:space="0" w:color="auto"/>
        <w:right w:val="none" w:sz="0" w:space="0" w:color="auto"/>
      </w:divBdr>
    </w:div>
    <w:div w:id="610431138">
      <w:bodyDiv w:val="1"/>
      <w:marLeft w:val="0"/>
      <w:marRight w:val="0"/>
      <w:marTop w:val="0"/>
      <w:marBottom w:val="0"/>
      <w:divBdr>
        <w:top w:val="none" w:sz="0" w:space="0" w:color="auto"/>
        <w:left w:val="none" w:sz="0" w:space="0" w:color="auto"/>
        <w:bottom w:val="none" w:sz="0" w:space="0" w:color="auto"/>
        <w:right w:val="none" w:sz="0" w:space="0" w:color="auto"/>
      </w:divBdr>
    </w:div>
    <w:div w:id="656688039">
      <w:bodyDiv w:val="1"/>
      <w:marLeft w:val="0"/>
      <w:marRight w:val="0"/>
      <w:marTop w:val="0"/>
      <w:marBottom w:val="0"/>
      <w:divBdr>
        <w:top w:val="none" w:sz="0" w:space="0" w:color="auto"/>
        <w:left w:val="none" w:sz="0" w:space="0" w:color="auto"/>
        <w:bottom w:val="none" w:sz="0" w:space="0" w:color="auto"/>
        <w:right w:val="none" w:sz="0" w:space="0" w:color="auto"/>
      </w:divBdr>
    </w:div>
    <w:div w:id="682702232">
      <w:bodyDiv w:val="1"/>
      <w:marLeft w:val="0"/>
      <w:marRight w:val="0"/>
      <w:marTop w:val="0"/>
      <w:marBottom w:val="0"/>
      <w:divBdr>
        <w:top w:val="none" w:sz="0" w:space="0" w:color="auto"/>
        <w:left w:val="none" w:sz="0" w:space="0" w:color="auto"/>
        <w:bottom w:val="none" w:sz="0" w:space="0" w:color="auto"/>
        <w:right w:val="none" w:sz="0" w:space="0" w:color="auto"/>
      </w:divBdr>
      <w:divsChild>
        <w:div w:id="528491180">
          <w:marLeft w:val="576"/>
          <w:marRight w:val="0"/>
          <w:marTop w:val="60"/>
          <w:marBottom w:val="0"/>
          <w:divBdr>
            <w:top w:val="none" w:sz="0" w:space="0" w:color="auto"/>
            <w:left w:val="none" w:sz="0" w:space="0" w:color="auto"/>
            <w:bottom w:val="none" w:sz="0" w:space="0" w:color="auto"/>
            <w:right w:val="none" w:sz="0" w:space="0" w:color="auto"/>
          </w:divBdr>
        </w:div>
        <w:div w:id="1789229660">
          <w:marLeft w:val="576"/>
          <w:marRight w:val="0"/>
          <w:marTop w:val="60"/>
          <w:marBottom w:val="0"/>
          <w:divBdr>
            <w:top w:val="none" w:sz="0" w:space="0" w:color="auto"/>
            <w:left w:val="none" w:sz="0" w:space="0" w:color="auto"/>
            <w:bottom w:val="none" w:sz="0" w:space="0" w:color="auto"/>
            <w:right w:val="none" w:sz="0" w:space="0" w:color="auto"/>
          </w:divBdr>
        </w:div>
      </w:divsChild>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26412792">
      <w:bodyDiv w:val="1"/>
      <w:marLeft w:val="0"/>
      <w:marRight w:val="0"/>
      <w:marTop w:val="0"/>
      <w:marBottom w:val="0"/>
      <w:divBdr>
        <w:top w:val="none" w:sz="0" w:space="0" w:color="auto"/>
        <w:left w:val="none" w:sz="0" w:space="0" w:color="auto"/>
        <w:bottom w:val="none" w:sz="0" w:space="0" w:color="auto"/>
        <w:right w:val="none" w:sz="0" w:space="0" w:color="auto"/>
      </w:divBdr>
      <w:divsChild>
        <w:div w:id="1015693434">
          <w:marLeft w:val="576"/>
          <w:marRight w:val="0"/>
          <w:marTop w:val="60"/>
          <w:marBottom w:val="0"/>
          <w:divBdr>
            <w:top w:val="none" w:sz="0" w:space="0" w:color="auto"/>
            <w:left w:val="none" w:sz="0" w:space="0" w:color="auto"/>
            <w:bottom w:val="none" w:sz="0" w:space="0" w:color="auto"/>
            <w:right w:val="none" w:sz="0" w:space="0" w:color="auto"/>
          </w:divBdr>
        </w:div>
        <w:div w:id="1086538202">
          <w:marLeft w:val="576"/>
          <w:marRight w:val="0"/>
          <w:marTop w:val="60"/>
          <w:marBottom w:val="0"/>
          <w:divBdr>
            <w:top w:val="none" w:sz="0" w:space="0" w:color="auto"/>
            <w:left w:val="none" w:sz="0" w:space="0" w:color="auto"/>
            <w:bottom w:val="none" w:sz="0" w:space="0" w:color="auto"/>
            <w:right w:val="none" w:sz="0" w:space="0" w:color="auto"/>
          </w:divBdr>
        </w:div>
        <w:div w:id="1191144299">
          <w:marLeft w:val="576"/>
          <w:marRight w:val="0"/>
          <w:marTop w:val="60"/>
          <w:marBottom w:val="0"/>
          <w:divBdr>
            <w:top w:val="none" w:sz="0" w:space="0" w:color="auto"/>
            <w:left w:val="none" w:sz="0" w:space="0" w:color="auto"/>
            <w:bottom w:val="none" w:sz="0" w:space="0" w:color="auto"/>
            <w:right w:val="none" w:sz="0" w:space="0" w:color="auto"/>
          </w:divBdr>
        </w:div>
        <w:div w:id="1381902267">
          <w:marLeft w:val="576"/>
          <w:marRight w:val="0"/>
          <w:marTop w:val="60"/>
          <w:marBottom w:val="0"/>
          <w:divBdr>
            <w:top w:val="none" w:sz="0" w:space="0" w:color="auto"/>
            <w:left w:val="none" w:sz="0" w:space="0" w:color="auto"/>
            <w:bottom w:val="none" w:sz="0" w:space="0" w:color="auto"/>
            <w:right w:val="none" w:sz="0" w:space="0" w:color="auto"/>
          </w:divBdr>
        </w:div>
      </w:divsChild>
    </w:div>
    <w:div w:id="778063785">
      <w:bodyDiv w:val="1"/>
      <w:marLeft w:val="0"/>
      <w:marRight w:val="0"/>
      <w:marTop w:val="0"/>
      <w:marBottom w:val="0"/>
      <w:divBdr>
        <w:top w:val="none" w:sz="0" w:space="0" w:color="auto"/>
        <w:left w:val="none" w:sz="0" w:space="0" w:color="auto"/>
        <w:bottom w:val="none" w:sz="0" w:space="0" w:color="auto"/>
        <w:right w:val="none" w:sz="0" w:space="0" w:color="auto"/>
      </w:divBdr>
    </w:div>
    <w:div w:id="811672299">
      <w:bodyDiv w:val="1"/>
      <w:marLeft w:val="0"/>
      <w:marRight w:val="0"/>
      <w:marTop w:val="0"/>
      <w:marBottom w:val="0"/>
      <w:divBdr>
        <w:top w:val="none" w:sz="0" w:space="0" w:color="auto"/>
        <w:left w:val="none" w:sz="0" w:space="0" w:color="auto"/>
        <w:bottom w:val="none" w:sz="0" w:space="0" w:color="auto"/>
        <w:right w:val="none" w:sz="0" w:space="0" w:color="auto"/>
      </w:divBdr>
    </w:div>
    <w:div w:id="834420287">
      <w:bodyDiv w:val="1"/>
      <w:marLeft w:val="0"/>
      <w:marRight w:val="0"/>
      <w:marTop w:val="0"/>
      <w:marBottom w:val="0"/>
      <w:divBdr>
        <w:top w:val="none" w:sz="0" w:space="0" w:color="auto"/>
        <w:left w:val="none" w:sz="0" w:space="0" w:color="auto"/>
        <w:bottom w:val="none" w:sz="0" w:space="0" w:color="auto"/>
        <w:right w:val="none" w:sz="0" w:space="0" w:color="auto"/>
      </w:divBdr>
      <w:divsChild>
        <w:div w:id="1568884675">
          <w:marLeft w:val="576"/>
          <w:marRight w:val="0"/>
          <w:marTop w:val="60"/>
          <w:marBottom w:val="0"/>
          <w:divBdr>
            <w:top w:val="none" w:sz="0" w:space="0" w:color="auto"/>
            <w:left w:val="none" w:sz="0" w:space="0" w:color="auto"/>
            <w:bottom w:val="none" w:sz="0" w:space="0" w:color="auto"/>
            <w:right w:val="none" w:sz="0" w:space="0" w:color="auto"/>
          </w:divBdr>
        </w:div>
        <w:div w:id="2081705216">
          <w:marLeft w:val="576"/>
          <w:marRight w:val="0"/>
          <w:marTop w:val="60"/>
          <w:marBottom w:val="0"/>
          <w:divBdr>
            <w:top w:val="none" w:sz="0" w:space="0" w:color="auto"/>
            <w:left w:val="none" w:sz="0" w:space="0" w:color="auto"/>
            <w:bottom w:val="none" w:sz="0" w:space="0" w:color="auto"/>
            <w:right w:val="none" w:sz="0" w:space="0" w:color="auto"/>
          </w:divBdr>
        </w:div>
      </w:divsChild>
    </w:div>
    <w:div w:id="864251762">
      <w:bodyDiv w:val="1"/>
      <w:marLeft w:val="0"/>
      <w:marRight w:val="0"/>
      <w:marTop w:val="0"/>
      <w:marBottom w:val="0"/>
      <w:divBdr>
        <w:top w:val="none" w:sz="0" w:space="0" w:color="auto"/>
        <w:left w:val="none" w:sz="0" w:space="0" w:color="auto"/>
        <w:bottom w:val="none" w:sz="0" w:space="0" w:color="auto"/>
        <w:right w:val="none" w:sz="0" w:space="0" w:color="auto"/>
      </w:divBdr>
    </w:div>
    <w:div w:id="928201985">
      <w:bodyDiv w:val="1"/>
      <w:marLeft w:val="0"/>
      <w:marRight w:val="0"/>
      <w:marTop w:val="0"/>
      <w:marBottom w:val="0"/>
      <w:divBdr>
        <w:top w:val="none" w:sz="0" w:space="0" w:color="auto"/>
        <w:left w:val="none" w:sz="0" w:space="0" w:color="auto"/>
        <w:bottom w:val="none" w:sz="0" w:space="0" w:color="auto"/>
        <w:right w:val="none" w:sz="0" w:space="0" w:color="auto"/>
      </w:divBdr>
    </w:div>
    <w:div w:id="986083581">
      <w:bodyDiv w:val="1"/>
      <w:marLeft w:val="0"/>
      <w:marRight w:val="0"/>
      <w:marTop w:val="0"/>
      <w:marBottom w:val="0"/>
      <w:divBdr>
        <w:top w:val="none" w:sz="0" w:space="0" w:color="auto"/>
        <w:left w:val="none" w:sz="0" w:space="0" w:color="auto"/>
        <w:bottom w:val="none" w:sz="0" w:space="0" w:color="auto"/>
        <w:right w:val="none" w:sz="0" w:space="0" w:color="auto"/>
      </w:divBdr>
    </w:div>
    <w:div w:id="1027482252">
      <w:bodyDiv w:val="1"/>
      <w:marLeft w:val="0"/>
      <w:marRight w:val="0"/>
      <w:marTop w:val="0"/>
      <w:marBottom w:val="0"/>
      <w:divBdr>
        <w:top w:val="none" w:sz="0" w:space="0" w:color="auto"/>
        <w:left w:val="none" w:sz="0" w:space="0" w:color="auto"/>
        <w:bottom w:val="none" w:sz="0" w:space="0" w:color="auto"/>
        <w:right w:val="none" w:sz="0" w:space="0" w:color="auto"/>
      </w:divBdr>
    </w:div>
    <w:div w:id="1099519458">
      <w:bodyDiv w:val="1"/>
      <w:marLeft w:val="0"/>
      <w:marRight w:val="0"/>
      <w:marTop w:val="0"/>
      <w:marBottom w:val="0"/>
      <w:divBdr>
        <w:top w:val="none" w:sz="0" w:space="0" w:color="auto"/>
        <w:left w:val="none" w:sz="0" w:space="0" w:color="auto"/>
        <w:bottom w:val="none" w:sz="0" w:space="0" w:color="auto"/>
        <w:right w:val="none" w:sz="0" w:space="0" w:color="auto"/>
      </w:divBdr>
    </w:div>
    <w:div w:id="1185942443">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10019646">
      <w:bodyDiv w:val="1"/>
      <w:marLeft w:val="0"/>
      <w:marRight w:val="0"/>
      <w:marTop w:val="0"/>
      <w:marBottom w:val="0"/>
      <w:divBdr>
        <w:top w:val="none" w:sz="0" w:space="0" w:color="auto"/>
        <w:left w:val="none" w:sz="0" w:space="0" w:color="auto"/>
        <w:bottom w:val="none" w:sz="0" w:space="0" w:color="auto"/>
        <w:right w:val="none" w:sz="0" w:space="0" w:color="auto"/>
      </w:divBdr>
      <w:divsChild>
        <w:div w:id="74253190">
          <w:marLeft w:val="576"/>
          <w:marRight w:val="0"/>
          <w:marTop w:val="60"/>
          <w:marBottom w:val="0"/>
          <w:divBdr>
            <w:top w:val="none" w:sz="0" w:space="0" w:color="auto"/>
            <w:left w:val="none" w:sz="0" w:space="0" w:color="auto"/>
            <w:bottom w:val="none" w:sz="0" w:space="0" w:color="auto"/>
            <w:right w:val="none" w:sz="0" w:space="0" w:color="auto"/>
          </w:divBdr>
        </w:div>
        <w:div w:id="914752050">
          <w:marLeft w:val="576"/>
          <w:marRight w:val="0"/>
          <w:marTop w:val="60"/>
          <w:marBottom w:val="0"/>
          <w:divBdr>
            <w:top w:val="none" w:sz="0" w:space="0" w:color="auto"/>
            <w:left w:val="none" w:sz="0" w:space="0" w:color="auto"/>
            <w:bottom w:val="none" w:sz="0" w:space="0" w:color="auto"/>
            <w:right w:val="none" w:sz="0" w:space="0" w:color="auto"/>
          </w:divBdr>
        </w:div>
        <w:div w:id="1069499526">
          <w:marLeft w:val="576"/>
          <w:marRight w:val="0"/>
          <w:marTop w:val="60"/>
          <w:marBottom w:val="0"/>
          <w:divBdr>
            <w:top w:val="none" w:sz="0" w:space="0" w:color="auto"/>
            <w:left w:val="none" w:sz="0" w:space="0" w:color="auto"/>
            <w:bottom w:val="none" w:sz="0" w:space="0" w:color="auto"/>
            <w:right w:val="none" w:sz="0" w:space="0" w:color="auto"/>
          </w:divBdr>
        </w:div>
      </w:divsChild>
    </w:div>
    <w:div w:id="1310407199">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361784754">
      <w:bodyDiv w:val="1"/>
      <w:marLeft w:val="0"/>
      <w:marRight w:val="0"/>
      <w:marTop w:val="0"/>
      <w:marBottom w:val="0"/>
      <w:divBdr>
        <w:top w:val="none" w:sz="0" w:space="0" w:color="auto"/>
        <w:left w:val="none" w:sz="0" w:space="0" w:color="auto"/>
        <w:bottom w:val="none" w:sz="0" w:space="0" w:color="auto"/>
        <w:right w:val="none" w:sz="0" w:space="0" w:color="auto"/>
      </w:divBdr>
    </w:div>
    <w:div w:id="1402942981">
      <w:bodyDiv w:val="1"/>
      <w:marLeft w:val="0"/>
      <w:marRight w:val="0"/>
      <w:marTop w:val="0"/>
      <w:marBottom w:val="0"/>
      <w:divBdr>
        <w:top w:val="none" w:sz="0" w:space="0" w:color="auto"/>
        <w:left w:val="none" w:sz="0" w:space="0" w:color="auto"/>
        <w:bottom w:val="none" w:sz="0" w:space="0" w:color="auto"/>
        <w:right w:val="none" w:sz="0" w:space="0" w:color="auto"/>
      </w:divBdr>
    </w:div>
    <w:div w:id="1433864443">
      <w:bodyDiv w:val="1"/>
      <w:marLeft w:val="0"/>
      <w:marRight w:val="0"/>
      <w:marTop w:val="0"/>
      <w:marBottom w:val="0"/>
      <w:divBdr>
        <w:top w:val="none" w:sz="0" w:space="0" w:color="auto"/>
        <w:left w:val="none" w:sz="0" w:space="0" w:color="auto"/>
        <w:bottom w:val="none" w:sz="0" w:space="0" w:color="auto"/>
        <w:right w:val="none" w:sz="0" w:space="0" w:color="auto"/>
      </w:divBdr>
    </w:div>
    <w:div w:id="1445543407">
      <w:bodyDiv w:val="1"/>
      <w:marLeft w:val="0"/>
      <w:marRight w:val="0"/>
      <w:marTop w:val="0"/>
      <w:marBottom w:val="0"/>
      <w:divBdr>
        <w:top w:val="none" w:sz="0" w:space="0" w:color="auto"/>
        <w:left w:val="none" w:sz="0" w:space="0" w:color="auto"/>
        <w:bottom w:val="none" w:sz="0" w:space="0" w:color="auto"/>
        <w:right w:val="none" w:sz="0" w:space="0" w:color="auto"/>
      </w:divBdr>
    </w:div>
    <w:div w:id="1449465772">
      <w:bodyDiv w:val="1"/>
      <w:marLeft w:val="0"/>
      <w:marRight w:val="0"/>
      <w:marTop w:val="0"/>
      <w:marBottom w:val="0"/>
      <w:divBdr>
        <w:top w:val="none" w:sz="0" w:space="0" w:color="auto"/>
        <w:left w:val="none" w:sz="0" w:space="0" w:color="auto"/>
        <w:bottom w:val="none" w:sz="0" w:space="0" w:color="auto"/>
        <w:right w:val="none" w:sz="0" w:space="0" w:color="auto"/>
      </w:divBdr>
    </w:div>
    <w:div w:id="1565293609">
      <w:bodyDiv w:val="1"/>
      <w:marLeft w:val="0"/>
      <w:marRight w:val="0"/>
      <w:marTop w:val="0"/>
      <w:marBottom w:val="0"/>
      <w:divBdr>
        <w:top w:val="none" w:sz="0" w:space="0" w:color="auto"/>
        <w:left w:val="none" w:sz="0" w:space="0" w:color="auto"/>
        <w:bottom w:val="none" w:sz="0" w:space="0" w:color="auto"/>
        <w:right w:val="none" w:sz="0" w:space="0" w:color="auto"/>
      </w:divBdr>
    </w:div>
    <w:div w:id="1644382928">
      <w:bodyDiv w:val="1"/>
      <w:marLeft w:val="0"/>
      <w:marRight w:val="0"/>
      <w:marTop w:val="0"/>
      <w:marBottom w:val="0"/>
      <w:divBdr>
        <w:top w:val="none" w:sz="0" w:space="0" w:color="auto"/>
        <w:left w:val="none" w:sz="0" w:space="0" w:color="auto"/>
        <w:bottom w:val="none" w:sz="0" w:space="0" w:color="auto"/>
        <w:right w:val="none" w:sz="0" w:space="0" w:color="auto"/>
      </w:divBdr>
    </w:div>
    <w:div w:id="1646083364">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722749619">
      <w:bodyDiv w:val="1"/>
      <w:marLeft w:val="0"/>
      <w:marRight w:val="0"/>
      <w:marTop w:val="0"/>
      <w:marBottom w:val="0"/>
      <w:divBdr>
        <w:top w:val="none" w:sz="0" w:space="0" w:color="auto"/>
        <w:left w:val="none" w:sz="0" w:space="0" w:color="auto"/>
        <w:bottom w:val="none" w:sz="0" w:space="0" w:color="auto"/>
        <w:right w:val="none" w:sz="0" w:space="0" w:color="auto"/>
      </w:divBdr>
    </w:div>
    <w:div w:id="1727558761">
      <w:bodyDiv w:val="1"/>
      <w:marLeft w:val="0"/>
      <w:marRight w:val="0"/>
      <w:marTop w:val="0"/>
      <w:marBottom w:val="0"/>
      <w:divBdr>
        <w:top w:val="none" w:sz="0" w:space="0" w:color="auto"/>
        <w:left w:val="none" w:sz="0" w:space="0" w:color="auto"/>
        <w:bottom w:val="none" w:sz="0" w:space="0" w:color="auto"/>
        <w:right w:val="none" w:sz="0" w:space="0" w:color="auto"/>
      </w:divBdr>
    </w:div>
    <w:div w:id="1788811926">
      <w:bodyDiv w:val="1"/>
      <w:marLeft w:val="0"/>
      <w:marRight w:val="0"/>
      <w:marTop w:val="0"/>
      <w:marBottom w:val="0"/>
      <w:divBdr>
        <w:top w:val="none" w:sz="0" w:space="0" w:color="auto"/>
        <w:left w:val="none" w:sz="0" w:space="0" w:color="auto"/>
        <w:bottom w:val="none" w:sz="0" w:space="0" w:color="auto"/>
        <w:right w:val="none" w:sz="0" w:space="0" w:color="auto"/>
      </w:divBdr>
    </w:div>
    <w:div w:id="1797330613">
      <w:bodyDiv w:val="1"/>
      <w:marLeft w:val="0"/>
      <w:marRight w:val="0"/>
      <w:marTop w:val="0"/>
      <w:marBottom w:val="0"/>
      <w:divBdr>
        <w:top w:val="none" w:sz="0" w:space="0" w:color="auto"/>
        <w:left w:val="none" w:sz="0" w:space="0" w:color="auto"/>
        <w:bottom w:val="none" w:sz="0" w:space="0" w:color="auto"/>
        <w:right w:val="none" w:sz="0" w:space="0" w:color="auto"/>
      </w:divBdr>
    </w:div>
    <w:div w:id="1823698616">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1185861">
      <w:bodyDiv w:val="1"/>
      <w:marLeft w:val="0"/>
      <w:marRight w:val="0"/>
      <w:marTop w:val="0"/>
      <w:marBottom w:val="0"/>
      <w:divBdr>
        <w:top w:val="none" w:sz="0" w:space="0" w:color="auto"/>
        <w:left w:val="none" w:sz="0" w:space="0" w:color="auto"/>
        <w:bottom w:val="none" w:sz="0" w:space="0" w:color="auto"/>
        <w:right w:val="none" w:sz="0" w:space="0" w:color="auto"/>
      </w:divBdr>
    </w:div>
    <w:div w:id="1917745871">
      <w:bodyDiv w:val="1"/>
      <w:marLeft w:val="0"/>
      <w:marRight w:val="0"/>
      <w:marTop w:val="0"/>
      <w:marBottom w:val="0"/>
      <w:divBdr>
        <w:top w:val="none" w:sz="0" w:space="0" w:color="auto"/>
        <w:left w:val="none" w:sz="0" w:space="0" w:color="auto"/>
        <w:bottom w:val="none" w:sz="0" w:space="0" w:color="auto"/>
        <w:right w:val="none" w:sz="0" w:space="0" w:color="auto"/>
      </w:divBdr>
    </w:div>
    <w:div w:id="196229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bcu.gub.uy/Servicios-Financieros-SSF/Tasas%20Medias%20de%20Inters/tasas_medias_inter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2013-11-01T00:00:00</PublishDate>
  <Abstract/>
  <CompanyAddress/>
  <CompanyPhone/>
  <CompanyFax/>
  <CompanyEmail/>
</CoverPage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D2AD2C49F1D8A4F9D52503BFBBDF3BF" ma:contentTypeVersion="0" ma:contentTypeDescription="A content type to manage public (operations) IDB documents" ma:contentTypeScope="" ma:versionID="4cf85d9800f0046664fd9970c443b65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38288100</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Pineda Ayerbe, Emilio Inigo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UR-L1089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Proposal&lt;/USER_STAGE&gt;&lt;PD_OBJ_TYPE&gt;0&lt;/PD_OBJ_TYPE&gt;&lt;MAKERECORD&gt;N&lt;/MAKERECORD&gt;&lt;PD_FILEPT_NO&gt;PO-UR-L1089-Anl&lt;/PD_FILEPT_NO&gt;&lt;/Data&gt;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9486266-F278-4CBF-B7A2-20ECD12B36A4}"/>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01B49DD0-5351-481E-A513-E5EE82211418}"/>
</file>

<file path=customXml/itemProps4.xml><?xml version="1.0" encoding="utf-8"?>
<ds:datastoreItem xmlns:ds="http://schemas.openxmlformats.org/officeDocument/2006/customXml" ds:itemID="{7B8C065E-4C52-47DB-9BF7-B0C23B73490A}"/>
</file>

<file path=customXml/itemProps5.xml><?xml version="1.0" encoding="utf-8"?>
<ds:datastoreItem xmlns:ds="http://schemas.openxmlformats.org/officeDocument/2006/customXml" ds:itemID="{F3C69CC5-7DB4-4055-BDA4-C0BE879C3314}"/>
</file>

<file path=customXml/itemProps6.xml><?xml version="1.0" encoding="utf-8"?>
<ds:datastoreItem xmlns:ds="http://schemas.openxmlformats.org/officeDocument/2006/customXml" ds:itemID="{94416C96-6136-4B11-BABB-34D57A3A4D72}"/>
</file>

<file path=customXml/itemProps7.xml><?xml version="1.0" encoding="utf-8"?>
<ds:datastoreItem xmlns:ds="http://schemas.openxmlformats.org/officeDocument/2006/customXml" ds:itemID="{D2EFC186-49D5-48E1-96F2-BD777A9918EC}"/>
</file>

<file path=docProps/app.xml><?xml version="1.0" encoding="utf-8"?>
<Properties xmlns="http://schemas.openxmlformats.org/officeDocument/2006/extended-properties" xmlns:vt="http://schemas.openxmlformats.org/officeDocument/2006/docPropsVTypes">
  <Template>Normal Informe TNR A4.dotm</Template>
  <TotalTime>5</TotalTime>
  <Pages>28</Pages>
  <Words>8146</Words>
  <Characters>45293</Characters>
  <Application>Microsoft Office Word</Application>
  <DocSecurity>0</DocSecurity>
  <Lines>377</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modernización de la gestión financiera pública</vt:lpstr>
      <vt:lpstr>Programa de modernización de la gestión financiera pública</vt:lpstr>
    </vt:vector>
  </TitlesOfParts>
  <Company>Inter-American Development Bank</Company>
  <LinksUpToDate>false</LinksUpToDate>
  <CharactersWithSpaces>53333</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c:title>
  <dc:subject>Versión borrador</dc:subject>
  <dc:creator>Fernando Grafe</dc:creator>
  <cp:lastModifiedBy>Test</cp:lastModifiedBy>
  <cp:revision>3</cp:revision>
  <cp:lastPrinted>2011-07-09T18:08:00Z</cp:lastPrinted>
  <dcterms:created xsi:type="dcterms:W3CDTF">2013-12-08T23:42:00Z</dcterms:created>
  <dcterms:modified xsi:type="dcterms:W3CDTF">2014-03-06T13:24:00Z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0x01010046CF21643EE8D14686A648AA6DAD0892006D2AD2C49F1D8A4F9D52503BFBBDF3BF</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