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rPr>
          <w:rFonts w:ascii="Arial" w:hAnsi="Arial" w:cs="Arial"/>
        </w:rPr>
      </w:pPr>
      <w:r>
        <w:rPr>
          <w:rFonts w:ascii="Arial" w:hAnsi="Arial" w:cs="Arial"/>
        </w:rPr>
        <w:t>Detalle de las lecciones aprendidas de las experiencias previas del Banco:</w:t>
      </w:r>
    </w:p>
    <w:p>
      <w:pPr>
        <w:pStyle w:val="subpar"/>
        <w:tabs>
          <w:tab w:val="clear" w:pos="360"/>
        </w:tabs>
        <w:ind w:left="1170" w:hanging="360"/>
        <w:outlineLvl w:val="9"/>
        <w:rPr>
          <w:rFonts w:ascii="Arial" w:hAnsi="Arial" w:cs="Arial"/>
          <w:color w:val="000000" w:themeColor="text1"/>
          <w:sz w:val="22"/>
          <w:szCs w:val="22"/>
        </w:rPr>
      </w:pPr>
      <w:r>
        <w:rPr>
          <w:rFonts w:ascii="Arial" w:hAnsi="Arial" w:cs="Arial"/>
          <w:sz w:val="22"/>
          <w:szCs w:val="22"/>
        </w:rPr>
        <w:t>Existe evidencias que demuestran la necesidad de establecer instituciones fiscales fuertes para consolidar un ambiente que promueva la sostenibilidad fiscal</w:t>
      </w:r>
      <w:r>
        <w:rPr>
          <w:rStyle w:val="FootnoteReference"/>
          <w:rFonts w:ascii="Arial" w:eastAsia="Arial" w:hAnsi="Arial" w:cs="Arial"/>
          <w:sz w:val="22"/>
          <w:szCs w:val="22"/>
        </w:rPr>
        <w:footnoteReference w:id="1"/>
      </w:r>
      <w:r>
        <w:rPr>
          <w:rFonts w:ascii="Arial" w:hAnsi="Arial" w:cs="Arial"/>
          <w:sz w:val="22"/>
          <w:szCs w:val="22"/>
        </w:rPr>
        <w:t>. En América Latina, países que poseen instituciones presupuestales más sólidas tienden a presentar una mejor disciplina fiscal</w:t>
      </w:r>
      <w:r>
        <w:rPr>
          <w:rStyle w:val="FootnoteReference"/>
          <w:rFonts w:ascii="Arial" w:eastAsia="Arial" w:hAnsi="Arial" w:cs="Arial"/>
          <w:sz w:val="22"/>
          <w:szCs w:val="22"/>
        </w:rPr>
        <w:footnoteReference w:id="2"/>
      </w:r>
      <w:r>
        <w:rPr>
          <w:rFonts w:ascii="Arial" w:hAnsi="Arial" w:cs="Arial"/>
          <w:sz w:val="22"/>
          <w:szCs w:val="22"/>
        </w:rPr>
        <w:t xml:space="preserve">. </w:t>
      </w:r>
      <w:r>
        <w:rPr>
          <w:rFonts w:ascii="Arial" w:hAnsi="Arial" w:cs="Arial"/>
          <w:color w:val="000000" w:themeColor="text1"/>
          <w:sz w:val="22"/>
          <w:szCs w:val="22"/>
        </w:rPr>
        <w:t xml:space="preserve">Por el lado tributario, evaluaciones recientes demuestran que </w:t>
      </w:r>
      <w:r>
        <w:rPr>
          <w:rFonts w:ascii="Arial" w:hAnsi="Arial" w:cs="Arial"/>
          <w:sz w:val="22"/>
          <w:szCs w:val="22"/>
        </w:rPr>
        <w:t>el desempeño recaudatorio depende significativamente de un fortalecimiento institucional de las AT en su estructura organizacional, procesos y herramientas de soporte</w:t>
      </w:r>
      <w:r>
        <w:rPr>
          <w:rFonts w:ascii="Arial" w:hAnsi="Arial" w:cs="Arial"/>
          <w:color w:val="000000" w:themeColor="text1"/>
          <w:sz w:val="22"/>
          <w:szCs w:val="22"/>
        </w:rPr>
        <w:t>: (i) mejorar el acceso y calidad de la información disponible, lo cual disminuye oportunidades de evasión</w:t>
      </w:r>
      <w:r>
        <w:rPr>
          <w:rStyle w:val="FootnoteReference"/>
          <w:rFonts w:ascii="Arial" w:eastAsia="Arial" w:hAnsi="Arial" w:cs="Arial"/>
          <w:color w:val="000000" w:themeColor="text1"/>
          <w:sz w:val="22"/>
          <w:szCs w:val="22"/>
        </w:rPr>
        <w:footnoteReference w:id="3"/>
      </w:r>
      <w:r>
        <w:rPr>
          <w:rFonts w:ascii="Arial" w:hAnsi="Arial" w:cs="Arial"/>
          <w:color w:val="000000" w:themeColor="text1"/>
          <w:sz w:val="22"/>
          <w:szCs w:val="22"/>
        </w:rPr>
        <w:t>; (ii) implementar modelos de fiscalización que se apoyen en el uso intensivo de información</w:t>
      </w:r>
      <w:r>
        <w:rPr>
          <w:rStyle w:val="FootnoteReference"/>
          <w:rFonts w:ascii="Arial" w:eastAsia="Arial" w:hAnsi="Arial" w:cs="Arial"/>
          <w:color w:val="000000" w:themeColor="text1"/>
          <w:sz w:val="22"/>
          <w:szCs w:val="22"/>
        </w:rPr>
        <w:footnoteReference w:id="4"/>
      </w:r>
      <w:r>
        <w:rPr>
          <w:rFonts w:ascii="Arial" w:hAnsi="Arial" w:cs="Arial"/>
          <w:color w:val="000000" w:themeColor="text1"/>
          <w:sz w:val="22"/>
          <w:szCs w:val="22"/>
        </w:rPr>
        <w:t>; (iii) simplificar procedimientos para facilitar el cumplimiento tributario</w:t>
      </w:r>
      <w:r>
        <w:rPr>
          <w:rStyle w:val="FootnoteReference"/>
          <w:rFonts w:ascii="Arial" w:eastAsia="Arial" w:hAnsi="Arial" w:cs="Arial"/>
          <w:color w:val="000000" w:themeColor="text1"/>
          <w:sz w:val="22"/>
          <w:szCs w:val="22"/>
        </w:rPr>
        <w:footnoteReference w:id="5"/>
      </w:r>
      <w:r>
        <w:rPr>
          <w:rFonts w:ascii="Arial" w:hAnsi="Arial" w:cs="Arial"/>
          <w:color w:val="000000" w:themeColor="text1"/>
          <w:sz w:val="22"/>
          <w:szCs w:val="22"/>
        </w:rPr>
        <w:t>; y (iv) definir estrategias para asegurar la idoneidad y motivación del recurso humano</w:t>
      </w:r>
      <w:r>
        <w:rPr>
          <w:rStyle w:val="FootnoteReference"/>
          <w:rFonts w:ascii="Arial" w:eastAsia="Arial" w:hAnsi="Arial" w:cs="Arial"/>
          <w:color w:val="000000" w:themeColor="text1"/>
          <w:sz w:val="22"/>
          <w:szCs w:val="22"/>
        </w:rPr>
        <w:footnoteReference w:id="6"/>
      </w:r>
      <w:r>
        <w:rPr>
          <w:rFonts w:ascii="Arial" w:hAnsi="Arial" w:cs="Arial"/>
          <w:color w:val="000000" w:themeColor="text1"/>
          <w:sz w:val="22"/>
          <w:szCs w:val="22"/>
        </w:rPr>
        <w:t xml:space="preserve">. </w:t>
      </w:r>
      <w:r>
        <w:rPr>
          <w:rFonts w:ascii="Arial" w:hAnsi="Arial" w:cs="Arial"/>
          <w:sz w:val="22"/>
          <w:szCs w:val="22"/>
        </w:rPr>
        <w:t>Varias AT han fortalecido estos elementos, destacándose Brasil y Uruguay</w:t>
      </w:r>
      <w:r>
        <w:rPr>
          <w:rStyle w:val="FootnoteReference"/>
          <w:rFonts w:ascii="Arial" w:eastAsia="Arial" w:hAnsi="Arial" w:cs="Arial"/>
          <w:color w:val="000000" w:themeColor="text1"/>
          <w:sz w:val="22"/>
          <w:szCs w:val="22"/>
        </w:rPr>
        <w:footnoteReference w:id="7"/>
      </w:r>
      <w:r>
        <w:rPr>
          <w:rFonts w:ascii="Arial" w:hAnsi="Arial" w:cs="Arial"/>
          <w:color w:val="000000" w:themeColor="text1"/>
          <w:sz w:val="22"/>
          <w:szCs w:val="22"/>
        </w:rPr>
        <w:t>. La incorporación de tecnología en los servicios al contribuyente aumenta el cumplimiento voluntario</w:t>
      </w:r>
      <w:r>
        <w:rPr>
          <w:rStyle w:val="FootnoteReference"/>
          <w:rFonts w:ascii="Arial" w:eastAsia="Arial" w:hAnsi="Arial" w:cs="Arial"/>
          <w:color w:val="000000" w:themeColor="text1"/>
          <w:sz w:val="22"/>
          <w:szCs w:val="22"/>
        </w:rPr>
        <w:footnoteReference w:id="8"/>
      </w:r>
      <w:r>
        <w:rPr>
          <w:rFonts w:ascii="Arial" w:hAnsi="Arial" w:cs="Arial"/>
          <w:color w:val="000000" w:themeColor="text1"/>
          <w:sz w:val="22"/>
          <w:szCs w:val="22"/>
        </w:rPr>
        <w:t xml:space="preserve"> (Argentina, Chile, Ecuador, México, Perú y Brasil</w:t>
      </w:r>
      <w:r>
        <w:rPr>
          <w:rStyle w:val="FootnoteReference"/>
          <w:rFonts w:ascii="Arial" w:eastAsia="Arial" w:hAnsi="Arial" w:cs="Arial"/>
          <w:color w:val="000000" w:themeColor="text1"/>
          <w:sz w:val="22"/>
          <w:szCs w:val="22"/>
        </w:rPr>
        <w:footnoteReference w:id="9"/>
      </w:r>
      <w:r>
        <w:rPr>
          <w:rFonts w:ascii="Arial" w:hAnsi="Arial" w:cs="Arial"/>
          <w:color w:val="000000" w:themeColor="text1"/>
          <w:sz w:val="22"/>
          <w:szCs w:val="22"/>
        </w:rPr>
        <w:t xml:space="preserve">). </w:t>
      </w:r>
    </w:p>
    <w:p>
      <w:pPr>
        <w:pStyle w:val="subpar"/>
        <w:tabs>
          <w:tab w:val="clear" w:pos="360"/>
        </w:tabs>
        <w:ind w:left="1170" w:hanging="360"/>
        <w:outlineLvl w:val="9"/>
        <w:rPr>
          <w:rFonts w:ascii="Arial" w:eastAsia="Arial" w:hAnsi="Arial" w:cs="Arial"/>
          <w:color w:val="000000" w:themeColor="text1"/>
          <w:sz w:val="22"/>
          <w:szCs w:val="22"/>
        </w:rPr>
      </w:pPr>
      <w:r>
        <w:rPr>
          <w:rFonts w:ascii="Arial" w:eastAsia="Arial" w:hAnsi="Arial" w:cs="Arial"/>
          <w:sz w:val="22"/>
          <w:szCs w:val="22"/>
        </w:rPr>
        <w:t>Ex</w:t>
      </w:r>
      <w:r>
        <w:rPr>
          <w:rFonts w:ascii="Arial" w:hAnsi="Arial" w:cs="Arial"/>
          <w:sz w:val="22"/>
          <w:szCs w:val="22"/>
        </w:rPr>
        <w:t>isten evaluaciones de la efectividad de la factura electrónica que muestran un impacto positivo en la recaudación tributaria</w:t>
      </w:r>
      <w:r>
        <w:rPr>
          <w:rStyle w:val="FootnoteReference"/>
          <w:rFonts w:ascii="Arial" w:hAnsi="Arial" w:cs="Arial"/>
          <w:sz w:val="22"/>
          <w:szCs w:val="22"/>
        </w:rPr>
        <w:footnoteReference w:id="10"/>
      </w:r>
      <w:r>
        <w:rPr>
          <w:rFonts w:ascii="Arial" w:hAnsi="Arial" w:cs="Arial"/>
          <w:sz w:val="22"/>
          <w:szCs w:val="22"/>
        </w:rPr>
        <w:t>. Por ejemplo, el Programa Nota Fiscal Paulista aumentó la recaudación del ICMS en US$226 millones</w:t>
      </w:r>
      <w:r>
        <w:rPr>
          <w:rStyle w:val="FootnoteReference"/>
          <w:rFonts w:ascii="Arial" w:hAnsi="Arial" w:cs="Arial"/>
          <w:sz w:val="22"/>
          <w:szCs w:val="22"/>
        </w:rPr>
        <w:footnoteReference w:id="11"/>
      </w:r>
      <w:r>
        <w:rPr>
          <w:rFonts w:ascii="Arial" w:hAnsi="Arial" w:cs="Arial"/>
          <w:sz w:val="22"/>
          <w:szCs w:val="22"/>
        </w:rPr>
        <w:t>.</w:t>
      </w:r>
    </w:p>
    <w:p>
      <w:pPr>
        <w:pStyle w:val="subpar"/>
        <w:tabs>
          <w:tab w:val="clear" w:pos="360"/>
        </w:tabs>
        <w:ind w:left="1170" w:hanging="360"/>
        <w:outlineLvl w:val="9"/>
        <w:rPr>
          <w:rFonts w:ascii="Arial" w:eastAsia="Arial" w:hAnsi="Arial" w:cs="Arial"/>
          <w:color w:val="000000" w:themeColor="text1"/>
          <w:sz w:val="22"/>
          <w:szCs w:val="22"/>
        </w:rPr>
      </w:pPr>
      <w:r>
        <w:rPr>
          <w:rFonts w:ascii="Arial" w:eastAsia="Arial" w:hAnsi="Arial" w:cs="Arial"/>
          <w:sz w:val="22"/>
          <w:szCs w:val="22"/>
        </w:rPr>
        <w:t>Con respecto al fortalecimiento de la gestión financiera, la evidencia disponible indica que</w:t>
      </w:r>
      <w:r>
        <w:rPr>
          <w:rFonts w:ascii="Arial" w:eastAsia="Arial" w:hAnsi="Arial" w:cs="Arial"/>
          <w:color w:val="000000" w:themeColor="text1"/>
          <w:sz w:val="22"/>
          <w:szCs w:val="22"/>
        </w:rPr>
        <w:t xml:space="preserve"> la automatización sin mejorar los procesos no produce resultados </w:t>
      </w:r>
      <w:r>
        <w:rPr>
          <w:rFonts w:ascii="Arial" w:eastAsia="Arial" w:hAnsi="Arial" w:cs="Arial"/>
          <w:sz w:val="22"/>
          <w:szCs w:val="22"/>
        </w:rPr>
        <w:t>esperados</w:t>
      </w:r>
      <w:r>
        <w:rPr>
          <w:rStyle w:val="FootnoteReference"/>
          <w:rFonts w:ascii="Arial" w:eastAsia="Arial" w:hAnsi="Arial" w:cs="Arial"/>
          <w:sz w:val="22"/>
          <w:szCs w:val="22"/>
        </w:rPr>
        <w:footnoteReference w:id="12"/>
      </w:r>
      <w:r>
        <w:rPr>
          <w:rFonts w:ascii="Arial" w:eastAsia="Arial" w:hAnsi="Arial" w:cs="Arial"/>
          <w:color w:val="000000" w:themeColor="text1"/>
          <w:sz w:val="22"/>
          <w:szCs w:val="22"/>
        </w:rPr>
        <w:t xml:space="preserve">. </w:t>
      </w:r>
    </w:p>
    <w:p>
      <w:pPr>
        <w:pStyle w:val="subpar"/>
        <w:tabs>
          <w:tab w:val="clear" w:pos="360"/>
        </w:tabs>
        <w:ind w:left="1170" w:hanging="360"/>
        <w:outlineLvl w:val="9"/>
        <w:rPr>
          <w:rFonts w:ascii="Arial" w:eastAsia="Arial" w:hAnsi="Arial" w:cs="Arial"/>
          <w:color w:val="000000" w:themeColor="text1"/>
          <w:sz w:val="22"/>
          <w:szCs w:val="22"/>
        </w:rPr>
      </w:pPr>
      <w:r>
        <w:rPr>
          <w:rFonts w:ascii="Arial" w:eastAsia="Arial" w:hAnsi="Arial" w:cs="Arial"/>
          <w:sz w:val="22"/>
          <w:szCs w:val="22"/>
        </w:rPr>
        <w:t>Diversos estudios señalan la necesidad de establecer un sistema de gestión del gasto que adopte una perspectiva plurianual para la elaboración del presupuesto, como el Marco Presupuestario de Mediano Plazo (MPMP), con el cual se cree un vínculo entre las decisiones presupuestarias actuales y sus implicaciones en el mediano plazo, dentro de un marco de prioridades gubernamentales y restricciones fiscales</w:t>
      </w:r>
      <w:r>
        <w:rPr>
          <w:rStyle w:val="FootnoteReference"/>
          <w:rFonts w:ascii="Arial" w:eastAsia="Arial" w:hAnsi="Arial" w:cs="Arial"/>
          <w:sz w:val="22"/>
          <w:szCs w:val="22"/>
        </w:rPr>
        <w:footnoteReference w:id="13"/>
      </w:r>
      <w:r>
        <w:rPr>
          <w:rFonts w:ascii="Arial" w:eastAsia="Arial" w:hAnsi="Arial" w:cs="Arial"/>
          <w:sz w:val="22"/>
          <w:szCs w:val="22"/>
        </w:rPr>
        <w:t xml:space="preserve">. La mayoría de los países de la </w:t>
      </w:r>
      <w:r>
        <w:rPr>
          <w:rFonts w:ascii="Arial" w:eastAsia="Arial" w:hAnsi="Arial" w:cs="Arial"/>
          <w:bCs/>
          <w:sz w:val="22"/>
          <w:szCs w:val="22"/>
        </w:rPr>
        <w:t xml:space="preserve">Organización para la Cooperación y el </w:t>
      </w:r>
      <w:r>
        <w:rPr>
          <w:rFonts w:ascii="Arial" w:eastAsia="Arial" w:hAnsi="Arial" w:cs="Arial"/>
          <w:bCs/>
          <w:sz w:val="22"/>
          <w:szCs w:val="22"/>
        </w:rPr>
        <w:lastRenderedPageBreak/>
        <w:t>Desarrollo Económicos</w:t>
      </w:r>
      <w:r>
        <w:rPr>
          <w:rFonts w:ascii="Arial" w:eastAsia="Arial" w:hAnsi="Arial" w:cs="Arial"/>
          <w:sz w:val="22"/>
          <w:szCs w:val="22"/>
        </w:rPr>
        <w:t xml:space="preserve"> (OCDE) han implementado esta herramienta y, en las últimas décadas, varios países de América Latina la han adoptado</w:t>
      </w:r>
      <w:r>
        <w:rPr>
          <w:rStyle w:val="FootnoteReference"/>
          <w:rFonts w:ascii="Arial" w:hAnsi="Arial" w:cs="Arial"/>
          <w:sz w:val="22"/>
          <w:szCs w:val="22"/>
        </w:rPr>
        <w:footnoteReference w:id="14"/>
      </w:r>
      <w:r>
        <w:rPr>
          <w:rFonts w:ascii="Arial" w:eastAsia="Arial" w:hAnsi="Arial" w:cs="Arial"/>
          <w:sz w:val="22"/>
          <w:szCs w:val="22"/>
        </w:rPr>
        <w:t>. Aquellos países que tienen MPMP sólidos tienden a ser más efectivos en el logro de sus metas fiscales</w:t>
      </w:r>
      <w:r>
        <w:rPr>
          <w:rFonts w:ascii="Arial" w:eastAsia="Arial" w:hAnsi="Arial" w:cs="Arial"/>
          <w:sz w:val="22"/>
          <w:szCs w:val="22"/>
          <w:vertAlign w:val="superscript"/>
        </w:rPr>
        <w:footnoteReference w:id="15"/>
      </w:r>
      <w:r>
        <w:rPr>
          <w:rFonts w:ascii="Arial" w:eastAsia="Arial" w:hAnsi="Arial" w:cs="Arial"/>
          <w:sz w:val="22"/>
          <w:szCs w:val="22"/>
        </w:rPr>
        <w:t>.</w:t>
      </w:r>
    </w:p>
    <w:p>
      <w:bookmarkStart w:id="1" w:name="_GoBack"/>
      <w:bookmarkEnd w:id="1"/>
    </w:p>
    <w:sect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pPr>
        <w:spacing w:after="0" w:line="240" w:lineRule="auto"/>
      </w:pPr>
      <w:r>
        <w:separator/>
      </w:r>
    </w:p>
  </w:footnote>
  <w:footnote w:type="continuationSeparator" w:id="0">
    <w:p>
      <w:pPr>
        <w:spacing w:after="0" w:line="240" w:lineRule="auto"/>
      </w:pPr>
      <w:r>
        <w:continuationSeparator/>
      </w:r>
    </w:p>
  </w:footnote>
  <w:footnote w:id="1">
    <w:p>
      <w:pPr>
        <w:pStyle w:val="FootnoteText"/>
        <w:spacing w:after="0"/>
        <w:ind w:left="270" w:hanging="270"/>
        <w:rPr>
          <w:rFonts w:ascii="Arial" w:hAnsi="Arial" w:cs="Arial"/>
          <w:sz w:val="18"/>
          <w:szCs w:val="18"/>
          <w:lang w:val="en-US"/>
        </w:rPr>
      </w:pPr>
      <w:r>
        <w:rPr>
          <w:rStyle w:val="FootnoteReference"/>
          <w:rFonts w:ascii="Arial" w:hAnsi="Arial" w:cs="Arial"/>
          <w:sz w:val="18"/>
          <w:szCs w:val="18"/>
        </w:rPr>
        <w:footnoteRef/>
      </w:r>
      <w:r>
        <w:rPr>
          <w:rFonts w:ascii="Arial" w:hAnsi="Arial" w:cs="Arial"/>
          <w:sz w:val="18"/>
          <w:szCs w:val="18"/>
          <w:lang w:val="en-US"/>
        </w:rPr>
        <w:t xml:space="preserve"> </w:t>
      </w:r>
      <w:r>
        <w:rPr>
          <w:rFonts w:ascii="Arial" w:hAnsi="Arial" w:cs="Arial"/>
          <w:sz w:val="18"/>
          <w:szCs w:val="18"/>
          <w:lang w:val="en-US"/>
        </w:rPr>
        <w:tab/>
      </w:r>
      <w:r>
        <w:rPr>
          <w:rFonts w:ascii="Arial" w:hAnsi="Arial" w:cs="Arial"/>
          <w:color w:val="000000" w:themeColor="text1"/>
          <w:sz w:val="18"/>
          <w:szCs w:val="18"/>
          <w:lang w:val="en-US"/>
        </w:rPr>
        <w:t xml:space="preserve">Poterba, James M., and Jürgen </w:t>
      </w:r>
      <w:proofErr w:type="gramStart"/>
      <w:r>
        <w:rPr>
          <w:rFonts w:ascii="Arial" w:hAnsi="Arial" w:cs="Arial"/>
          <w:color w:val="000000" w:themeColor="text1"/>
          <w:sz w:val="18"/>
          <w:szCs w:val="18"/>
          <w:lang w:val="en-US"/>
        </w:rPr>
        <w:t>Von</w:t>
      </w:r>
      <w:proofErr w:type="gramEnd"/>
      <w:r>
        <w:rPr>
          <w:rFonts w:ascii="Arial" w:hAnsi="Arial" w:cs="Arial"/>
          <w:color w:val="000000" w:themeColor="text1"/>
          <w:sz w:val="18"/>
          <w:szCs w:val="18"/>
          <w:lang w:val="en-US"/>
        </w:rPr>
        <w:t xml:space="preserve"> Hagen. </w:t>
      </w:r>
      <w:r>
        <w:rPr>
          <w:rFonts w:ascii="Arial" w:hAnsi="Arial" w:cs="Arial"/>
          <w:i/>
          <w:color w:val="000000" w:themeColor="text1"/>
          <w:sz w:val="18"/>
          <w:szCs w:val="18"/>
          <w:lang w:val="en-US"/>
        </w:rPr>
        <w:t>Fiscal Institutions and Fiscal Performance. University of Chicago Press</w:t>
      </w:r>
      <w:r>
        <w:rPr>
          <w:rFonts w:ascii="Arial" w:hAnsi="Arial" w:cs="Arial"/>
          <w:color w:val="000000" w:themeColor="text1"/>
          <w:sz w:val="18"/>
          <w:szCs w:val="18"/>
          <w:lang w:val="en-US"/>
        </w:rPr>
        <w:t>, 1999.</w:t>
      </w:r>
    </w:p>
  </w:footnote>
  <w:footnote w:id="2">
    <w:p>
      <w:pPr>
        <w:pStyle w:val="FootnoteText"/>
        <w:spacing w:after="0"/>
        <w:ind w:left="270" w:hanging="270"/>
        <w:rPr>
          <w:rFonts w:ascii="Arial" w:hAnsi="Arial" w:cs="Arial"/>
          <w:sz w:val="18"/>
          <w:szCs w:val="18"/>
        </w:rPr>
      </w:pPr>
      <w:r>
        <w:rPr>
          <w:rStyle w:val="FootnoteReference"/>
          <w:rFonts w:ascii="Arial" w:hAnsi="Arial" w:cs="Arial"/>
          <w:sz w:val="18"/>
          <w:szCs w:val="18"/>
        </w:rPr>
        <w:footnoteRef/>
      </w:r>
      <w:r>
        <w:rPr>
          <w:rFonts w:ascii="Arial" w:hAnsi="Arial" w:cs="Arial"/>
          <w:sz w:val="18"/>
          <w:szCs w:val="18"/>
          <w:lang w:val="en-US"/>
        </w:rPr>
        <w:t xml:space="preserve"> </w:t>
      </w:r>
      <w:r>
        <w:rPr>
          <w:rFonts w:ascii="Arial" w:hAnsi="Arial" w:cs="Arial"/>
          <w:sz w:val="18"/>
          <w:szCs w:val="18"/>
          <w:lang w:val="en-US"/>
        </w:rPr>
        <w:tab/>
      </w:r>
      <w:proofErr w:type="spellStart"/>
      <w:r>
        <w:rPr>
          <w:rFonts w:ascii="Arial" w:hAnsi="Arial" w:cs="Arial"/>
          <w:color w:val="000000" w:themeColor="text1"/>
          <w:sz w:val="18"/>
          <w:szCs w:val="18"/>
          <w:lang w:val="en-US"/>
        </w:rPr>
        <w:t>Alesina</w:t>
      </w:r>
      <w:proofErr w:type="spellEnd"/>
      <w:r>
        <w:rPr>
          <w:rFonts w:ascii="Arial" w:hAnsi="Arial" w:cs="Arial"/>
          <w:color w:val="000000" w:themeColor="text1"/>
          <w:sz w:val="18"/>
          <w:szCs w:val="18"/>
          <w:lang w:val="en-US"/>
        </w:rPr>
        <w:t xml:space="preserve">, Alberto, et al. </w:t>
      </w:r>
      <w:r>
        <w:rPr>
          <w:rFonts w:ascii="Arial" w:hAnsi="Arial" w:cs="Arial"/>
          <w:i/>
          <w:color w:val="000000" w:themeColor="text1"/>
          <w:sz w:val="18"/>
          <w:szCs w:val="18"/>
          <w:lang w:val="en-US"/>
        </w:rPr>
        <w:t xml:space="preserve">Budget institutions and fiscal performance in Latin America. </w:t>
      </w:r>
      <w:proofErr w:type="spellStart"/>
      <w:r>
        <w:rPr>
          <w:rFonts w:ascii="Arial" w:hAnsi="Arial" w:cs="Arial"/>
          <w:i/>
          <w:color w:val="000000" w:themeColor="text1"/>
          <w:sz w:val="18"/>
          <w:szCs w:val="18"/>
        </w:rPr>
        <w:t>Journal</w:t>
      </w:r>
      <w:proofErr w:type="spellEnd"/>
      <w:r>
        <w:rPr>
          <w:rFonts w:ascii="Arial" w:hAnsi="Arial" w:cs="Arial"/>
          <w:i/>
          <w:color w:val="000000" w:themeColor="text1"/>
          <w:sz w:val="18"/>
          <w:szCs w:val="18"/>
        </w:rPr>
        <w:t xml:space="preserve"> of </w:t>
      </w:r>
      <w:proofErr w:type="spellStart"/>
      <w:r>
        <w:rPr>
          <w:rFonts w:ascii="Arial" w:hAnsi="Arial" w:cs="Arial"/>
          <w:i/>
          <w:color w:val="000000" w:themeColor="text1"/>
          <w:sz w:val="18"/>
          <w:szCs w:val="18"/>
        </w:rPr>
        <w:t>development</w:t>
      </w:r>
      <w:proofErr w:type="spellEnd"/>
      <w:r>
        <w:rPr>
          <w:rFonts w:ascii="Arial" w:hAnsi="Arial" w:cs="Arial"/>
          <w:i/>
          <w:color w:val="000000" w:themeColor="text1"/>
          <w:sz w:val="18"/>
          <w:szCs w:val="18"/>
        </w:rPr>
        <w:t xml:space="preserve"> Economics</w:t>
      </w:r>
      <w:r>
        <w:rPr>
          <w:rFonts w:ascii="Arial" w:hAnsi="Arial" w:cs="Arial"/>
          <w:color w:val="000000" w:themeColor="text1"/>
          <w:sz w:val="18"/>
          <w:szCs w:val="18"/>
        </w:rPr>
        <w:t> 59.2 (1999): 253-273.</w:t>
      </w:r>
    </w:p>
  </w:footnote>
  <w:footnote w:id="3">
    <w:p>
      <w:pPr>
        <w:pStyle w:val="FootnoteText"/>
        <w:spacing w:after="0"/>
        <w:ind w:left="270" w:hanging="270"/>
        <w:rPr>
          <w:rFonts w:ascii="Arial" w:hAnsi="Arial" w:cs="Arial"/>
          <w:color w:val="000000" w:themeColor="text1"/>
          <w:sz w:val="18"/>
          <w:szCs w:val="18"/>
        </w:rPr>
      </w:pPr>
      <w:r>
        <w:rPr>
          <w:rStyle w:val="FootnoteReference"/>
          <w:rFonts w:ascii="Arial" w:hAnsi="Arial" w:cs="Arial"/>
          <w:color w:val="000000" w:themeColor="text1"/>
          <w:sz w:val="18"/>
          <w:szCs w:val="18"/>
        </w:rPr>
        <w:footnoteRef/>
      </w:r>
      <w:r>
        <w:rPr>
          <w:rFonts w:ascii="Arial" w:hAnsi="Arial" w:cs="Arial"/>
          <w:color w:val="000000" w:themeColor="text1"/>
          <w:sz w:val="18"/>
          <w:szCs w:val="18"/>
        </w:rPr>
        <w:t xml:space="preserve"> </w:t>
      </w:r>
      <w:r>
        <w:rPr>
          <w:rFonts w:ascii="Arial" w:hAnsi="Arial" w:cs="Arial"/>
          <w:color w:val="000000" w:themeColor="text1"/>
          <w:sz w:val="18"/>
          <w:szCs w:val="18"/>
        </w:rPr>
        <w:tab/>
        <w:t>Las tasas de evasión son hasta ocho veces más altas para impuestos donde la AT carece de instrumentos automatizados para verificar fuentes de ingreso de los contribuyentes (Slemrod et al., 2015; Pomeranz, 2015; Kleven et.al., 2011).</w:t>
      </w:r>
    </w:p>
  </w:footnote>
  <w:footnote w:id="4">
    <w:p>
      <w:pPr>
        <w:pStyle w:val="FootnoteText"/>
        <w:spacing w:after="0"/>
        <w:ind w:left="270" w:hanging="270"/>
        <w:rPr>
          <w:rFonts w:ascii="Arial" w:hAnsi="Arial" w:cs="Arial"/>
          <w:color w:val="000000" w:themeColor="text1"/>
          <w:sz w:val="18"/>
          <w:szCs w:val="18"/>
        </w:rPr>
      </w:pPr>
      <w:r>
        <w:rPr>
          <w:rStyle w:val="FootnoteReference"/>
          <w:rFonts w:ascii="Arial" w:hAnsi="Arial" w:cs="Arial"/>
          <w:color w:val="000000" w:themeColor="text1"/>
          <w:sz w:val="18"/>
          <w:szCs w:val="18"/>
        </w:rPr>
        <w:footnoteRef/>
      </w:r>
      <w:r>
        <w:rPr>
          <w:rFonts w:ascii="Arial" w:hAnsi="Arial" w:cs="Arial"/>
          <w:color w:val="000000" w:themeColor="text1"/>
          <w:sz w:val="18"/>
          <w:szCs w:val="18"/>
        </w:rPr>
        <w:t xml:space="preserve"> </w:t>
      </w:r>
      <w:r>
        <w:rPr>
          <w:rFonts w:ascii="Arial" w:hAnsi="Arial" w:cs="Arial"/>
          <w:color w:val="000000" w:themeColor="text1"/>
          <w:sz w:val="18"/>
          <w:szCs w:val="18"/>
        </w:rPr>
        <w:tab/>
        <w:t>La disponibilidad de información actúa como complemento a la fiscalización de dichas empresas, según evaluación de impacto de la Unidad de Grandes Contribuyentes en España (Almunia y López Rodriguez, 2016).</w:t>
      </w:r>
    </w:p>
  </w:footnote>
  <w:footnote w:id="5">
    <w:p>
      <w:pPr>
        <w:pStyle w:val="FootnoteText"/>
        <w:spacing w:after="0"/>
        <w:ind w:left="270" w:hanging="270"/>
        <w:rPr>
          <w:rFonts w:ascii="Arial" w:hAnsi="Arial" w:cs="Arial"/>
          <w:color w:val="000000" w:themeColor="text1"/>
          <w:sz w:val="18"/>
          <w:szCs w:val="18"/>
        </w:rPr>
      </w:pPr>
      <w:r>
        <w:rPr>
          <w:rStyle w:val="FootnoteReference"/>
          <w:rFonts w:ascii="Arial" w:hAnsi="Arial" w:cs="Arial"/>
          <w:color w:val="000000" w:themeColor="text1"/>
          <w:sz w:val="18"/>
          <w:szCs w:val="18"/>
        </w:rPr>
        <w:footnoteRef/>
      </w:r>
      <w:r>
        <w:rPr>
          <w:rFonts w:ascii="Arial" w:hAnsi="Arial" w:cs="Arial"/>
          <w:color w:val="000000" w:themeColor="text1"/>
          <w:sz w:val="18"/>
          <w:szCs w:val="18"/>
        </w:rPr>
        <w:t xml:space="preserve"> </w:t>
      </w:r>
      <w:r>
        <w:rPr>
          <w:rFonts w:ascii="Arial" w:hAnsi="Arial" w:cs="Arial"/>
          <w:color w:val="000000" w:themeColor="text1"/>
          <w:sz w:val="18"/>
          <w:szCs w:val="18"/>
        </w:rPr>
        <w:tab/>
        <w:t>La simplificación de procedimientos puede generar aumentos en las tasas de pago de hasta cuatro puntos porcentuales (Hallsworth et al., 2014).</w:t>
      </w:r>
    </w:p>
  </w:footnote>
  <w:footnote w:id="6">
    <w:p>
      <w:pPr>
        <w:pStyle w:val="FootnoteText"/>
        <w:spacing w:after="0"/>
        <w:ind w:left="270" w:hanging="270"/>
        <w:rPr>
          <w:rFonts w:ascii="Arial" w:hAnsi="Arial" w:cs="Arial"/>
          <w:color w:val="000000" w:themeColor="text1"/>
          <w:sz w:val="18"/>
          <w:szCs w:val="18"/>
        </w:rPr>
      </w:pPr>
      <w:r>
        <w:rPr>
          <w:rStyle w:val="FootnoteReference"/>
          <w:rFonts w:ascii="Arial" w:hAnsi="Arial" w:cs="Arial"/>
          <w:color w:val="000000" w:themeColor="text1"/>
          <w:sz w:val="18"/>
          <w:szCs w:val="18"/>
        </w:rPr>
        <w:footnoteRef/>
      </w:r>
      <w:r>
        <w:rPr>
          <w:rFonts w:ascii="Arial" w:hAnsi="Arial" w:cs="Arial"/>
          <w:color w:val="000000" w:themeColor="text1"/>
          <w:sz w:val="18"/>
          <w:szCs w:val="18"/>
        </w:rPr>
        <w:t xml:space="preserve"> </w:t>
      </w:r>
      <w:r>
        <w:rPr>
          <w:rFonts w:ascii="Arial" w:hAnsi="Arial" w:cs="Arial"/>
          <w:color w:val="000000" w:themeColor="text1"/>
          <w:sz w:val="18"/>
          <w:szCs w:val="18"/>
        </w:rPr>
        <w:tab/>
        <w:t>Esquemas de incentivos al personal clave de las AT para generar recaudación adicional, obtuvieron tasas de retorno entre 35% y 51% (Khan et al., 2016).</w:t>
      </w:r>
    </w:p>
  </w:footnote>
  <w:footnote w:id="7">
    <w:p>
      <w:pPr>
        <w:pStyle w:val="FootnoteText"/>
        <w:spacing w:after="0"/>
        <w:ind w:left="270" w:hanging="270"/>
        <w:rPr>
          <w:rFonts w:ascii="Arial" w:hAnsi="Arial" w:cs="Arial"/>
          <w:sz w:val="18"/>
          <w:szCs w:val="18"/>
        </w:rPr>
      </w:pPr>
      <w:r>
        <w:rPr>
          <w:rFonts w:ascii="Arial" w:hAnsi="Arial" w:cs="Arial"/>
          <w:sz w:val="18"/>
          <w:szCs w:val="18"/>
          <w:vertAlign w:val="superscript"/>
        </w:rPr>
        <w:footnoteRef/>
      </w:r>
      <w:r>
        <w:rPr>
          <w:rFonts w:ascii="Arial" w:hAnsi="Arial" w:cs="Arial"/>
          <w:sz w:val="18"/>
          <w:szCs w:val="18"/>
        </w:rPr>
        <w:t xml:space="preserve"> </w:t>
      </w:r>
      <w:r>
        <w:rPr>
          <w:rFonts w:ascii="Arial" w:hAnsi="Arial" w:cs="Arial"/>
          <w:sz w:val="18"/>
          <w:szCs w:val="18"/>
        </w:rPr>
        <w:tab/>
      </w:r>
      <w:hyperlink r:id="rId1" w:history="1">
        <w:r>
          <w:rPr>
            <w:rStyle w:val="Hyperlink"/>
            <w:rFonts w:ascii="Arial" w:hAnsi="Arial" w:cs="Arial"/>
            <w:sz w:val="18"/>
            <w:szCs w:val="18"/>
          </w:rPr>
          <w:t>Informe de Terminación del Proyecto (PCR) - 1783/OC-UR</w:t>
        </w:r>
      </w:hyperlink>
      <w:bookmarkStart w:id="0" w:name="_Hlk482606709"/>
      <w:r>
        <w:rPr>
          <w:rFonts w:ascii="Arial" w:hAnsi="Arial" w:cs="Arial"/>
          <w:sz w:val="18"/>
          <w:szCs w:val="18"/>
        </w:rPr>
        <w:t>. El programa logró incrementar la presión tributaria en dos puntos porcentuales entre 2006-2012.</w:t>
      </w:r>
      <w:bookmarkEnd w:id="0"/>
    </w:p>
  </w:footnote>
  <w:footnote w:id="8">
    <w:p>
      <w:pPr>
        <w:pStyle w:val="FootnoteText"/>
        <w:spacing w:after="0"/>
        <w:ind w:left="270" w:hanging="270"/>
        <w:rPr>
          <w:rFonts w:ascii="Arial" w:hAnsi="Arial" w:cs="Arial"/>
          <w:sz w:val="18"/>
          <w:szCs w:val="18"/>
        </w:rPr>
      </w:pPr>
      <w:r>
        <w:rPr>
          <w:rStyle w:val="FootnoteReference"/>
          <w:rFonts w:ascii="Arial" w:hAnsi="Arial" w:cs="Arial"/>
          <w:sz w:val="18"/>
          <w:szCs w:val="18"/>
        </w:rPr>
        <w:footnoteRef/>
      </w:r>
      <w:r>
        <w:rPr>
          <w:rFonts w:ascii="Arial" w:hAnsi="Arial" w:cs="Arial"/>
          <w:sz w:val="18"/>
          <w:szCs w:val="18"/>
          <w:lang w:val="en-US"/>
        </w:rPr>
        <w:t xml:space="preserve"> </w:t>
      </w:r>
      <w:r>
        <w:rPr>
          <w:rFonts w:ascii="Arial" w:hAnsi="Arial" w:cs="Arial"/>
          <w:sz w:val="18"/>
          <w:szCs w:val="18"/>
          <w:lang w:val="en-US"/>
        </w:rPr>
        <w:tab/>
      </w:r>
      <w:hyperlink r:id="rId2" w:history="1">
        <w:r>
          <w:rPr>
            <w:rStyle w:val="Hyperlink"/>
            <w:rFonts w:ascii="Arial" w:hAnsi="Arial" w:cs="Arial"/>
            <w:i/>
            <w:sz w:val="18"/>
            <w:szCs w:val="18"/>
            <w:lang w:val="en-US"/>
          </w:rPr>
          <w:t>World Bank. 2013. Beyond the Annual Budget: Global Experience with Medium-Term Expenditure Frameworks. Washington, DC: World Bank</w:t>
        </w:r>
      </w:hyperlink>
      <w:r>
        <w:rPr>
          <w:rFonts w:ascii="Arial" w:hAnsi="Arial" w:cs="Arial"/>
          <w:i/>
          <w:sz w:val="18"/>
          <w:szCs w:val="18"/>
          <w:lang w:val="en-US"/>
        </w:rPr>
        <w:t>.</w:t>
      </w:r>
      <w:r>
        <w:rPr>
          <w:rFonts w:ascii="Arial" w:hAnsi="Arial" w:cs="Arial"/>
          <w:sz w:val="18"/>
          <w:szCs w:val="18"/>
          <w:lang w:val="en-US"/>
        </w:rPr>
        <w:t xml:space="preserve"> </w:t>
      </w:r>
      <w:r>
        <w:rPr>
          <w:rFonts w:ascii="Arial" w:hAnsi="Arial" w:cs="Arial"/>
          <w:sz w:val="18"/>
          <w:szCs w:val="18"/>
        </w:rPr>
        <w:t xml:space="preserve">Nivel de cumplimiento mejora si los costos incurridos por los contribuyentes, en la realización de la autodeterminación, son bajos. </w:t>
      </w:r>
    </w:p>
  </w:footnote>
  <w:footnote w:id="9">
    <w:p>
      <w:pPr>
        <w:pStyle w:val="FootnoteText"/>
        <w:spacing w:after="0"/>
        <w:ind w:left="270" w:hanging="270"/>
        <w:rPr>
          <w:rFonts w:ascii="Arial" w:hAnsi="Arial" w:cs="Arial"/>
          <w:sz w:val="18"/>
          <w:szCs w:val="18"/>
        </w:rPr>
      </w:pPr>
      <w:r>
        <w:rPr>
          <w:rStyle w:val="FootnoteReference"/>
          <w:rFonts w:ascii="Arial" w:hAnsi="Arial" w:cs="Arial"/>
          <w:sz w:val="18"/>
          <w:szCs w:val="18"/>
        </w:rPr>
        <w:footnoteRef/>
      </w:r>
      <w:r>
        <w:rPr>
          <w:rFonts w:ascii="Arial" w:hAnsi="Arial" w:cs="Arial"/>
          <w:sz w:val="18"/>
          <w:szCs w:val="18"/>
        </w:rPr>
        <w:t xml:space="preserve"> </w:t>
      </w:r>
      <w:r>
        <w:rPr>
          <w:rFonts w:ascii="Arial" w:hAnsi="Arial" w:cs="Arial"/>
          <w:sz w:val="18"/>
          <w:szCs w:val="18"/>
        </w:rPr>
        <w:tab/>
      </w:r>
      <w:r>
        <w:rPr>
          <w:rFonts w:ascii="Arial" w:hAnsi="Arial" w:cs="Arial"/>
          <w:iCs/>
          <w:sz w:val="18"/>
          <w:szCs w:val="18"/>
        </w:rPr>
        <w:t xml:space="preserve">En Brasil, el </w:t>
      </w:r>
      <w:hyperlink r:id="rId3" w:history="1">
        <w:r>
          <w:rPr>
            <w:rStyle w:val="Hyperlink"/>
            <w:rFonts w:ascii="Arial" w:hAnsi="Arial" w:cs="Arial"/>
            <w:sz w:val="18"/>
            <w:szCs w:val="18"/>
          </w:rPr>
          <w:t xml:space="preserve">Sistema Público de Escrituración Digital </w:t>
        </w:r>
      </w:hyperlink>
      <w:r>
        <w:rPr>
          <w:rFonts w:ascii="Arial" w:hAnsi="Arial" w:cs="Arial"/>
          <w:iCs/>
          <w:sz w:val="18"/>
          <w:szCs w:val="18"/>
        </w:rPr>
        <w:t xml:space="preserve">ha permitido a las AT a nivel federal y estatal acceder a la información del contribuyente más rápidamente y emitir sanciones en tiempo real, aumentado la recaudación. </w:t>
      </w:r>
      <w:r>
        <w:rPr>
          <w:rFonts w:ascii="Arial" w:hAnsi="Arial" w:cs="Arial"/>
          <w:sz w:val="18"/>
          <w:szCs w:val="18"/>
        </w:rPr>
        <w:t>BID-CAPTAC-DR-CIAT, 2013, pág. 341.</w:t>
      </w:r>
    </w:p>
  </w:footnote>
  <w:footnote w:id="10">
    <w:p>
      <w:pPr>
        <w:pStyle w:val="FootnoteText"/>
        <w:spacing w:after="0"/>
        <w:ind w:left="270" w:hanging="270"/>
        <w:rPr>
          <w:rFonts w:ascii="Arial" w:hAnsi="Arial" w:cs="Arial"/>
          <w:sz w:val="18"/>
          <w:szCs w:val="18"/>
        </w:rPr>
      </w:pPr>
      <w:r>
        <w:rPr>
          <w:rStyle w:val="FootnoteReference"/>
          <w:rFonts w:ascii="Arial" w:hAnsi="Arial" w:cs="Arial"/>
          <w:sz w:val="18"/>
          <w:szCs w:val="18"/>
        </w:rPr>
        <w:footnoteRef/>
      </w:r>
      <w:r>
        <w:rPr>
          <w:rFonts w:ascii="Arial" w:hAnsi="Arial" w:cs="Arial"/>
          <w:sz w:val="18"/>
          <w:szCs w:val="18"/>
        </w:rPr>
        <w:t xml:space="preserve"> </w:t>
      </w:r>
      <w:r>
        <w:rPr>
          <w:rFonts w:ascii="Arial" w:hAnsi="Arial" w:cs="Arial"/>
          <w:sz w:val="18"/>
          <w:szCs w:val="18"/>
        </w:rPr>
        <w:tab/>
        <w:t>Barreix et al. (de próxima publicación). La factura electrónica en América Latina. BID.</w:t>
      </w:r>
    </w:p>
  </w:footnote>
  <w:footnote w:id="11">
    <w:p>
      <w:pPr>
        <w:pStyle w:val="FootnoteText"/>
        <w:spacing w:after="0"/>
        <w:ind w:left="270" w:hanging="270"/>
        <w:rPr>
          <w:rFonts w:ascii="Arial" w:hAnsi="Arial" w:cs="Arial"/>
          <w:sz w:val="18"/>
          <w:szCs w:val="18"/>
        </w:rPr>
      </w:pPr>
      <w:r>
        <w:rPr>
          <w:rStyle w:val="FootnoteReference"/>
          <w:rFonts w:ascii="Arial" w:hAnsi="Arial" w:cs="Arial"/>
          <w:sz w:val="18"/>
          <w:szCs w:val="18"/>
        </w:rPr>
        <w:footnoteRef/>
      </w:r>
      <w:r>
        <w:rPr>
          <w:rFonts w:ascii="Arial" w:hAnsi="Arial" w:cs="Arial"/>
          <w:sz w:val="18"/>
          <w:szCs w:val="18"/>
        </w:rPr>
        <w:t xml:space="preserve"> </w:t>
      </w:r>
      <w:r>
        <w:rPr>
          <w:rFonts w:ascii="Arial" w:hAnsi="Arial" w:cs="Arial"/>
          <w:sz w:val="18"/>
          <w:szCs w:val="18"/>
        </w:rPr>
        <w:tab/>
      </w:r>
      <w:hyperlink r:id="rId4" w:history="1">
        <w:r>
          <w:rPr>
            <w:rStyle w:val="Hyperlink"/>
            <w:rFonts w:ascii="Arial" w:hAnsi="Arial" w:cs="Arial"/>
            <w:sz w:val="18"/>
            <w:szCs w:val="18"/>
          </w:rPr>
          <w:t>Impacto del Programa Factura Paulista en la expansión de la Recaudación Tributaria del Estado de São Paulo</w:t>
        </w:r>
      </w:hyperlink>
      <w:r>
        <w:rPr>
          <w:rStyle w:val="Hyperlink"/>
          <w:rFonts w:ascii="Arial" w:hAnsi="Arial" w:cs="Arial"/>
          <w:sz w:val="18"/>
          <w:szCs w:val="18"/>
        </w:rPr>
        <w:t xml:space="preserve">. </w:t>
      </w:r>
      <w:r>
        <w:rPr>
          <w:rFonts w:ascii="Arial" w:hAnsi="Arial" w:cs="Arial"/>
          <w:color w:val="0000FF"/>
          <w:sz w:val="18"/>
          <w:szCs w:val="18"/>
          <w:u w:val="single"/>
        </w:rPr>
        <w:t>Naritomi, 2015</w:t>
      </w:r>
      <w:r>
        <w:rPr>
          <w:rFonts w:ascii="Arial" w:hAnsi="Arial" w:cs="Arial"/>
          <w:color w:val="0000FF"/>
          <w:sz w:val="18"/>
          <w:szCs w:val="18"/>
        </w:rPr>
        <w:t>.</w:t>
      </w:r>
    </w:p>
  </w:footnote>
  <w:footnote w:id="12">
    <w:p>
      <w:pPr>
        <w:pStyle w:val="FootnoteText"/>
        <w:spacing w:after="0"/>
        <w:ind w:left="270" w:hanging="270"/>
        <w:rPr>
          <w:rFonts w:ascii="Arial" w:hAnsi="Arial" w:cs="Arial"/>
          <w:sz w:val="18"/>
          <w:szCs w:val="18"/>
        </w:rPr>
      </w:pPr>
      <w:r>
        <w:rPr>
          <w:rStyle w:val="FootnoteReference"/>
          <w:rFonts w:ascii="Arial" w:hAnsi="Arial" w:cs="Arial"/>
          <w:sz w:val="18"/>
          <w:szCs w:val="18"/>
        </w:rPr>
        <w:footnoteRef/>
      </w:r>
      <w:r>
        <w:rPr>
          <w:rFonts w:ascii="Arial" w:hAnsi="Arial" w:cs="Arial"/>
          <w:sz w:val="18"/>
          <w:szCs w:val="18"/>
        </w:rPr>
        <w:t xml:space="preserve"> </w:t>
      </w:r>
      <w:r>
        <w:rPr>
          <w:rFonts w:ascii="Arial" w:hAnsi="Arial" w:cs="Arial"/>
          <w:sz w:val="18"/>
          <w:szCs w:val="18"/>
        </w:rPr>
        <w:tab/>
        <w:t>El PCR de 1550/SF-GY y 1551/SF-GY</w:t>
      </w:r>
      <w:r>
        <w:rPr>
          <w:rStyle w:val="Hyperlink"/>
          <w:rFonts w:ascii="Arial" w:hAnsi="Arial" w:cs="Arial"/>
          <w:sz w:val="18"/>
          <w:szCs w:val="18"/>
        </w:rPr>
        <w:t xml:space="preserve"> </w:t>
      </w:r>
      <w:r>
        <w:rPr>
          <w:rFonts w:ascii="Arial" w:hAnsi="Arial" w:cs="Arial"/>
          <w:sz w:val="18"/>
          <w:szCs w:val="18"/>
        </w:rPr>
        <w:t>recoge lecciones aprendidas.</w:t>
      </w:r>
    </w:p>
  </w:footnote>
  <w:footnote w:id="13">
    <w:p>
      <w:pPr>
        <w:pStyle w:val="FootnoteText"/>
        <w:spacing w:after="0"/>
        <w:ind w:left="270" w:hanging="270"/>
        <w:rPr>
          <w:rFonts w:ascii="Arial" w:hAnsi="Arial" w:cs="Arial"/>
          <w:sz w:val="18"/>
          <w:szCs w:val="18"/>
        </w:rPr>
      </w:pPr>
      <w:r>
        <w:rPr>
          <w:rStyle w:val="FootnoteReference"/>
          <w:rFonts w:ascii="Arial" w:hAnsi="Arial" w:cs="Arial"/>
          <w:sz w:val="18"/>
          <w:szCs w:val="18"/>
        </w:rPr>
        <w:footnoteRef/>
      </w:r>
      <w:r>
        <w:rPr>
          <w:rFonts w:ascii="Arial" w:hAnsi="Arial" w:cs="Arial"/>
          <w:sz w:val="18"/>
          <w:szCs w:val="18"/>
        </w:rPr>
        <w:t xml:space="preserve"> </w:t>
      </w:r>
      <w:r>
        <w:rPr>
          <w:rFonts w:ascii="Arial" w:hAnsi="Arial" w:cs="Arial"/>
          <w:sz w:val="18"/>
          <w:szCs w:val="18"/>
        </w:rPr>
        <w:tab/>
      </w:r>
      <w:r>
        <w:rPr>
          <w:rFonts w:ascii="Arial" w:eastAsia="Arial" w:hAnsi="Arial" w:cs="Arial"/>
          <w:color w:val="000000" w:themeColor="text1"/>
          <w:sz w:val="18"/>
          <w:szCs w:val="18"/>
        </w:rPr>
        <w:t>Banco Mundial, 2013: 8; y 1998: 32.</w:t>
      </w:r>
    </w:p>
  </w:footnote>
  <w:footnote w:id="14">
    <w:p>
      <w:pPr>
        <w:pStyle w:val="FootnoteText"/>
        <w:spacing w:after="0"/>
        <w:ind w:left="270" w:hanging="270"/>
        <w:rPr>
          <w:rFonts w:ascii="Arial" w:hAnsi="Arial" w:cs="Arial"/>
          <w:sz w:val="18"/>
          <w:szCs w:val="18"/>
          <w:lang w:val="en-US"/>
        </w:rPr>
      </w:pPr>
      <w:r>
        <w:rPr>
          <w:rStyle w:val="FootnoteReference"/>
          <w:rFonts w:ascii="Arial" w:hAnsi="Arial" w:cs="Arial"/>
          <w:sz w:val="18"/>
          <w:szCs w:val="18"/>
        </w:rPr>
        <w:footnoteRef/>
      </w:r>
      <w:r>
        <w:rPr>
          <w:rFonts w:ascii="Arial" w:hAnsi="Arial" w:cs="Arial"/>
          <w:sz w:val="18"/>
          <w:szCs w:val="18"/>
        </w:rPr>
        <w:t xml:space="preserve"> </w:t>
      </w:r>
      <w:r>
        <w:rPr>
          <w:rFonts w:ascii="Arial" w:hAnsi="Arial" w:cs="Arial"/>
          <w:sz w:val="18"/>
          <w:szCs w:val="18"/>
        </w:rPr>
        <w:tab/>
        <w:t xml:space="preserve">Banco Mundial, 2013: 1. </w:t>
      </w:r>
      <w:r>
        <w:rPr>
          <w:rFonts w:ascii="Arial" w:hAnsi="Arial" w:cs="Arial"/>
          <w:sz w:val="18"/>
          <w:szCs w:val="18"/>
          <w:lang w:val="en-US"/>
        </w:rPr>
        <w:t xml:space="preserve">Para ALC, </w:t>
      </w:r>
      <w:proofErr w:type="spellStart"/>
      <w:r>
        <w:rPr>
          <w:rFonts w:ascii="Arial" w:hAnsi="Arial" w:cs="Arial"/>
          <w:sz w:val="18"/>
          <w:szCs w:val="18"/>
          <w:lang w:val="en-US"/>
        </w:rPr>
        <w:t>ver</w:t>
      </w:r>
      <w:proofErr w:type="spellEnd"/>
      <w:r>
        <w:rPr>
          <w:rFonts w:ascii="Arial" w:hAnsi="Arial" w:cs="Arial"/>
          <w:sz w:val="18"/>
          <w:szCs w:val="18"/>
          <w:lang w:val="en-US"/>
        </w:rPr>
        <w:t xml:space="preserve"> BID (2009).</w:t>
      </w:r>
    </w:p>
  </w:footnote>
  <w:footnote w:id="15">
    <w:p>
      <w:pPr>
        <w:pStyle w:val="FootnoteText"/>
        <w:spacing w:after="0"/>
        <w:ind w:left="270" w:hanging="270"/>
        <w:rPr>
          <w:rFonts w:ascii="Arial" w:hAnsi="Arial" w:cs="Arial"/>
          <w:sz w:val="18"/>
          <w:szCs w:val="18"/>
          <w:lang w:val="en-US"/>
        </w:rPr>
      </w:pPr>
      <w:r>
        <w:rPr>
          <w:rStyle w:val="FootnoteReference"/>
          <w:rFonts w:ascii="Arial" w:hAnsi="Arial" w:cs="Arial"/>
          <w:sz w:val="18"/>
          <w:szCs w:val="18"/>
        </w:rPr>
        <w:footnoteRef/>
      </w:r>
      <w:r>
        <w:rPr>
          <w:rFonts w:ascii="Arial" w:hAnsi="Arial" w:cs="Arial"/>
          <w:sz w:val="18"/>
          <w:szCs w:val="18"/>
          <w:lang w:val="en-US"/>
        </w:rPr>
        <w:t xml:space="preserve"> </w:t>
      </w:r>
      <w:r>
        <w:rPr>
          <w:rFonts w:ascii="Arial" w:hAnsi="Arial" w:cs="Arial"/>
          <w:sz w:val="18"/>
          <w:szCs w:val="18"/>
          <w:lang w:val="en-US"/>
        </w:rPr>
        <w:tab/>
      </w:r>
      <w:hyperlink r:id="rId5" w:history="1">
        <w:r>
          <w:rPr>
            <w:rStyle w:val="Hyperlink"/>
            <w:rFonts w:ascii="Arial" w:hAnsi="Arial" w:cs="Arial"/>
            <w:sz w:val="18"/>
            <w:szCs w:val="18"/>
            <w:lang w:val="en-US"/>
          </w:rPr>
          <w:t>FMI, 2013</w:t>
        </w:r>
      </w:hyperlink>
      <w:r>
        <w:rPr>
          <w:rFonts w:ascii="Arial" w:hAnsi="Arial" w:cs="Arial"/>
          <w:sz w:val="18"/>
          <w:szCs w:val="18"/>
          <w:lang w:val="en-US"/>
        </w:rPr>
        <w:t xml:space="preserve"> ; </w:t>
      </w:r>
      <w:hyperlink r:id="rId6" w:history="1">
        <w:r>
          <w:rPr>
            <w:rStyle w:val="Hyperlink"/>
            <w:rFonts w:ascii="Arial" w:hAnsi="Arial" w:cs="Arial"/>
            <w:i/>
            <w:sz w:val="18"/>
            <w:szCs w:val="18"/>
            <w:lang w:val="en-US"/>
          </w:rPr>
          <w:t>World Bank. 2013. Beyond the Annual Budget: Global Experience with Medium-Term Expenditure Frameworks. Washington, DC: World Bank</w:t>
        </w:r>
      </w:hyperlink>
      <w:r>
        <w:rPr>
          <w:rStyle w:val="Hyperlink"/>
          <w:rFonts w:ascii="Arial" w:hAnsi="Arial" w:cs="Arial"/>
          <w:i/>
          <w:sz w:val="18"/>
          <w:szCs w:val="18"/>
          <w:lang w:val="en-U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9B4991"/>
    <w:multiLevelType w:val="multilevel"/>
    <w:tmpl w:val="A4F4C8E6"/>
    <w:lvl w:ilvl="0">
      <w:start w:val="1"/>
      <w:numFmt w:val="upperRoman"/>
      <w:lvlRestart w:val="0"/>
      <w:pStyle w:val="Chapter"/>
      <w:lvlText w:val="%1."/>
      <w:lvlJc w:val="center"/>
      <w:pPr>
        <w:tabs>
          <w:tab w:val="num" w:pos="1800"/>
        </w:tabs>
        <w:ind w:left="1152" w:firstLine="288"/>
      </w:pPr>
      <w:rPr>
        <w:b/>
        <w:i w:val="0"/>
      </w:rPr>
    </w:lvl>
    <w:lvl w:ilvl="1">
      <w:start w:val="1"/>
      <w:numFmt w:val="decimal"/>
      <w:pStyle w:val="Paragraph"/>
      <w:isLgl/>
      <w:lvlText w:val="%1.%2"/>
      <w:lvlJc w:val="left"/>
      <w:pPr>
        <w:tabs>
          <w:tab w:val="num" w:pos="2448"/>
        </w:tabs>
        <w:ind w:left="2448" w:hanging="1296"/>
      </w:pPr>
    </w:lvl>
    <w:lvl w:ilvl="2">
      <w:start w:val="1"/>
      <w:numFmt w:val="lowerLetter"/>
      <w:pStyle w:val="subpar"/>
      <w:lvlText w:val="%3."/>
      <w:lvlJc w:val="left"/>
      <w:pPr>
        <w:tabs>
          <w:tab w:val="num" w:pos="2304"/>
        </w:tabs>
        <w:ind w:left="2304" w:hanging="432"/>
      </w:pPr>
    </w:lvl>
    <w:lvl w:ilvl="3">
      <w:start w:val="1"/>
      <w:numFmt w:val="lowerRoman"/>
      <w:pStyle w:val="SubSubPar"/>
      <w:lvlText w:val="%4."/>
      <w:lvlJc w:val="right"/>
      <w:pPr>
        <w:tabs>
          <w:tab w:val="num" w:pos="2736"/>
        </w:tabs>
        <w:ind w:left="2736" w:hanging="288"/>
      </w:pPr>
    </w:lvl>
    <w:lvl w:ilvl="4">
      <w:start w:val="1"/>
      <w:numFmt w:val="decimal"/>
      <w:lvlText w:val="%1.%2.%3.%4.%5"/>
      <w:lvlJc w:val="left"/>
      <w:pPr>
        <w:ind w:left="2160" w:hanging="1008"/>
      </w:pPr>
    </w:lvl>
    <w:lvl w:ilvl="5">
      <w:start w:val="1"/>
      <w:numFmt w:val="decimal"/>
      <w:lvlText w:val="%1.%2.%3.%4.%5.%6"/>
      <w:lvlJc w:val="left"/>
      <w:pPr>
        <w:ind w:left="2304" w:hanging="1152"/>
      </w:pPr>
    </w:lvl>
    <w:lvl w:ilvl="6">
      <w:start w:val="1"/>
      <w:numFmt w:val="decimal"/>
      <w:lvlText w:val="%1.%2.%3.%4.%5.%6.%7"/>
      <w:lvlJc w:val="left"/>
      <w:pPr>
        <w:ind w:left="2448" w:hanging="1296"/>
      </w:pPr>
    </w:lvl>
    <w:lvl w:ilvl="7">
      <w:start w:val="1"/>
      <w:numFmt w:val="decimal"/>
      <w:lvlText w:val="%1.%2.%3.%4.%5.%6.%7.%8"/>
      <w:lvlJc w:val="left"/>
      <w:pPr>
        <w:ind w:left="2592" w:hanging="1440"/>
      </w:pPr>
    </w:lvl>
    <w:lvl w:ilvl="8">
      <w:start w:val="1"/>
      <w:numFmt w:val="decimal"/>
      <w:lvlText w:val="%1.%2.%3.%4.%5.%6.%7.%8.%9"/>
      <w:lvlJc w:val="left"/>
      <w:pPr>
        <w:ind w:left="2736"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es-ES_trad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7599A0-1D58-4208-9ECE-41D48F5D7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imes New Roman" w:cs="Times New Roman"/>
        <w:sz w:val="22"/>
        <w:szCs w:val="22"/>
        <w:lang w:val="es-ES_tradnl" w:eastAsia="es-ES_tradn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
    <w:name w:val="Chapter"/>
    <w:basedOn w:val="Normal"/>
    <w:next w:val="Normal"/>
    <w:pPr>
      <w:keepNext/>
      <w:numPr>
        <w:numId w:val="1"/>
      </w:numPr>
      <w:tabs>
        <w:tab w:val="left" w:pos="1440"/>
      </w:tabs>
      <w:spacing w:before="240" w:after="240" w:line="240" w:lineRule="auto"/>
      <w:jc w:val="center"/>
    </w:pPr>
    <w:rPr>
      <w:rFonts w:ascii="Times New Roman"/>
      <w:b/>
      <w:smallCaps/>
      <w:sz w:val="24"/>
      <w:szCs w:val="20"/>
      <w:lang w:val="es-ES" w:eastAsia="en-US"/>
    </w:rPr>
  </w:style>
  <w:style w:type="paragraph" w:styleId="FootnoteText">
    <w:name w:val="footnote text"/>
    <w:aliases w:val="fn,texto de nota al pie,Texto nota pie Car Car Car Car Car Car Car Car,Texto nota pie Car Car Car,Footnote Text Char Char Char Char Char Char,Texto nota pie Car Car Car Car Car,Texto nota pie Car1,Texto nota pie Car Car,F,f,ft,foottextfra"/>
    <w:basedOn w:val="Normal"/>
    <w:link w:val="FootnoteTextChar"/>
    <w:uiPriority w:val="99"/>
    <w:qFormat/>
    <w:pPr>
      <w:keepNext/>
      <w:keepLines/>
      <w:spacing w:after="120" w:line="240" w:lineRule="auto"/>
      <w:ind w:left="288" w:hanging="288"/>
      <w:jc w:val="both"/>
    </w:pPr>
    <w:rPr>
      <w:rFonts w:ascii="Times New Roman"/>
      <w:spacing w:val="-3"/>
      <w:sz w:val="20"/>
      <w:szCs w:val="20"/>
      <w:lang w:eastAsia="en-US"/>
    </w:rPr>
  </w:style>
  <w:style w:type="character" w:customStyle="1" w:styleId="FootnoteTextChar">
    <w:name w:val="Footnote Text Char"/>
    <w:aliases w:val="fn Char,texto de nota al pie Char,Texto nota pie Car Car Car Car Car Car Car Car Char,Texto nota pie Car Car Car Char,Footnote Text Char Char Char Char Char Char Char,Texto nota pie Car Car Car Car Car Char,Texto nota pie Car1 Char"/>
    <w:basedOn w:val="DefaultParagraphFont"/>
    <w:link w:val="FootnoteText"/>
    <w:uiPriority w:val="99"/>
    <w:rPr>
      <w:rFonts w:ascii="Times New Roman"/>
      <w:spacing w:val="-3"/>
      <w:sz w:val="20"/>
      <w:szCs w:val="20"/>
      <w:lang w:eastAsia="en-US"/>
    </w:rPr>
  </w:style>
  <w:style w:type="paragraph" w:customStyle="1" w:styleId="Paragraph">
    <w:name w:val="Paragraph"/>
    <w:aliases w:val="paragraph,p,PARAGRAPH,PG,pa,at"/>
    <w:basedOn w:val="BodyTextIndent"/>
    <w:qFormat/>
    <w:pPr>
      <w:numPr>
        <w:ilvl w:val="1"/>
        <w:numId w:val="1"/>
      </w:numPr>
      <w:tabs>
        <w:tab w:val="clear" w:pos="2448"/>
        <w:tab w:val="num" w:pos="360"/>
      </w:tabs>
      <w:spacing w:before="120" w:line="240" w:lineRule="auto"/>
      <w:ind w:left="360" w:firstLine="0"/>
      <w:jc w:val="both"/>
      <w:outlineLvl w:val="1"/>
    </w:pPr>
    <w:rPr>
      <w:rFonts w:ascii="Times New Roman"/>
      <w:sz w:val="24"/>
      <w:szCs w:val="20"/>
      <w:lang w:val="es-ES" w:eastAsia="en-US"/>
    </w:rPr>
  </w:style>
  <w:style w:type="paragraph" w:customStyle="1" w:styleId="subpar">
    <w:name w:val="subpar"/>
    <w:basedOn w:val="BodyTextIndent3"/>
    <w:uiPriority w:val="99"/>
    <w:pPr>
      <w:numPr>
        <w:ilvl w:val="2"/>
        <w:numId w:val="1"/>
      </w:numPr>
      <w:tabs>
        <w:tab w:val="clear" w:pos="2304"/>
        <w:tab w:val="num" w:pos="360"/>
      </w:tabs>
      <w:spacing w:before="120" w:line="240" w:lineRule="auto"/>
      <w:ind w:left="360" w:firstLine="0"/>
      <w:jc w:val="both"/>
      <w:outlineLvl w:val="2"/>
    </w:pPr>
    <w:rPr>
      <w:rFonts w:ascii="Times New Roman"/>
      <w:sz w:val="24"/>
      <w:szCs w:val="20"/>
      <w:lang w:eastAsia="en-US"/>
    </w:rPr>
  </w:style>
  <w:style w:type="paragraph" w:customStyle="1" w:styleId="SubSubPar">
    <w:name w:val="SubSubPar"/>
    <w:basedOn w:val="subpar"/>
    <w:pPr>
      <w:numPr>
        <w:ilvl w:val="3"/>
      </w:numPr>
      <w:tabs>
        <w:tab w:val="clear" w:pos="2736"/>
        <w:tab w:val="left" w:pos="0"/>
        <w:tab w:val="num" w:pos="360"/>
      </w:tabs>
    </w:pPr>
  </w:style>
  <w:style w:type="character" w:styleId="Hyperlink">
    <w:name w:val="Hyperlink"/>
    <w:basedOn w:val="DefaultParagraphFont"/>
    <w:uiPriority w:val="99"/>
    <w:rPr>
      <w:color w:val="0000FF"/>
      <w:u w:val="single"/>
    </w:rPr>
  </w:style>
  <w:style w:type="character" w:styleId="FootnoteReference">
    <w:name w:val="footnote reference"/>
    <w:aliases w:val="referencia nota al pie,Fußnotenzeichen DISS,16 Point,Superscript 6 Point,ftref,FC,Style 24,titulo 2,pie pddes,Ref,de nota al pie,Ref. de nota al pie.,Ref. de nota al pie EDEP,Footnote Reference Number,Footnote Reference_LVL6,fr,SUPERS"/>
    <w:basedOn w:val="DefaultParagraphFont"/>
    <w:link w:val="Char2"/>
    <w:uiPriority w:val="99"/>
    <w:qFormat/>
    <w:rPr>
      <w:vertAlign w:val="superscript"/>
    </w:rPr>
  </w:style>
  <w:style w:type="paragraph" w:customStyle="1" w:styleId="Char2">
    <w:name w:val="Char2"/>
    <w:basedOn w:val="Normal"/>
    <w:link w:val="FootnoteReference"/>
    <w:uiPriority w:val="99"/>
    <w:pPr>
      <w:spacing w:line="240" w:lineRule="exact"/>
    </w:pPr>
    <w:rPr>
      <w:vertAlign w:val="superscript"/>
    </w:rPr>
  </w:style>
  <w:style w:type="paragraph" w:styleId="BodyTextIndent">
    <w:name w:val="Body Text Indent"/>
    <w:basedOn w:val="Normal"/>
    <w:link w:val="BodyTextIndentChar"/>
    <w:uiPriority w:val="99"/>
    <w:semiHidden/>
    <w:unhideWhenUsed/>
    <w:pPr>
      <w:spacing w:after="120"/>
      <w:ind w:left="360"/>
    </w:pPr>
  </w:style>
  <w:style w:type="character" w:customStyle="1" w:styleId="BodyTextIndentChar">
    <w:name w:val="Body Text Indent Char"/>
    <w:basedOn w:val="DefaultParagraphFont"/>
    <w:link w:val="BodyTextIndent"/>
    <w:uiPriority w:val="99"/>
    <w:semiHidden/>
  </w:style>
  <w:style w:type="paragraph" w:styleId="BodyTextIndent3">
    <w:name w:val="Body Text Indent 3"/>
    <w:basedOn w:val="Normal"/>
    <w:link w:val="BodyTextIndent3Char"/>
    <w:uiPriority w:val="99"/>
    <w:semiHidden/>
    <w:unhideWhenUsed/>
    <w:pPr>
      <w:spacing w:after="120"/>
      <w:ind w:left="360"/>
    </w:pPr>
    <w:rPr>
      <w:sz w:val="16"/>
      <w:szCs w:val="16"/>
    </w:rPr>
  </w:style>
  <w:style w:type="character" w:customStyle="1" w:styleId="BodyTextIndent3Char">
    <w:name w:val="Body Text Indent 3 Char"/>
    <w:basedOn w:val="DefaultParagraphFont"/>
    <w:link w:val="BodyTextIndent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ped.rfb.gov.br/" TargetMode="External"/><Relationship Id="rId2" Type="http://schemas.openxmlformats.org/officeDocument/2006/relationships/hyperlink" Target="https://openknowledge.worldbank.org/handle/10986/11971" TargetMode="External"/><Relationship Id="rId1" Type="http://schemas.openxmlformats.org/officeDocument/2006/relationships/hyperlink" Target="http://idbdocs.iadb.org/wsdocs/getDocument.aspx?Docnum=38714772" TargetMode="External"/><Relationship Id="rId6" Type="http://schemas.openxmlformats.org/officeDocument/2006/relationships/hyperlink" Target="https://openknowledge.worldbank.org/handle/10986/11971" TargetMode="External"/><Relationship Id="rId5" Type="http://schemas.openxmlformats.org/officeDocument/2006/relationships/hyperlink" Target="https://www.imf.org/external/np/exr/bforums/2013/pfm/pdf/excerpt.pdf" TargetMode="External"/><Relationship Id="rId4" Type="http://schemas.openxmlformats.org/officeDocument/2006/relationships/hyperlink" Target="http://www.revistaespacios.com/a15v36n17/15361703.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SharedContentType xmlns="Microsoft.SharePoint.Taxonomy.ContentTypeSync" SourceId="ae61f9b1-e23d-4f49-b3d7-56b991556c4b" ContentTypeId="0x0101001A458A224826124E8B45B1D613300CFC" PreviousValue="false"/>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AD2DDFD08169334EA57DA75DB6C25536" ma:contentTypeVersion="34" ma:contentTypeDescription="A content type to manage public (operations) IDB documents" ma:contentTypeScope="" ma:versionID="365468dafd52babae8b5eefedeae3916">
  <xsd:schema xmlns:xsd="http://www.w3.org/2001/XMLSchema" xmlns:xs="http://www.w3.org/2001/XMLSchema" xmlns:p="http://schemas.microsoft.com/office/2006/metadata/properties" xmlns:ns2="cdc7663a-08f0-4737-9e8c-148ce897a09c" targetNamespace="http://schemas.microsoft.com/office/2006/metadata/properties" ma:root="true" ma:fieldsID="5de85f6b1ff8f04f5796335a32f20ce4"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 - Simultaneous Disclosure</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IDBDocs_x0020_Number xmlns="cdc7663a-08f0-4737-9e8c-148ce897a09c" xsi:nil="true"/>
    <Division_x0020_or_x0020_Unit xmlns="cdc7663a-08f0-4737-9e8c-148ce897a09c">IFD/FMM</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Monitoring and Reporting</TermName>
          <TermId xmlns="http://schemas.microsoft.com/office/infopath/2007/PartnerControls">df3c2aa1-d63e-41aa-b1f5-bb15dee691ca</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ACTIVE</Phase>
    <Document_x0020_Author xmlns="cdc7663a-08f0-4737-9e8c-148ce897a09c">Canillas Gomez, Mariana Belen</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FISCAL POLICY FOR SUSTAINABILITY AND GROWTH</TermName>
          <TermId xmlns="http://schemas.microsoft.com/office/infopath/2007/PartnerControls">6e15b5e0-ae82-4b06-920a-eef6dd27cc8b</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ORC</TermName>
          <TermId xmlns="http://schemas.microsoft.com/office/infopath/2007/PartnerControls">c028a4b2-ad8b-4cf4-9cac-a2ae6a778e23</TermId>
        </TermInfo>
      </Terms>
    </g511464f9e53401d84b16fa9b379a574>
    <TaxCatchAll xmlns="cdc7663a-08f0-4737-9e8c-148ce897a09c">
      <Value>30</Value>
      <Value>33</Value>
      <Value>32</Value>
      <Value>31</Value>
      <Value>2</Value>
    </TaxCatchAll>
    <Operation_x0020_Type xmlns="cdc7663a-08f0-4737-9e8c-148ce897a09c">LON</Operation_x0020_Type>
    <Package_x0020_Code xmlns="cdc7663a-08f0-4737-9e8c-148ce897a09c" xsi:nil="true"/>
    <Identifier xmlns="cdc7663a-08f0-4737-9e8c-148ce897a09c" xsi:nil="true"/>
    <Project_x0020_Number xmlns="cdc7663a-08f0-4737-9e8c-148ce897a09c">BR-L1500</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REFORM / MODERNIZATION OF THE STATE</TermName>
          <TermId xmlns="http://schemas.microsoft.com/office/infopath/2007/PartnerControls">c8fda4a7-691a-4c65-b227-9825197b5cd2</TermId>
        </TermInfo>
      </Terms>
    </nddeef1749674d76abdbe4b239a70bc6>
    <Record_x0020_Number xmlns="cdc7663a-08f0-4737-9e8c-148ce897a09c">R0001348828</Record_x0020_Number>
    <_dlc_DocId xmlns="cdc7663a-08f0-4737-9e8c-148ce897a09c">EZSHARE-1869036552-27</_dlc_DocId>
    <_dlc_DocIdUrl xmlns="cdc7663a-08f0-4737-9e8c-148ce897a09c">
      <Url>https://idbg.sharepoint.com/teams/EZ-BR-LON/BR-L1500/_layouts/15/DocIdRedir.aspx?ID=EZSHARE-1869036552-27</Url>
      <Description>EZSHARE-1869036552-27</Description>
    </_dlc_DocIdUrl>
    <Related_x0020_SisCor_x0020_Number xmlns="cdc7663a-08f0-4737-9e8c-148ce897a09c" xsi:nil="true"/>
    <Disclosure_x0020_Activity xmlns="cdc7663a-08f0-4737-9e8c-148ce897a09c">Loan Proposal</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66FC1F-EDB7-45C1-B1C5-B84D1F9CB156}">
  <ds:schemaRefs>
    <ds:schemaRef ds:uri="http://schemas.microsoft.com/sharepoint/events"/>
  </ds:schemaRefs>
</ds:datastoreItem>
</file>

<file path=customXml/itemProps2.xml><?xml version="1.0" encoding="utf-8"?>
<ds:datastoreItem xmlns:ds="http://schemas.openxmlformats.org/officeDocument/2006/customXml" ds:itemID="{F1EEC6DE-33C1-4F04-B286-C817AE785429}"/>
</file>

<file path=customXml/itemProps3.xml><?xml version="1.0" encoding="utf-8"?>
<ds:datastoreItem xmlns:ds="http://schemas.openxmlformats.org/officeDocument/2006/customXml" ds:itemID="{AC5E08BF-7489-4CA4-85DF-99EE672DE8D5}"/>
</file>

<file path=customXml/itemProps4.xml><?xml version="1.0" encoding="utf-8"?>
<ds:datastoreItem xmlns:ds="http://schemas.openxmlformats.org/officeDocument/2006/customXml" ds:itemID="{7D062999-C373-4007-8FAC-73EBABB429F3}">
  <ds:schemaRefs>
    <ds:schemaRef ds:uri="http://purl.org/dc/dcmitype/"/>
    <ds:schemaRef ds:uri="http://schemas.microsoft.com/office/2006/documentManagement/types"/>
    <ds:schemaRef ds:uri="cdc7663a-08f0-4737-9e8c-148ce897a09c"/>
    <ds:schemaRef ds:uri="http://purl.org/dc/elements/1.1/"/>
    <ds:schemaRef ds:uri="http://purl.org/dc/terms/"/>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2453305A-A27E-4CEF-97CB-B11E7D70D22B}"/>
</file>

<file path=customXml/itemProps6.xml><?xml version="1.0" encoding="utf-8"?>
<ds:datastoreItem xmlns:ds="http://schemas.openxmlformats.org/officeDocument/2006/customXml" ds:itemID="{E7FCA260-253A-4EFE-BC32-C5D77FFF2DF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355</Words>
  <Characters>1954</Characters>
  <Application>Microsoft Office Word</Application>
  <DocSecurity>0</DocSecurity>
  <Lines>16</Lines>
  <Paragraphs>4</Paragraphs>
  <ScaleCrop>false</ScaleCrop>
  <Company/>
  <LinksUpToDate>false</LinksUpToDate>
  <CharactersWithSpaces>2305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Canillas Gomez, Mariana Belen</dc:creator>
  <cp:keywords/>
  <dc:description/>
  <cp:lastModifiedBy>Canillas Gomez, Mariana Belen</cp:lastModifiedBy>
  <cp:revision>2</cp:revision>
  <dcterms:created xsi:type="dcterms:W3CDTF">2017-11-08T22:57:00Z</dcterms:created>
  <dcterms:modified xsi:type="dcterms:W3CDTF">2017-11-09T18:07:00Z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2;#Monitoring and Reporting|df3c2aa1-d63e-41aa-b1f5-bb15dee691ca</vt:lpwstr>
  </property>
  <property fmtid="{D5CDD505-2E9C-101B-9397-08002B2CF9AE}" pid="4" name="TaxKeyword">
    <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32;#FISCAL POLICY FOR SUSTAINABILITY AND GROWTH|6e15b5e0-ae82-4b06-920a-eef6dd27cc8b</vt:lpwstr>
  </property>
  <property fmtid="{D5CDD505-2E9C-101B-9397-08002B2CF9AE}" pid="8" name="Fund IDB">
    <vt:lpwstr>33;#ORC|c028a4b2-ad8b-4cf4-9cac-a2ae6a778e23</vt:lpwstr>
  </property>
  <property fmtid="{D5CDD505-2E9C-101B-9397-08002B2CF9AE}" pid="9" name="Country">
    <vt:lpwstr>30;#Brazil|7deb27ec-6837-4974-9aa8-6cfbac841ef8</vt:lpwstr>
  </property>
  <property fmtid="{D5CDD505-2E9C-101B-9397-08002B2CF9AE}" pid="10" name="Sector IDB">
    <vt:lpwstr>31;#REFORM / MODERNIZATION OF THE STATE|c8fda4a7-691a-4c65-b227-9825197b5cd2</vt:lpwstr>
  </property>
  <property fmtid="{D5CDD505-2E9C-101B-9397-08002B2CF9AE}" pid="11" name="_dlc_DocIdItemGuid">
    <vt:lpwstr>e77e21e4-1944-488e-a7e5-ee268864fb28</vt:lpwstr>
  </property>
  <property fmtid="{D5CDD505-2E9C-101B-9397-08002B2CF9AE}" pid="12" name="RecordPoint_ActiveItemMoved">
    <vt:lpwstr>/teams/EZ-BR-LON/BR-L1500/15 LifeCycle Milestones/Draft Area/Detalle de las lecciones aprendidas de las experiencias previas del Banco.docx</vt:lpwstr>
  </property>
  <property fmtid="{D5CDD505-2E9C-101B-9397-08002B2CF9AE}" pid="13" name="RecordStorageActiveId">
    <vt:lpwstr>1d2e4d86-30d9-418e-8253-2eddd9caf116</vt:lpwstr>
  </property>
  <property fmtid="{D5CDD505-2E9C-101B-9397-08002B2CF9AE}" pid="14" name="Disclosure Activity">
    <vt:lpwstr>Loan Proposal</vt:lpwstr>
  </property>
  <property fmtid="{D5CDD505-2E9C-101B-9397-08002B2CF9AE}" pid="15" name="ContentTypeId">
    <vt:lpwstr>0x0101001A458A224826124E8B45B1D613300CFC00AD2DDFD08169334EA57DA75DB6C25536</vt:lpwstr>
  </property>
</Properties>
</file>