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07BB1" w:rsidRPr="00E132B4" w:rsidRDefault="00407BB1" w:rsidP="00407BB1">
      <w:pPr>
        <w:tabs>
          <w:tab w:val="left" w:pos="1807"/>
          <w:tab w:val="center" w:pos="4419"/>
        </w:tabs>
        <w:autoSpaceDE w:val="0"/>
        <w:autoSpaceDN w:val="0"/>
        <w:adjustRightInd w:val="0"/>
        <w:jc w:val="center"/>
        <w:rPr>
          <w:rFonts w:ascii="Times New Roman" w:hAnsi="Times New Roman" w:cs="Times New Roman"/>
          <w:b/>
          <w:bCs/>
          <w:smallCaps/>
          <w:sz w:val="28"/>
          <w:szCs w:val="28"/>
        </w:rPr>
      </w:pPr>
      <w:r w:rsidRPr="00407BB1">
        <w:rPr>
          <w:rFonts w:ascii="Times New Roman" w:hAnsi="Times New Roman" w:cs="Times New Roman"/>
          <w:b/>
          <w:bCs/>
          <w:noProof/>
          <w:sz w:val="24"/>
          <w:lang w:val="en-US"/>
        </w:rPr>
        <mc:AlternateContent>
          <mc:Choice Requires="wps">
            <w:drawing>
              <wp:anchor distT="0" distB="0" distL="114300" distR="114300" simplePos="0" relativeHeight="251661312" behindDoc="0" locked="0" layoutInCell="1" allowOverlap="1" wp14:anchorId="53604F1E" wp14:editId="30C8224B">
                <wp:simplePos x="0" y="0"/>
                <wp:positionH relativeFrom="column">
                  <wp:posOffset>2809240</wp:posOffset>
                </wp:positionH>
                <wp:positionV relativeFrom="paragraph">
                  <wp:posOffset>-1090930</wp:posOffset>
                </wp:positionV>
                <wp:extent cx="3449955" cy="914400"/>
                <wp:effectExtent l="0" t="0" r="0" b="0"/>
                <wp:wrapNone/>
                <wp:docPr id="1" name="1 Rectángulo"/>
                <wp:cNvGraphicFramePr/>
                <a:graphic xmlns:a="http://schemas.openxmlformats.org/drawingml/2006/main">
                  <a:graphicData uri="http://schemas.microsoft.com/office/word/2010/wordprocessingShape">
                    <wps:wsp>
                      <wps:cNvSpPr/>
                      <wps:spPr>
                        <a:xfrm>
                          <a:off x="0" y="0"/>
                          <a:ext cx="3449955"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 Rectángulo" o:spid="_x0000_s1026" style="position:absolute;margin-left:221.2pt;margin-top:-85.9pt;width:271.65pt;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" fillcolor="white [3212]" stroked="f" strokeweight="2pt"/>
            </w:pict>
          </mc:Fallback>
        </mc:AlternateContent>
      </w:r>
      <w:r w:rsidRPr="00407BB1">
        <w:rPr>
          <w:rFonts w:ascii="Times New Roman" w:hAnsi="Times New Roman" w:cs="Times New Roman"/>
          <w:b/>
          <w:bCs/>
          <w:smallCaps/>
          <w:sz w:val="32"/>
          <w:szCs w:val="28"/>
        </w:rPr>
        <w:t>Banco Interamericano de Desarrollo</w:t>
      </w:r>
    </w:p>
    <w:p w:rsidR="001E7F9C" w:rsidRDefault="001E7F9C" w:rsidP="00744CD0">
      <w:pPr>
        <w:autoSpaceDE w:val="0"/>
        <w:autoSpaceDN w:val="0"/>
        <w:adjustRightInd w:val="0"/>
        <w:jc w:val="both"/>
        <w:rPr>
          <w:rFonts w:ascii="Times New Roman" w:hAnsi="Times New Roman" w:cs="Times New Roman"/>
          <w:b/>
          <w:bCs/>
        </w:rPr>
      </w:pPr>
    </w:p>
    <w:p w:rsidR="00407BB1" w:rsidRDefault="00407BB1" w:rsidP="00744CD0">
      <w:pPr>
        <w:autoSpaceDE w:val="0"/>
        <w:autoSpaceDN w:val="0"/>
        <w:adjustRightInd w:val="0"/>
        <w:jc w:val="both"/>
        <w:rPr>
          <w:rFonts w:ascii="Times New Roman" w:hAnsi="Times New Roman" w:cs="Times New Roman"/>
          <w:b/>
          <w:bCs/>
        </w:rPr>
      </w:pPr>
    </w:p>
    <w:p w:rsidR="00407BB1" w:rsidRDefault="00407BB1" w:rsidP="00744CD0">
      <w:pPr>
        <w:autoSpaceDE w:val="0"/>
        <w:autoSpaceDN w:val="0"/>
        <w:adjustRightInd w:val="0"/>
        <w:jc w:val="both"/>
        <w:rPr>
          <w:rFonts w:ascii="Times New Roman" w:hAnsi="Times New Roman" w:cs="Times New Roman"/>
          <w:b/>
          <w:bCs/>
        </w:rPr>
      </w:pPr>
    </w:p>
    <w:p w:rsidR="003951C7" w:rsidRDefault="00633030" w:rsidP="00744CD0">
      <w:pPr>
        <w:autoSpaceDE w:val="0"/>
        <w:autoSpaceDN w:val="0"/>
        <w:adjustRightInd w:val="0"/>
        <w:jc w:val="both"/>
        <w:rPr>
          <w:rFonts w:ascii="Times New Roman" w:hAnsi="Times New Roman" w:cs="Times New Roman"/>
          <w:b/>
          <w:bCs/>
        </w:rPr>
      </w:pPr>
      <w:r>
        <w:rPr>
          <w:rFonts w:ascii="Times New Roman" w:hAnsi="Times New Roman" w:cs="Times New Roman"/>
          <w:b/>
          <w:bCs/>
        </w:rPr>
        <w:tab/>
        <w:t xml:space="preserve"> </w:t>
      </w:r>
    </w:p>
    <w:p w:rsidR="00D65DC3" w:rsidRPr="004825EE" w:rsidRDefault="007A1B42" w:rsidP="000A6742">
      <w:pPr>
        <w:autoSpaceDE w:val="0"/>
        <w:autoSpaceDN w:val="0"/>
        <w:adjustRightInd w:val="0"/>
        <w:jc w:val="center"/>
        <w:rPr>
          <w:rFonts w:ascii="Times New Roman" w:hAnsi="Times New Roman" w:cs="Times New Roman"/>
          <w:bCs/>
          <w:smallCaps/>
          <w:sz w:val="40"/>
          <w:szCs w:val="28"/>
        </w:rPr>
      </w:pPr>
      <w:r w:rsidRPr="004825EE">
        <w:rPr>
          <w:rFonts w:ascii="Times New Roman" w:hAnsi="Times New Roman" w:cs="Times New Roman"/>
          <w:bCs/>
          <w:smallCaps/>
          <w:sz w:val="40"/>
          <w:szCs w:val="28"/>
        </w:rPr>
        <w:t>República de Haití</w:t>
      </w:r>
    </w:p>
    <w:p w:rsidR="00D65DC3" w:rsidRDefault="00D65DC3" w:rsidP="000A6742">
      <w:pPr>
        <w:autoSpaceDE w:val="0"/>
        <w:autoSpaceDN w:val="0"/>
        <w:adjustRightInd w:val="0"/>
        <w:jc w:val="center"/>
        <w:rPr>
          <w:rFonts w:ascii="Times New Roman" w:hAnsi="Times New Roman" w:cs="Times New Roman"/>
          <w:b/>
          <w:bCs/>
          <w:sz w:val="28"/>
          <w:szCs w:val="28"/>
        </w:rPr>
      </w:pPr>
    </w:p>
    <w:p w:rsidR="003951C7" w:rsidRPr="006578BC" w:rsidRDefault="003951C7" w:rsidP="000A6742">
      <w:pPr>
        <w:autoSpaceDE w:val="0"/>
        <w:autoSpaceDN w:val="0"/>
        <w:adjustRightInd w:val="0"/>
        <w:jc w:val="center"/>
        <w:rPr>
          <w:rFonts w:ascii="Times New Roman" w:hAnsi="Times New Roman" w:cs="Times New Roman"/>
          <w:b/>
          <w:bCs/>
          <w:sz w:val="28"/>
          <w:szCs w:val="28"/>
        </w:rPr>
      </w:pPr>
    </w:p>
    <w:p w:rsidR="00D65DC3" w:rsidRPr="006578BC" w:rsidRDefault="00D65DC3" w:rsidP="000A6742">
      <w:pPr>
        <w:autoSpaceDE w:val="0"/>
        <w:autoSpaceDN w:val="0"/>
        <w:adjustRightInd w:val="0"/>
        <w:jc w:val="center"/>
        <w:rPr>
          <w:rFonts w:ascii="Times New Roman" w:hAnsi="Times New Roman" w:cs="Times New Roman"/>
          <w:b/>
          <w:bCs/>
          <w:sz w:val="28"/>
          <w:szCs w:val="28"/>
        </w:rPr>
      </w:pPr>
    </w:p>
    <w:p w:rsidR="00D65DC3" w:rsidRPr="006578BC" w:rsidRDefault="00D65DC3" w:rsidP="000A6742">
      <w:pPr>
        <w:autoSpaceDE w:val="0"/>
        <w:autoSpaceDN w:val="0"/>
        <w:adjustRightInd w:val="0"/>
        <w:jc w:val="center"/>
        <w:rPr>
          <w:rFonts w:ascii="Times New Roman" w:hAnsi="Times New Roman" w:cs="Times New Roman"/>
          <w:b/>
          <w:bCs/>
          <w:sz w:val="28"/>
          <w:szCs w:val="28"/>
        </w:rPr>
      </w:pPr>
    </w:p>
    <w:p w:rsidR="00D65DC3" w:rsidRPr="004825EE" w:rsidRDefault="007A1B42" w:rsidP="000A6742">
      <w:pPr>
        <w:autoSpaceDE w:val="0"/>
        <w:autoSpaceDN w:val="0"/>
        <w:adjustRightInd w:val="0"/>
        <w:jc w:val="center"/>
        <w:rPr>
          <w:rFonts w:ascii="Times New Roman" w:hAnsi="Times New Roman" w:cs="Times New Roman"/>
          <w:smallCaps/>
          <w:snapToGrid w:val="0"/>
          <w:sz w:val="36"/>
          <w:szCs w:val="28"/>
        </w:rPr>
      </w:pPr>
      <w:r w:rsidRPr="004825EE">
        <w:rPr>
          <w:rFonts w:ascii="Times New Roman" w:hAnsi="Times New Roman" w:cs="Times New Roman"/>
          <w:smallCaps/>
          <w:snapToGrid w:val="0"/>
          <w:sz w:val="36"/>
          <w:szCs w:val="28"/>
        </w:rPr>
        <w:t xml:space="preserve">Programa de </w:t>
      </w:r>
      <w:r w:rsidR="0069530C" w:rsidRPr="004825EE">
        <w:rPr>
          <w:rFonts w:ascii="Times New Roman" w:hAnsi="Times New Roman" w:cs="Times New Roman"/>
          <w:smallCaps/>
          <w:snapToGrid w:val="0"/>
          <w:sz w:val="36"/>
          <w:szCs w:val="28"/>
        </w:rPr>
        <w:t xml:space="preserve">Modernización de los Servicios de Sanidad Agropecuaria e Inocuidad de los Alimentos </w:t>
      </w:r>
    </w:p>
    <w:p w:rsidR="002E2DA8" w:rsidRPr="004825EE" w:rsidRDefault="002E2DA8" w:rsidP="000A6742">
      <w:pPr>
        <w:autoSpaceDE w:val="0"/>
        <w:autoSpaceDN w:val="0"/>
        <w:adjustRightInd w:val="0"/>
        <w:jc w:val="center"/>
        <w:rPr>
          <w:rFonts w:ascii="Times New Roman" w:hAnsi="Times New Roman" w:cs="Times New Roman"/>
          <w:bCs/>
          <w:sz w:val="32"/>
          <w:szCs w:val="28"/>
        </w:rPr>
      </w:pPr>
    </w:p>
    <w:p w:rsidR="00D65DC3" w:rsidRPr="004825EE" w:rsidRDefault="00D65DC3" w:rsidP="000A6742">
      <w:pPr>
        <w:autoSpaceDE w:val="0"/>
        <w:autoSpaceDN w:val="0"/>
        <w:adjustRightInd w:val="0"/>
        <w:jc w:val="center"/>
        <w:rPr>
          <w:rFonts w:ascii="Times New Roman" w:hAnsi="Times New Roman" w:cs="Times New Roman"/>
          <w:bCs/>
          <w:sz w:val="32"/>
          <w:szCs w:val="28"/>
        </w:rPr>
      </w:pPr>
      <w:r w:rsidRPr="004825EE">
        <w:rPr>
          <w:rFonts w:ascii="Times New Roman" w:hAnsi="Times New Roman" w:cs="Times New Roman"/>
          <w:bCs/>
          <w:sz w:val="32"/>
          <w:szCs w:val="28"/>
        </w:rPr>
        <w:t>(</w:t>
      </w:r>
      <w:r w:rsidRPr="004825EE">
        <w:rPr>
          <w:rFonts w:ascii="Times New Roman" w:hAnsi="Times New Roman" w:cs="Times New Roman"/>
          <w:sz w:val="32"/>
          <w:szCs w:val="28"/>
        </w:rPr>
        <w:t>HA-L10</w:t>
      </w:r>
      <w:r w:rsidR="0069530C" w:rsidRPr="004825EE">
        <w:rPr>
          <w:rFonts w:ascii="Times New Roman" w:hAnsi="Times New Roman" w:cs="Times New Roman"/>
          <w:sz w:val="32"/>
          <w:szCs w:val="28"/>
        </w:rPr>
        <w:t>94</w:t>
      </w:r>
      <w:r w:rsidRPr="004825EE">
        <w:rPr>
          <w:rFonts w:ascii="Times New Roman" w:hAnsi="Times New Roman" w:cs="Times New Roman"/>
          <w:bCs/>
          <w:sz w:val="32"/>
          <w:szCs w:val="28"/>
        </w:rPr>
        <w:t>)</w:t>
      </w:r>
    </w:p>
    <w:p w:rsidR="00D65DC3" w:rsidRDefault="00D65DC3" w:rsidP="000A6742">
      <w:pPr>
        <w:autoSpaceDE w:val="0"/>
        <w:autoSpaceDN w:val="0"/>
        <w:adjustRightInd w:val="0"/>
        <w:jc w:val="center"/>
        <w:rPr>
          <w:rFonts w:ascii="Times New Roman" w:hAnsi="Times New Roman" w:cs="Times New Roman"/>
          <w:b/>
          <w:bCs/>
          <w:sz w:val="28"/>
          <w:szCs w:val="28"/>
        </w:rPr>
      </w:pPr>
    </w:p>
    <w:p w:rsidR="000A6C83" w:rsidRDefault="000A6C83" w:rsidP="000A6742">
      <w:pPr>
        <w:autoSpaceDE w:val="0"/>
        <w:autoSpaceDN w:val="0"/>
        <w:adjustRightInd w:val="0"/>
        <w:jc w:val="center"/>
        <w:rPr>
          <w:rFonts w:ascii="Times New Roman" w:hAnsi="Times New Roman" w:cs="Times New Roman"/>
          <w:b/>
          <w:bCs/>
          <w:sz w:val="28"/>
          <w:szCs w:val="28"/>
        </w:rPr>
      </w:pPr>
    </w:p>
    <w:p w:rsidR="000A6C83" w:rsidRPr="006578BC" w:rsidRDefault="000A6C83" w:rsidP="000A6742">
      <w:pPr>
        <w:autoSpaceDE w:val="0"/>
        <w:autoSpaceDN w:val="0"/>
        <w:adjustRightInd w:val="0"/>
        <w:jc w:val="center"/>
        <w:rPr>
          <w:rFonts w:ascii="Times New Roman" w:hAnsi="Times New Roman" w:cs="Times New Roman"/>
          <w:b/>
          <w:bCs/>
          <w:sz w:val="28"/>
          <w:szCs w:val="28"/>
        </w:rPr>
      </w:pPr>
    </w:p>
    <w:p w:rsidR="00D65DC3" w:rsidRPr="006578BC" w:rsidRDefault="00D65DC3" w:rsidP="000A6742">
      <w:pPr>
        <w:autoSpaceDE w:val="0"/>
        <w:autoSpaceDN w:val="0"/>
        <w:adjustRightInd w:val="0"/>
        <w:jc w:val="center"/>
        <w:rPr>
          <w:rFonts w:ascii="Times New Roman" w:hAnsi="Times New Roman" w:cs="Times New Roman"/>
          <w:b/>
          <w:bCs/>
          <w:sz w:val="28"/>
          <w:szCs w:val="28"/>
        </w:rPr>
      </w:pPr>
    </w:p>
    <w:p w:rsidR="00D65DC3" w:rsidRPr="006578BC" w:rsidRDefault="0069530C" w:rsidP="000A6742">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Consultoría para la</w:t>
      </w:r>
      <w:r w:rsidR="006578BC">
        <w:rPr>
          <w:rFonts w:ascii="Times New Roman" w:hAnsi="Times New Roman" w:cs="Times New Roman"/>
          <w:b/>
          <w:bCs/>
          <w:sz w:val="28"/>
          <w:szCs w:val="28"/>
        </w:rPr>
        <w:t xml:space="preserve"> </w:t>
      </w:r>
      <w:r w:rsidRPr="006578BC">
        <w:rPr>
          <w:rFonts w:ascii="Times New Roman" w:hAnsi="Times New Roman" w:cs="Times New Roman"/>
          <w:b/>
          <w:bCs/>
          <w:sz w:val="28"/>
          <w:szCs w:val="28"/>
        </w:rPr>
        <w:t>Evaluación Económica</w:t>
      </w:r>
      <w:r>
        <w:rPr>
          <w:rFonts w:ascii="Times New Roman" w:hAnsi="Times New Roman" w:cs="Times New Roman"/>
          <w:b/>
          <w:bCs/>
          <w:sz w:val="28"/>
          <w:szCs w:val="28"/>
        </w:rPr>
        <w:t xml:space="preserve"> </w:t>
      </w:r>
      <w:r w:rsidR="00436995">
        <w:rPr>
          <w:rFonts w:ascii="Times New Roman" w:hAnsi="Times New Roman" w:cs="Times New Roman"/>
          <w:b/>
          <w:bCs/>
          <w:sz w:val="28"/>
          <w:szCs w:val="28"/>
        </w:rPr>
        <w:t>E</w:t>
      </w:r>
      <w:r w:rsidR="006578BC">
        <w:rPr>
          <w:rFonts w:ascii="Times New Roman" w:hAnsi="Times New Roman" w:cs="Times New Roman"/>
          <w:b/>
          <w:bCs/>
          <w:sz w:val="28"/>
          <w:szCs w:val="28"/>
        </w:rPr>
        <w:t>x-</w:t>
      </w:r>
      <w:r w:rsidR="00436995">
        <w:rPr>
          <w:rFonts w:ascii="Times New Roman" w:hAnsi="Times New Roman" w:cs="Times New Roman"/>
          <w:b/>
          <w:bCs/>
          <w:sz w:val="28"/>
          <w:szCs w:val="28"/>
        </w:rPr>
        <w:t>A</w:t>
      </w:r>
      <w:r w:rsidR="006578BC">
        <w:rPr>
          <w:rFonts w:ascii="Times New Roman" w:hAnsi="Times New Roman" w:cs="Times New Roman"/>
          <w:b/>
          <w:bCs/>
          <w:sz w:val="28"/>
          <w:szCs w:val="28"/>
        </w:rPr>
        <w:t>nte</w:t>
      </w:r>
    </w:p>
    <w:p w:rsidR="006578BC" w:rsidRDefault="006578BC" w:rsidP="000A6742">
      <w:pPr>
        <w:autoSpaceDE w:val="0"/>
        <w:autoSpaceDN w:val="0"/>
        <w:adjustRightInd w:val="0"/>
        <w:jc w:val="center"/>
        <w:rPr>
          <w:rFonts w:ascii="Times New Roman" w:hAnsi="Times New Roman" w:cs="Times New Roman"/>
          <w:b/>
          <w:bCs/>
          <w:sz w:val="36"/>
          <w:szCs w:val="28"/>
        </w:rPr>
      </w:pPr>
    </w:p>
    <w:p w:rsidR="00D65DC3" w:rsidRPr="00E74A87" w:rsidRDefault="00454872" w:rsidP="000A6742">
      <w:pPr>
        <w:autoSpaceDE w:val="0"/>
        <w:autoSpaceDN w:val="0"/>
        <w:adjustRightInd w:val="0"/>
        <w:jc w:val="center"/>
        <w:rPr>
          <w:rFonts w:ascii="Times New Roman" w:hAnsi="Times New Roman" w:cs="Times New Roman"/>
          <w:bCs/>
          <w:smallCaps/>
          <w:sz w:val="36"/>
          <w:szCs w:val="28"/>
          <w:lang w:val="pt-BR"/>
        </w:rPr>
      </w:pPr>
      <w:r w:rsidRPr="00E74A87">
        <w:rPr>
          <w:rFonts w:ascii="Times New Roman" w:hAnsi="Times New Roman" w:cs="Times New Roman"/>
          <w:bCs/>
          <w:smallCaps/>
          <w:sz w:val="36"/>
          <w:szCs w:val="28"/>
          <w:lang w:val="pt-BR"/>
        </w:rPr>
        <w:t xml:space="preserve">Informe </w:t>
      </w:r>
      <w:r w:rsidR="00A86D4E" w:rsidRPr="00E74A87">
        <w:rPr>
          <w:rFonts w:ascii="Times New Roman" w:hAnsi="Times New Roman" w:cs="Times New Roman"/>
          <w:bCs/>
          <w:smallCaps/>
          <w:sz w:val="36"/>
          <w:szCs w:val="28"/>
          <w:lang w:val="pt-BR"/>
        </w:rPr>
        <w:t>F</w:t>
      </w:r>
      <w:r w:rsidR="007B3226" w:rsidRPr="00E74A87">
        <w:rPr>
          <w:rFonts w:ascii="Times New Roman" w:hAnsi="Times New Roman" w:cs="Times New Roman"/>
          <w:bCs/>
          <w:smallCaps/>
          <w:sz w:val="36"/>
          <w:szCs w:val="28"/>
          <w:lang w:val="pt-BR"/>
        </w:rPr>
        <w:t>inal</w:t>
      </w:r>
    </w:p>
    <w:p w:rsidR="00D65DC3" w:rsidRPr="00B72327" w:rsidRDefault="00D65DC3" w:rsidP="000A6742">
      <w:pPr>
        <w:autoSpaceDE w:val="0"/>
        <w:autoSpaceDN w:val="0"/>
        <w:adjustRightInd w:val="0"/>
        <w:jc w:val="center"/>
        <w:rPr>
          <w:rFonts w:ascii="Times New Roman" w:hAnsi="Times New Roman" w:cs="Times New Roman"/>
          <w:b/>
          <w:bCs/>
          <w:color w:val="7F7F7F" w:themeColor="text1" w:themeTint="80"/>
          <w:sz w:val="24"/>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3951C7" w:rsidRPr="00B72327" w:rsidRDefault="003951C7"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F302BB" w:rsidRPr="00B72327" w:rsidRDefault="00F302BB"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 w:val="28"/>
          <w:szCs w:val="28"/>
          <w:lang w:val="pt-BR"/>
        </w:rPr>
      </w:pPr>
    </w:p>
    <w:p w:rsidR="00D65DC3" w:rsidRPr="00B72327" w:rsidRDefault="00D65DC3" w:rsidP="000A6742">
      <w:pPr>
        <w:autoSpaceDE w:val="0"/>
        <w:autoSpaceDN w:val="0"/>
        <w:adjustRightInd w:val="0"/>
        <w:jc w:val="center"/>
        <w:rPr>
          <w:rFonts w:ascii="Times New Roman" w:hAnsi="Times New Roman" w:cs="Times New Roman"/>
          <w:szCs w:val="28"/>
          <w:lang w:val="pt-BR"/>
        </w:rPr>
      </w:pPr>
      <w:r w:rsidRPr="00B72327">
        <w:rPr>
          <w:rFonts w:ascii="Times New Roman" w:hAnsi="Times New Roman" w:cs="Times New Roman"/>
          <w:szCs w:val="28"/>
          <w:lang w:val="pt-BR"/>
        </w:rPr>
        <w:t>ALEXIS DE AGUEDA CORNELOUP</w:t>
      </w:r>
    </w:p>
    <w:p w:rsidR="006578BC" w:rsidRPr="00B72327" w:rsidRDefault="006578BC" w:rsidP="000A6742">
      <w:pPr>
        <w:autoSpaceDE w:val="0"/>
        <w:autoSpaceDN w:val="0"/>
        <w:adjustRightInd w:val="0"/>
        <w:jc w:val="center"/>
        <w:rPr>
          <w:rFonts w:ascii="Times New Roman" w:hAnsi="Times New Roman" w:cs="Times New Roman"/>
          <w:sz w:val="28"/>
          <w:szCs w:val="28"/>
          <w:lang w:val="pt-BR"/>
        </w:rPr>
      </w:pPr>
    </w:p>
    <w:p w:rsidR="006578BC" w:rsidRPr="0018595D" w:rsidRDefault="007B3226" w:rsidP="000A6742">
      <w:pPr>
        <w:autoSpaceDE w:val="0"/>
        <w:autoSpaceDN w:val="0"/>
        <w:adjustRightInd w:val="0"/>
        <w:jc w:val="center"/>
        <w:rPr>
          <w:rFonts w:ascii="Times New Roman" w:hAnsi="Times New Roman" w:cs="Times New Roman"/>
          <w:i/>
          <w:szCs w:val="28"/>
        </w:rPr>
      </w:pPr>
      <w:r>
        <w:rPr>
          <w:rFonts w:ascii="Times New Roman" w:hAnsi="Times New Roman" w:cs="Times New Roman"/>
          <w:i/>
          <w:szCs w:val="28"/>
        </w:rPr>
        <w:t xml:space="preserve">Mayo </w:t>
      </w:r>
      <w:r w:rsidR="00454872">
        <w:rPr>
          <w:rFonts w:ascii="Times New Roman" w:hAnsi="Times New Roman" w:cs="Times New Roman"/>
          <w:i/>
          <w:szCs w:val="28"/>
        </w:rPr>
        <w:t xml:space="preserve">de </w:t>
      </w:r>
      <w:r w:rsidR="0069530C">
        <w:rPr>
          <w:rFonts w:ascii="Times New Roman" w:hAnsi="Times New Roman" w:cs="Times New Roman"/>
          <w:i/>
          <w:szCs w:val="28"/>
        </w:rPr>
        <w:t>2014</w:t>
      </w:r>
    </w:p>
    <w:p w:rsidR="00E96733" w:rsidRDefault="00996A35" w:rsidP="000A6742">
      <w:pPr>
        <w:jc w:val="center"/>
        <w:rPr>
          <w:rFonts w:ascii="Times New Roman" w:hAnsi="Times New Roman" w:cs="Times New Roman"/>
          <w:b/>
          <w:i/>
        </w:rPr>
      </w:pPr>
      <w:r>
        <w:rPr>
          <w:rFonts w:ascii="Times New Roman" w:hAnsi="Times New Roman" w:cs="Times New Roman"/>
          <w:b/>
          <w:bCs/>
          <w:noProof/>
          <w:lang w:val="en-US"/>
        </w:rPr>
        <mc:AlternateContent>
          <mc:Choice Requires="wps">
            <w:drawing>
              <wp:anchor distT="0" distB="0" distL="114300" distR="114300" simplePos="0" relativeHeight="251663360" behindDoc="0" locked="0" layoutInCell="1" allowOverlap="1" wp14:anchorId="08D85C69" wp14:editId="6F5DCE5B">
                <wp:simplePos x="0" y="0"/>
                <wp:positionH relativeFrom="column">
                  <wp:posOffset>3021330</wp:posOffset>
                </wp:positionH>
                <wp:positionV relativeFrom="paragraph">
                  <wp:posOffset>610235</wp:posOffset>
                </wp:positionV>
                <wp:extent cx="3449955" cy="914400"/>
                <wp:effectExtent l="0" t="0" r="0" b="0"/>
                <wp:wrapNone/>
                <wp:docPr id="2" name="2 Rectángulo"/>
                <wp:cNvGraphicFramePr/>
                <a:graphic xmlns:a="http://schemas.openxmlformats.org/drawingml/2006/main">
                  <a:graphicData uri="http://schemas.microsoft.com/office/word/2010/wordprocessingShape">
                    <wps:wsp>
                      <wps:cNvSpPr/>
                      <wps:spPr>
                        <a:xfrm>
                          <a:off x="0" y="0"/>
                          <a:ext cx="3449955"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 Rectángulo" o:spid="_x0000_s1026" style="position:absolute;margin-left:237.9pt;margin-top:48.05pt;width:271.65pt;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" fillcolor="white [3212]" stroked="f" strokeweight="2pt"/>
            </w:pict>
          </mc:Fallback>
        </mc:AlternateContent>
      </w:r>
      <w:r w:rsidR="00D65DC3" w:rsidRPr="006578BC">
        <w:rPr>
          <w:rFonts w:ascii="Times New Roman" w:hAnsi="Times New Roman" w:cs="Times New Roman"/>
          <w:b/>
          <w:i/>
        </w:rPr>
        <w:br w:type="page"/>
      </w:r>
    </w:p>
    <w:bookmarkStart w:id="1" w:name="_Toc380171560" w:displacedByCustomXml="next"/>
    <w:sdt>
      <w:sdtPr>
        <w:rPr>
          <w:rFonts w:ascii="Times New Roman" w:eastAsiaTheme="minorHAnsi" w:hAnsi="Times New Roman" w:cs="Times New Roman"/>
          <w:b w:val="0"/>
          <w:bCs w:val="0"/>
          <w:color w:val="auto"/>
          <w:sz w:val="20"/>
          <w:szCs w:val="20"/>
          <w:lang w:eastAsia="en-US"/>
        </w:rPr>
        <w:id w:val="-1734227316"/>
        <w:docPartObj>
          <w:docPartGallery w:val="Table of Contents"/>
          <w:docPartUnique/>
        </w:docPartObj>
      </w:sdtPr>
      <w:sdtEndPr/>
      <w:sdtContent>
        <w:bookmarkStart w:id="2" w:name="_Toc318222690" w:displacedByCustomXml="prev"/>
        <w:p w:rsidR="00CA5D11" w:rsidRDefault="00CA5D11">
          <w:pPr>
            <w:pStyle w:val="TOCHeading"/>
            <w:rPr>
              <w:rFonts w:ascii="Times New Roman" w:hAnsi="Times New Roman" w:cs="Times New Roman"/>
              <w:color w:val="auto"/>
              <w:sz w:val="20"/>
              <w:szCs w:val="20"/>
            </w:rPr>
          </w:pPr>
          <w:r w:rsidRPr="00BF24D5">
            <w:rPr>
              <w:rFonts w:ascii="Times New Roman" w:hAnsi="Times New Roman" w:cs="Times New Roman"/>
              <w:color w:val="auto"/>
              <w:sz w:val="20"/>
              <w:szCs w:val="20"/>
            </w:rPr>
            <w:t>ÍNDICE DE CONTENIDO</w:t>
          </w:r>
          <w:bookmarkEnd w:id="2"/>
        </w:p>
        <w:p w:rsidR="0035269B" w:rsidRPr="00E74A87" w:rsidRDefault="0035269B" w:rsidP="00E74A87"/>
        <w:p w:rsidR="0035269B" w:rsidRPr="00E74A87" w:rsidRDefault="00CA5D11">
          <w:pPr>
            <w:pStyle w:val="TOC1"/>
            <w:rPr>
              <w:rFonts w:ascii="Times New Roman" w:eastAsiaTheme="minorEastAsia" w:hAnsi="Times New Roman" w:cs="Times New Roman"/>
              <w:noProof/>
              <w:sz w:val="18"/>
              <w:szCs w:val="18"/>
              <w:lang w:eastAsia="es-ES"/>
            </w:rPr>
          </w:pPr>
          <w:r w:rsidRPr="00E74A87">
            <w:rPr>
              <w:rFonts w:ascii="Times New Roman" w:hAnsi="Times New Roman" w:cs="Times New Roman"/>
              <w:sz w:val="18"/>
              <w:szCs w:val="18"/>
            </w:rPr>
            <w:fldChar w:fldCharType="begin"/>
          </w:r>
          <w:r w:rsidRPr="00E74A87">
            <w:rPr>
              <w:rFonts w:ascii="Times New Roman" w:hAnsi="Times New Roman" w:cs="Times New Roman"/>
              <w:sz w:val="18"/>
              <w:szCs w:val="18"/>
            </w:rPr>
            <w:instrText xml:space="preserve"> TOC \o "1-3" \h \z \u </w:instrText>
          </w:r>
          <w:r w:rsidRPr="00E74A87">
            <w:rPr>
              <w:rFonts w:ascii="Times New Roman" w:hAnsi="Times New Roman" w:cs="Times New Roman"/>
              <w:sz w:val="18"/>
              <w:szCs w:val="18"/>
            </w:rPr>
            <w:fldChar w:fldCharType="separate"/>
          </w:r>
          <w:hyperlink w:anchor="_Toc386887935" w:history="1">
            <w:r w:rsidR="0035269B" w:rsidRPr="00E74A87">
              <w:rPr>
                <w:rStyle w:val="Hyperlink"/>
                <w:rFonts w:ascii="Times New Roman" w:hAnsi="Times New Roman" w:cs="Times New Roman"/>
                <w:noProof/>
                <w:sz w:val="18"/>
                <w:szCs w:val="18"/>
                <w:lang w:val="en-US"/>
              </w:rPr>
              <w:t>I.</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lang w:val="en-US"/>
              </w:rPr>
              <w:t>INTRODUCCIÓN</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_Toc386887935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36" w:history="1">
            <w:r w:rsidR="0035269B" w:rsidRPr="00E74A87">
              <w:rPr>
                <w:rStyle w:val="Hyperlink"/>
                <w:rFonts w:ascii="Times New Roman" w:hAnsi="Times New Roman" w:cs="Times New Roman"/>
                <w:i/>
                <w:noProof/>
                <w:sz w:val="18"/>
                <w:szCs w:val="18"/>
              </w:rPr>
              <w:t>Situación actual de la sanidad agropecuaria en Haití</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_Toc386887936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37" w:history="1">
            <w:r w:rsidR="0035269B" w:rsidRPr="00E74A87">
              <w:rPr>
                <w:rStyle w:val="Hyperlink"/>
                <w:rFonts w:ascii="Times New Roman" w:hAnsi="Times New Roman" w:cs="Times New Roman"/>
                <w:i/>
                <w:noProof/>
                <w:sz w:val="18"/>
                <w:szCs w:val="18"/>
              </w:rPr>
              <w:t>Necesidad de la puesta a punto sectorial y el establecimiento de un marco legal e institucional</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_Toc386887937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4</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38" w:history="1">
            <w:r w:rsidR="0035269B" w:rsidRPr="00E74A87">
              <w:rPr>
                <w:rStyle w:val="Hyperlink"/>
                <w:rFonts w:ascii="Times New Roman" w:hAnsi="Times New Roman" w:cs="Times New Roman"/>
                <w:i/>
                <w:noProof/>
                <w:sz w:val="18"/>
                <w:szCs w:val="18"/>
              </w:rPr>
              <w:t>Breve descripción de las patologías intervenidas por el Programa</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_Toc386887938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5</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39" w:history="1">
            <w:r w:rsidR="0035269B" w:rsidRPr="00E74A87">
              <w:rPr>
                <w:rStyle w:val="Hyperlink"/>
                <w:rFonts w:ascii="Times New Roman" w:hAnsi="Times New Roman" w:cs="Times New Roman"/>
                <w:i/>
                <w:noProof/>
                <w:sz w:val="18"/>
                <w:szCs w:val="18"/>
              </w:rPr>
              <w:t>Planteamiento metodológico general</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_Toc386887939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6</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0" w:history="1">
            <w:r w:rsidR="0035269B" w:rsidRPr="00E74A87">
              <w:rPr>
                <w:rStyle w:val="Hyperlink"/>
                <w:rFonts w:ascii="Times New Roman" w:hAnsi="Times New Roman" w:cs="Times New Roman"/>
                <w:i/>
                <w:noProof/>
                <w:sz w:val="18"/>
                <w:szCs w:val="18"/>
              </w:rPr>
              <w:t>Beneficiarios y beneficios del Programa</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_Toc386887940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7</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1" w:history="1">
            <w:r w:rsidR="0035269B" w:rsidRPr="00E74A87">
              <w:rPr>
                <w:rStyle w:val="Hyperlink"/>
                <w:rFonts w:ascii="Times New Roman" w:hAnsi="Times New Roman" w:cs="Times New Roman"/>
                <w:i/>
                <w:noProof/>
                <w:sz w:val="18"/>
                <w:szCs w:val="18"/>
              </w:rPr>
              <w:t>Justificación de la provisión de fondos del sector público</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_Toc386887941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8</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42" w:history="1">
            <w:r w:rsidR="0035269B" w:rsidRPr="00E74A87">
              <w:rPr>
                <w:rStyle w:val="Hyperlink"/>
                <w:rFonts w:ascii="Times New Roman" w:hAnsi="Times New Roman" w:cs="Times New Roman"/>
                <w:noProof/>
                <w:sz w:val="18"/>
                <w:szCs w:val="18"/>
                <w:lang w:val="en-US"/>
              </w:rPr>
              <w:t>II.</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lang w:val="en-US"/>
              </w:rPr>
              <w:t>SUPUESTOS Y METODOLOGÍA</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_Toc386887942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9</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3" w:history="1">
            <w:r w:rsidR="0035269B" w:rsidRPr="00E74A87">
              <w:rPr>
                <w:rStyle w:val="Hyperlink"/>
                <w:rFonts w:ascii="Times New Roman" w:hAnsi="Times New Roman" w:cs="Times New Roman"/>
                <w:i/>
                <w:noProof/>
                <w:sz w:val="18"/>
                <w:szCs w:val="18"/>
              </w:rPr>
              <w:t>Perímetro del Análisis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_Toc386887943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9</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4" w:history="1">
            <w:r w:rsidR="0035269B" w:rsidRPr="00E74A87">
              <w:rPr>
                <w:rStyle w:val="Hyperlink"/>
                <w:rFonts w:ascii="Times New Roman" w:hAnsi="Times New Roman" w:cs="Times New Roman"/>
                <w:i/>
                <w:noProof/>
                <w:sz w:val="18"/>
                <w:szCs w:val="18"/>
              </w:rPr>
              <w:t>Alternativas Sin Proyecto y Con Proyecto</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_Toc386887944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10</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5" w:history="1">
            <w:r w:rsidR="0035269B" w:rsidRPr="00E74A87">
              <w:rPr>
                <w:rStyle w:val="Hyperlink"/>
                <w:rFonts w:ascii="Times New Roman" w:hAnsi="Times New Roman" w:cs="Times New Roman"/>
                <w:i/>
                <w:noProof/>
                <w:sz w:val="18"/>
                <w:szCs w:val="18"/>
              </w:rPr>
              <w:t>Valoración a precios económicos o precios sombra</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_Toc386887945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10</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6" w:history="1">
            <w:r w:rsidR="0035269B" w:rsidRPr="00E74A87">
              <w:rPr>
                <w:rStyle w:val="Hyperlink"/>
                <w:rFonts w:ascii="Times New Roman" w:hAnsi="Times New Roman" w:cs="Times New Roman"/>
                <w:i/>
                <w:noProof/>
                <w:sz w:val="18"/>
                <w:szCs w:val="18"/>
              </w:rPr>
              <w:t>Otros aspectos metodológicos del ACB</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_Toc386887946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11</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7" w:history="1">
            <w:r w:rsidR="0035269B" w:rsidRPr="00E74A87">
              <w:rPr>
                <w:rStyle w:val="Hyperlink"/>
                <w:rFonts w:ascii="Times New Roman" w:hAnsi="Times New Roman" w:cs="Times New Roman"/>
                <w:i/>
                <w:noProof/>
                <w:sz w:val="18"/>
                <w:szCs w:val="18"/>
              </w:rPr>
              <w:t>Limitaciones metodológicas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_Toc386887947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11</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48" w:history="1">
            <w:r w:rsidR="0035269B" w:rsidRPr="00E74A87">
              <w:rPr>
                <w:rStyle w:val="Hyperlink"/>
                <w:rFonts w:ascii="Times New Roman" w:hAnsi="Times New Roman" w:cs="Times New Roman"/>
                <w:i/>
                <w:noProof/>
                <w:sz w:val="18"/>
                <w:szCs w:val="18"/>
              </w:rPr>
              <w:t>Outputs de la evaluación: parámetros de rentabilidad económica utilizados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_Toc386887948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12</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49" w:history="1">
            <w:r w:rsidR="0035269B" w:rsidRPr="00E74A87">
              <w:rPr>
                <w:rStyle w:val="Hyperlink"/>
                <w:rFonts w:ascii="Times New Roman" w:hAnsi="Times New Roman" w:cs="Times New Roman"/>
                <w:noProof/>
                <w:sz w:val="18"/>
                <w:szCs w:val="18"/>
              </w:rPr>
              <w:t>III.</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rPr>
              <w:t>BENEFICIOS ECONÓMICOS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_Toc386887949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0" w:history="1">
            <w:r w:rsidR="0035269B" w:rsidRPr="00E74A87">
              <w:rPr>
                <w:rStyle w:val="Hyperlink"/>
                <w:rFonts w:ascii="Times New Roman" w:hAnsi="Times New Roman" w:cs="Times New Roman"/>
                <w:i/>
                <w:noProof/>
                <w:sz w:val="18"/>
                <w:szCs w:val="18"/>
              </w:rPr>
              <w:t>Beneficios económicos identificados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_Toc386887950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1" w:history="1">
            <w:r w:rsidR="0035269B" w:rsidRPr="00E74A87">
              <w:rPr>
                <w:rStyle w:val="Hyperlink"/>
                <w:rFonts w:ascii="Times New Roman" w:hAnsi="Times New Roman" w:cs="Times New Roman"/>
                <w:i/>
                <w:noProof/>
                <w:sz w:val="18"/>
                <w:szCs w:val="18"/>
              </w:rPr>
              <w:t>Evaluación de los beneficios económicos cuantificados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_Toc386887951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13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2" w:history="1">
            <w:r w:rsidR="0035269B" w:rsidRPr="00E74A87">
              <w:rPr>
                <w:rStyle w:val="Hyperlink"/>
                <w:rFonts w:ascii="Times New Roman" w:hAnsi="Times New Roman" w:cs="Times New Roman"/>
                <w:i/>
                <w:noProof/>
                <w:sz w:val="18"/>
                <w:szCs w:val="18"/>
              </w:rPr>
              <w:t xml:space="preserve">Otros beneficios no cuantificados </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_Toc386887952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20</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3" w:history="1">
            <w:r w:rsidR="0035269B" w:rsidRPr="00E74A87">
              <w:rPr>
                <w:rStyle w:val="Hyperlink"/>
                <w:rFonts w:ascii="Times New Roman" w:hAnsi="Times New Roman" w:cs="Times New Roman"/>
                <w:i/>
                <w:noProof/>
                <w:sz w:val="18"/>
                <w:szCs w:val="18"/>
              </w:rPr>
              <w:t>Beneficios indirectos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_Toc386887953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21</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54" w:history="1">
            <w:r w:rsidR="0035269B" w:rsidRPr="00E74A87">
              <w:rPr>
                <w:rStyle w:val="Hyperlink"/>
                <w:rFonts w:ascii="Times New Roman" w:hAnsi="Times New Roman" w:cs="Times New Roman"/>
                <w:i/>
                <w:noProof/>
                <w:sz w:val="18"/>
                <w:szCs w:val="18"/>
              </w:rPr>
              <w:t>Supuestos conservadores o Upsides de los beneficios del ACB</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_Toc386887954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21</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55" w:history="1">
            <w:r w:rsidR="0035269B" w:rsidRPr="00E74A87">
              <w:rPr>
                <w:rStyle w:val="Hyperlink"/>
                <w:rFonts w:ascii="Times New Roman" w:hAnsi="Times New Roman" w:cs="Times New Roman"/>
                <w:noProof/>
                <w:sz w:val="18"/>
                <w:szCs w:val="18"/>
              </w:rPr>
              <w:t>IV.</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rPr>
              <w:t>COSTOS ECONÓMICOS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_Toc386887955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6" w:history="1">
            <w:r w:rsidR="0035269B" w:rsidRPr="00E74A87">
              <w:rPr>
                <w:rStyle w:val="Hyperlink"/>
                <w:rFonts w:ascii="Times New Roman" w:hAnsi="Times New Roman" w:cs="Times New Roman"/>
                <w:i/>
                <w:noProof/>
                <w:sz w:val="18"/>
                <w:szCs w:val="18"/>
              </w:rPr>
              <w:t>Costos No Recurrentes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_Toc386887956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2"/>
            <w:tabs>
              <w:tab w:val="right" w:leader="dot" w:pos="8828"/>
            </w:tabs>
            <w:rPr>
              <w:rFonts w:ascii="Times New Roman" w:eastAsiaTheme="minorEastAsia" w:hAnsi="Times New Roman" w:cs="Times New Roman"/>
              <w:noProof/>
              <w:sz w:val="18"/>
              <w:szCs w:val="18"/>
              <w:lang w:eastAsia="es-ES"/>
            </w:rPr>
          </w:pPr>
          <w:hyperlink w:anchor="_Toc386887957" w:history="1">
            <w:r w:rsidR="0035269B" w:rsidRPr="00E74A87">
              <w:rPr>
                <w:rStyle w:val="Hyperlink"/>
                <w:rFonts w:ascii="Times New Roman" w:hAnsi="Times New Roman" w:cs="Times New Roman"/>
                <w:i/>
                <w:noProof/>
                <w:sz w:val="18"/>
                <w:szCs w:val="18"/>
              </w:rPr>
              <w:t>Costos Recurrentes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_Toc386887957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24</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58" w:history="1">
            <w:r w:rsidR="0035269B" w:rsidRPr="00E74A87">
              <w:rPr>
                <w:rStyle w:val="Hyperlink"/>
                <w:rFonts w:ascii="Times New Roman" w:hAnsi="Times New Roman" w:cs="Times New Roman"/>
                <w:noProof/>
                <w:sz w:val="18"/>
                <w:szCs w:val="18"/>
                <w:lang w:val="en-US"/>
              </w:rPr>
              <w:t>V.</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lang w:val="en-US"/>
              </w:rPr>
              <w:t>RENTABILIDAD ECONÓMICA DEL PROGRAMA</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_Toc386887958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26</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59" w:history="1">
            <w:r w:rsidR="0035269B" w:rsidRPr="00E74A87">
              <w:rPr>
                <w:rStyle w:val="Hyperlink"/>
                <w:rFonts w:ascii="Times New Roman" w:hAnsi="Times New Roman" w:cs="Times New Roman"/>
                <w:noProof/>
                <w:sz w:val="18"/>
                <w:szCs w:val="18"/>
                <w:lang w:val="en-US"/>
              </w:rPr>
              <w:t>VI.</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lang w:val="en-US"/>
              </w:rPr>
              <w:t>ANÁLISIS DE SENSIBILIDAD</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_Toc386887959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27</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0" w:history="1">
            <w:r w:rsidR="0035269B" w:rsidRPr="00E74A87">
              <w:rPr>
                <w:rStyle w:val="Hyperlink"/>
                <w:rFonts w:ascii="Times New Roman" w:hAnsi="Times New Roman" w:cs="Times New Roman"/>
                <w:noProof/>
                <w:sz w:val="18"/>
                <w:szCs w:val="18"/>
              </w:rPr>
              <w:t>VII.</w:t>
            </w:r>
            <w:r w:rsidR="0035269B" w:rsidRPr="00E74A87">
              <w:rPr>
                <w:rFonts w:ascii="Times New Roman" w:eastAsiaTheme="minorEastAsia" w:hAnsi="Times New Roman" w:cs="Times New Roman"/>
                <w:noProof/>
                <w:sz w:val="18"/>
                <w:szCs w:val="18"/>
                <w:lang w:eastAsia="es-ES"/>
              </w:rPr>
              <w:tab/>
            </w:r>
            <w:r w:rsidR="0035269B" w:rsidRPr="00E74A87">
              <w:rPr>
                <w:rStyle w:val="Hyperlink"/>
                <w:rFonts w:ascii="Times New Roman" w:hAnsi="Times New Roman" w:cs="Times New Roman"/>
                <w:noProof/>
                <w:sz w:val="18"/>
                <w:szCs w:val="18"/>
              </w:rPr>
              <w:t>OTROS ELEMENTOS DE ANÁLISIS ADICIONALES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_Toc386887960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30</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1" w:history="1">
            <w:r w:rsidR="0035269B" w:rsidRPr="00E74A87">
              <w:rPr>
                <w:rStyle w:val="Hyperlink"/>
                <w:rFonts w:ascii="Times New Roman" w:hAnsi="Times New Roman" w:cs="Times New Roman"/>
                <w:i/>
                <w:noProof/>
                <w:sz w:val="18"/>
                <w:szCs w:val="18"/>
              </w:rPr>
              <w:t>Indicadores de la Matriz de Resultados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_Toc386887961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30</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2" w:history="1">
            <w:r w:rsidR="0035269B" w:rsidRPr="00E74A87">
              <w:rPr>
                <w:rStyle w:val="Hyperlink"/>
                <w:rFonts w:ascii="Times New Roman" w:hAnsi="Times New Roman" w:cs="Times New Roman"/>
                <w:noProof/>
                <w:sz w:val="18"/>
                <w:szCs w:val="18"/>
              </w:rPr>
              <w:t>DOCUMENTACIÓN Y FUENTES DE INFORMACIÓN UTILIZADAS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_Toc386887962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31</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3" w:history="1">
            <w:r w:rsidR="0035269B" w:rsidRPr="00E74A87">
              <w:rPr>
                <w:rStyle w:val="Hyperlink"/>
                <w:rFonts w:ascii="Times New Roman" w:hAnsi="Times New Roman" w:cs="Times New Roman"/>
                <w:noProof/>
                <w:sz w:val="18"/>
                <w:szCs w:val="18"/>
              </w:rPr>
              <w:t>ANEXO I: ESTIMACIÓN DE LOS PRECIOS ECONÓMICOS DE LOS PRODUCTOS</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_Toc386887963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32</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4" w:history="1">
            <w:r w:rsidR="0035269B" w:rsidRPr="00E74A87">
              <w:rPr>
                <w:rStyle w:val="Hyperlink"/>
                <w:rFonts w:ascii="Times New Roman" w:hAnsi="Times New Roman" w:cs="Times New Roman"/>
                <w:noProof/>
                <w:sz w:val="18"/>
                <w:szCs w:val="18"/>
              </w:rPr>
              <w:t>ANEXO II: LIBRO DE HIPÓTESIS DEL ACB</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_Toc386887964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33</w:t>
            </w:r>
            <w:r w:rsidR="0035269B" w:rsidRPr="00E74A87">
              <w:rPr>
                <w:rFonts w:ascii="Times New Roman" w:hAnsi="Times New Roman" w:cs="Times New Roman"/>
                <w:noProof/>
                <w:webHidden/>
                <w:sz w:val="18"/>
                <w:szCs w:val="18"/>
              </w:rPr>
              <w:fldChar w:fldCharType="end"/>
            </w:r>
          </w:hyperlink>
        </w:p>
        <w:p w:rsidR="0035269B" w:rsidRPr="00E74A87" w:rsidRDefault="00EA4A3F">
          <w:pPr>
            <w:pStyle w:val="TOC1"/>
            <w:rPr>
              <w:rFonts w:ascii="Times New Roman" w:eastAsiaTheme="minorEastAsia" w:hAnsi="Times New Roman" w:cs="Times New Roman"/>
              <w:noProof/>
              <w:sz w:val="18"/>
              <w:szCs w:val="18"/>
              <w:lang w:eastAsia="es-ES"/>
            </w:rPr>
          </w:pPr>
          <w:hyperlink w:anchor="_Toc386887965" w:history="1">
            <w:r w:rsidR="0035269B" w:rsidRPr="00E74A87">
              <w:rPr>
                <w:rStyle w:val="Hyperlink"/>
                <w:rFonts w:ascii="Times New Roman" w:hAnsi="Times New Roman" w:cs="Times New Roman"/>
                <w:noProof/>
                <w:sz w:val="18"/>
                <w:szCs w:val="18"/>
              </w:rPr>
              <w:t>ANEXO III: RESUMEN DE FLUJOS ECONÓMICOS DEL ACB</w:t>
            </w:r>
            <w:r w:rsidR="0035269B" w:rsidRPr="00E74A87">
              <w:rPr>
                <w:rFonts w:ascii="Times New Roman" w:hAnsi="Times New Roman" w:cs="Times New Roman"/>
                <w:noProof/>
                <w:webHidden/>
                <w:sz w:val="18"/>
                <w:szCs w:val="18"/>
              </w:rPr>
              <w:tab/>
            </w:r>
            <w:r w:rsidR="0035269B" w:rsidRPr="00E74A87">
              <w:rPr>
                <w:rFonts w:ascii="Times New Roman" w:hAnsi="Times New Roman" w:cs="Times New Roman"/>
                <w:noProof/>
                <w:webHidden/>
                <w:sz w:val="18"/>
                <w:szCs w:val="18"/>
              </w:rPr>
              <w:fldChar w:fldCharType="begin"/>
            </w:r>
            <w:r w:rsidR="0035269B" w:rsidRPr="00E74A87">
              <w:rPr>
                <w:rFonts w:ascii="Times New Roman" w:hAnsi="Times New Roman" w:cs="Times New Roman"/>
                <w:noProof/>
                <w:webHidden/>
                <w:sz w:val="18"/>
                <w:szCs w:val="18"/>
              </w:rPr>
              <w:instrText xml:space="preserve"> PAGEREF _Toc386887965 \h </w:instrText>
            </w:r>
            <w:r w:rsidR="0035269B" w:rsidRPr="00E74A87">
              <w:rPr>
                <w:rFonts w:ascii="Times New Roman" w:hAnsi="Times New Roman" w:cs="Times New Roman"/>
                <w:noProof/>
                <w:webHidden/>
                <w:sz w:val="18"/>
                <w:szCs w:val="18"/>
              </w:rPr>
            </w:r>
            <w:r w:rsidR="0035269B" w:rsidRPr="00E74A87">
              <w:rPr>
                <w:rFonts w:ascii="Times New Roman" w:hAnsi="Times New Roman" w:cs="Times New Roman"/>
                <w:noProof/>
                <w:webHidden/>
                <w:sz w:val="18"/>
                <w:szCs w:val="18"/>
              </w:rPr>
              <w:fldChar w:fldCharType="separate"/>
            </w:r>
            <w:r w:rsidR="00865F10">
              <w:rPr>
                <w:rFonts w:ascii="Times New Roman" w:hAnsi="Times New Roman" w:cs="Times New Roman"/>
                <w:noProof/>
                <w:webHidden/>
                <w:sz w:val="18"/>
                <w:szCs w:val="18"/>
              </w:rPr>
              <w:t>38</w:t>
            </w:r>
            <w:r w:rsidR="0035269B" w:rsidRPr="00E74A87">
              <w:rPr>
                <w:rFonts w:ascii="Times New Roman" w:hAnsi="Times New Roman" w:cs="Times New Roman"/>
                <w:noProof/>
                <w:webHidden/>
                <w:sz w:val="18"/>
                <w:szCs w:val="18"/>
              </w:rPr>
              <w:fldChar w:fldCharType="end"/>
            </w:r>
          </w:hyperlink>
        </w:p>
        <w:p w:rsidR="00CA5D11" w:rsidRPr="00BF24D5" w:rsidRDefault="00CA5D11">
          <w:pPr>
            <w:rPr>
              <w:rFonts w:ascii="Times New Roman" w:hAnsi="Times New Roman" w:cs="Times New Roman"/>
              <w:sz w:val="20"/>
              <w:szCs w:val="20"/>
            </w:rPr>
          </w:pPr>
          <w:r w:rsidRPr="00E74A87">
            <w:rPr>
              <w:rFonts w:ascii="Times New Roman" w:hAnsi="Times New Roman" w:cs="Times New Roman"/>
              <w:b/>
              <w:bCs/>
              <w:sz w:val="18"/>
              <w:szCs w:val="18"/>
            </w:rPr>
            <w:fldChar w:fldCharType="end"/>
          </w:r>
        </w:p>
      </w:sdtContent>
    </w:sdt>
    <w:p w:rsidR="00BC7CFD" w:rsidRPr="008B3338" w:rsidRDefault="00BC7CFD" w:rsidP="00BC7CFD">
      <w:pPr>
        <w:pStyle w:val="Heading1"/>
        <w:numPr>
          <w:ilvl w:val="0"/>
          <w:numId w:val="14"/>
        </w:numPr>
        <w:jc w:val="both"/>
        <w:rPr>
          <w:rFonts w:ascii="Times New Roman" w:hAnsi="Times New Roman" w:cs="Times New Roman"/>
          <w:color w:val="auto"/>
          <w:sz w:val="24"/>
          <w:szCs w:val="24"/>
          <w:lang w:val="en-US"/>
        </w:rPr>
      </w:pPr>
      <w:bookmarkStart w:id="3" w:name="_Toc386887935"/>
      <w:r w:rsidRPr="008B3338">
        <w:rPr>
          <w:rFonts w:ascii="Times New Roman" w:hAnsi="Times New Roman" w:cs="Times New Roman"/>
          <w:color w:val="auto"/>
          <w:sz w:val="24"/>
          <w:szCs w:val="24"/>
          <w:lang w:val="en-US"/>
        </w:rPr>
        <w:lastRenderedPageBreak/>
        <w:t>INTRODUCCIÓN</w:t>
      </w:r>
      <w:bookmarkEnd w:id="3"/>
      <w:bookmarkEnd w:id="1"/>
    </w:p>
    <w:p w:rsidR="00BC7CFD" w:rsidRDefault="00BC7CFD" w:rsidP="00BC7CFD">
      <w:pPr>
        <w:pStyle w:val="ListParagraph"/>
        <w:jc w:val="both"/>
        <w:rPr>
          <w:rFonts w:ascii="Times New Roman" w:hAnsi="Times New Roman" w:cs="Times New Roman"/>
          <w:b/>
          <w:i/>
        </w:rPr>
      </w:pPr>
    </w:p>
    <w:p w:rsidR="00922B4A" w:rsidRDefault="00A01987" w:rsidP="00BC7CFD">
      <w:pPr>
        <w:pStyle w:val="ListParagraph"/>
        <w:numPr>
          <w:ilvl w:val="1"/>
          <w:numId w:val="15"/>
        </w:numPr>
        <w:ind w:hanging="578"/>
        <w:jc w:val="both"/>
        <w:rPr>
          <w:rFonts w:ascii="Times New Roman" w:hAnsi="Times New Roman" w:cs="Times New Roman"/>
        </w:rPr>
      </w:pPr>
      <w:r w:rsidRPr="006D7F86">
        <w:rPr>
          <w:rFonts w:ascii="Times New Roman" w:hAnsi="Times New Roman" w:cs="Times New Roman"/>
        </w:rPr>
        <w:t xml:space="preserve">El presente documento tiene como </w:t>
      </w:r>
      <w:r>
        <w:rPr>
          <w:rFonts w:ascii="Times New Roman" w:hAnsi="Times New Roman" w:cs="Times New Roman"/>
        </w:rPr>
        <w:t xml:space="preserve">cometido exponer los </w:t>
      </w:r>
      <w:r w:rsidR="008E524F">
        <w:rPr>
          <w:rFonts w:ascii="Times New Roman" w:hAnsi="Times New Roman" w:cs="Times New Roman"/>
        </w:rPr>
        <w:t>resultados obtenidos</w:t>
      </w:r>
      <w:r>
        <w:rPr>
          <w:rFonts w:ascii="Times New Roman" w:hAnsi="Times New Roman" w:cs="Times New Roman"/>
        </w:rPr>
        <w:t xml:space="preserve"> en el desarrollo de </w:t>
      </w:r>
      <w:r w:rsidRPr="006D7F86">
        <w:rPr>
          <w:rFonts w:ascii="Times New Roman" w:hAnsi="Times New Roman" w:cs="Times New Roman"/>
        </w:rPr>
        <w:t xml:space="preserve">la evaluación económica </w:t>
      </w:r>
      <w:r>
        <w:rPr>
          <w:rFonts w:ascii="Times New Roman" w:hAnsi="Times New Roman" w:cs="Times New Roman"/>
        </w:rPr>
        <w:t xml:space="preserve">ex-ante </w:t>
      </w:r>
      <w:r w:rsidR="00C72B9B">
        <w:rPr>
          <w:rFonts w:ascii="Times New Roman" w:hAnsi="Times New Roman" w:cs="Times New Roman"/>
        </w:rPr>
        <w:t>de</w:t>
      </w:r>
      <w:r w:rsidR="00BE0C5A">
        <w:rPr>
          <w:rFonts w:ascii="Times New Roman" w:hAnsi="Times New Roman" w:cs="Times New Roman"/>
        </w:rPr>
        <w:t>l</w:t>
      </w:r>
      <w:r w:rsidR="00C72B9B">
        <w:rPr>
          <w:rFonts w:ascii="Times New Roman" w:hAnsi="Times New Roman" w:cs="Times New Roman"/>
        </w:rPr>
        <w:t xml:space="preserve"> </w:t>
      </w:r>
      <w:r w:rsidR="00F1656E">
        <w:rPr>
          <w:rFonts w:ascii="Times New Roman" w:hAnsi="Times New Roman" w:cs="Times New Roman"/>
        </w:rPr>
        <w:t xml:space="preserve">Programa de </w:t>
      </w:r>
      <w:r w:rsidR="00CE59FA" w:rsidRPr="00BC7CFD">
        <w:rPr>
          <w:rFonts w:ascii="Times New Roman" w:hAnsi="Times New Roman" w:cs="Times New Roman"/>
        </w:rPr>
        <w:t xml:space="preserve">Modernización de los Servicios de Sanidad Agropecuaria e Inocuidad de los Alimentos, </w:t>
      </w:r>
      <w:r w:rsidR="00C72B9B" w:rsidRPr="00BC7CFD">
        <w:rPr>
          <w:rFonts w:ascii="Times New Roman" w:hAnsi="Times New Roman" w:cs="Times New Roman"/>
        </w:rPr>
        <w:t>(el “Programa</w:t>
      </w:r>
      <w:r w:rsidR="00C72B9B">
        <w:rPr>
          <w:rFonts w:ascii="Times New Roman" w:hAnsi="Times New Roman" w:cs="Times New Roman"/>
        </w:rPr>
        <w:t xml:space="preserve">”), </w:t>
      </w:r>
      <w:r w:rsidR="00CE59FA">
        <w:rPr>
          <w:rFonts w:ascii="Times New Roman" w:hAnsi="Times New Roman" w:cs="Times New Roman"/>
        </w:rPr>
        <w:t xml:space="preserve">financiado </w:t>
      </w:r>
      <w:r w:rsidR="00C72B9B">
        <w:rPr>
          <w:rFonts w:ascii="Times New Roman" w:hAnsi="Times New Roman" w:cs="Times New Roman"/>
        </w:rPr>
        <w:t>por el Banco Interamericano de Desarrollo (el “</w:t>
      </w:r>
      <w:r w:rsidR="00C72B9B" w:rsidRPr="00BC7CFD">
        <w:rPr>
          <w:rFonts w:ascii="Times New Roman" w:hAnsi="Times New Roman" w:cs="Times New Roman"/>
        </w:rPr>
        <w:t>Banco</w:t>
      </w:r>
      <w:r w:rsidR="007E35BF" w:rsidRPr="00BC7CFD">
        <w:rPr>
          <w:rFonts w:ascii="Times New Roman" w:hAnsi="Times New Roman" w:cs="Times New Roman"/>
        </w:rPr>
        <w:t>”)</w:t>
      </w:r>
      <w:r w:rsidR="00A16387">
        <w:rPr>
          <w:rFonts w:ascii="Times New Roman" w:hAnsi="Times New Roman" w:cs="Times New Roman"/>
        </w:rPr>
        <w:t>, y cuya ejecución compete al</w:t>
      </w:r>
      <w:r w:rsidR="00E8596B">
        <w:rPr>
          <w:rFonts w:ascii="Times New Roman" w:hAnsi="Times New Roman" w:cs="Times New Roman"/>
        </w:rPr>
        <w:t xml:space="preserve"> </w:t>
      </w:r>
      <w:r w:rsidR="00E8596B" w:rsidRPr="00E8596B">
        <w:rPr>
          <w:rFonts w:ascii="Times New Roman" w:hAnsi="Times New Roman" w:cs="Times New Roman"/>
        </w:rPr>
        <w:t>Ministerio de Agricultura, Recursos Naturales y Desarrollo Rural de Haití</w:t>
      </w:r>
      <w:r w:rsidR="00E8596B">
        <w:rPr>
          <w:rFonts w:ascii="Times New Roman" w:hAnsi="Times New Roman" w:cs="Times New Roman"/>
        </w:rPr>
        <w:t xml:space="preserve"> (“MARNDR”).</w:t>
      </w:r>
      <w:r w:rsidR="00E8596B" w:rsidRPr="00E8596B">
        <w:rPr>
          <w:rFonts w:ascii="Times New Roman" w:hAnsi="Times New Roman" w:cs="Times New Roman"/>
        </w:rPr>
        <w:t xml:space="preserve"> </w:t>
      </w:r>
      <w:r w:rsidR="00C52278" w:rsidRPr="00BC7CFD">
        <w:rPr>
          <w:rFonts w:ascii="Times New Roman" w:hAnsi="Times New Roman" w:cs="Times New Roman"/>
        </w:rPr>
        <w:t>El P</w:t>
      </w:r>
      <w:r w:rsidR="00F1656E" w:rsidRPr="00BC7CFD">
        <w:rPr>
          <w:rFonts w:ascii="Times New Roman" w:hAnsi="Times New Roman" w:cs="Times New Roman"/>
        </w:rPr>
        <w:t>rograma</w:t>
      </w:r>
      <w:r w:rsidR="00E8596B">
        <w:rPr>
          <w:rFonts w:ascii="Times New Roman" w:hAnsi="Times New Roman" w:cs="Times New Roman"/>
        </w:rPr>
        <w:t>,</w:t>
      </w:r>
      <w:r w:rsidR="00F1656E">
        <w:rPr>
          <w:rFonts w:ascii="Times New Roman" w:hAnsi="Times New Roman" w:cs="Times New Roman"/>
        </w:rPr>
        <w:t xml:space="preserve"> </w:t>
      </w:r>
      <w:r w:rsidR="00E8596B">
        <w:rPr>
          <w:rFonts w:ascii="Times New Roman" w:hAnsi="Times New Roman" w:cs="Times New Roman"/>
        </w:rPr>
        <w:t>que</w:t>
      </w:r>
      <w:r w:rsidR="00922B4A">
        <w:rPr>
          <w:rFonts w:ascii="Times New Roman" w:hAnsi="Times New Roman" w:cs="Times New Roman"/>
        </w:rPr>
        <w:t xml:space="preserve"> </w:t>
      </w:r>
      <w:r w:rsidR="00F1656E">
        <w:rPr>
          <w:rFonts w:ascii="Times New Roman" w:hAnsi="Times New Roman" w:cs="Times New Roman"/>
        </w:rPr>
        <w:t>supon</w:t>
      </w:r>
      <w:r w:rsidR="00CE59FA">
        <w:rPr>
          <w:rFonts w:ascii="Times New Roman" w:hAnsi="Times New Roman" w:cs="Times New Roman"/>
        </w:rPr>
        <w:t>drá</w:t>
      </w:r>
      <w:r w:rsidR="00F1656E">
        <w:rPr>
          <w:rFonts w:ascii="Times New Roman" w:hAnsi="Times New Roman" w:cs="Times New Roman"/>
        </w:rPr>
        <w:t xml:space="preserve"> una inversión de US$</w:t>
      </w:r>
      <w:r w:rsidR="006F6EF9">
        <w:rPr>
          <w:rFonts w:ascii="Times New Roman" w:hAnsi="Times New Roman" w:cs="Times New Roman"/>
        </w:rPr>
        <w:t xml:space="preserve">14 </w:t>
      </w:r>
      <w:r w:rsidR="00F1656E">
        <w:rPr>
          <w:rFonts w:ascii="Times New Roman" w:hAnsi="Times New Roman" w:cs="Times New Roman"/>
        </w:rPr>
        <w:t>millones</w:t>
      </w:r>
      <w:r w:rsidR="00C52278" w:rsidRPr="00C52278">
        <w:rPr>
          <w:rFonts w:ascii="Times New Roman" w:hAnsi="Times New Roman" w:cs="Times New Roman"/>
        </w:rPr>
        <w:t xml:space="preserve">, tiene </w:t>
      </w:r>
      <w:r w:rsidR="007B6033">
        <w:rPr>
          <w:rFonts w:ascii="Times New Roman" w:hAnsi="Times New Roman" w:cs="Times New Roman"/>
        </w:rPr>
        <w:t xml:space="preserve">como </w:t>
      </w:r>
      <w:r w:rsidR="00C52278" w:rsidRPr="00C52278">
        <w:rPr>
          <w:rFonts w:ascii="Times New Roman" w:hAnsi="Times New Roman" w:cs="Times New Roman"/>
        </w:rPr>
        <w:t xml:space="preserve">objetivo </w:t>
      </w:r>
      <w:r w:rsidR="00BE0C5A">
        <w:rPr>
          <w:rFonts w:ascii="Times New Roman" w:hAnsi="Times New Roman" w:cs="Times New Roman"/>
        </w:rPr>
        <w:t xml:space="preserve">general aumentar la productividad </w:t>
      </w:r>
      <w:r w:rsidR="008E524F">
        <w:rPr>
          <w:rFonts w:ascii="Times New Roman" w:hAnsi="Times New Roman" w:cs="Times New Roman"/>
        </w:rPr>
        <w:t xml:space="preserve">agropecuaria </w:t>
      </w:r>
      <w:r w:rsidR="00BE0C5A">
        <w:rPr>
          <w:rFonts w:ascii="Times New Roman" w:hAnsi="Times New Roman" w:cs="Times New Roman"/>
        </w:rPr>
        <w:t>y mejora</w:t>
      </w:r>
      <w:r w:rsidR="00922B4A">
        <w:rPr>
          <w:rFonts w:ascii="Times New Roman" w:hAnsi="Times New Roman" w:cs="Times New Roman"/>
        </w:rPr>
        <w:t>r</w:t>
      </w:r>
      <w:r w:rsidR="00BE0C5A">
        <w:rPr>
          <w:rFonts w:ascii="Times New Roman" w:hAnsi="Times New Roman" w:cs="Times New Roman"/>
        </w:rPr>
        <w:t xml:space="preserve"> el acceso de los productos haitianos a la exportación</w:t>
      </w:r>
      <w:r w:rsidR="00F15F12">
        <w:rPr>
          <w:rFonts w:ascii="Times New Roman" w:hAnsi="Times New Roman" w:cs="Times New Roman"/>
        </w:rPr>
        <w:t>.</w:t>
      </w:r>
      <w:r w:rsidR="00922B4A">
        <w:rPr>
          <w:rFonts w:ascii="Times New Roman" w:hAnsi="Times New Roman" w:cs="Times New Roman"/>
        </w:rPr>
        <w:t xml:space="preserve"> </w:t>
      </w:r>
    </w:p>
    <w:p w:rsidR="00922B4A" w:rsidRDefault="00922B4A" w:rsidP="00E74A87">
      <w:pPr>
        <w:pStyle w:val="ListParagraph"/>
        <w:jc w:val="both"/>
        <w:rPr>
          <w:rFonts w:ascii="Times New Roman" w:hAnsi="Times New Roman" w:cs="Times New Roman"/>
        </w:rPr>
      </w:pPr>
    </w:p>
    <w:p w:rsidR="00C52278" w:rsidRDefault="00922B4A" w:rsidP="00BC7CFD">
      <w:pPr>
        <w:pStyle w:val="ListParagraph"/>
        <w:numPr>
          <w:ilvl w:val="1"/>
          <w:numId w:val="15"/>
        </w:numPr>
        <w:ind w:hanging="578"/>
        <w:jc w:val="both"/>
        <w:rPr>
          <w:rFonts w:ascii="Times New Roman" w:hAnsi="Times New Roman" w:cs="Times New Roman"/>
        </w:rPr>
      </w:pPr>
      <w:r>
        <w:rPr>
          <w:rFonts w:ascii="Times New Roman" w:hAnsi="Times New Roman" w:cs="Times New Roman"/>
        </w:rPr>
        <w:t xml:space="preserve">A su vez, los objetivos específicos del Programa son fortalecer la capacidad institucional del sector público haitiano para proveer servicios de sanidad agropecuaria integrados, descentralizados y sostenibles, </w:t>
      </w:r>
      <w:r w:rsidR="008E524F">
        <w:rPr>
          <w:rFonts w:ascii="Times New Roman" w:hAnsi="Times New Roman" w:cs="Times New Roman"/>
        </w:rPr>
        <w:t>así como</w:t>
      </w:r>
      <w:r>
        <w:rPr>
          <w:rFonts w:ascii="Times New Roman" w:hAnsi="Times New Roman" w:cs="Times New Roman"/>
        </w:rPr>
        <w:t xml:space="preserve"> mejorar la sanidad zoo-fitosanitaria en el país.</w:t>
      </w:r>
    </w:p>
    <w:p w:rsidR="00A01987" w:rsidRDefault="00A01987" w:rsidP="008943F8">
      <w:pPr>
        <w:jc w:val="both"/>
        <w:rPr>
          <w:rFonts w:ascii="Times New Roman" w:hAnsi="Times New Roman" w:cs="Times New Roman"/>
        </w:rPr>
      </w:pPr>
    </w:p>
    <w:p w:rsidR="00BE0C5A" w:rsidRDefault="00BE0C5A" w:rsidP="00BC7CFD">
      <w:pPr>
        <w:pStyle w:val="ListParagraph"/>
        <w:numPr>
          <w:ilvl w:val="1"/>
          <w:numId w:val="15"/>
        </w:numPr>
        <w:ind w:hanging="578"/>
        <w:jc w:val="both"/>
        <w:rPr>
          <w:rFonts w:ascii="Times New Roman" w:hAnsi="Times New Roman" w:cs="Times New Roman"/>
        </w:rPr>
      </w:pPr>
      <w:r>
        <w:rPr>
          <w:rFonts w:ascii="Times New Roman" w:hAnsi="Times New Roman" w:cs="Times New Roman"/>
        </w:rPr>
        <w:t xml:space="preserve">Los componentes del Programa son los siguientes: (i) refuerzo institucional mediante la creación de una nueva agencia de sanidad agropecuaria y de inocuidad de los alimentos; (ii) protección de la sanidad vegetal; (iii) protección de la sanidad animal; y (iv) mejora de la capacidad de diagnóstico </w:t>
      </w:r>
      <w:r w:rsidR="00852832">
        <w:rPr>
          <w:rFonts w:ascii="Times New Roman" w:hAnsi="Times New Roman" w:cs="Times New Roman"/>
        </w:rPr>
        <w:t>mediante e</w:t>
      </w:r>
      <w:r>
        <w:rPr>
          <w:rFonts w:ascii="Times New Roman" w:hAnsi="Times New Roman" w:cs="Times New Roman"/>
        </w:rPr>
        <w:t xml:space="preserve">l refuerzo y modernización del laboratorio veterinario. </w:t>
      </w:r>
    </w:p>
    <w:p w:rsidR="00BE0C5A" w:rsidRDefault="00BE0C5A" w:rsidP="008943F8">
      <w:pPr>
        <w:jc w:val="both"/>
        <w:rPr>
          <w:rFonts w:ascii="Times New Roman" w:hAnsi="Times New Roman" w:cs="Times New Roman"/>
        </w:rPr>
      </w:pPr>
    </w:p>
    <w:p w:rsidR="00BC7CFD" w:rsidRPr="00492019" w:rsidRDefault="00BC7CFD" w:rsidP="00BC7CFD">
      <w:pPr>
        <w:pStyle w:val="ListParagraph"/>
        <w:numPr>
          <w:ilvl w:val="1"/>
          <w:numId w:val="15"/>
        </w:numPr>
        <w:ind w:hanging="578"/>
        <w:jc w:val="both"/>
        <w:rPr>
          <w:rFonts w:ascii="Times New Roman" w:hAnsi="Times New Roman" w:cs="Times New Roman"/>
        </w:rPr>
      </w:pPr>
      <w:r w:rsidRPr="00885579">
        <w:rPr>
          <w:rFonts w:ascii="Times New Roman" w:hAnsi="Times New Roman" w:cs="Times New Roman"/>
        </w:rPr>
        <w:t>El objet</w:t>
      </w:r>
      <w:r>
        <w:rPr>
          <w:rFonts w:ascii="Times New Roman" w:hAnsi="Times New Roman" w:cs="Times New Roman"/>
        </w:rPr>
        <w:t>o del análisis ha consistido en realizar un Análisis Costo-Beneficio (“ACB”) ex-ante del Programa, siendo l</w:t>
      </w:r>
      <w:r w:rsidRPr="00885579">
        <w:rPr>
          <w:rFonts w:ascii="Times New Roman" w:hAnsi="Times New Roman" w:cs="Times New Roman"/>
        </w:rPr>
        <w:t>os objetivos de la evaluación los siguientes</w:t>
      </w:r>
      <w:r w:rsidRPr="00492019">
        <w:rPr>
          <w:rFonts w:ascii="Times New Roman" w:hAnsi="Times New Roman" w:cs="Times New Roman"/>
        </w:rPr>
        <w:t>:</w:t>
      </w:r>
    </w:p>
    <w:p w:rsidR="00BC7CFD" w:rsidRDefault="00BC7CFD" w:rsidP="00BC7CFD">
      <w:pPr>
        <w:jc w:val="both"/>
        <w:rPr>
          <w:b/>
        </w:rPr>
      </w:pPr>
    </w:p>
    <w:p w:rsidR="00BC7CFD"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Proponer una metodología adecuada par</w:t>
      </w:r>
      <w:r>
        <w:rPr>
          <w:rFonts w:ascii="Times New Roman" w:eastAsia="Times New Roman" w:hAnsi="Times New Roman" w:cs="Times New Roman"/>
          <w:kern w:val="0"/>
          <w:sz w:val="22"/>
          <w:szCs w:val="22"/>
          <w:lang w:val="es-ES_tradnl" w:eastAsia="en-US" w:bidi="ar-SA"/>
        </w:rPr>
        <w:t>a el ACB.</w:t>
      </w:r>
    </w:p>
    <w:p w:rsidR="00BC7CFD" w:rsidRPr="00DE79B3"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Configurar un perímetro de análisis que sintetice los efectos económicos del Programa y que permita su </w:t>
      </w:r>
      <w:r w:rsidR="00852832">
        <w:rPr>
          <w:rFonts w:ascii="Times New Roman" w:eastAsia="Times New Roman" w:hAnsi="Times New Roman" w:cs="Times New Roman"/>
          <w:kern w:val="0"/>
          <w:sz w:val="22"/>
          <w:szCs w:val="22"/>
          <w:lang w:val="es-ES_tradnl" w:eastAsia="en-US" w:bidi="ar-SA"/>
        </w:rPr>
        <w:t>evaluación y análisis económico razonable.</w:t>
      </w:r>
    </w:p>
    <w:p w:rsidR="00B72327" w:rsidRPr="00DE79B3" w:rsidRDefault="00B72327" w:rsidP="00B72327">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Exponer todos los supuestos usados para llevar a cabo</w:t>
      </w:r>
      <w:r>
        <w:rPr>
          <w:rFonts w:ascii="Times New Roman" w:eastAsia="Times New Roman" w:hAnsi="Times New Roman" w:cs="Times New Roman"/>
          <w:kern w:val="0"/>
          <w:sz w:val="22"/>
          <w:szCs w:val="22"/>
          <w:lang w:val="es-ES_tradnl" w:eastAsia="en-US" w:bidi="ar-SA"/>
        </w:rPr>
        <w:t xml:space="preserve"> el ACB.</w:t>
      </w:r>
    </w:p>
    <w:p w:rsidR="00BC7CFD" w:rsidRPr="00DE79B3"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 xml:space="preserve">Identificar y cuantificar los beneficios </w:t>
      </w:r>
      <w:r w:rsidR="00325BE0">
        <w:rPr>
          <w:rFonts w:ascii="Times New Roman" w:eastAsia="Times New Roman" w:hAnsi="Times New Roman" w:cs="Times New Roman"/>
          <w:kern w:val="0"/>
          <w:sz w:val="22"/>
          <w:szCs w:val="22"/>
          <w:lang w:val="es-ES_tradnl" w:eastAsia="en-US" w:bidi="ar-SA"/>
        </w:rPr>
        <w:t>en relación causal con</w:t>
      </w:r>
      <w:r>
        <w:rPr>
          <w:rFonts w:ascii="Times New Roman" w:eastAsia="Times New Roman" w:hAnsi="Times New Roman" w:cs="Times New Roman"/>
          <w:kern w:val="0"/>
          <w:sz w:val="22"/>
          <w:szCs w:val="22"/>
          <w:lang w:val="es-ES_tradnl" w:eastAsia="en-US" w:bidi="ar-SA"/>
        </w:rPr>
        <w:t xml:space="preserve"> la implementación del Programa.</w:t>
      </w:r>
    </w:p>
    <w:p w:rsidR="00BC7CFD" w:rsidRPr="00DE79B3"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Estimar los costos reales de</w:t>
      </w:r>
      <w:r>
        <w:rPr>
          <w:rFonts w:ascii="Times New Roman" w:eastAsia="Times New Roman" w:hAnsi="Times New Roman" w:cs="Times New Roman"/>
          <w:kern w:val="0"/>
          <w:sz w:val="22"/>
          <w:szCs w:val="22"/>
          <w:lang w:val="es-ES_tradnl" w:eastAsia="en-US" w:bidi="ar-SA"/>
        </w:rPr>
        <w:t xml:space="preserve"> los</w:t>
      </w:r>
      <w:r w:rsidRPr="008D0E28">
        <w:rPr>
          <w:rFonts w:ascii="Times New Roman" w:eastAsia="Times New Roman" w:hAnsi="Times New Roman" w:cs="Times New Roman"/>
          <w:kern w:val="0"/>
          <w:sz w:val="22"/>
          <w:szCs w:val="22"/>
          <w:lang w:val="es-ES_tradnl" w:eastAsia="en-US" w:bidi="ar-SA"/>
        </w:rPr>
        <w:t xml:space="preserve"> recursos (inversión, administrativos, operacionales gestión, etc.) generados por el </w:t>
      </w:r>
      <w:r>
        <w:rPr>
          <w:rFonts w:ascii="Times New Roman" w:eastAsia="Times New Roman" w:hAnsi="Times New Roman" w:cs="Times New Roman"/>
          <w:kern w:val="0"/>
          <w:sz w:val="22"/>
          <w:szCs w:val="22"/>
          <w:lang w:val="es-ES_tradnl" w:eastAsia="en-US" w:bidi="ar-SA"/>
        </w:rPr>
        <w:t>Programa</w:t>
      </w:r>
      <w:r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durante el período de análisis.</w:t>
      </w:r>
      <w:r w:rsidRPr="008D0E28">
        <w:rPr>
          <w:rFonts w:ascii="Times New Roman" w:eastAsia="Times New Roman" w:hAnsi="Times New Roman" w:cs="Times New Roman"/>
          <w:kern w:val="0"/>
          <w:sz w:val="22"/>
          <w:szCs w:val="22"/>
          <w:lang w:val="es-ES_tradnl" w:eastAsia="en-US" w:bidi="ar-SA"/>
        </w:rPr>
        <w:t xml:space="preserve"> </w:t>
      </w:r>
    </w:p>
    <w:p w:rsidR="00BC7CFD" w:rsidRPr="00DE79B3"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sidRPr="008D0E28">
        <w:rPr>
          <w:rFonts w:ascii="Times New Roman" w:eastAsia="Times New Roman" w:hAnsi="Times New Roman" w:cs="Times New Roman"/>
          <w:kern w:val="0"/>
          <w:sz w:val="22"/>
          <w:szCs w:val="22"/>
          <w:lang w:val="es-ES_tradnl" w:eastAsia="en-US" w:bidi="ar-SA"/>
        </w:rPr>
        <w:t xml:space="preserve">Calcular el valor </w:t>
      </w:r>
      <w:r>
        <w:rPr>
          <w:rFonts w:ascii="Times New Roman" w:eastAsia="Times New Roman" w:hAnsi="Times New Roman" w:cs="Times New Roman"/>
          <w:kern w:val="0"/>
          <w:sz w:val="22"/>
          <w:szCs w:val="22"/>
          <w:lang w:val="es-ES_tradnl" w:eastAsia="en-US" w:bidi="ar-SA"/>
        </w:rPr>
        <w:t xml:space="preserve">actual </w:t>
      </w:r>
      <w:r w:rsidRPr="008D0E28">
        <w:rPr>
          <w:rFonts w:ascii="Times New Roman" w:eastAsia="Times New Roman" w:hAnsi="Times New Roman" w:cs="Times New Roman"/>
          <w:kern w:val="0"/>
          <w:sz w:val="22"/>
          <w:szCs w:val="22"/>
          <w:lang w:val="es-ES_tradnl" w:eastAsia="en-US" w:bidi="ar-SA"/>
        </w:rPr>
        <w:t>neto (</w:t>
      </w:r>
      <w:r>
        <w:rPr>
          <w:rFonts w:ascii="Times New Roman" w:eastAsia="Times New Roman" w:hAnsi="Times New Roman" w:cs="Times New Roman"/>
          <w:kern w:val="0"/>
          <w:sz w:val="22"/>
          <w:szCs w:val="22"/>
          <w:lang w:val="es-ES_tradnl" w:eastAsia="en-US" w:bidi="ar-SA"/>
        </w:rPr>
        <w:t>“VAN”</w:t>
      </w:r>
      <w:r w:rsidRPr="008D0E28">
        <w:rPr>
          <w:rFonts w:ascii="Times New Roman" w:eastAsia="Times New Roman" w:hAnsi="Times New Roman" w:cs="Times New Roman"/>
          <w:kern w:val="0"/>
          <w:sz w:val="22"/>
          <w:szCs w:val="22"/>
          <w:lang w:val="es-ES_tradnl" w:eastAsia="en-US" w:bidi="ar-SA"/>
        </w:rPr>
        <w:t xml:space="preserve">) del </w:t>
      </w:r>
      <w:r>
        <w:rPr>
          <w:rFonts w:ascii="Times New Roman" w:eastAsia="Times New Roman" w:hAnsi="Times New Roman" w:cs="Times New Roman"/>
          <w:kern w:val="0"/>
          <w:sz w:val="22"/>
          <w:szCs w:val="22"/>
          <w:lang w:val="es-ES_tradnl" w:eastAsia="en-US" w:bidi="ar-SA"/>
        </w:rPr>
        <w:t>P</w:t>
      </w:r>
      <w:r w:rsidRPr="008D0E28">
        <w:rPr>
          <w:rFonts w:ascii="Times New Roman" w:eastAsia="Times New Roman" w:hAnsi="Times New Roman" w:cs="Times New Roman"/>
          <w:kern w:val="0"/>
          <w:sz w:val="22"/>
          <w:szCs w:val="22"/>
          <w:lang w:val="es-ES_tradnl" w:eastAsia="en-US" w:bidi="ar-SA"/>
        </w:rPr>
        <w:t>rogra</w:t>
      </w:r>
      <w:r>
        <w:rPr>
          <w:rFonts w:ascii="Times New Roman" w:eastAsia="Times New Roman" w:hAnsi="Times New Roman" w:cs="Times New Roman"/>
          <w:kern w:val="0"/>
          <w:sz w:val="22"/>
          <w:szCs w:val="22"/>
          <w:lang w:val="es-ES_tradnl" w:eastAsia="en-US" w:bidi="ar-SA"/>
        </w:rPr>
        <w:t>ma usando una tasa de descuento</w:t>
      </w:r>
      <w:r w:rsidRPr="008D0E28">
        <w:rPr>
          <w:rFonts w:ascii="Times New Roman" w:eastAsia="Times New Roman" w:hAnsi="Times New Roman" w:cs="Times New Roman"/>
          <w:kern w:val="0"/>
          <w:sz w:val="22"/>
          <w:szCs w:val="22"/>
          <w:lang w:val="es-ES_tradnl" w:eastAsia="en-US" w:bidi="ar-SA"/>
        </w:rPr>
        <w:t xml:space="preserve"> del 12%, así como </w:t>
      </w:r>
      <w:r w:rsidR="00B72327">
        <w:rPr>
          <w:rFonts w:ascii="Times New Roman" w:eastAsia="Times New Roman" w:hAnsi="Times New Roman" w:cs="Times New Roman"/>
          <w:kern w:val="0"/>
          <w:sz w:val="22"/>
          <w:szCs w:val="22"/>
          <w:lang w:val="es-ES_tradnl" w:eastAsia="en-US" w:bidi="ar-SA"/>
        </w:rPr>
        <w:t>su</w:t>
      </w:r>
      <w:r w:rsidR="00B72327"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T</w:t>
      </w:r>
      <w:r w:rsidRPr="008D0E28">
        <w:rPr>
          <w:rFonts w:ascii="Times New Roman" w:eastAsia="Times New Roman" w:hAnsi="Times New Roman" w:cs="Times New Roman"/>
          <w:kern w:val="0"/>
          <w:sz w:val="22"/>
          <w:szCs w:val="22"/>
          <w:lang w:val="es-ES_tradnl" w:eastAsia="en-US" w:bidi="ar-SA"/>
        </w:rPr>
        <w:t xml:space="preserve">asa de </w:t>
      </w:r>
      <w:r>
        <w:rPr>
          <w:rFonts w:ascii="Times New Roman" w:eastAsia="Times New Roman" w:hAnsi="Times New Roman" w:cs="Times New Roman"/>
          <w:kern w:val="0"/>
          <w:sz w:val="22"/>
          <w:szCs w:val="22"/>
          <w:lang w:val="es-ES_tradnl" w:eastAsia="en-US" w:bidi="ar-SA"/>
        </w:rPr>
        <w:t>Interna</w:t>
      </w:r>
      <w:r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de R</w:t>
      </w:r>
      <w:r w:rsidRPr="008D0E28">
        <w:rPr>
          <w:rFonts w:ascii="Times New Roman" w:eastAsia="Times New Roman" w:hAnsi="Times New Roman" w:cs="Times New Roman"/>
          <w:kern w:val="0"/>
          <w:sz w:val="22"/>
          <w:szCs w:val="22"/>
          <w:lang w:val="es-ES_tradnl" w:eastAsia="en-US" w:bidi="ar-SA"/>
        </w:rPr>
        <w:t xml:space="preserve">etorno </w:t>
      </w:r>
      <w:r>
        <w:rPr>
          <w:rFonts w:ascii="Times New Roman" w:eastAsia="Times New Roman" w:hAnsi="Times New Roman" w:cs="Times New Roman"/>
          <w:kern w:val="0"/>
          <w:sz w:val="22"/>
          <w:szCs w:val="22"/>
          <w:lang w:val="es-ES_tradnl" w:eastAsia="en-US" w:bidi="ar-SA"/>
        </w:rPr>
        <w:t>(“TIR”).</w:t>
      </w:r>
    </w:p>
    <w:p w:rsidR="00BC7CFD" w:rsidRDefault="00BC7CFD" w:rsidP="00BC7CFD">
      <w:pPr>
        <w:pStyle w:val="Standard"/>
        <w:numPr>
          <w:ilvl w:val="0"/>
          <w:numId w:val="16"/>
        </w:numPr>
        <w:ind w:left="1080"/>
        <w:jc w:val="both"/>
        <w:rPr>
          <w:rFonts w:ascii="Times New Roman" w:eastAsia="Times New Roman" w:hAnsi="Times New Roman" w:cs="Times New Roman"/>
          <w:kern w:val="0"/>
          <w:sz w:val="22"/>
          <w:szCs w:val="22"/>
          <w:lang w:val="es-ES_tradnl" w:eastAsia="en-US" w:bidi="ar-SA"/>
        </w:rPr>
      </w:pPr>
      <w:r>
        <w:rPr>
          <w:rFonts w:ascii="Times New Roman" w:eastAsia="Times New Roman" w:hAnsi="Times New Roman" w:cs="Times New Roman"/>
          <w:kern w:val="0"/>
          <w:sz w:val="22"/>
          <w:szCs w:val="22"/>
          <w:lang w:val="es-ES_tradnl" w:eastAsia="en-US" w:bidi="ar-SA"/>
        </w:rPr>
        <w:t xml:space="preserve">Realizar </w:t>
      </w:r>
      <w:r w:rsidRPr="008D0E28">
        <w:rPr>
          <w:rFonts w:ascii="Times New Roman" w:eastAsia="Times New Roman" w:hAnsi="Times New Roman" w:cs="Times New Roman"/>
          <w:kern w:val="0"/>
          <w:sz w:val="22"/>
          <w:szCs w:val="22"/>
          <w:lang w:val="es-ES_tradnl" w:eastAsia="en-US" w:bidi="ar-SA"/>
        </w:rPr>
        <w:t xml:space="preserve">un análisis de sensibilidad </w:t>
      </w:r>
      <w:r>
        <w:rPr>
          <w:rFonts w:ascii="Times New Roman" w:eastAsia="Times New Roman" w:hAnsi="Times New Roman" w:cs="Times New Roman"/>
          <w:kern w:val="0"/>
          <w:sz w:val="22"/>
          <w:szCs w:val="22"/>
          <w:lang w:val="es-ES_tradnl" w:eastAsia="en-US" w:bidi="ar-SA"/>
        </w:rPr>
        <w:t xml:space="preserve">de </w:t>
      </w:r>
      <w:r w:rsidR="002902C7">
        <w:rPr>
          <w:rFonts w:ascii="Times New Roman" w:eastAsia="Times New Roman" w:hAnsi="Times New Roman" w:cs="Times New Roman"/>
          <w:kern w:val="0"/>
          <w:sz w:val="22"/>
          <w:szCs w:val="22"/>
          <w:lang w:val="es-ES_tradnl" w:eastAsia="en-US" w:bidi="ar-SA"/>
        </w:rPr>
        <w:t>los resultados de</w:t>
      </w:r>
      <w:r>
        <w:rPr>
          <w:rFonts w:ascii="Times New Roman" w:eastAsia="Times New Roman" w:hAnsi="Times New Roman" w:cs="Times New Roman"/>
          <w:kern w:val="0"/>
          <w:sz w:val="22"/>
          <w:szCs w:val="22"/>
          <w:lang w:val="es-ES_tradnl" w:eastAsia="en-US" w:bidi="ar-SA"/>
        </w:rPr>
        <w:t xml:space="preserve"> rentabilidad económica ante cambios en las variables</w:t>
      </w:r>
      <w:r w:rsidRPr="008D0E28">
        <w:rPr>
          <w:rFonts w:ascii="Times New Roman" w:eastAsia="Times New Roman" w:hAnsi="Times New Roman" w:cs="Times New Roman"/>
          <w:kern w:val="0"/>
          <w:sz w:val="22"/>
          <w:szCs w:val="22"/>
          <w:lang w:val="es-ES_tradnl" w:eastAsia="en-US" w:bidi="ar-SA"/>
        </w:rPr>
        <w:t xml:space="preserve"> </w:t>
      </w:r>
      <w:r>
        <w:rPr>
          <w:rFonts w:ascii="Times New Roman" w:eastAsia="Times New Roman" w:hAnsi="Times New Roman" w:cs="Times New Roman"/>
          <w:kern w:val="0"/>
          <w:sz w:val="22"/>
          <w:szCs w:val="22"/>
          <w:lang w:val="es-ES_tradnl" w:eastAsia="en-US" w:bidi="ar-SA"/>
        </w:rPr>
        <w:t>críticas</w:t>
      </w:r>
      <w:r w:rsidRPr="008D0E28">
        <w:rPr>
          <w:rFonts w:ascii="Times New Roman" w:eastAsia="Times New Roman" w:hAnsi="Times New Roman" w:cs="Times New Roman"/>
          <w:kern w:val="0"/>
          <w:sz w:val="22"/>
          <w:szCs w:val="22"/>
          <w:lang w:val="es-ES_tradnl" w:eastAsia="en-US" w:bidi="ar-SA"/>
        </w:rPr>
        <w:t xml:space="preserve"> del </w:t>
      </w:r>
      <w:r>
        <w:rPr>
          <w:rFonts w:ascii="Times New Roman" w:eastAsia="Times New Roman" w:hAnsi="Times New Roman" w:cs="Times New Roman"/>
          <w:kern w:val="0"/>
          <w:sz w:val="22"/>
          <w:szCs w:val="22"/>
          <w:lang w:val="es-ES_tradnl" w:eastAsia="en-US" w:bidi="ar-SA"/>
        </w:rPr>
        <w:t>Programa</w:t>
      </w:r>
      <w:r w:rsidRPr="008D0E28">
        <w:rPr>
          <w:rFonts w:ascii="Times New Roman" w:eastAsia="Times New Roman" w:hAnsi="Times New Roman" w:cs="Times New Roman"/>
          <w:kern w:val="0"/>
          <w:sz w:val="22"/>
          <w:szCs w:val="22"/>
          <w:lang w:val="es-ES_tradnl" w:eastAsia="en-US" w:bidi="ar-SA"/>
        </w:rPr>
        <w:t>.</w:t>
      </w:r>
    </w:p>
    <w:p w:rsidR="008943F8" w:rsidRPr="00BC7CFD" w:rsidRDefault="008943F8" w:rsidP="008943F8">
      <w:pPr>
        <w:jc w:val="both"/>
        <w:rPr>
          <w:rFonts w:ascii="Times New Roman" w:hAnsi="Times New Roman" w:cs="Times New Roman"/>
          <w:lang w:val="es-ES_tradnl"/>
        </w:rPr>
      </w:pPr>
    </w:p>
    <w:p w:rsidR="008C4733" w:rsidRDefault="008C4733" w:rsidP="00BE6C84">
      <w:pPr>
        <w:jc w:val="both"/>
        <w:rPr>
          <w:rFonts w:ascii="Times New Roman" w:eastAsia="Times New Roman" w:hAnsi="Times New Roman" w:cs="Times New Roman"/>
          <w:i/>
          <w:szCs w:val="20"/>
        </w:rPr>
      </w:pPr>
    </w:p>
    <w:p w:rsidR="00BE6C84" w:rsidRPr="004639E8" w:rsidRDefault="00E8596B" w:rsidP="004639E8">
      <w:pPr>
        <w:pStyle w:val="Heading2"/>
        <w:spacing w:before="0" w:line="240" w:lineRule="auto"/>
        <w:jc w:val="both"/>
        <w:rPr>
          <w:rFonts w:ascii="Times New Roman" w:hAnsi="Times New Roman" w:cs="Times New Roman"/>
          <w:b w:val="0"/>
          <w:i/>
        </w:rPr>
      </w:pPr>
      <w:bookmarkStart w:id="4" w:name="_Toc386887936"/>
      <w:r>
        <w:rPr>
          <w:rFonts w:ascii="Times New Roman" w:hAnsi="Times New Roman" w:cs="Times New Roman"/>
          <w:i/>
          <w:color w:val="auto"/>
          <w:sz w:val="22"/>
        </w:rPr>
        <w:t xml:space="preserve">Situación actual </w:t>
      </w:r>
      <w:r w:rsidR="00BC7CFD" w:rsidRPr="004639E8">
        <w:rPr>
          <w:rFonts w:ascii="Times New Roman" w:hAnsi="Times New Roman" w:cs="Times New Roman"/>
          <w:i/>
          <w:color w:val="auto"/>
          <w:sz w:val="22"/>
        </w:rPr>
        <w:t>de la sanidad agropecuaria en Haití</w:t>
      </w:r>
      <w:bookmarkEnd w:id="4"/>
    </w:p>
    <w:p w:rsidR="00BE6C84" w:rsidRDefault="00BE6C84" w:rsidP="00BE6C84">
      <w:pPr>
        <w:jc w:val="both"/>
        <w:rPr>
          <w:rFonts w:ascii="Times New Roman" w:eastAsia="Times New Roman" w:hAnsi="Times New Roman" w:cs="Times New Roman"/>
          <w:i/>
          <w:szCs w:val="20"/>
        </w:rPr>
      </w:pPr>
    </w:p>
    <w:p w:rsidR="006867AE" w:rsidRDefault="00BC7CFD" w:rsidP="00BC7CFD">
      <w:pPr>
        <w:pStyle w:val="ListParagraph"/>
        <w:numPr>
          <w:ilvl w:val="1"/>
          <w:numId w:val="15"/>
        </w:numPr>
        <w:ind w:hanging="578"/>
        <w:jc w:val="both"/>
        <w:rPr>
          <w:rFonts w:ascii="Times New Roman" w:hAnsi="Times New Roman" w:cs="Times New Roman"/>
        </w:rPr>
      </w:pPr>
      <w:r>
        <w:rPr>
          <w:rFonts w:ascii="Times New Roman" w:hAnsi="Times New Roman" w:cs="Times New Roman"/>
        </w:rPr>
        <w:t>E</w:t>
      </w:r>
      <w:r w:rsidR="00BE0C5A" w:rsidRPr="00BE0C5A">
        <w:rPr>
          <w:rFonts w:ascii="Times New Roman" w:hAnsi="Times New Roman" w:cs="Times New Roman"/>
        </w:rPr>
        <w:t>xiste actualmente un</w:t>
      </w:r>
      <w:r w:rsidR="00D57882">
        <w:rPr>
          <w:rFonts w:ascii="Times New Roman" w:hAnsi="Times New Roman" w:cs="Times New Roman"/>
        </w:rPr>
        <w:t xml:space="preserve"> grado significativo de</w:t>
      </w:r>
      <w:r w:rsidR="00E8596B" w:rsidRPr="00BE0C5A">
        <w:rPr>
          <w:rFonts w:ascii="Times New Roman" w:hAnsi="Times New Roman" w:cs="Times New Roman"/>
        </w:rPr>
        <w:t xml:space="preserve"> </w:t>
      </w:r>
      <w:r w:rsidR="00BE0C5A" w:rsidRPr="00BE0C5A">
        <w:rPr>
          <w:rFonts w:ascii="Times New Roman" w:hAnsi="Times New Roman" w:cs="Times New Roman"/>
        </w:rPr>
        <w:t xml:space="preserve">dependencia financiera del sistema de sanidad agropecuaria con respecto a fondos </w:t>
      </w:r>
      <w:r w:rsidR="00BE0C5A">
        <w:rPr>
          <w:rFonts w:ascii="Times New Roman" w:hAnsi="Times New Roman" w:cs="Times New Roman"/>
        </w:rPr>
        <w:t xml:space="preserve">de ayuda </w:t>
      </w:r>
      <w:r w:rsidR="00852832">
        <w:rPr>
          <w:rFonts w:ascii="Times New Roman" w:hAnsi="Times New Roman" w:cs="Times New Roman"/>
        </w:rPr>
        <w:t xml:space="preserve">exterior, </w:t>
      </w:r>
      <w:r w:rsidR="00BE0C5A" w:rsidRPr="00BE0C5A">
        <w:rPr>
          <w:rFonts w:ascii="Times New Roman" w:hAnsi="Times New Roman" w:cs="Times New Roman"/>
        </w:rPr>
        <w:t xml:space="preserve">ajenos al presupuesto del Estado, lo que vuelve irregular </w:t>
      </w:r>
      <w:r w:rsidR="00BE0C5A">
        <w:rPr>
          <w:rFonts w:ascii="Times New Roman" w:hAnsi="Times New Roman" w:cs="Times New Roman"/>
        </w:rPr>
        <w:t xml:space="preserve">la ejecución de </w:t>
      </w:r>
      <w:r w:rsidR="00BE0C5A" w:rsidRPr="00BE0C5A">
        <w:rPr>
          <w:rFonts w:ascii="Times New Roman" w:hAnsi="Times New Roman" w:cs="Times New Roman"/>
        </w:rPr>
        <w:t>las acciones que se llevan a cabo y</w:t>
      </w:r>
      <w:r w:rsidR="00BE0C5A">
        <w:rPr>
          <w:rFonts w:ascii="Times New Roman" w:hAnsi="Times New Roman" w:cs="Times New Roman"/>
        </w:rPr>
        <w:t xml:space="preserve">, más en general, </w:t>
      </w:r>
      <w:r w:rsidR="00852832">
        <w:rPr>
          <w:rFonts w:ascii="Times New Roman" w:hAnsi="Times New Roman" w:cs="Times New Roman"/>
        </w:rPr>
        <w:t>conviert</w:t>
      </w:r>
      <w:r w:rsidR="00BE0C5A">
        <w:rPr>
          <w:rFonts w:ascii="Times New Roman" w:hAnsi="Times New Roman" w:cs="Times New Roman"/>
        </w:rPr>
        <w:t xml:space="preserve">e </w:t>
      </w:r>
      <w:r w:rsidR="00BE0C5A" w:rsidRPr="00BE0C5A">
        <w:rPr>
          <w:rFonts w:ascii="Times New Roman" w:hAnsi="Times New Roman" w:cs="Times New Roman"/>
        </w:rPr>
        <w:t>el sistema</w:t>
      </w:r>
      <w:r w:rsidR="00BE0C5A">
        <w:rPr>
          <w:rFonts w:ascii="Times New Roman" w:hAnsi="Times New Roman" w:cs="Times New Roman"/>
        </w:rPr>
        <w:t xml:space="preserve"> de prestación de </w:t>
      </w:r>
      <w:r w:rsidR="00457B42">
        <w:rPr>
          <w:rFonts w:ascii="Times New Roman" w:hAnsi="Times New Roman" w:cs="Times New Roman"/>
        </w:rPr>
        <w:t>l</w:t>
      </w:r>
      <w:r w:rsidR="00BE0C5A">
        <w:rPr>
          <w:rFonts w:ascii="Times New Roman" w:hAnsi="Times New Roman" w:cs="Times New Roman"/>
        </w:rPr>
        <w:t>os servicios</w:t>
      </w:r>
      <w:r w:rsidR="00BE0C5A" w:rsidRPr="00BE0C5A">
        <w:rPr>
          <w:rFonts w:ascii="Times New Roman" w:hAnsi="Times New Roman" w:cs="Times New Roman"/>
        </w:rPr>
        <w:t xml:space="preserve"> </w:t>
      </w:r>
      <w:r w:rsidR="00457B42">
        <w:rPr>
          <w:rFonts w:ascii="Times New Roman" w:hAnsi="Times New Roman" w:cs="Times New Roman"/>
        </w:rPr>
        <w:t xml:space="preserve">públicos </w:t>
      </w:r>
      <w:r w:rsidR="00BE0C5A">
        <w:rPr>
          <w:rFonts w:ascii="Times New Roman" w:hAnsi="Times New Roman" w:cs="Times New Roman"/>
        </w:rPr>
        <w:t xml:space="preserve">de sanidad </w:t>
      </w:r>
      <w:r w:rsidR="00457B42">
        <w:rPr>
          <w:rFonts w:ascii="Times New Roman" w:hAnsi="Times New Roman" w:cs="Times New Roman"/>
        </w:rPr>
        <w:t xml:space="preserve">zoo-fitosanitaria </w:t>
      </w:r>
      <w:r w:rsidR="00BE0C5A">
        <w:rPr>
          <w:rFonts w:ascii="Times New Roman" w:hAnsi="Times New Roman" w:cs="Times New Roman"/>
        </w:rPr>
        <w:t xml:space="preserve">en </w:t>
      </w:r>
      <w:r w:rsidR="00852832">
        <w:rPr>
          <w:rFonts w:ascii="Times New Roman" w:hAnsi="Times New Roman" w:cs="Times New Roman"/>
        </w:rPr>
        <w:t>in</w:t>
      </w:r>
      <w:r w:rsidR="00BE0C5A" w:rsidRPr="00BE0C5A">
        <w:rPr>
          <w:rFonts w:ascii="Times New Roman" w:hAnsi="Times New Roman" w:cs="Times New Roman"/>
        </w:rPr>
        <w:t>soste</w:t>
      </w:r>
      <w:r w:rsidR="00852832">
        <w:rPr>
          <w:rFonts w:ascii="Times New Roman" w:hAnsi="Times New Roman" w:cs="Times New Roman"/>
        </w:rPr>
        <w:t>nible en el medio y largo plazo desde un punto de vista operativo y presupuestario.</w:t>
      </w:r>
    </w:p>
    <w:p w:rsidR="006867AE" w:rsidRDefault="006867AE" w:rsidP="00E74A87">
      <w:pPr>
        <w:pStyle w:val="ListParagraph"/>
        <w:jc w:val="both"/>
        <w:rPr>
          <w:rFonts w:ascii="Times New Roman" w:hAnsi="Times New Roman" w:cs="Times New Roman"/>
        </w:rPr>
      </w:pPr>
    </w:p>
    <w:p w:rsidR="00BE0C5A" w:rsidRPr="00BE0C5A" w:rsidRDefault="006867AE" w:rsidP="00BC7CFD">
      <w:pPr>
        <w:pStyle w:val="ListParagraph"/>
        <w:numPr>
          <w:ilvl w:val="1"/>
          <w:numId w:val="15"/>
        </w:numPr>
        <w:ind w:hanging="578"/>
        <w:jc w:val="both"/>
        <w:rPr>
          <w:rFonts w:ascii="Times New Roman" w:hAnsi="Times New Roman" w:cs="Times New Roman"/>
        </w:rPr>
      </w:pPr>
      <w:r>
        <w:rPr>
          <w:rFonts w:ascii="Times New Roman" w:hAnsi="Times New Roman" w:cs="Times New Roman"/>
        </w:rPr>
        <w:t>De esta situación se derivan problemáticas como</w:t>
      </w:r>
      <w:r w:rsidR="00385D6B">
        <w:rPr>
          <w:rFonts w:ascii="Times New Roman" w:hAnsi="Times New Roman" w:cs="Times New Roman"/>
        </w:rPr>
        <w:t>, entre otras,</w:t>
      </w:r>
      <w:r>
        <w:rPr>
          <w:rFonts w:ascii="Times New Roman" w:hAnsi="Times New Roman" w:cs="Times New Roman"/>
        </w:rPr>
        <w:t xml:space="preserve"> las rupturas de stock de vacunas para mantener controladas las tasa de prevalencia las enfermedades animales, </w:t>
      </w:r>
      <w:r w:rsidR="00385D6B">
        <w:rPr>
          <w:rFonts w:ascii="Times New Roman" w:hAnsi="Times New Roman" w:cs="Times New Roman"/>
        </w:rPr>
        <w:t xml:space="preserve">la </w:t>
      </w:r>
      <w:r>
        <w:rPr>
          <w:rFonts w:ascii="Times New Roman" w:hAnsi="Times New Roman" w:cs="Times New Roman"/>
        </w:rPr>
        <w:t>inc</w:t>
      </w:r>
      <w:r w:rsidR="00385D6B">
        <w:rPr>
          <w:rFonts w:ascii="Times New Roman" w:hAnsi="Times New Roman" w:cs="Times New Roman"/>
        </w:rPr>
        <w:t>apacidad presupuestaria de responder sin ayuda del exterior</w:t>
      </w:r>
      <w:r>
        <w:rPr>
          <w:rFonts w:ascii="Times New Roman" w:hAnsi="Times New Roman" w:cs="Times New Roman"/>
        </w:rPr>
        <w:t xml:space="preserve"> a contingencias o urgencias relacionadas con la salud zoo-fitosanitaria, la falta de </w:t>
      </w:r>
      <w:r w:rsidR="00385D6B">
        <w:rPr>
          <w:rFonts w:ascii="Times New Roman" w:hAnsi="Times New Roman" w:cs="Times New Roman"/>
        </w:rPr>
        <w:t xml:space="preserve">recursos institucionales, humanos y técnicos </w:t>
      </w:r>
      <w:r>
        <w:rPr>
          <w:rFonts w:ascii="Times New Roman" w:hAnsi="Times New Roman" w:cs="Times New Roman"/>
        </w:rPr>
        <w:t>par</w:t>
      </w:r>
      <w:r w:rsidR="00385D6B">
        <w:rPr>
          <w:rFonts w:ascii="Times New Roman" w:hAnsi="Times New Roman" w:cs="Times New Roman"/>
        </w:rPr>
        <w:t>a realizar tareas de vigilancia,</w:t>
      </w:r>
      <w:r>
        <w:rPr>
          <w:rFonts w:ascii="Times New Roman" w:hAnsi="Times New Roman" w:cs="Times New Roman"/>
        </w:rPr>
        <w:t xml:space="preserve"> gestión de riesgos y de laboratorio</w:t>
      </w:r>
      <w:r w:rsidR="00D57882">
        <w:rPr>
          <w:rFonts w:ascii="Times New Roman" w:hAnsi="Times New Roman" w:cs="Times New Roman"/>
        </w:rPr>
        <w:t xml:space="preserve"> </w:t>
      </w:r>
      <w:r w:rsidR="00385D6B">
        <w:rPr>
          <w:rFonts w:ascii="Times New Roman" w:hAnsi="Times New Roman" w:cs="Times New Roman"/>
        </w:rPr>
        <w:t>que permitan anticipar y hacer un seguimiento de las necesidades y actuaciones realizadas al respecto.</w:t>
      </w:r>
    </w:p>
    <w:p w:rsidR="00BE0C5A" w:rsidRDefault="00BE0C5A" w:rsidP="00744CD0">
      <w:pPr>
        <w:jc w:val="both"/>
        <w:rPr>
          <w:rFonts w:ascii="Times New Roman" w:hAnsi="Times New Roman" w:cs="Times New Roman"/>
        </w:rPr>
      </w:pPr>
    </w:p>
    <w:p w:rsidR="001331D8" w:rsidRDefault="00CD213E" w:rsidP="00C8240C">
      <w:pPr>
        <w:pStyle w:val="ListParagraph"/>
        <w:numPr>
          <w:ilvl w:val="1"/>
          <w:numId w:val="15"/>
        </w:numPr>
        <w:ind w:hanging="578"/>
        <w:jc w:val="both"/>
        <w:rPr>
          <w:rFonts w:ascii="Times New Roman" w:hAnsi="Times New Roman" w:cs="Times New Roman"/>
        </w:rPr>
      </w:pPr>
      <w:r>
        <w:rPr>
          <w:rFonts w:ascii="Times New Roman" w:hAnsi="Times New Roman" w:cs="Times New Roman"/>
        </w:rPr>
        <w:t xml:space="preserve">Uno de los </w:t>
      </w:r>
      <w:r w:rsidR="006F6EF9">
        <w:rPr>
          <w:rFonts w:ascii="Times New Roman" w:hAnsi="Times New Roman" w:cs="Times New Roman"/>
        </w:rPr>
        <w:t>principal</w:t>
      </w:r>
      <w:r>
        <w:rPr>
          <w:rFonts w:ascii="Times New Roman" w:hAnsi="Times New Roman" w:cs="Times New Roman"/>
        </w:rPr>
        <w:t>es</w:t>
      </w:r>
      <w:r w:rsidR="006F6EF9">
        <w:rPr>
          <w:rFonts w:ascii="Times New Roman" w:hAnsi="Times New Roman" w:cs="Times New Roman"/>
        </w:rPr>
        <w:t xml:space="preserve"> </w:t>
      </w:r>
      <w:r w:rsidR="00BC7CFD">
        <w:rPr>
          <w:rFonts w:ascii="Times New Roman" w:hAnsi="Times New Roman" w:cs="Times New Roman"/>
        </w:rPr>
        <w:t>producto</w:t>
      </w:r>
      <w:r>
        <w:rPr>
          <w:rFonts w:ascii="Times New Roman" w:hAnsi="Times New Roman" w:cs="Times New Roman"/>
        </w:rPr>
        <w:t>s</w:t>
      </w:r>
      <w:r w:rsidR="00BC7CFD">
        <w:rPr>
          <w:rFonts w:ascii="Times New Roman" w:hAnsi="Times New Roman" w:cs="Times New Roman"/>
        </w:rPr>
        <w:t xml:space="preserve"> </w:t>
      </w:r>
      <w:r w:rsidR="00852832">
        <w:rPr>
          <w:rFonts w:ascii="Times New Roman" w:hAnsi="Times New Roman" w:cs="Times New Roman"/>
        </w:rPr>
        <w:t>agropecuario</w:t>
      </w:r>
      <w:r>
        <w:rPr>
          <w:rFonts w:ascii="Times New Roman" w:hAnsi="Times New Roman" w:cs="Times New Roman"/>
        </w:rPr>
        <w:t>s</w:t>
      </w:r>
      <w:r w:rsidR="00852832">
        <w:rPr>
          <w:rFonts w:ascii="Times New Roman" w:hAnsi="Times New Roman" w:cs="Times New Roman"/>
        </w:rPr>
        <w:t xml:space="preserve"> </w:t>
      </w:r>
      <w:r w:rsidR="00BC7CFD">
        <w:rPr>
          <w:rFonts w:ascii="Times New Roman" w:hAnsi="Times New Roman" w:cs="Times New Roman"/>
        </w:rPr>
        <w:t>destinado</w:t>
      </w:r>
      <w:r>
        <w:rPr>
          <w:rFonts w:ascii="Times New Roman" w:hAnsi="Times New Roman" w:cs="Times New Roman"/>
        </w:rPr>
        <w:t>s</w:t>
      </w:r>
      <w:r w:rsidR="00BC7CFD">
        <w:rPr>
          <w:rFonts w:ascii="Times New Roman" w:hAnsi="Times New Roman" w:cs="Times New Roman"/>
        </w:rPr>
        <w:t xml:space="preserve"> a la exportación, cuya producción ha sido acompañada por la asistencia técnica del USDA, es el mango</w:t>
      </w:r>
      <w:r w:rsidR="00852832">
        <w:rPr>
          <w:rFonts w:ascii="Times New Roman" w:hAnsi="Times New Roman" w:cs="Times New Roman"/>
        </w:rPr>
        <w:t>.</w:t>
      </w:r>
      <w:r w:rsidR="00BC7CFD">
        <w:rPr>
          <w:rFonts w:ascii="Times New Roman" w:hAnsi="Times New Roman" w:cs="Times New Roman"/>
        </w:rPr>
        <w:t xml:space="preserve"> </w:t>
      </w:r>
      <w:r w:rsidR="00852832">
        <w:rPr>
          <w:rFonts w:ascii="Times New Roman" w:hAnsi="Times New Roman" w:cs="Times New Roman"/>
        </w:rPr>
        <w:t>Su</w:t>
      </w:r>
      <w:r w:rsidR="00BC7CFD">
        <w:rPr>
          <w:rFonts w:ascii="Times New Roman" w:hAnsi="Times New Roman" w:cs="Times New Roman"/>
        </w:rPr>
        <w:t xml:space="preserve">s exportaciones se destinan a los Estados Unidos, Canadá y la República Dominicana. Es clave mantener abierto este canal de exportación, ante lo que la </w:t>
      </w:r>
      <w:r w:rsidR="00852832">
        <w:rPr>
          <w:rFonts w:ascii="Times New Roman" w:hAnsi="Times New Roman" w:cs="Times New Roman"/>
        </w:rPr>
        <w:t>plaga de la M</w:t>
      </w:r>
      <w:r w:rsidR="00BC7CFD">
        <w:rPr>
          <w:rFonts w:ascii="Times New Roman" w:hAnsi="Times New Roman" w:cs="Times New Roman"/>
        </w:rPr>
        <w:t xml:space="preserve">osca de </w:t>
      </w:r>
      <w:r w:rsidR="00852832">
        <w:rPr>
          <w:rFonts w:ascii="Times New Roman" w:hAnsi="Times New Roman" w:cs="Times New Roman"/>
        </w:rPr>
        <w:t>Fruta ha venido suponiendo su</w:t>
      </w:r>
      <w:r w:rsidR="00BC7CFD">
        <w:rPr>
          <w:rFonts w:ascii="Times New Roman" w:hAnsi="Times New Roman" w:cs="Times New Roman"/>
        </w:rPr>
        <w:t xml:space="preserve"> principal amenaza. </w:t>
      </w:r>
      <w:r>
        <w:rPr>
          <w:rFonts w:ascii="Times New Roman" w:hAnsi="Times New Roman" w:cs="Times New Roman"/>
        </w:rPr>
        <w:t xml:space="preserve">En el año 2007 se cerró el mercado de exportación del mango al cabo de los 3 primeros meses de campaña (la campaña anual suele durar 5 meses) debido a que varios envíos resultaron contaminados con la larva de la mosca de la fruta, por lo que los importadores decidieron cancelar todos sus pedidos. </w:t>
      </w:r>
      <w:r w:rsidR="006F6EF9">
        <w:rPr>
          <w:rFonts w:ascii="Times New Roman" w:hAnsi="Times New Roman" w:cs="Times New Roman"/>
        </w:rPr>
        <w:t xml:space="preserve"> El valor total de las exportaciones de mango asciende </w:t>
      </w:r>
      <w:r w:rsidR="00457B42">
        <w:rPr>
          <w:rFonts w:ascii="Times New Roman" w:hAnsi="Times New Roman" w:cs="Times New Roman"/>
        </w:rPr>
        <w:t xml:space="preserve">en la actualidad </w:t>
      </w:r>
      <w:r w:rsidR="006F6EF9">
        <w:rPr>
          <w:rFonts w:ascii="Times New Roman" w:hAnsi="Times New Roman" w:cs="Times New Roman"/>
        </w:rPr>
        <w:t>a un total aproximativo de 10 millones anuales.</w:t>
      </w:r>
    </w:p>
    <w:p w:rsidR="00BC7CFD" w:rsidRPr="004639E8" w:rsidRDefault="006F6EF9" w:rsidP="004639E8">
      <w:pPr>
        <w:jc w:val="both"/>
        <w:rPr>
          <w:rFonts w:ascii="Times New Roman" w:hAnsi="Times New Roman" w:cs="Times New Roman"/>
        </w:rPr>
      </w:pPr>
      <w:r w:rsidRPr="004639E8">
        <w:rPr>
          <w:rFonts w:ascii="Times New Roman" w:hAnsi="Times New Roman" w:cs="Times New Roman"/>
        </w:rPr>
        <w:t xml:space="preserve"> </w:t>
      </w:r>
    </w:p>
    <w:p w:rsidR="00BC7CFD" w:rsidRPr="00385D6B" w:rsidRDefault="001331D8" w:rsidP="004639E8">
      <w:pPr>
        <w:pStyle w:val="Heading2"/>
        <w:spacing w:before="0" w:line="240" w:lineRule="auto"/>
        <w:jc w:val="both"/>
        <w:rPr>
          <w:rFonts w:ascii="Times New Roman" w:hAnsi="Times New Roman" w:cs="Times New Roman"/>
          <w:b w:val="0"/>
          <w:i/>
        </w:rPr>
      </w:pPr>
      <w:bookmarkStart w:id="5" w:name="_Toc386887937"/>
      <w:r w:rsidRPr="00385D6B">
        <w:rPr>
          <w:rFonts w:ascii="Times New Roman" w:hAnsi="Times New Roman" w:cs="Times New Roman"/>
          <w:i/>
          <w:color w:val="auto"/>
          <w:sz w:val="22"/>
        </w:rPr>
        <w:t>Necesidad de la p</w:t>
      </w:r>
      <w:r w:rsidR="00BC7CFD" w:rsidRPr="00385D6B">
        <w:rPr>
          <w:rFonts w:ascii="Times New Roman" w:hAnsi="Times New Roman" w:cs="Times New Roman"/>
          <w:i/>
          <w:color w:val="auto"/>
          <w:sz w:val="22"/>
        </w:rPr>
        <w:t xml:space="preserve">uesta a punto </w:t>
      </w:r>
      <w:r w:rsidRPr="00385D6B">
        <w:rPr>
          <w:rFonts w:ascii="Times New Roman" w:hAnsi="Times New Roman" w:cs="Times New Roman"/>
          <w:i/>
          <w:color w:val="auto"/>
          <w:sz w:val="22"/>
        </w:rPr>
        <w:t xml:space="preserve">sectorial </w:t>
      </w:r>
      <w:r w:rsidR="00BC7CFD" w:rsidRPr="00385D6B">
        <w:rPr>
          <w:rFonts w:ascii="Times New Roman" w:hAnsi="Times New Roman" w:cs="Times New Roman"/>
          <w:i/>
          <w:color w:val="auto"/>
          <w:sz w:val="22"/>
        </w:rPr>
        <w:t xml:space="preserve">y </w:t>
      </w:r>
      <w:r w:rsidRPr="00385D6B">
        <w:rPr>
          <w:rFonts w:ascii="Times New Roman" w:hAnsi="Times New Roman" w:cs="Times New Roman"/>
          <w:i/>
          <w:color w:val="auto"/>
          <w:sz w:val="22"/>
        </w:rPr>
        <w:t xml:space="preserve">el </w:t>
      </w:r>
      <w:r w:rsidR="00BC7CFD" w:rsidRPr="00385D6B">
        <w:rPr>
          <w:rFonts w:ascii="Times New Roman" w:hAnsi="Times New Roman" w:cs="Times New Roman"/>
          <w:i/>
          <w:color w:val="auto"/>
          <w:sz w:val="22"/>
        </w:rPr>
        <w:t>establecimiento de un marco legal e institucional</w:t>
      </w:r>
      <w:bookmarkEnd w:id="5"/>
    </w:p>
    <w:p w:rsidR="00BC7CFD" w:rsidRPr="00385D6B" w:rsidRDefault="00BC7CFD" w:rsidP="00744CD0">
      <w:pPr>
        <w:jc w:val="both"/>
        <w:rPr>
          <w:rFonts w:ascii="Times New Roman" w:hAnsi="Times New Roman" w:cs="Times New Roman"/>
        </w:rPr>
      </w:pPr>
    </w:p>
    <w:p w:rsidR="00BC7CFD" w:rsidRPr="00385D6B" w:rsidRDefault="00BC7CFD" w:rsidP="00C86351">
      <w:pPr>
        <w:pStyle w:val="ListParagraph"/>
        <w:numPr>
          <w:ilvl w:val="1"/>
          <w:numId w:val="15"/>
        </w:numPr>
        <w:ind w:hanging="578"/>
        <w:jc w:val="both"/>
        <w:rPr>
          <w:rFonts w:ascii="Times New Roman" w:hAnsi="Times New Roman" w:cs="Times New Roman"/>
        </w:rPr>
      </w:pPr>
      <w:r w:rsidRPr="00385D6B">
        <w:rPr>
          <w:rFonts w:ascii="Times New Roman" w:hAnsi="Times New Roman" w:cs="Times New Roman"/>
        </w:rPr>
        <w:t xml:space="preserve">La excesiva dependencia del sector a los fondos de ayuda internacional </w:t>
      </w:r>
      <w:r w:rsidR="00385D6B">
        <w:rPr>
          <w:rFonts w:ascii="Times New Roman" w:hAnsi="Times New Roman" w:cs="Times New Roman"/>
        </w:rPr>
        <w:t>genera</w:t>
      </w:r>
      <w:r w:rsidR="00385D6B" w:rsidRPr="00385D6B">
        <w:rPr>
          <w:rFonts w:ascii="Times New Roman" w:hAnsi="Times New Roman" w:cs="Times New Roman"/>
        </w:rPr>
        <w:t xml:space="preserve"> </w:t>
      </w:r>
      <w:r w:rsidRPr="00385D6B">
        <w:rPr>
          <w:rFonts w:ascii="Times New Roman" w:hAnsi="Times New Roman" w:cs="Times New Roman"/>
        </w:rPr>
        <w:t xml:space="preserve">un círculo vicioso en el que las instituciones no </w:t>
      </w:r>
      <w:r w:rsidR="00C35789" w:rsidRPr="00385D6B">
        <w:rPr>
          <w:rFonts w:ascii="Times New Roman" w:hAnsi="Times New Roman" w:cs="Times New Roman"/>
        </w:rPr>
        <w:t xml:space="preserve">tienen incentivos </w:t>
      </w:r>
      <w:r w:rsidR="00457B42" w:rsidRPr="00385D6B">
        <w:rPr>
          <w:rFonts w:ascii="Times New Roman" w:hAnsi="Times New Roman" w:cs="Times New Roman"/>
        </w:rPr>
        <w:t xml:space="preserve">ni recursos </w:t>
      </w:r>
      <w:r w:rsidR="00385D6B">
        <w:rPr>
          <w:rFonts w:ascii="Times New Roman" w:hAnsi="Times New Roman" w:cs="Times New Roman"/>
        </w:rPr>
        <w:t xml:space="preserve">suficientes </w:t>
      </w:r>
      <w:r w:rsidR="00C35789" w:rsidRPr="00385D6B">
        <w:rPr>
          <w:rFonts w:ascii="Times New Roman" w:hAnsi="Times New Roman" w:cs="Times New Roman"/>
        </w:rPr>
        <w:t xml:space="preserve">para </w:t>
      </w:r>
      <w:r w:rsidRPr="00385D6B">
        <w:rPr>
          <w:rFonts w:ascii="Times New Roman" w:hAnsi="Times New Roman" w:cs="Times New Roman"/>
        </w:rPr>
        <w:t>establecer un marco legal e institucional estable, que permit</w:t>
      </w:r>
      <w:r w:rsidR="00132ADD" w:rsidRPr="00385D6B">
        <w:rPr>
          <w:rFonts w:ascii="Times New Roman" w:hAnsi="Times New Roman" w:cs="Times New Roman"/>
        </w:rPr>
        <w:t>irí</w:t>
      </w:r>
      <w:r w:rsidRPr="00385D6B">
        <w:rPr>
          <w:rFonts w:ascii="Times New Roman" w:hAnsi="Times New Roman" w:cs="Times New Roman"/>
        </w:rPr>
        <w:t xml:space="preserve">a </w:t>
      </w:r>
      <w:r w:rsidR="00132ADD" w:rsidRPr="00385D6B">
        <w:rPr>
          <w:rFonts w:ascii="Times New Roman" w:hAnsi="Times New Roman" w:cs="Times New Roman"/>
        </w:rPr>
        <w:t>la mejora d</w:t>
      </w:r>
      <w:r w:rsidRPr="00385D6B">
        <w:rPr>
          <w:rFonts w:ascii="Times New Roman" w:hAnsi="Times New Roman" w:cs="Times New Roman"/>
        </w:rPr>
        <w:t xml:space="preserve">el funcionamiento del sistema en cuanto a la </w:t>
      </w:r>
      <w:r w:rsidR="00132ADD" w:rsidRPr="00385D6B">
        <w:rPr>
          <w:rFonts w:ascii="Times New Roman" w:hAnsi="Times New Roman" w:cs="Times New Roman"/>
        </w:rPr>
        <w:t xml:space="preserve">claridad en la asignación de las </w:t>
      </w:r>
      <w:r w:rsidRPr="00385D6B">
        <w:rPr>
          <w:rFonts w:ascii="Times New Roman" w:hAnsi="Times New Roman" w:cs="Times New Roman"/>
        </w:rPr>
        <w:t xml:space="preserve">competencias y </w:t>
      </w:r>
      <w:r w:rsidR="00132ADD" w:rsidRPr="00385D6B">
        <w:rPr>
          <w:rFonts w:ascii="Times New Roman" w:hAnsi="Times New Roman" w:cs="Times New Roman"/>
        </w:rPr>
        <w:t xml:space="preserve">la eficiencia y efectividad en la </w:t>
      </w:r>
      <w:r w:rsidR="008E36BB" w:rsidRPr="00385D6B">
        <w:rPr>
          <w:rFonts w:ascii="Times New Roman" w:hAnsi="Times New Roman" w:cs="Times New Roman"/>
        </w:rPr>
        <w:t xml:space="preserve">ejecución de los </w:t>
      </w:r>
      <w:r w:rsidR="00132ADD" w:rsidRPr="00385D6B">
        <w:rPr>
          <w:rFonts w:ascii="Times New Roman" w:hAnsi="Times New Roman" w:cs="Times New Roman"/>
        </w:rPr>
        <w:t xml:space="preserve">distintos </w:t>
      </w:r>
      <w:r w:rsidR="008E36BB" w:rsidRPr="00385D6B">
        <w:rPr>
          <w:rFonts w:ascii="Times New Roman" w:hAnsi="Times New Roman" w:cs="Times New Roman"/>
        </w:rPr>
        <w:t>programas</w:t>
      </w:r>
      <w:r w:rsidR="00C35789" w:rsidRPr="00385D6B">
        <w:rPr>
          <w:rFonts w:ascii="Times New Roman" w:hAnsi="Times New Roman" w:cs="Times New Roman"/>
        </w:rPr>
        <w:t>,</w:t>
      </w:r>
      <w:r w:rsidR="008E36BB" w:rsidRPr="00385D6B">
        <w:rPr>
          <w:rFonts w:ascii="Times New Roman" w:hAnsi="Times New Roman" w:cs="Times New Roman"/>
        </w:rPr>
        <w:t xml:space="preserve"> ya sean </w:t>
      </w:r>
      <w:r w:rsidR="00C35789" w:rsidRPr="00385D6B">
        <w:rPr>
          <w:rFonts w:ascii="Times New Roman" w:hAnsi="Times New Roman" w:cs="Times New Roman"/>
        </w:rPr>
        <w:t xml:space="preserve">estos </w:t>
      </w:r>
      <w:r w:rsidR="008E36BB" w:rsidRPr="00385D6B">
        <w:rPr>
          <w:rFonts w:ascii="Times New Roman" w:hAnsi="Times New Roman" w:cs="Times New Roman"/>
        </w:rPr>
        <w:t>financiados con fondos del tesoro nacional, fondos de cooperación o de agencias multilaterales o bilaterales</w:t>
      </w:r>
      <w:r w:rsidR="00132ADD" w:rsidRPr="00385D6B">
        <w:rPr>
          <w:rFonts w:ascii="Times New Roman" w:hAnsi="Times New Roman" w:cs="Times New Roman"/>
        </w:rPr>
        <w:t>.</w:t>
      </w:r>
    </w:p>
    <w:p w:rsidR="008E36BB" w:rsidRDefault="008E36BB" w:rsidP="00744CD0">
      <w:pPr>
        <w:jc w:val="both"/>
        <w:rPr>
          <w:rFonts w:ascii="Times New Roman" w:hAnsi="Times New Roman" w:cs="Times New Roman"/>
        </w:rPr>
      </w:pPr>
    </w:p>
    <w:p w:rsidR="008E36BB" w:rsidRDefault="00385D6B" w:rsidP="00C86351">
      <w:pPr>
        <w:pStyle w:val="ListParagraph"/>
        <w:numPr>
          <w:ilvl w:val="1"/>
          <w:numId w:val="15"/>
        </w:numPr>
        <w:ind w:hanging="578"/>
        <w:jc w:val="both"/>
        <w:rPr>
          <w:rFonts w:ascii="Times New Roman" w:hAnsi="Times New Roman" w:cs="Times New Roman"/>
        </w:rPr>
      </w:pPr>
      <w:r>
        <w:rPr>
          <w:rFonts w:ascii="Times New Roman" w:hAnsi="Times New Roman" w:cs="Times New Roman"/>
        </w:rPr>
        <w:t>Frente a esto, l</w:t>
      </w:r>
      <w:r w:rsidR="007A1930">
        <w:rPr>
          <w:rFonts w:ascii="Times New Roman" w:hAnsi="Times New Roman" w:cs="Times New Roman"/>
        </w:rPr>
        <w:t>as intervenciones del</w:t>
      </w:r>
      <w:r w:rsidR="008E36BB">
        <w:rPr>
          <w:rFonts w:ascii="Times New Roman" w:hAnsi="Times New Roman" w:cs="Times New Roman"/>
        </w:rPr>
        <w:t xml:space="preserve"> Programa se plantea</w:t>
      </w:r>
      <w:r w:rsidR="007A1930">
        <w:rPr>
          <w:rFonts w:ascii="Times New Roman" w:hAnsi="Times New Roman" w:cs="Times New Roman"/>
        </w:rPr>
        <w:t>n</w:t>
      </w:r>
      <w:r w:rsidR="008E36BB">
        <w:rPr>
          <w:rFonts w:ascii="Times New Roman" w:hAnsi="Times New Roman" w:cs="Times New Roman"/>
        </w:rPr>
        <w:t xml:space="preserve"> </w:t>
      </w:r>
      <w:r w:rsidR="007A1930">
        <w:rPr>
          <w:rFonts w:ascii="Times New Roman" w:hAnsi="Times New Roman" w:cs="Times New Roman"/>
        </w:rPr>
        <w:t xml:space="preserve">adoptando los lineamientos </w:t>
      </w:r>
      <w:r w:rsidR="007C7C46">
        <w:rPr>
          <w:rFonts w:ascii="Times New Roman" w:hAnsi="Times New Roman" w:cs="Times New Roman"/>
        </w:rPr>
        <w:t xml:space="preserve">generales </w:t>
      </w:r>
      <w:r w:rsidR="007A1930">
        <w:rPr>
          <w:rFonts w:ascii="Times New Roman" w:hAnsi="Times New Roman" w:cs="Times New Roman"/>
        </w:rPr>
        <w:t>siguientes</w:t>
      </w:r>
      <w:r w:rsidR="008E36BB">
        <w:rPr>
          <w:rFonts w:ascii="Times New Roman" w:hAnsi="Times New Roman" w:cs="Times New Roman"/>
        </w:rPr>
        <w:t>:</w:t>
      </w:r>
    </w:p>
    <w:p w:rsidR="008E36BB" w:rsidRDefault="00B133CE" w:rsidP="002902C7">
      <w:pPr>
        <w:pStyle w:val="ListParagraph"/>
        <w:numPr>
          <w:ilvl w:val="2"/>
          <w:numId w:val="16"/>
        </w:numPr>
        <w:jc w:val="both"/>
        <w:rPr>
          <w:rFonts w:ascii="Times New Roman" w:hAnsi="Times New Roman" w:cs="Times New Roman"/>
        </w:rPr>
      </w:pPr>
      <w:r>
        <w:rPr>
          <w:rFonts w:ascii="Times New Roman" w:hAnsi="Times New Roman" w:cs="Times New Roman"/>
        </w:rPr>
        <w:t>Mejora del</w:t>
      </w:r>
      <w:r w:rsidR="008E36BB">
        <w:rPr>
          <w:rFonts w:ascii="Times New Roman" w:hAnsi="Times New Roman" w:cs="Times New Roman"/>
        </w:rPr>
        <w:t xml:space="preserve"> marco legal e institucional.</w:t>
      </w:r>
    </w:p>
    <w:p w:rsidR="008E36BB" w:rsidRDefault="008E36BB" w:rsidP="002902C7">
      <w:pPr>
        <w:pStyle w:val="ListParagraph"/>
        <w:numPr>
          <w:ilvl w:val="2"/>
          <w:numId w:val="16"/>
        </w:numPr>
        <w:jc w:val="both"/>
        <w:rPr>
          <w:rFonts w:ascii="Times New Roman" w:hAnsi="Times New Roman" w:cs="Times New Roman"/>
        </w:rPr>
      </w:pPr>
      <w:r>
        <w:rPr>
          <w:rFonts w:ascii="Times New Roman" w:hAnsi="Times New Roman" w:cs="Times New Roman"/>
        </w:rPr>
        <w:t>Establecimiento de un marco de planificación de referencia, diseñado bajo criterios técnicos.</w:t>
      </w:r>
    </w:p>
    <w:p w:rsidR="008E36BB" w:rsidRDefault="008E36BB" w:rsidP="002902C7">
      <w:pPr>
        <w:pStyle w:val="ListParagraph"/>
        <w:numPr>
          <w:ilvl w:val="2"/>
          <w:numId w:val="16"/>
        </w:numPr>
        <w:jc w:val="both"/>
        <w:rPr>
          <w:rFonts w:ascii="Times New Roman" w:hAnsi="Times New Roman" w:cs="Times New Roman"/>
        </w:rPr>
      </w:pPr>
      <w:r>
        <w:rPr>
          <w:rFonts w:ascii="Times New Roman" w:hAnsi="Times New Roman" w:cs="Times New Roman"/>
        </w:rPr>
        <w:t>Dotación inicial de medios y financiación de algunos proyectos piloto en las áreas donde debe demostrarse la efectividad y pertinencia de las acciones contempladas por el MARNDR.</w:t>
      </w:r>
    </w:p>
    <w:p w:rsidR="008E36BB" w:rsidRDefault="008E36BB" w:rsidP="002902C7">
      <w:pPr>
        <w:pStyle w:val="ListParagraph"/>
        <w:numPr>
          <w:ilvl w:val="2"/>
          <w:numId w:val="16"/>
        </w:numPr>
        <w:jc w:val="both"/>
        <w:rPr>
          <w:rFonts w:ascii="Times New Roman" w:hAnsi="Times New Roman" w:cs="Times New Roman"/>
        </w:rPr>
      </w:pPr>
      <w:r>
        <w:rPr>
          <w:rFonts w:ascii="Times New Roman" w:hAnsi="Times New Roman" w:cs="Times New Roman"/>
        </w:rPr>
        <w:t xml:space="preserve">Respuesta </w:t>
      </w:r>
      <w:r w:rsidR="00285EFE">
        <w:rPr>
          <w:rFonts w:ascii="Times New Roman" w:hAnsi="Times New Roman" w:cs="Times New Roman"/>
        </w:rPr>
        <w:t xml:space="preserve">urgentes </w:t>
      </w:r>
      <w:r>
        <w:rPr>
          <w:rFonts w:ascii="Times New Roman" w:hAnsi="Times New Roman" w:cs="Times New Roman"/>
        </w:rPr>
        <w:t xml:space="preserve">a problemáticas conocidas </w:t>
      </w:r>
      <w:r w:rsidR="00285EFE">
        <w:rPr>
          <w:rFonts w:ascii="Times New Roman" w:hAnsi="Times New Roman" w:cs="Times New Roman"/>
        </w:rPr>
        <w:t xml:space="preserve">pero </w:t>
      </w:r>
      <w:r>
        <w:rPr>
          <w:rFonts w:ascii="Times New Roman" w:hAnsi="Times New Roman" w:cs="Times New Roman"/>
        </w:rPr>
        <w:t xml:space="preserve">que no están siendo suficientemente </w:t>
      </w:r>
      <w:r w:rsidR="00285EFE">
        <w:rPr>
          <w:rFonts w:ascii="Times New Roman" w:hAnsi="Times New Roman" w:cs="Times New Roman"/>
        </w:rPr>
        <w:t xml:space="preserve">tratadas </w:t>
      </w:r>
      <w:r>
        <w:rPr>
          <w:rFonts w:ascii="Times New Roman" w:hAnsi="Times New Roman" w:cs="Times New Roman"/>
        </w:rPr>
        <w:t xml:space="preserve">por la falta de fondos destinados a </w:t>
      </w:r>
      <w:r w:rsidR="00396739">
        <w:rPr>
          <w:rFonts w:ascii="Times New Roman" w:hAnsi="Times New Roman" w:cs="Times New Roman"/>
        </w:rPr>
        <w:t xml:space="preserve">su tratamiento, </w:t>
      </w:r>
      <w:r w:rsidR="00306C59">
        <w:rPr>
          <w:rFonts w:ascii="Times New Roman" w:hAnsi="Times New Roman" w:cs="Times New Roman"/>
        </w:rPr>
        <w:t>prevención</w:t>
      </w:r>
      <w:r>
        <w:rPr>
          <w:rFonts w:ascii="Times New Roman" w:hAnsi="Times New Roman" w:cs="Times New Roman"/>
        </w:rPr>
        <w:t xml:space="preserve"> </w:t>
      </w:r>
      <w:r w:rsidR="00396739">
        <w:rPr>
          <w:rFonts w:ascii="Times New Roman" w:hAnsi="Times New Roman" w:cs="Times New Roman"/>
        </w:rPr>
        <w:t xml:space="preserve">y/o control y monitoreo </w:t>
      </w:r>
      <w:r>
        <w:rPr>
          <w:rFonts w:ascii="Times New Roman" w:hAnsi="Times New Roman" w:cs="Times New Roman"/>
        </w:rPr>
        <w:t>(debido a su vez al vacío normativo e insti</w:t>
      </w:r>
      <w:r w:rsidR="00306C59">
        <w:rPr>
          <w:rFonts w:ascii="Times New Roman" w:hAnsi="Times New Roman" w:cs="Times New Roman"/>
        </w:rPr>
        <w:t>tucional).</w:t>
      </w:r>
    </w:p>
    <w:p w:rsidR="00BC7CFD" w:rsidRDefault="00BC7CFD" w:rsidP="00CA4314">
      <w:pPr>
        <w:pStyle w:val="ListParagraph"/>
        <w:jc w:val="both"/>
        <w:rPr>
          <w:rFonts w:ascii="Times New Roman" w:hAnsi="Times New Roman" w:cs="Times New Roman"/>
        </w:rPr>
      </w:pPr>
    </w:p>
    <w:p w:rsidR="007A1930" w:rsidRDefault="007A1930" w:rsidP="00C86351">
      <w:pPr>
        <w:pStyle w:val="ListParagraph"/>
        <w:numPr>
          <w:ilvl w:val="1"/>
          <w:numId w:val="15"/>
        </w:numPr>
        <w:ind w:hanging="578"/>
        <w:jc w:val="both"/>
        <w:rPr>
          <w:rFonts w:ascii="Times New Roman" w:hAnsi="Times New Roman" w:cs="Times New Roman"/>
        </w:rPr>
      </w:pPr>
      <w:r>
        <w:rPr>
          <w:rFonts w:ascii="Times New Roman" w:hAnsi="Times New Roman" w:cs="Times New Roman"/>
        </w:rPr>
        <w:lastRenderedPageBreak/>
        <w:t>Estos lineamientos están directamente relacionados con los impactos económicos que se busca generar con la ejecució</w:t>
      </w:r>
      <w:r w:rsidR="00D73FE2">
        <w:rPr>
          <w:rFonts w:ascii="Times New Roman" w:hAnsi="Times New Roman" w:cs="Times New Roman"/>
        </w:rPr>
        <w:t>n del Programa, y respaldan la conveniencia de</w:t>
      </w:r>
      <w:r>
        <w:rPr>
          <w:rFonts w:ascii="Times New Roman" w:hAnsi="Times New Roman" w:cs="Times New Roman"/>
        </w:rPr>
        <w:t xml:space="preserve"> </w:t>
      </w:r>
      <w:r w:rsidR="00457B42">
        <w:rPr>
          <w:rFonts w:ascii="Times New Roman" w:hAnsi="Times New Roman" w:cs="Times New Roman"/>
        </w:rPr>
        <w:t>perseguir</w:t>
      </w:r>
      <w:r w:rsidR="00D73FE2">
        <w:rPr>
          <w:rFonts w:ascii="Times New Roman" w:hAnsi="Times New Roman" w:cs="Times New Roman"/>
        </w:rPr>
        <w:t xml:space="preserve"> la </w:t>
      </w:r>
      <w:r>
        <w:rPr>
          <w:rFonts w:ascii="Times New Roman" w:hAnsi="Times New Roman" w:cs="Times New Roman"/>
        </w:rPr>
        <w:t xml:space="preserve">eficiencia en los costos </w:t>
      </w:r>
      <w:r w:rsidR="00D73FE2">
        <w:rPr>
          <w:rFonts w:ascii="Times New Roman" w:hAnsi="Times New Roman" w:cs="Times New Roman"/>
        </w:rPr>
        <w:t xml:space="preserve">de gestión institucional y evitar sostener costos recurrentes que no generan impactos </w:t>
      </w:r>
      <w:r w:rsidR="007C7C46">
        <w:rPr>
          <w:rFonts w:ascii="Times New Roman" w:hAnsi="Times New Roman" w:cs="Times New Roman"/>
        </w:rPr>
        <w:t>significativo</w:t>
      </w:r>
      <w:r w:rsidR="00D73FE2">
        <w:rPr>
          <w:rFonts w:ascii="Times New Roman" w:hAnsi="Times New Roman" w:cs="Times New Roman"/>
        </w:rPr>
        <w:t xml:space="preserve">s en el sector en general y en los productores </w:t>
      </w:r>
      <w:r w:rsidR="00EF3207">
        <w:rPr>
          <w:rFonts w:ascii="Times New Roman" w:hAnsi="Times New Roman" w:cs="Times New Roman"/>
        </w:rPr>
        <w:t xml:space="preserve">agropecuarios </w:t>
      </w:r>
      <w:r w:rsidR="00D73FE2">
        <w:rPr>
          <w:rFonts w:ascii="Times New Roman" w:hAnsi="Times New Roman" w:cs="Times New Roman"/>
        </w:rPr>
        <w:t>en particular.</w:t>
      </w:r>
    </w:p>
    <w:p w:rsidR="00A06A3A" w:rsidRDefault="00A06A3A" w:rsidP="00A06A3A">
      <w:pPr>
        <w:pStyle w:val="ListParagraph"/>
        <w:jc w:val="both"/>
        <w:rPr>
          <w:rFonts w:ascii="Times New Roman" w:hAnsi="Times New Roman" w:cs="Times New Roman"/>
        </w:rPr>
      </w:pPr>
    </w:p>
    <w:p w:rsidR="0035269B" w:rsidRPr="00E74A87" w:rsidRDefault="00F00471" w:rsidP="008E524F">
      <w:pPr>
        <w:pStyle w:val="ListParagraph"/>
        <w:numPr>
          <w:ilvl w:val="1"/>
          <w:numId w:val="15"/>
        </w:numPr>
        <w:ind w:hanging="578"/>
        <w:jc w:val="both"/>
        <w:rPr>
          <w:rFonts w:ascii="Times New Roman" w:hAnsi="Times New Roman" w:cs="Times New Roman"/>
        </w:rPr>
      </w:pPr>
      <w:r>
        <w:rPr>
          <w:rFonts w:ascii="Times New Roman" w:hAnsi="Times New Roman" w:cs="Times New Roman"/>
        </w:rPr>
        <w:t xml:space="preserve">En este sentido, el Programa ha partido para su formulación </w:t>
      </w:r>
      <w:r w:rsidR="00457B42">
        <w:rPr>
          <w:rFonts w:ascii="Times New Roman" w:hAnsi="Times New Roman" w:cs="Times New Roman"/>
        </w:rPr>
        <w:t>d</w:t>
      </w:r>
      <w:r>
        <w:rPr>
          <w:rFonts w:ascii="Times New Roman" w:hAnsi="Times New Roman" w:cs="Times New Roman"/>
        </w:rPr>
        <w:t xml:space="preserve">el documento de </w:t>
      </w:r>
      <w:r w:rsidR="00BF472A">
        <w:rPr>
          <w:rFonts w:ascii="Times New Roman" w:hAnsi="Times New Roman" w:cs="Times New Roman"/>
        </w:rPr>
        <w:t xml:space="preserve">planificación sectorial llamado </w:t>
      </w:r>
      <w:r>
        <w:rPr>
          <w:rFonts w:ascii="Times New Roman" w:hAnsi="Times New Roman" w:cs="Times New Roman"/>
        </w:rPr>
        <w:t>“Lineamientos Estratégicos, Programa y Plan de Inversiones para la Modernización de los Servicios Públicos de Sanidad Agropecuaria y</w:t>
      </w:r>
      <w:r w:rsidR="00BF472A">
        <w:rPr>
          <w:rFonts w:ascii="Times New Roman" w:hAnsi="Times New Roman" w:cs="Times New Roman"/>
        </w:rPr>
        <w:t xml:space="preserve"> de Inocuidad de los Alimentos”, elaborado en septiembre de 2013</w:t>
      </w:r>
      <w:r w:rsidR="00B72327">
        <w:rPr>
          <w:rFonts w:ascii="Times New Roman" w:hAnsi="Times New Roman" w:cs="Times New Roman"/>
        </w:rPr>
        <w:t xml:space="preserve"> por el MARNDR</w:t>
      </w:r>
      <w:r w:rsidR="00BF472A">
        <w:rPr>
          <w:rFonts w:ascii="Times New Roman" w:hAnsi="Times New Roman" w:cs="Times New Roman"/>
        </w:rPr>
        <w:t>.</w:t>
      </w:r>
    </w:p>
    <w:p w:rsidR="0035269B" w:rsidRPr="00E74A87" w:rsidRDefault="0035269B" w:rsidP="00E74A87">
      <w:pPr>
        <w:rPr>
          <w:rFonts w:ascii="Times New Roman" w:hAnsi="Times New Roman" w:cs="Times New Roman"/>
        </w:rPr>
      </w:pPr>
    </w:p>
    <w:p w:rsidR="00F00471" w:rsidRPr="004639E8" w:rsidRDefault="00F00471" w:rsidP="004639E8">
      <w:pPr>
        <w:pStyle w:val="ListParagraph"/>
        <w:rPr>
          <w:rFonts w:ascii="Times New Roman" w:hAnsi="Times New Roman" w:cs="Times New Roman"/>
        </w:rPr>
      </w:pPr>
    </w:p>
    <w:p w:rsidR="00291858" w:rsidRPr="004639E8" w:rsidRDefault="00291858" w:rsidP="004639E8">
      <w:pPr>
        <w:pStyle w:val="Heading2"/>
        <w:spacing w:before="0" w:line="240" w:lineRule="auto"/>
        <w:jc w:val="both"/>
        <w:rPr>
          <w:rFonts w:ascii="Times New Roman" w:hAnsi="Times New Roman" w:cs="Times New Roman"/>
          <w:b w:val="0"/>
          <w:i/>
        </w:rPr>
      </w:pPr>
      <w:bookmarkStart w:id="6" w:name="_Toc386887938"/>
      <w:r w:rsidRPr="004639E8">
        <w:rPr>
          <w:rFonts w:ascii="Times New Roman" w:hAnsi="Times New Roman" w:cs="Times New Roman"/>
          <w:i/>
          <w:color w:val="auto"/>
          <w:sz w:val="22"/>
        </w:rPr>
        <w:t xml:space="preserve">Breve descripción de las patologías </w:t>
      </w:r>
      <w:r w:rsidR="005466EC" w:rsidRPr="004639E8">
        <w:rPr>
          <w:rFonts w:ascii="Times New Roman" w:hAnsi="Times New Roman" w:cs="Times New Roman"/>
          <w:i/>
          <w:color w:val="auto"/>
          <w:sz w:val="22"/>
        </w:rPr>
        <w:t xml:space="preserve">intervenidas por </w:t>
      </w:r>
      <w:r w:rsidRPr="004639E8">
        <w:rPr>
          <w:rFonts w:ascii="Times New Roman" w:hAnsi="Times New Roman" w:cs="Times New Roman"/>
          <w:i/>
          <w:color w:val="auto"/>
          <w:sz w:val="22"/>
        </w:rPr>
        <w:t>el Programa</w:t>
      </w:r>
      <w:bookmarkEnd w:id="6"/>
    </w:p>
    <w:p w:rsidR="00291858" w:rsidRPr="00291858" w:rsidRDefault="00291858" w:rsidP="00291858">
      <w:pPr>
        <w:jc w:val="both"/>
        <w:rPr>
          <w:rFonts w:ascii="Times New Roman" w:hAnsi="Times New Roman" w:cs="Times New Roman"/>
        </w:rPr>
      </w:pPr>
    </w:p>
    <w:p w:rsidR="005466EC" w:rsidRDefault="005466EC" w:rsidP="004639E8">
      <w:pPr>
        <w:pStyle w:val="ListParagraph"/>
        <w:numPr>
          <w:ilvl w:val="1"/>
          <w:numId w:val="15"/>
        </w:numPr>
        <w:ind w:hanging="578"/>
        <w:jc w:val="both"/>
        <w:rPr>
          <w:rFonts w:ascii="Times New Roman" w:hAnsi="Times New Roman" w:cs="Times New Roman"/>
        </w:rPr>
      </w:pPr>
      <w:r>
        <w:rPr>
          <w:rFonts w:ascii="Times New Roman" w:hAnsi="Times New Roman" w:cs="Times New Roman"/>
        </w:rPr>
        <w:t>En cuanto a las plagas y enfermedades que se contemplan en el Programa, su selección se ha realizado en coordinación con otros organismos multilaterales como el Banco Mundial, el Instituto Interamericano de Cooperación para le Agricultura (IICA) y la Unión Europea. Así, se han tenido en cuenta las iniciativas que ya se están llevando a cabo por parte de estos organismos (por ejemplo, la rabia y el carbón bacteriano están siendo objeto de campañas financiadas por el Banco Mundial) para evitar que se produzcan redundancias o ineficiencias en el tratamiento de las problemáticas y asignar cada patología al organismo que posee la mayor experiencia y lecciones aprendidas al respecto.</w:t>
      </w:r>
    </w:p>
    <w:p w:rsidR="005466EC" w:rsidRDefault="005466EC" w:rsidP="004639E8">
      <w:pPr>
        <w:pStyle w:val="ListParagraph"/>
        <w:jc w:val="both"/>
        <w:rPr>
          <w:rFonts w:ascii="Times New Roman" w:hAnsi="Times New Roman" w:cs="Times New Roman"/>
        </w:rPr>
      </w:pPr>
    </w:p>
    <w:p w:rsidR="00200DA7" w:rsidRPr="005466EC" w:rsidRDefault="005466EC" w:rsidP="004639E8">
      <w:pPr>
        <w:pStyle w:val="ListParagraph"/>
        <w:numPr>
          <w:ilvl w:val="1"/>
          <w:numId w:val="15"/>
        </w:numPr>
        <w:ind w:hanging="578"/>
        <w:jc w:val="both"/>
        <w:rPr>
          <w:rFonts w:ascii="Times New Roman" w:hAnsi="Times New Roman" w:cs="Times New Roman"/>
        </w:rPr>
      </w:pPr>
      <w:r w:rsidRPr="00C8240C">
        <w:rPr>
          <w:rFonts w:ascii="Times New Roman" w:hAnsi="Times New Roman" w:cs="Times New Roman"/>
        </w:rPr>
        <w:t>Las patologías zoo-fitosanitarias incluidas en el Programa han sido la Peste Porcina Común, el Teschen, la Mosca de la Fruta y la Hormiga Loca.</w:t>
      </w:r>
      <w:r>
        <w:rPr>
          <w:rFonts w:ascii="Times New Roman" w:hAnsi="Times New Roman" w:cs="Times New Roman"/>
        </w:rPr>
        <w:t xml:space="preserve"> </w:t>
      </w:r>
      <w:r w:rsidR="00200DA7" w:rsidRPr="00C8240C">
        <w:rPr>
          <w:rFonts w:ascii="Times New Roman" w:hAnsi="Times New Roman" w:cs="Times New Roman"/>
        </w:rPr>
        <w:t xml:space="preserve">Los </w:t>
      </w:r>
      <w:r w:rsidR="00457B42">
        <w:rPr>
          <w:rFonts w:ascii="Times New Roman" w:hAnsi="Times New Roman" w:cs="Times New Roman"/>
        </w:rPr>
        <w:t xml:space="preserve">principales </w:t>
      </w:r>
      <w:r w:rsidR="00200DA7" w:rsidRPr="00C8240C">
        <w:rPr>
          <w:rFonts w:ascii="Times New Roman" w:hAnsi="Times New Roman" w:cs="Times New Roman"/>
        </w:rPr>
        <w:t xml:space="preserve">impactos </w:t>
      </w:r>
      <w:r>
        <w:rPr>
          <w:rFonts w:ascii="Times New Roman" w:hAnsi="Times New Roman" w:cs="Times New Roman"/>
        </w:rPr>
        <w:t xml:space="preserve">de estas patologías </w:t>
      </w:r>
      <w:r w:rsidRPr="005466EC">
        <w:rPr>
          <w:rFonts w:ascii="Times New Roman" w:hAnsi="Times New Roman" w:cs="Times New Roman"/>
        </w:rPr>
        <w:t>s</w:t>
      </w:r>
      <w:r>
        <w:rPr>
          <w:rFonts w:ascii="Times New Roman" w:hAnsi="Times New Roman" w:cs="Times New Roman"/>
        </w:rPr>
        <w:t>on</w:t>
      </w:r>
      <w:r w:rsidRPr="00C8240C">
        <w:rPr>
          <w:rFonts w:ascii="Times New Roman" w:hAnsi="Times New Roman" w:cs="Times New Roman"/>
        </w:rPr>
        <w:t xml:space="preserve"> </w:t>
      </w:r>
      <w:r w:rsidR="00200DA7" w:rsidRPr="00C8240C">
        <w:rPr>
          <w:rFonts w:ascii="Times New Roman" w:hAnsi="Times New Roman" w:cs="Times New Roman"/>
        </w:rPr>
        <w:t xml:space="preserve">los </w:t>
      </w:r>
      <w:r w:rsidR="007C7C46" w:rsidRPr="005466EC">
        <w:rPr>
          <w:rFonts w:ascii="Times New Roman" w:hAnsi="Times New Roman" w:cs="Times New Roman"/>
        </w:rPr>
        <w:t>siguientes:</w:t>
      </w:r>
    </w:p>
    <w:p w:rsidR="00200DA7" w:rsidRPr="00E96826" w:rsidRDefault="00200DA7" w:rsidP="00200DA7">
      <w:pPr>
        <w:pStyle w:val="ListParagraph"/>
        <w:rPr>
          <w:rFonts w:ascii="Times New Roman" w:hAnsi="Times New Roman" w:cs="Times New Roman"/>
        </w:rPr>
      </w:pPr>
    </w:p>
    <w:p w:rsidR="00200DA7" w:rsidRDefault="00200DA7" w:rsidP="00200DA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t xml:space="preserve">La </w:t>
      </w:r>
      <w:r w:rsidR="00043E7D">
        <w:rPr>
          <w:rFonts w:ascii="Times New Roman" w:hAnsi="Times New Roman" w:cs="Times New Roman"/>
        </w:rPr>
        <w:t>Peste Porcina Común (“</w:t>
      </w:r>
      <w:r>
        <w:rPr>
          <w:rFonts w:ascii="Times New Roman" w:hAnsi="Times New Roman" w:cs="Times New Roman"/>
        </w:rPr>
        <w:t>PPC</w:t>
      </w:r>
      <w:r w:rsidR="00043E7D">
        <w:rPr>
          <w:rFonts w:ascii="Times New Roman" w:hAnsi="Times New Roman" w:cs="Times New Roman"/>
        </w:rPr>
        <w:t>”)</w:t>
      </w:r>
      <w:r>
        <w:rPr>
          <w:rFonts w:ascii="Times New Roman" w:hAnsi="Times New Roman" w:cs="Times New Roman"/>
        </w:rPr>
        <w:t xml:space="preserve"> es una enfermedad bien conoci</w:t>
      </w:r>
      <w:r w:rsidR="00043E7D">
        <w:rPr>
          <w:rFonts w:ascii="Times New Roman" w:hAnsi="Times New Roman" w:cs="Times New Roman"/>
        </w:rPr>
        <w:t>da y cuya</w:t>
      </w:r>
      <w:r>
        <w:rPr>
          <w:rFonts w:ascii="Times New Roman" w:hAnsi="Times New Roman" w:cs="Times New Roman"/>
        </w:rPr>
        <w:t xml:space="preserve">s </w:t>
      </w:r>
      <w:r w:rsidR="00043E7D">
        <w:rPr>
          <w:rFonts w:ascii="Times New Roman" w:hAnsi="Times New Roman" w:cs="Times New Roman"/>
        </w:rPr>
        <w:t xml:space="preserve"> necesidades para su tratamiento se encuentran claramente definida</w:t>
      </w:r>
      <w:r>
        <w:rPr>
          <w:rFonts w:ascii="Times New Roman" w:hAnsi="Times New Roman" w:cs="Times New Roman"/>
        </w:rPr>
        <w:t xml:space="preserve">s. </w:t>
      </w:r>
      <w:r w:rsidR="007C7C46">
        <w:rPr>
          <w:rFonts w:ascii="Times New Roman" w:hAnsi="Times New Roman" w:cs="Times New Roman"/>
        </w:rPr>
        <w:t xml:space="preserve">El aprovisionamiento en </w:t>
      </w:r>
      <w:r>
        <w:rPr>
          <w:rFonts w:ascii="Times New Roman" w:hAnsi="Times New Roman" w:cs="Times New Roman"/>
        </w:rPr>
        <w:t>vacunas y contrastes</w:t>
      </w:r>
      <w:r w:rsidR="007C7C46">
        <w:rPr>
          <w:rFonts w:ascii="Times New Roman" w:hAnsi="Times New Roman" w:cs="Times New Roman"/>
        </w:rPr>
        <w:t>, así como el refuerzo del laboratorio veterinario público</w:t>
      </w:r>
      <w:r>
        <w:rPr>
          <w:rFonts w:ascii="Times New Roman" w:hAnsi="Times New Roman" w:cs="Times New Roman"/>
        </w:rPr>
        <w:t xml:space="preserve"> permitirá</w:t>
      </w:r>
      <w:r w:rsidR="007C7C46">
        <w:rPr>
          <w:rFonts w:ascii="Times New Roman" w:hAnsi="Times New Roman" w:cs="Times New Roman"/>
        </w:rPr>
        <w:t>n</w:t>
      </w:r>
      <w:r>
        <w:rPr>
          <w:rFonts w:ascii="Times New Roman" w:hAnsi="Times New Roman" w:cs="Times New Roman"/>
        </w:rPr>
        <w:t xml:space="preserve"> aumentar el grado de cobertura del ganado porcino en todo el país para </w:t>
      </w:r>
      <w:r w:rsidR="007C7C46">
        <w:rPr>
          <w:rFonts w:ascii="Times New Roman" w:hAnsi="Times New Roman" w:cs="Times New Roman"/>
        </w:rPr>
        <w:t xml:space="preserve">volver a </w:t>
      </w:r>
      <w:r>
        <w:rPr>
          <w:rFonts w:ascii="Times New Roman" w:hAnsi="Times New Roman" w:cs="Times New Roman"/>
        </w:rPr>
        <w:t xml:space="preserve">alcanzar </w:t>
      </w:r>
      <w:r w:rsidR="007C7C46">
        <w:rPr>
          <w:rFonts w:ascii="Times New Roman" w:hAnsi="Times New Roman" w:cs="Times New Roman"/>
        </w:rPr>
        <w:t xml:space="preserve">los </w:t>
      </w:r>
      <w:r>
        <w:rPr>
          <w:rFonts w:ascii="Times New Roman" w:hAnsi="Times New Roman" w:cs="Times New Roman"/>
        </w:rPr>
        <w:t xml:space="preserve">niveles </w:t>
      </w:r>
      <w:r w:rsidR="005466EC">
        <w:rPr>
          <w:rFonts w:ascii="Times New Roman" w:hAnsi="Times New Roman" w:cs="Times New Roman"/>
        </w:rPr>
        <w:t xml:space="preserve">que se obtuvieron en periodos </w:t>
      </w:r>
      <w:r>
        <w:rPr>
          <w:rFonts w:ascii="Times New Roman" w:hAnsi="Times New Roman" w:cs="Times New Roman"/>
        </w:rPr>
        <w:t>anteriores.</w:t>
      </w:r>
      <w:r w:rsidR="00F82572">
        <w:rPr>
          <w:rFonts w:ascii="Times New Roman" w:hAnsi="Times New Roman" w:cs="Times New Roman"/>
        </w:rPr>
        <w:t xml:space="preserve"> La PPC provoca muertes en los animales adultos</w:t>
      </w:r>
      <w:r w:rsidR="0062127F">
        <w:rPr>
          <w:rFonts w:ascii="Times New Roman" w:hAnsi="Times New Roman" w:cs="Times New Roman"/>
        </w:rPr>
        <w:t xml:space="preserve"> y jóvenes </w:t>
      </w:r>
      <w:r w:rsidR="00F82572">
        <w:rPr>
          <w:rFonts w:ascii="Times New Roman" w:hAnsi="Times New Roman" w:cs="Times New Roman"/>
        </w:rPr>
        <w:t>así como</w:t>
      </w:r>
      <w:r w:rsidR="0062127F">
        <w:rPr>
          <w:rFonts w:ascii="Times New Roman" w:hAnsi="Times New Roman" w:cs="Times New Roman"/>
        </w:rPr>
        <w:t xml:space="preserve"> pérdidas de peso</w:t>
      </w:r>
      <w:r w:rsidR="00F82572">
        <w:rPr>
          <w:rFonts w:ascii="Times New Roman" w:hAnsi="Times New Roman" w:cs="Times New Roman"/>
        </w:rPr>
        <w:t xml:space="preserve"> </w:t>
      </w:r>
      <w:r w:rsidR="0062127F">
        <w:rPr>
          <w:rFonts w:ascii="Times New Roman" w:hAnsi="Times New Roman" w:cs="Times New Roman"/>
        </w:rPr>
        <w:t xml:space="preserve">del ganado enfermo y </w:t>
      </w:r>
      <w:r w:rsidR="00457B42">
        <w:rPr>
          <w:rFonts w:ascii="Times New Roman" w:hAnsi="Times New Roman" w:cs="Times New Roman"/>
        </w:rPr>
        <w:t xml:space="preserve">frecuentes </w:t>
      </w:r>
      <w:r w:rsidR="00F82572">
        <w:rPr>
          <w:rFonts w:ascii="Times New Roman" w:hAnsi="Times New Roman" w:cs="Times New Roman"/>
        </w:rPr>
        <w:t xml:space="preserve">problemas reproductivos en forma de abortos. </w:t>
      </w:r>
    </w:p>
    <w:p w:rsidR="00200DA7" w:rsidRDefault="00200DA7" w:rsidP="00200DA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t>El Teschen es una enfermedad nueva en Haití y con muy poca incidencia en el resto del mundo, por lo que se ha</w:t>
      </w:r>
      <w:r w:rsidR="007C7C46">
        <w:rPr>
          <w:rFonts w:ascii="Times New Roman" w:hAnsi="Times New Roman" w:cs="Times New Roman"/>
        </w:rPr>
        <w:t>n</w:t>
      </w:r>
      <w:r>
        <w:rPr>
          <w:rFonts w:ascii="Times New Roman" w:hAnsi="Times New Roman" w:cs="Times New Roman"/>
        </w:rPr>
        <w:t xml:space="preserve"> necesitado varios años para conseguir unas vacunas certificadas para su aplicación en el ganado porcino. </w:t>
      </w:r>
      <w:r w:rsidR="0062127F">
        <w:rPr>
          <w:rFonts w:ascii="Times New Roman" w:hAnsi="Times New Roman" w:cs="Times New Roman"/>
        </w:rPr>
        <w:t>A través de las acciones de sensibilización realizadas en paralelo con l</w:t>
      </w:r>
      <w:r>
        <w:rPr>
          <w:rFonts w:ascii="Times New Roman" w:hAnsi="Times New Roman" w:cs="Times New Roman"/>
        </w:rPr>
        <w:t>a</w:t>
      </w:r>
      <w:r w:rsidR="005466EC">
        <w:rPr>
          <w:rFonts w:ascii="Times New Roman" w:hAnsi="Times New Roman" w:cs="Times New Roman"/>
        </w:rPr>
        <w:t>s</w:t>
      </w:r>
      <w:r>
        <w:rPr>
          <w:rFonts w:ascii="Times New Roman" w:hAnsi="Times New Roman" w:cs="Times New Roman"/>
        </w:rPr>
        <w:t xml:space="preserve"> </w:t>
      </w:r>
      <w:r w:rsidR="005466EC">
        <w:rPr>
          <w:rFonts w:ascii="Times New Roman" w:hAnsi="Times New Roman" w:cs="Times New Roman"/>
        </w:rPr>
        <w:t xml:space="preserve">campañas de </w:t>
      </w:r>
      <w:r>
        <w:rPr>
          <w:rFonts w:ascii="Times New Roman" w:hAnsi="Times New Roman" w:cs="Times New Roman"/>
        </w:rPr>
        <w:t>vacuna</w:t>
      </w:r>
      <w:r w:rsidR="005466EC">
        <w:rPr>
          <w:rFonts w:ascii="Times New Roman" w:hAnsi="Times New Roman" w:cs="Times New Roman"/>
        </w:rPr>
        <w:t>ción</w:t>
      </w:r>
      <w:r w:rsidR="0078365F">
        <w:rPr>
          <w:rFonts w:ascii="Times New Roman" w:hAnsi="Times New Roman" w:cs="Times New Roman"/>
        </w:rPr>
        <w:t xml:space="preserve"> de la PPC y el Teschen</w:t>
      </w:r>
      <w:r w:rsidR="0062127F">
        <w:rPr>
          <w:rFonts w:ascii="Times New Roman" w:hAnsi="Times New Roman" w:cs="Times New Roman"/>
        </w:rPr>
        <w:t>,</w:t>
      </w:r>
      <w:r>
        <w:rPr>
          <w:rFonts w:ascii="Times New Roman" w:hAnsi="Times New Roman" w:cs="Times New Roman"/>
        </w:rPr>
        <w:t xml:space="preserve"> </w:t>
      </w:r>
      <w:r w:rsidR="0062127F">
        <w:rPr>
          <w:rFonts w:ascii="Times New Roman" w:hAnsi="Times New Roman" w:cs="Times New Roman"/>
        </w:rPr>
        <w:t xml:space="preserve">se podrá </w:t>
      </w:r>
      <w:r>
        <w:rPr>
          <w:rFonts w:ascii="Times New Roman" w:hAnsi="Times New Roman" w:cs="Times New Roman"/>
        </w:rPr>
        <w:t xml:space="preserve">concienciar a los ganaderos </w:t>
      </w:r>
      <w:r w:rsidR="0062127F">
        <w:rPr>
          <w:rFonts w:ascii="Times New Roman" w:hAnsi="Times New Roman" w:cs="Times New Roman"/>
        </w:rPr>
        <w:t xml:space="preserve">sobre </w:t>
      </w:r>
      <w:r>
        <w:rPr>
          <w:rFonts w:ascii="Times New Roman" w:hAnsi="Times New Roman" w:cs="Times New Roman"/>
        </w:rPr>
        <w:t>los perjuicios de la enfermedad</w:t>
      </w:r>
      <w:r w:rsidR="00457B42">
        <w:rPr>
          <w:rFonts w:ascii="Times New Roman" w:hAnsi="Times New Roman" w:cs="Times New Roman"/>
        </w:rPr>
        <w:t xml:space="preserve">, </w:t>
      </w:r>
      <w:r w:rsidR="0062127F">
        <w:rPr>
          <w:rFonts w:ascii="Times New Roman" w:hAnsi="Times New Roman" w:cs="Times New Roman"/>
        </w:rPr>
        <w:t xml:space="preserve">de su </w:t>
      </w:r>
      <w:r w:rsidR="00457B42">
        <w:rPr>
          <w:rFonts w:ascii="Times New Roman" w:hAnsi="Times New Roman" w:cs="Times New Roman"/>
        </w:rPr>
        <w:t xml:space="preserve">riesgo de contagio, </w:t>
      </w:r>
      <w:r>
        <w:rPr>
          <w:rFonts w:ascii="Times New Roman" w:hAnsi="Times New Roman" w:cs="Times New Roman"/>
        </w:rPr>
        <w:t xml:space="preserve">así como </w:t>
      </w:r>
      <w:r w:rsidR="00457B42">
        <w:rPr>
          <w:rFonts w:ascii="Times New Roman" w:hAnsi="Times New Roman" w:cs="Times New Roman"/>
        </w:rPr>
        <w:t xml:space="preserve">de </w:t>
      </w:r>
      <w:r>
        <w:rPr>
          <w:rFonts w:ascii="Times New Roman" w:hAnsi="Times New Roman" w:cs="Times New Roman"/>
        </w:rPr>
        <w:t>los beneficios de la vacunación.</w:t>
      </w:r>
    </w:p>
    <w:p w:rsidR="00200DA7" w:rsidRDefault="00200DA7" w:rsidP="00200DA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lastRenderedPageBreak/>
        <w:t xml:space="preserve">La </w:t>
      </w:r>
      <w:r w:rsidR="007C7C46">
        <w:rPr>
          <w:rFonts w:ascii="Times New Roman" w:hAnsi="Times New Roman" w:cs="Times New Roman"/>
        </w:rPr>
        <w:t>M</w:t>
      </w:r>
      <w:r>
        <w:rPr>
          <w:rFonts w:ascii="Times New Roman" w:hAnsi="Times New Roman" w:cs="Times New Roman"/>
        </w:rPr>
        <w:t xml:space="preserve">osca de la </w:t>
      </w:r>
      <w:r w:rsidR="007C7C46">
        <w:rPr>
          <w:rFonts w:ascii="Times New Roman" w:hAnsi="Times New Roman" w:cs="Times New Roman"/>
        </w:rPr>
        <w:t>F</w:t>
      </w:r>
      <w:r>
        <w:rPr>
          <w:rFonts w:ascii="Times New Roman" w:hAnsi="Times New Roman" w:cs="Times New Roman"/>
        </w:rPr>
        <w:t xml:space="preserve">ruta es bien conocida y </w:t>
      </w:r>
      <w:r w:rsidR="005466EC">
        <w:rPr>
          <w:rFonts w:ascii="Times New Roman" w:hAnsi="Times New Roman" w:cs="Times New Roman"/>
        </w:rPr>
        <w:t xml:space="preserve">en Haití </w:t>
      </w:r>
      <w:r>
        <w:rPr>
          <w:rFonts w:ascii="Times New Roman" w:hAnsi="Times New Roman" w:cs="Times New Roman"/>
        </w:rPr>
        <w:t xml:space="preserve">se </w:t>
      </w:r>
      <w:r w:rsidR="005466EC">
        <w:rPr>
          <w:rFonts w:ascii="Times New Roman" w:hAnsi="Times New Roman" w:cs="Times New Roman"/>
        </w:rPr>
        <w:t xml:space="preserve">está </w:t>
      </w:r>
      <w:r>
        <w:rPr>
          <w:rFonts w:ascii="Times New Roman" w:hAnsi="Times New Roman" w:cs="Times New Roman"/>
        </w:rPr>
        <w:t>utiliza</w:t>
      </w:r>
      <w:r w:rsidR="005466EC">
        <w:rPr>
          <w:rFonts w:ascii="Times New Roman" w:hAnsi="Times New Roman" w:cs="Times New Roman"/>
        </w:rPr>
        <w:t>ndo</w:t>
      </w:r>
      <w:r>
        <w:rPr>
          <w:rFonts w:ascii="Times New Roman" w:hAnsi="Times New Roman" w:cs="Times New Roman"/>
        </w:rPr>
        <w:t xml:space="preserve"> actualmente</w:t>
      </w:r>
      <w:r w:rsidR="005466EC">
        <w:rPr>
          <w:rFonts w:ascii="Times New Roman" w:hAnsi="Times New Roman" w:cs="Times New Roman"/>
        </w:rPr>
        <w:t>, en colaboración con el USDA,</w:t>
      </w:r>
      <w:r>
        <w:rPr>
          <w:rFonts w:ascii="Times New Roman" w:hAnsi="Times New Roman" w:cs="Times New Roman"/>
        </w:rPr>
        <w:t xml:space="preserve"> </w:t>
      </w:r>
      <w:r w:rsidR="007C7C46">
        <w:rPr>
          <w:rFonts w:ascii="Times New Roman" w:hAnsi="Times New Roman" w:cs="Times New Roman"/>
        </w:rPr>
        <w:t xml:space="preserve">un </w:t>
      </w:r>
      <w:r>
        <w:rPr>
          <w:rFonts w:ascii="Times New Roman" w:hAnsi="Times New Roman" w:cs="Times New Roman"/>
        </w:rPr>
        <w:t xml:space="preserve">mecanismo de detección y monitoreo obligatorio para que los productores </w:t>
      </w:r>
      <w:r w:rsidR="0078365F">
        <w:rPr>
          <w:rFonts w:ascii="Times New Roman" w:hAnsi="Times New Roman" w:cs="Times New Roman"/>
        </w:rPr>
        <w:t xml:space="preserve">tengan acceso a la venta de </w:t>
      </w:r>
      <w:r>
        <w:rPr>
          <w:rFonts w:ascii="Times New Roman" w:hAnsi="Times New Roman" w:cs="Times New Roman"/>
        </w:rPr>
        <w:t>sus cosechas de mango a las plantas</w:t>
      </w:r>
      <w:r w:rsidR="0078365F">
        <w:rPr>
          <w:rFonts w:ascii="Times New Roman" w:hAnsi="Times New Roman" w:cs="Times New Roman"/>
        </w:rPr>
        <w:t xml:space="preserve"> de tratamiento y embalaje </w:t>
      </w:r>
      <w:r>
        <w:rPr>
          <w:rFonts w:ascii="Times New Roman" w:hAnsi="Times New Roman" w:cs="Times New Roman"/>
        </w:rPr>
        <w:t xml:space="preserve">para </w:t>
      </w:r>
      <w:r w:rsidR="0062127F">
        <w:rPr>
          <w:rFonts w:ascii="Times New Roman" w:hAnsi="Times New Roman" w:cs="Times New Roman"/>
        </w:rPr>
        <w:t xml:space="preserve">su </w:t>
      </w:r>
      <w:r>
        <w:rPr>
          <w:rFonts w:ascii="Times New Roman" w:hAnsi="Times New Roman" w:cs="Times New Roman"/>
        </w:rPr>
        <w:t xml:space="preserve">exportación. </w:t>
      </w:r>
      <w:r w:rsidR="00EA2966">
        <w:rPr>
          <w:rFonts w:ascii="Times New Roman" w:hAnsi="Times New Roman" w:cs="Times New Roman"/>
        </w:rPr>
        <w:t xml:space="preserve">Los niveles de rechazo </w:t>
      </w:r>
      <w:r w:rsidR="001F6C0F">
        <w:rPr>
          <w:rFonts w:ascii="Times New Roman" w:hAnsi="Times New Roman" w:cs="Times New Roman"/>
        </w:rPr>
        <w:t xml:space="preserve">por la </w:t>
      </w:r>
      <w:r w:rsidR="00457B42">
        <w:rPr>
          <w:rFonts w:ascii="Times New Roman" w:hAnsi="Times New Roman" w:cs="Times New Roman"/>
        </w:rPr>
        <w:t xml:space="preserve">mosca de la fruta </w:t>
      </w:r>
      <w:r w:rsidR="00EA2966">
        <w:rPr>
          <w:rFonts w:ascii="Times New Roman" w:hAnsi="Times New Roman" w:cs="Times New Roman"/>
        </w:rPr>
        <w:t xml:space="preserve">son actualmente </w:t>
      </w:r>
      <w:r w:rsidR="00457B42">
        <w:rPr>
          <w:rFonts w:ascii="Times New Roman" w:hAnsi="Times New Roman" w:cs="Times New Roman"/>
        </w:rPr>
        <w:t xml:space="preserve">de más </w:t>
      </w:r>
      <w:r w:rsidR="00EA2966">
        <w:rPr>
          <w:rFonts w:ascii="Times New Roman" w:hAnsi="Times New Roman" w:cs="Times New Roman"/>
        </w:rPr>
        <w:t>de</w:t>
      </w:r>
      <w:r w:rsidR="00457B42">
        <w:rPr>
          <w:rFonts w:ascii="Times New Roman" w:hAnsi="Times New Roman" w:cs="Times New Roman"/>
        </w:rPr>
        <w:t>l</w:t>
      </w:r>
      <w:r w:rsidR="00EA2966">
        <w:rPr>
          <w:rFonts w:ascii="Times New Roman" w:hAnsi="Times New Roman" w:cs="Times New Roman"/>
        </w:rPr>
        <w:t xml:space="preserve"> 7</w:t>
      </w:r>
      <w:r w:rsidR="0078365F">
        <w:rPr>
          <w:rFonts w:ascii="Times New Roman" w:hAnsi="Times New Roman" w:cs="Times New Roman"/>
        </w:rPr>
        <w:t>,6</w:t>
      </w:r>
      <w:r w:rsidR="00EA2966">
        <w:rPr>
          <w:rFonts w:ascii="Times New Roman" w:hAnsi="Times New Roman" w:cs="Times New Roman"/>
        </w:rPr>
        <w:t xml:space="preserve">% de los mangos recibidos en las plantas de tratamiento. </w:t>
      </w:r>
      <w:r>
        <w:rPr>
          <w:rFonts w:ascii="Times New Roman" w:hAnsi="Times New Roman" w:cs="Times New Roman"/>
        </w:rPr>
        <w:t>El Programa incluirá la puesta en marcha de u</w:t>
      </w:r>
      <w:r w:rsidR="007C7C46">
        <w:rPr>
          <w:rFonts w:ascii="Times New Roman" w:hAnsi="Times New Roman" w:cs="Times New Roman"/>
        </w:rPr>
        <w:t xml:space="preserve">n </w:t>
      </w:r>
      <w:r w:rsidR="005466EC">
        <w:rPr>
          <w:rFonts w:ascii="Times New Roman" w:hAnsi="Times New Roman" w:cs="Times New Roman"/>
        </w:rPr>
        <w:t xml:space="preserve">proyecto piloto para la implementación de un </w:t>
      </w:r>
      <w:r w:rsidR="007C7C46">
        <w:rPr>
          <w:rFonts w:ascii="Times New Roman" w:hAnsi="Times New Roman" w:cs="Times New Roman"/>
        </w:rPr>
        <w:t>mecanismo de control</w:t>
      </w:r>
      <w:r w:rsidR="0078365F">
        <w:rPr>
          <w:rFonts w:ascii="Times New Roman" w:hAnsi="Times New Roman" w:cs="Times New Roman"/>
        </w:rPr>
        <w:t xml:space="preserve"> en las zonas de mayor infestación</w:t>
      </w:r>
      <w:r w:rsidR="005466EC">
        <w:rPr>
          <w:rFonts w:ascii="Times New Roman" w:hAnsi="Times New Roman" w:cs="Times New Roman"/>
        </w:rPr>
        <w:t xml:space="preserve">, </w:t>
      </w:r>
      <w:r w:rsidR="007C7C46">
        <w:rPr>
          <w:rFonts w:ascii="Times New Roman" w:hAnsi="Times New Roman" w:cs="Times New Roman"/>
        </w:rPr>
        <w:t>orientado a combatir y disminuir la población de moscas</w:t>
      </w:r>
      <w:r w:rsidR="005466EC">
        <w:rPr>
          <w:rFonts w:ascii="Times New Roman" w:hAnsi="Times New Roman" w:cs="Times New Roman"/>
        </w:rPr>
        <w:t>,</w:t>
      </w:r>
      <w:r w:rsidR="007C7C46">
        <w:rPr>
          <w:rFonts w:ascii="Times New Roman" w:hAnsi="Times New Roman" w:cs="Times New Roman"/>
        </w:rPr>
        <w:t xml:space="preserve"> </w:t>
      </w:r>
      <w:r w:rsidR="005466EC">
        <w:rPr>
          <w:rFonts w:ascii="Times New Roman" w:hAnsi="Times New Roman" w:cs="Times New Roman"/>
        </w:rPr>
        <w:t xml:space="preserve">con el objetivo de </w:t>
      </w:r>
      <w:r>
        <w:rPr>
          <w:rFonts w:ascii="Times New Roman" w:hAnsi="Times New Roman" w:cs="Times New Roman"/>
        </w:rPr>
        <w:t xml:space="preserve">disminuir al máximo el volumen de mango rechazado por la presencia de la </w:t>
      </w:r>
      <w:r w:rsidR="007C7C46">
        <w:rPr>
          <w:rFonts w:ascii="Times New Roman" w:hAnsi="Times New Roman" w:cs="Times New Roman"/>
        </w:rPr>
        <w:t xml:space="preserve">mosca o su </w:t>
      </w:r>
      <w:r>
        <w:rPr>
          <w:rFonts w:ascii="Times New Roman" w:hAnsi="Times New Roman" w:cs="Times New Roman"/>
        </w:rPr>
        <w:t>larva</w:t>
      </w:r>
      <w:r w:rsidR="00457B42">
        <w:rPr>
          <w:rFonts w:ascii="Times New Roman" w:hAnsi="Times New Roman" w:cs="Times New Roman"/>
        </w:rPr>
        <w:t xml:space="preserve"> y</w:t>
      </w:r>
      <w:r w:rsidR="0078365F">
        <w:rPr>
          <w:rFonts w:ascii="Times New Roman" w:hAnsi="Times New Roman" w:cs="Times New Roman"/>
        </w:rPr>
        <w:t xml:space="preserve"> </w:t>
      </w:r>
      <w:r w:rsidR="00457B42">
        <w:rPr>
          <w:rFonts w:ascii="Times New Roman" w:hAnsi="Times New Roman" w:cs="Times New Roman"/>
        </w:rPr>
        <w:t>aumentar el volumen de mango exportado</w:t>
      </w:r>
      <w:r>
        <w:rPr>
          <w:rFonts w:ascii="Times New Roman" w:hAnsi="Times New Roman" w:cs="Times New Roman"/>
        </w:rPr>
        <w:t>.</w:t>
      </w:r>
    </w:p>
    <w:p w:rsidR="00200DA7" w:rsidRDefault="00200DA7" w:rsidP="00200DA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t xml:space="preserve">La </w:t>
      </w:r>
      <w:r w:rsidR="007C7C46">
        <w:rPr>
          <w:rFonts w:ascii="Times New Roman" w:hAnsi="Times New Roman" w:cs="Times New Roman"/>
        </w:rPr>
        <w:t>H</w:t>
      </w:r>
      <w:r>
        <w:rPr>
          <w:rFonts w:ascii="Times New Roman" w:hAnsi="Times New Roman" w:cs="Times New Roman"/>
        </w:rPr>
        <w:t xml:space="preserve">ormiga </w:t>
      </w:r>
      <w:r w:rsidR="007C7C46">
        <w:rPr>
          <w:rFonts w:ascii="Times New Roman" w:hAnsi="Times New Roman" w:cs="Times New Roman"/>
        </w:rPr>
        <w:t>L</w:t>
      </w:r>
      <w:r>
        <w:rPr>
          <w:rFonts w:ascii="Times New Roman" w:hAnsi="Times New Roman" w:cs="Times New Roman"/>
        </w:rPr>
        <w:t xml:space="preserve">oca es un fenómeno </w:t>
      </w:r>
      <w:r w:rsidR="007C7C46">
        <w:rPr>
          <w:rFonts w:ascii="Times New Roman" w:hAnsi="Times New Roman" w:cs="Times New Roman"/>
        </w:rPr>
        <w:t xml:space="preserve">relativamente </w:t>
      </w:r>
      <w:r>
        <w:rPr>
          <w:rFonts w:ascii="Times New Roman" w:hAnsi="Times New Roman" w:cs="Times New Roman"/>
        </w:rPr>
        <w:t xml:space="preserve">reciente y sobre el que no existe un conocimiento técnico </w:t>
      </w:r>
      <w:r w:rsidR="007C7C46">
        <w:rPr>
          <w:rFonts w:ascii="Times New Roman" w:hAnsi="Times New Roman" w:cs="Times New Roman"/>
        </w:rPr>
        <w:t xml:space="preserve">profundo en cuanto a su incidencia en la producción </w:t>
      </w:r>
      <w:r w:rsidR="00457B42">
        <w:rPr>
          <w:rFonts w:ascii="Times New Roman" w:hAnsi="Times New Roman" w:cs="Times New Roman"/>
        </w:rPr>
        <w:t>agropecuaria</w:t>
      </w:r>
      <w:r>
        <w:rPr>
          <w:rFonts w:ascii="Times New Roman" w:hAnsi="Times New Roman" w:cs="Times New Roman"/>
        </w:rPr>
        <w:t xml:space="preserve">. Durante la </w:t>
      </w:r>
      <w:r w:rsidR="007C7C46">
        <w:rPr>
          <w:rFonts w:ascii="Times New Roman" w:hAnsi="Times New Roman" w:cs="Times New Roman"/>
        </w:rPr>
        <w:t xml:space="preserve">Misión de Orientación </w:t>
      </w:r>
      <w:r>
        <w:rPr>
          <w:rFonts w:ascii="Times New Roman" w:hAnsi="Times New Roman" w:cs="Times New Roman"/>
        </w:rPr>
        <w:t>del Programa</w:t>
      </w:r>
      <w:r w:rsidR="007C7C46">
        <w:rPr>
          <w:rFonts w:ascii="Times New Roman" w:hAnsi="Times New Roman" w:cs="Times New Roman"/>
        </w:rPr>
        <w:t>,</w:t>
      </w:r>
      <w:r>
        <w:rPr>
          <w:rFonts w:ascii="Times New Roman" w:hAnsi="Times New Roman" w:cs="Times New Roman"/>
        </w:rPr>
        <w:t xml:space="preserve"> se puso en marcha la recogida de datos de campo a través de entrevistas en las zonas afectadas, para determinar la</w:t>
      </w:r>
      <w:r w:rsidR="00D22A34">
        <w:rPr>
          <w:rFonts w:ascii="Times New Roman" w:hAnsi="Times New Roman" w:cs="Times New Roman"/>
        </w:rPr>
        <w:t>s</w:t>
      </w:r>
      <w:r>
        <w:rPr>
          <w:rFonts w:ascii="Times New Roman" w:hAnsi="Times New Roman" w:cs="Times New Roman"/>
        </w:rPr>
        <w:t xml:space="preserve"> </w:t>
      </w:r>
      <w:r w:rsidR="00D22A34">
        <w:rPr>
          <w:rFonts w:ascii="Times New Roman" w:hAnsi="Times New Roman" w:cs="Times New Roman"/>
        </w:rPr>
        <w:t xml:space="preserve">características de esta plaga y la </w:t>
      </w:r>
      <w:r>
        <w:rPr>
          <w:rFonts w:ascii="Times New Roman" w:hAnsi="Times New Roman" w:cs="Times New Roman"/>
        </w:rPr>
        <w:t xml:space="preserve">magnitud   </w:t>
      </w:r>
      <w:r w:rsidR="00D22A34">
        <w:rPr>
          <w:rFonts w:ascii="Times New Roman" w:hAnsi="Times New Roman" w:cs="Times New Roman"/>
        </w:rPr>
        <w:t xml:space="preserve">de </w:t>
      </w:r>
      <w:r>
        <w:rPr>
          <w:rFonts w:ascii="Times New Roman" w:hAnsi="Times New Roman" w:cs="Times New Roman"/>
        </w:rPr>
        <w:t>sus perjuicios sobre las cosechas y la población local.</w:t>
      </w:r>
      <w:r w:rsidR="005466EC">
        <w:rPr>
          <w:rFonts w:ascii="Times New Roman" w:hAnsi="Times New Roman" w:cs="Times New Roman"/>
        </w:rPr>
        <w:t xml:space="preserve"> Los resultados arrojaron datos significativos sobre el nivel de pérdidas </w:t>
      </w:r>
      <w:r w:rsidR="00457B42">
        <w:rPr>
          <w:rFonts w:ascii="Times New Roman" w:hAnsi="Times New Roman" w:cs="Times New Roman"/>
        </w:rPr>
        <w:t xml:space="preserve">causadas </w:t>
      </w:r>
      <w:r w:rsidR="005466EC">
        <w:rPr>
          <w:rFonts w:ascii="Times New Roman" w:hAnsi="Times New Roman" w:cs="Times New Roman"/>
        </w:rPr>
        <w:t>por la plaga.</w:t>
      </w:r>
    </w:p>
    <w:p w:rsidR="00200DA7" w:rsidRDefault="00200DA7" w:rsidP="00200DA7">
      <w:pPr>
        <w:jc w:val="both"/>
        <w:rPr>
          <w:rFonts w:ascii="Times New Roman" w:hAnsi="Times New Roman" w:cs="Times New Roman"/>
        </w:rPr>
      </w:pPr>
    </w:p>
    <w:p w:rsidR="00306C59" w:rsidRPr="00BB13A5" w:rsidRDefault="00306C59" w:rsidP="00306C59">
      <w:pPr>
        <w:pStyle w:val="Heading2"/>
        <w:spacing w:before="0" w:line="240" w:lineRule="auto"/>
        <w:jc w:val="both"/>
        <w:rPr>
          <w:rFonts w:ascii="Times New Roman" w:hAnsi="Times New Roman" w:cs="Times New Roman"/>
          <w:i/>
          <w:color w:val="auto"/>
          <w:sz w:val="22"/>
        </w:rPr>
      </w:pPr>
      <w:bookmarkStart w:id="7" w:name="_Toc352781190"/>
      <w:bookmarkStart w:id="8" w:name="_Toc352781259"/>
      <w:bookmarkStart w:id="9" w:name="_Toc352832524"/>
      <w:bookmarkStart w:id="10" w:name="_Toc352839707"/>
      <w:bookmarkStart w:id="11" w:name="_Toc353793048"/>
      <w:bookmarkStart w:id="12" w:name="_Toc353793928"/>
      <w:bookmarkStart w:id="13" w:name="_Toc380171563"/>
      <w:bookmarkStart w:id="14" w:name="_Toc386887939"/>
      <w:r w:rsidRPr="00AF59CE">
        <w:rPr>
          <w:rFonts w:ascii="Times New Roman" w:hAnsi="Times New Roman" w:cs="Times New Roman"/>
          <w:i/>
          <w:color w:val="auto"/>
          <w:sz w:val="22"/>
        </w:rPr>
        <w:t>Planteamiento metodológico general</w:t>
      </w:r>
      <w:bookmarkEnd w:id="7"/>
      <w:bookmarkEnd w:id="8"/>
      <w:bookmarkEnd w:id="9"/>
      <w:bookmarkEnd w:id="10"/>
      <w:bookmarkEnd w:id="11"/>
      <w:bookmarkEnd w:id="12"/>
      <w:bookmarkEnd w:id="13"/>
      <w:bookmarkEnd w:id="14"/>
    </w:p>
    <w:p w:rsidR="00306C59" w:rsidRDefault="00306C59" w:rsidP="00744CD0">
      <w:pPr>
        <w:jc w:val="both"/>
        <w:rPr>
          <w:rFonts w:ascii="Times New Roman" w:hAnsi="Times New Roman" w:cs="Times New Roman"/>
        </w:rPr>
      </w:pPr>
    </w:p>
    <w:p w:rsidR="007B6033" w:rsidRDefault="00C52278" w:rsidP="004639E8">
      <w:pPr>
        <w:pStyle w:val="ListParagraph"/>
        <w:numPr>
          <w:ilvl w:val="1"/>
          <w:numId w:val="15"/>
        </w:numPr>
        <w:ind w:hanging="578"/>
        <w:jc w:val="both"/>
        <w:rPr>
          <w:rFonts w:ascii="Times New Roman" w:hAnsi="Times New Roman" w:cs="Times New Roman"/>
        </w:rPr>
      </w:pPr>
      <w:r w:rsidRPr="00C52278">
        <w:rPr>
          <w:rFonts w:ascii="Times New Roman" w:hAnsi="Times New Roman" w:cs="Times New Roman"/>
        </w:rPr>
        <w:t xml:space="preserve">La evaluación económica se </w:t>
      </w:r>
      <w:r w:rsidR="00306C59">
        <w:rPr>
          <w:rFonts w:ascii="Times New Roman" w:hAnsi="Times New Roman" w:cs="Times New Roman"/>
        </w:rPr>
        <w:t>ha concentrado</w:t>
      </w:r>
      <w:r w:rsidRPr="00C52278">
        <w:rPr>
          <w:rFonts w:ascii="Times New Roman" w:hAnsi="Times New Roman" w:cs="Times New Roman"/>
        </w:rPr>
        <w:t xml:space="preserve"> en aquellos componentes cuyos efectos</w:t>
      </w:r>
      <w:r>
        <w:rPr>
          <w:rFonts w:ascii="Times New Roman" w:hAnsi="Times New Roman" w:cs="Times New Roman"/>
        </w:rPr>
        <w:t xml:space="preserve"> económicos</w:t>
      </w:r>
      <w:r w:rsidRPr="00C52278">
        <w:rPr>
          <w:rFonts w:ascii="Times New Roman" w:hAnsi="Times New Roman" w:cs="Times New Roman"/>
        </w:rPr>
        <w:t xml:space="preserve"> </w:t>
      </w:r>
      <w:r w:rsidR="00457B42">
        <w:rPr>
          <w:rFonts w:ascii="Times New Roman" w:hAnsi="Times New Roman" w:cs="Times New Roman"/>
        </w:rPr>
        <w:t xml:space="preserve">son </w:t>
      </w:r>
      <w:r w:rsidR="00C57E15">
        <w:rPr>
          <w:rFonts w:ascii="Times New Roman" w:hAnsi="Times New Roman" w:cs="Times New Roman"/>
        </w:rPr>
        <w:t xml:space="preserve">identificables y </w:t>
      </w:r>
      <w:r>
        <w:rPr>
          <w:rFonts w:ascii="Times New Roman" w:hAnsi="Times New Roman" w:cs="Times New Roman"/>
        </w:rPr>
        <w:t xml:space="preserve">directamente </w:t>
      </w:r>
      <w:r w:rsidRPr="00C52278">
        <w:rPr>
          <w:rFonts w:ascii="Times New Roman" w:hAnsi="Times New Roman" w:cs="Times New Roman"/>
        </w:rPr>
        <w:t>atribuibles al P</w:t>
      </w:r>
      <w:r>
        <w:rPr>
          <w:rFonts w:ascii="Times New Roman" w:hAnsi="Times New Roman" w:cs="Times New Roman"/>
        </w:rPr>
        <w:t>rograma</w:t>
      </w:r>
      <w:r w:rsidRPr="00C52278">
        <w:rPr>
          <w:rFonts w:ascii="Times New Roman" w:hAnsi="Times New Roman" w:cs="Times New Roman"/>
        </w:rPr>
        <w:t>, mediante relaci</w:t>
      </w:r>
      <w:r>
        <w:rPr>
          <w:rFonts w:ascii="Times New Roman" w:hAnsi="Times New Roman" w:cs="Times New Roman"/>
        </w:rPr>
        <w:t>ones</w:t>
      </w:r>
      <w:r w:rsidR="0018595D">
        <w:rPr>
          <w:rFonts w:ascii="Times New Roman" w:hAnsi="Times New Roman" w:cs="Times New Roman"/>
        </w:rPr>
        <w:t xml:space="preserve"> </w:t>
      </w:r>
      <w:r>
        <w:rPr>
          <w:rFonts w:ascii="Times New Roman" w:hAnsi="Times New Roman" w:cs="Times New Roman"/>
        </w:rPr>
        <w:t>causa-efecto</w:t>
      </w:r>
      <w:r w:rsidRPr="00C52278">
        <w:rPr>
          <w:rFonts w:ascii="Times New Roman" w:hAnsi="Times New Roman" w:cs="Times New Roman"/>
        </w:rPr>
        <w:t xml:space="preserve"> </w:t>
      </w:r>
      <w:r w:rsidR="00E360DC">
        <w:rPr>
          <w:rFonts w:ascii="Times New Roman" w:hAnsi="Times New Roman" w:cs="Times New Roman"/>
        </w:rPr>
        <w:t xml:space="preserve">suficientemente </w:t>
      </w:r>
      <w:r w:rsidR="0018595D">
        <w:rPr>
          <w:rFonts w:ascii="Times New Roman" w:hAnsi="Times New Roman" w:cs="Times New Roman"/>
        </w:rPr>
        <w:t>definidas</w:t>
      </w:r>
      <w:r w:rsidRPr="00C52278">
        <w:rPr>
          <w:rFonts w:ascii="Times New Roman" w:hAnsi="Times New Roman" w:cs="Times New Roman"/>
        </w:rPr>
        <w:t xml:space="preserve">, y que </w:t>
      </w:r>
      <w:r w:rsidR="00306C59">
        <w:rPr>
          <w:rFonts w:ascii="Times New Roman" w:hAnsi="Times New Roman" w:cs="Times New Roman"/>
        </w:rPr>
        <w:t>han permitido</w:t>
      </w:r>
      <w:r w:rsidRPr="00C52278">
        <w:rPr>
          <w:rFonts w:ascii="Times New Roman" w:hAnsi="Times New Roman" w:cs="Times New Roman"/>
        </w:rPr>
        <w:t xml:space="preserve"> una mejor cuantificación de </w:t>
      </w:r>
      <w:r w:rsidR="00C57E15">
        <w:rPr>
          <w:rFonts w:ascii="Times New Roman" w:hAnsi="Times New Roman" w:cs="Times New Roman"/>
        </w:rPr>
        <w:t>estos efectos</w:t>
      </w:r>
      <w:r w:rsidR="0018595D">
        <w:rPr>
          <w:rFonts w:ascii="Times New Roman" w:hAnsi="Times New Roman" w:cs="Times New Roman"/>
        </w:rPr>
        <w:t xml:space="preserve">. Esto </w:t>
      </w:r>
      <w:r w:rsidR="00306C59">
        <w:rPr>
          <w:rFonts w:ascii="Times New Roman" w:hAnsi="Times New Roman" w:cs="Times New Roman"/>
        </w:rPr>
        <w:t>ha dependido</w:t>
      </w:r>
      <w:r w:rsidR="00006AF5">
        <w:rPr>
          <w:rFonts w:ascii="Times New Roman" w:hAnsi="Times New Roman" w:cs="Times New Roman"/>
        </w:rPr>
        <w:t>,</w:t>
      </w:r>
      <w:r w:rsidR="0018595D">
        <w:rPr>
          <w:rFonts w:ascii="Times New Roman" w:hAnsi="Times New Roman" w:cs="Times New Roman"/>
        </w:rPr>
        <w:t xml:space="preserve"> </w:t>
      </w:r>
      <w:r w:rsidR="00006AF5">
        <w:rPr>
          <w:rFonts w:ascii="Times New Roman" w:hAnsi="Times New Roman" w:cs="Times New Roman"/>
        </w:rPr>
        <w:t xml:space="preserve">entre otros factores, </w:t>
      </w:r>
      <w:r w:rsidR="0018595D">
        <w:rPr>
          <w:rFonts w:ascii="Times New Roman" w:hAnsi="Times New Roman" w:cs="Times New Roman"/>
        </w:rPr>
        <w:t>de</w:t>
      </w:r>
      <w:r w:rsidRPr="00C52278">
        <w:rPr>
          <w:rFonts w:ascii="Times New Roman" w:hAnsi="Times New Roman" w:cs="Times New Roman"/>
        </w:rPr>
        <w:t xml:space="preserve"> la disponibilidad de los datos e información necesarios</w:t>
      </w:r>
      <w:r w:rsidR="00100274">
        <w:rPr>
          <w:rFonts w:ascii="Times New Roman" w:hAnsi="Times New Roman" w:cs="Times New Roman"/>
        </w:rPr>
        <w:t xml:space="preserve"> para su realización</w:t>
      </w:r>
      <w:r w:rsidR="008943F8">
        <w:rPr>
          <w:rFonts w:ascii="Times New Roman" w:hAnsi="Times New Roman" w:cs="Times New Roman"/>
        </w:rPr>
        <w:t>.</w:t>
      </w:r>
    </w:p>
    <w:p w:rsidR="00006AF5" w:rsidRDefault="00006AF5" w:rsidP="00744CD0">
      <w:pPr>
        <w:jc w:val="both"/>
        <w:rPr>
          <w:rFonts w:ascii="Times New Roman" w:hAnsi="Times New Roman" w:cs="Times New Roman"/>
        </w:rPr>
      </w:pPr>
    </w:p>
    <w:p w:rsidR="00006AF5" w:rsidRDefault="007C7C46" w:rsidP="004639E8">
      <w:pPr>
        <w:pStyle w:val="ListParagraph"/>
        <w:numPr>
          <w:ilvl w:val="1"/>
          <w:numId w:val="15"/>
        </w:numPr>
        <w:ind w:hanging="578"/>
        <w:jc w:val="both"/>
        <w:rPr>
          <w:rFonts w:ascii="Times New Roman" w:hAnsi="Times New Roman" w:cs="Times New Roman"/>
        </w:rPr>
      </w:pPr>
      <w:r>
        <w:rPr>
          <w:rFonts w:ascii="Times New Roman" w:hAnsi="Times New Roman" w:cs="Times New Roman"/>
        </w:rPr>
        <w:t>S</w:t>
      </w:r>
      <w:r w:rsidR="00306C59">
        <w:rPr>
          <w:rFonts w:ascii="Times New Roman" w:hAnsi="Times New Roman" w:cs="Times New Roman"/>
        </w:rPr>
        <w:t xml:space="preserve">i bien la distinción en </w:t>
      </w:r>
      <w:r>
        <w:rPr>
          <w:rFonts w:ascii="Times New Roman" w:hAnsi="Times New Roman" w:cs="Times New Roman"/>
        </w:rPr>
        <w:t xml:space="preserve">el </w:t>
      </w:r>
      <w:r w:rsidR="00306C59">
        <w:rPr>
          <w:rFonts w:ascii="Times New Roman" w:hAnsi="Times New Roman" w:cs="Times New Roman"/>
        </w:rPr>
        <w:t xml:space="preserve">diseño </w:t>
      </w:r>
      <w:r>
        <w:rPr>
          <w:rFonts w:ascii="Times New Roman" w:hAnsi="Times New Roman" w:cs="Times New Roman"/>
        </w:rPr>
        <w:t xml:space="preserve">de los 4 componentes </w:t>
      </w:r>
      <w:r w:rsidR="00306C59">
        <w:rPr>
          <w:rFonts w:ascii="Times New Roman" w:hAnsi="Times New Roman" w:cs="Times New Roman"/>
        </w:rPr>
        <w:t>del Programa se justifica desde un</w:t>
      </w:r>
      <w:r w:rsidR="00BE4F5C">
        <w:rPr>
          <w:rFonts w:ascii="Times New Roman" w:hAnsi="Times New Roman" w:cs="Times New Roman"/>
        </w:rPr>
        <w:t>a</w:t>
      </w:r>
      <w:r w:rsidR="00306C59">
        <w:rPr>
          <w:rFonts w:ascii="Times New Roman" w:hAnsi="Times New Roman" w:cs="Times New Roman"/>
        </w:rPr>
        <w:t xml:space="preserve"> </w:t>
      </w:r>
      <w:r w:rsidR="00BE4F5C">
        <w:rPr>
          <w:rFonts w:ascii="Times New Roman" w:hAnsi="Times New Roman" w:cs="Times New Roman"/>
        </w:rPr>
        <w:t xml:space="preserve">perspectiva </w:t>
      </w:r>
      <w:r w:rsidR="00396739">
        <w:rPr>
          <w:rFonts w:ascii="Times New Roman" w:hAnsi="Times New Roman" w:cs="Times New Roman"/>
        </w:rPr>
        <w:t>de la estructura</w:t>
      </w:r>
      <w:r w:rsidR="00BE4F5C">
        <w:rPr>
          <w:rFonts w:ascii="Times New Roman" w:hAnsi="Times New Roman" w:cs="Times New Roman"/>
        </w:rPr>
        <w:t>ción</w:t>
      </w:r>
      <w:r w:rsidR="00396739">
        <w:rPr>
          <w:rFonts w:ascii="Times New Roman" w:hAnsi="Times New Roman" w:cs="Times New Roman"/>
        </w:rPr>
        <w:t xml:space="preserve"> institucional y operativa del sector, </w:t>
      </w:r>
      <w:r w:rsidR="00BE4F5C">
        <w:rPr>
          <w:rFonts w:ascii="Times New Roman" w:hAnsi="Times New Roman" w:cs="Times New Roman"/>
        </w:rPr>
        <w:t xml:space="preserve">para el </w:t>
      </w:r>
      <w:r w:rsidR="00EC10FB">
        <w:rPr>
          <w:rFonts w:ascii="Times New Roman" w:hAnsi="Times New Roman" w:cs="Times New Roman"/>
        </w:rPr>
        <w:t xml:space="preserve">análisis económico ex-ante </w:t>
      </w:r>
      <w:r w:rsidR="00396739">
        <w:rPr>
          <w:rFonts w:ascii="Times New Roman" w:hAnsi="Times New Roman" w:cs="Times New Roman"/>
        </w:rPr>
        <w:t xml:space="preserve">se han agrupado </w:t>
      </w:r>
      <w:r w:rsidR="00EC10FB">
        <w:rPr>
          <w:rFonts w:ascii="Times New Roman" w:hAnsi="Times New Roman" w:cs="Times New Roman"/>
        </w:rPr>
        <w:t xml:space="preserve">algunos componentes </w:t>
      </w:r>
      <w:r w:rsidR="00BE4F5C">
        <w:rPr>
          <w:rFonts w:ascii="Times New Roman" w:hAnsi="Times New Roman" w:cs="Times New Roman"/>
        </w:rPr>
        <w:t xml:space="preserve">tal y </w:t>
      </w:r>
      <w:r w:rsidR="00EC10FB">
        <w:rPr>
          <w:rFonts w:ascii="Times New Roman" w:hAnsi="Times New Roman" w:cs="Times New Roman"/>
        </w:rPr>
        <w:t xml:space="preserve">como </w:t>
      </w:r>
      <w:r w:rsidR="00BE4F5C">
        <w:rPr>
          <w:rFonts w:ascii="Times New Roman" w:hAnsi="Times New Roman" w:cs="Times New Roman"/>
        </w:rPr>
        <w:t>se describe a continuación:</w:t>
      </w:r>
    </w:p>
    <w:p w:rsidR="00EC10FB" w:rsidRDefault="00EC10FB" w:rsidP="00006AF5">
      <w:pPr>
        <w:jc w:val="both"/>
        <w:rPr>
          <w:rFonts w:ascii="Times New Roman" w:hAnsi="Times New Roman" w:cs="Times New Roman"/>
        </w:rPr>
      </w:pPr>
    </w:p>
    <w:p w:rsidR="00F00347" w:rsidRDefault="00631327" w:rsidP="002902C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t xml:space="preserve">El componente de refuerzo institucional, orientado a la mejora del marco legal e institucional y a la capacitación del personal encargado de la gestión y prestación de los servicios sanitarios y de laboratorio, no ha sido objeto de evaluación </w:t>
      </w:r>
      <w:r w:rsidR="00171C52">
        <w:rPr>
          <w:rFonts w:ascii="Times New Roman" w:hAnsi="Times New Roman" w:cs="Times New Roman"/>
        </w:rPr>
        <w:t>cuantitativa específica</w:t>
      </w:r>
      <w:r>
        <w:rPr>
          <w:rFonts w:ascii="Times New Roman" w:hAnsi="Times New Roman" w:cs="Times New Roman"/>
        </w:rPr>
        <w:t>. Si bien la eficiencia institucional evitará incurrir en costos innecesarios y sin resultados efectivos, dado que no se ha dispuesto de elementos suficiente</w:t>
      </w:r>
      <w:r w:rsidR="00273265">
        <w:rPr>
          <w:rFonts w:ascii="Times New Roman" w:hAnsi="Times New Roman" w:cs="Times New Roman"/>
        </w:rPr>
        <w:t>s</w:t>
      </w:r>
      <w:r>
        <w:rPr>
          <w:rFonts w:ascii="Times New Roman" w:hAnsi="Times New Roman" w:cs="Times New Roman"/>
        </w:rPr>
        <w:t xml:space="preserve"> para su estimación razonable, se ha </w:t>
      </w:r>
      <w:r w:rsidRPr="00C8240C">
        <w:rPr>
          <w:rFonts w:ascii="Times New Roman" w:hAnsi="Times New Roman" w:cs="Times New Roman"/>
        </w:rPr>
        <w:t xml:space="preserve">contemplado este componente como </w:t>
      </w:r>
      <w:r w:rsidR="009A7282" w:rsidRPr="00C8240C">
        <w:rPr>
          <w:rFonts w:ascii="Times New Roman" w:hAnsi="Times New Roman" w:cs="Times New Roman"/>
        </w:rPr>
        <w:t>un factor necesario</w:t>
      </w:r>
      <w:r w:rsidR="00BE0C5A" w:rsidRPr="00C8240C">
        <w:rPr>
          <w:rFonts w:ascii="Times New Roman" w:hAnsi="Times New Roman" w:cs="Times New Roman"/>
        </w:rPr>
        <w:t xml:space="preserve"> </w:t>
      </w:r>
      <w:r w:rsidR="009A7282" w:rsidRPr="008B5D8F">
        <w:rPr>
          <w:rFonts w:ascii="Times New Roman" w:hAnsi="Times New Roman" w:cs="Times New Roman"/>
        </w:rPr>
        <w:t xml:space="preserve">para que puedan darse de forma sostenida en el tiempo los beneficios </w:t>
      </w:r>
      <w:r w:rsidR="00961990" w:rsidRPr="008B5D8F">
        <w:rPr>
          <w:rFonts w:ascii="Times New Roman" w:hAnsi="Times New Roman" w:cs="Times New Roman"/>
        </w:rPr>
        <w:t xml:space="preserve">económicos </w:t>
      </w:r>
      <w:r w:rsidR="009A7282" w:rsidRPr="008B5D8F">
        <w:rPr>
          <w:rFonts w:ascii="Times New Roman" w:hAnsi="Times New Roman" w:cs="Times New Roman"/>
        </w:rPr>
        <w:t>identificados</w:t>
      </w:r>
      <w:r w:rsidR="008B5D8F" w:rsidRPr="008B5D8F">
        <w:rPr>
          <w:rFonts w:ascii="Times New Roman" w:hAnsi="Times New Roman" w:cs="Times New Roman"/>
        </w:rPr>
        <w:t xml:space="preserve"> en los </w:t>
      </w:r>
      <w:r w:rsidR="00457B42">
        <w:rPr>
          <w:rFonts w:ascii="Times New Roman" w:hAnsi="Times New Roman" w:cs="Times New Roman"/>
        </w:rPr>
        <w:t>demás</w:t>
      </w:r>
      <w:r w:rsidR="008B5D8F" w:rsidRPr="008B5D8F">
        <w:rPr>
          <w:rFonts w:ascii="Times New Roman" w:hAnsi="Times New Roman" w:cs="Times New Roman"/>
        </w:rPr>
        <w:t xml:space="preserve"> componentes del Programa</w:t>
      </w:r>
      <w:r w:rsidR="00F00347" w:rsidRPr="008B5D8F">
        <w:rPr>
          <w:rFonts w:ascii="Times New Roman" w:hAnsi="Times New Roman" w:cs="Times New Roman"/>
        </w:rPr>
        <w:t>.</w:t>
      </w:r>
      <w:r w:rsidR="009A7282" w:rsidRPr="008B5D8F">
        <w:rPr>
          <w:rFonts w:ascii="Times New Roman" w:hAnsi="Times New Roman" w:cs="Times New Roman"/>
        </w:rPr>
        <w:t xml:space="preserve"> </w:t>
      </w:r>
    </w:p>
    <w:p w:rsidR="00C86351" w:rsidRDefault="00C86351" w:rsidP="002902C7">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t xml:space="preserve">El componente 2 de sanidad vegetal se ha </w:t>
      </w:r>
      <w:r w:rsidR="00171C52">
        <w:rPr>
          <w:rFonts w:ascii="Times New Roman" w:hAnsi="Times New Roman" w:cs="Times New Roman"/>
        </w:rPr>
        <w:t>cuantificado</w:t>
      </w:r>
      <w:r>
        <w:rPr>
          <w:rFonts w:ascii="Times New Roman" w:hAnsi="Times New Roman" w:cs="Times New Roman"/>
        </w:rPr>
        <w:t xml:space="preserve"> respetando el perímetro de las intervenciones previstas en diseño del Programa.</w:t>
      </w:r>
    </w:p>
    <w:p w:rsidR="00C86351" w:rsidRPr="004639E8" w:rsidRDefault="00C86351" w:rsidP="004639E8">
      <w:pPr>
        <w:pStyle w:val="ListParagraph"/>
        <w:numPr>
          <w:ilvl w:val="1"/>
          <w:numId w:val="23"/>
        </w:numPr>
        <w:spacing w:before="120" w:after="120"/>
        <w:ind w:left="1434" w:hanging="357"/>
        <w:contextualSpacing w:val="0"/>
        <w:jc w:val="both"/>
        <w:rPr>
          <w:rFonts w:ascii="Times New Roman" w:hAnsi="Times New Roman" w:cs="Times New Roman"/>
        </w:rPr>
      </w:pPr>
      <w:r>
        <w:rPr>
          <w:rFonts w:ascii="Times New Roman" w:hAnsi="Times New Roman" w:cs="Times New Roman"/>
        </w:rPr>
        <w:lastRenderedPageBreak/>
        <w:t xml:space="preserve">El componente 3 de sanidad animal </w:t>
      </w:r>
      <w:r w:rsidR="00273265">
        <w:rPr>
          <w:rFonts w:ascii="Times New Roman" w:hAnsi="Times New Roman" w:cs="Times New Roman"/>
        </w:rPr>
        <w:t xml:space="preserve">también </w:t>
      </w:r>
      <w:r>
        <w:rPr>
          <w:rFonts w:ascii="Times New Roman" w:hAnsi="Times New Roman" w:cs="Times New Roman"/>
        </w:rPr>
        <w:t xml:space="preserve">ha </w:t>
      </w:r>
      <w:r w:rsidR="0078365F">
        <w:rPr>
          <w:rFonts w:ascii="Times New Roman" w:hAnsi="Times New Roman" w:cs="Times New Roman"/>
        </w:rPr>
        <w:t xml:space="preserve">sido analizado </w:t>
      </w:r>
      <w:r w:rsidR="00171C52">
        <w:rPr>
          <w:rFonts w:ascii="Times New Roman" w:hAnsi="Times New Roman" w:cs="Times New Roman"/>
        </w:rPr>
        <w:t>cuanti</w:t>
      </w:r>
      <w:r w:rsidR="0078365F">
        <w:rPr>
          <w:rFonts w:ascii="Times New Roman" w:hAnsi="Times New Roman" w:cs="Times New Roman"/>
        </w:rPr>
        <w:t>tativamente</w:t>
      </w:r>
      <w:r>
        <w:rPr>
          <w:rFonts w:ascii="Times New Roman" w:hAnsi="Times New Roman" w:cs="Times New Roman"/>
        </w:rPr>
        <w:t xml:space="preserve">, respetando el perímetro de las intervenciones previstas en diseño del Programa, pero incluyendo el componente 4 de mejora de la capacidad de diagnóstico </w:t>
      </w:r>
      <w:r w:rsidR="00273265">
        <w:rPr>
          <w:rFonts w:ascii="Times New Roman" w:hAnsi="Times New Roman" w:cs="Times New Roman"/>
        </w:rPr>
        <w:t>con e</w:t>
      </w:r>
      <w:r>
        <w:rPr>
          <w:rFonts w:ascii="Times New Roman" w:hAnsi="Times New Roman" w:cs="Times New Roman"/>
        </w:rPr>
        <w:t xml:space="preserve">l refuerzo y modernización del laboratorio veterinario, dado que estos 2 componentes son complementarios </w:t>
      </w:r>
      <w:r w:rsidR="00273265">
        <w:rPr>
          <w:rFonts w:ascii="Times New Roman" w:hAnsi="Times New Roman" w:cs="Times New Roman"/>
        </w:rPr>
        <w:t xml:space="preserve">entre sí </w:t>
      </w:r>
      <w:r>
        <w:rPr>
          <w:rFonts w:ascii="Times New Roman" w:hAnsi="Times New Roman" w:cs="Times New Roman"/>
        </w:rPr>
        <w:t>para alcanzar los objetivos perseguido</w:t>
      </w:r>
      <w:r w:rsidR="00273265">
        <w:rPr>
          <w:rFonts w:ascii="Times New Roman" w:hAnsi="Times New Roman" w:cs="Times New Roman"/>
        </w:rPr>
        <w:t>s</w:t>
      </w:r>
      <w:r>
        <w:rPr>
          <w:rFonts w:ascii="Times New Roman" w:hAnsi="Times New Roman" w:cs="Times New Roman"/>
        </w:rPr>
        <w:t xml:space="preserve"> en </w:t>
      </w:r>
      <w:r w:rsidR="00273265">
        <w:rPr>
          <w:rFonts w:ascii="Times New Roman" w:hAnsi="Times New Roman" w:cs="Times New Roman"/>
        </w:rPr>
        <w:t>relación con</w:t>
      </w:r>
      <w:r>
        <w:rPr>
          <w:rFonts w:ascii="Times New Roman" w:hAnsi="Times New Roman" w:cs="Times New Roman"/>
        </w:rPr>
        <w:t xml:space="preserve"> la sanidad animal.</w:t>
      </w:r>
      <w:r w:rsidR="008B5D8F">
        <w:rPr>
          <w:rFonts w:ascii="Times New Roman" w:hAnsi="Times New Roman" w:cs="Times New Roman"/>
        </w:rPr>
        <w:t xml:space="preserve"> </w:t>
      </w:r>
      <w:r w:rsidR="00273265" w:rsidRPr="004639E8">
        <w:rPr>
          <w:rFonts w:ascii="Times New Roman" w:hAnsi="Times New Roman" w:cs="Times New Roman"/>
        </w:rPr>
        <w:t xml:space="preserve">En efecto, un laboratorio dotado y operativo es el que permitirá que las campañas de prevención, seguimiento y control sean eficaces y se </w:t>
      </w:r>
      <w:r w:rsidR="00457B42">
        <w:rPr>
          <w:rFonts w:ascii="Times New Roman" w:hAnsi="Times New Roman" w:cs="Times New Roman"/>
        </w:rPr>
        <w:t xml:space="preserve">puedan abrir </w:t>
      </w:r>
      <w:r w:rsidR="00273265" w:rsidRPr="004639E8">
        <w:rPr>
          <w:rFonts w:ascii="Times New Roman" w:hAnsi="Times New Roman" w:cs="Times New Roman"/>
        </w:rPr>
        <w:t>nuevos mercados de exportación a los productos nacionales gracias a su capacidad de certificación.</w:t>
      </w:r>
    </w:p>
    <w:p w:rsidR="00F00347" w:rsidRDefault="00F00347" w:rsidP="00744CD0">
      <w:pPr>
        <w:jc w:val="both"/>
        <w:rPr>
          <w:rFonts w:ascii="Times New Roman" w:hAnsi="Times New Roman" w:cs="Times New Roman"/>
        </w:rPr>
      </w:pPr>
    </w:p>
    <w:p w:rsidR="0026134E" w:rsidRPr="004639E8" w:rsidRDefault="0026134E" w:rsidP="004639E8">
      <w:pPr>
        <w:pStyle w:val="ListParagraph"/>
        <w:numPr>
          <w:ilvl w:val="1"/>
          <w:numId w:val="15"/>
        </w:numPr>
        <w:ind w:hanging="578"/>
        <w:jc w:val="both"/>
        <w:rPr>
          <w:rFonts w:ascii="Times New Roman" w:hAnsi="Times New Roman" w:cs="Times New Roman"/>
        </w:rPr>
      </w:pPr>
      <w:bookmarkStart w:id="15" w:name="_Toc352780902"/>
      <w:bookmarkStart w:id="16" w:name="_Toc352781191"/>
      <w:bookmarkStart w:id="17" w:name="_Toc352781260"/>
      <w:bookmarkStart w:id="18" w:name="_Toc352832525"/>
      <w:bookmarkStart w:id="19" w:name="_Toc352839708"/>
      <w:bookmarkStart w:id="20" w:name="_Toc353793049"/>
      <w:bookmarkStart w:id="21" w:name="_Toc353793929"/>
      <w:bookmarkStart w:id="22" w:name="_Toc380171564"/>
      <w:r w:rsidRPr="0026134E">
        <w:rPr>
          <w:rFonts w:ascii="Times New Roman" w:hAnsi="Times New Roman" w:cs="Times New Roman"/>
        </w:rPr>
        <w:t>Los principales documentos recopilados para el análisis económico durante las misiones de orientación y análisis fueron los siguientes: (i) estadísticas de los laboratorios veterinarios sobre la PPC y de resultados de los últimos análisis de muestras realizados; (ii) documentos con datos numéricos sobre la incidencia de la enfermedad del Teschen en el país; (iii) datos cuantitativos sobre la producción y selección de mango para la exportación, incluyendo tasas d</w:t>
      </w:r>
      <w:r w:rsidR="00457B42">
        <w:rPr>
          <w:rFonts w:ascii="Times New Roman" w:hAnsi="Times New Roman" w:cs="Times New Roman"/>
        </w:rPr>
        <w:t>e infestación de la m</w:t>
      </w:r>
      <w:r w:rsidRPr="0026134E">
        <w:rPr>
          <w:rFonts w:ascii="Times New Roman" w:hAnsi="Times New Roman" w:cs="Times New Roman"/>
        </w:rPr>
        <w:t xml:space="preserve">osca de la </w:t>
      </w:r>
      <w:r w:rsidR="00457B42">
        <w:rPr>
          <w:rFonts w:ascii="Times New Roman" w:hAnsi="Times New Roman" w:cs="Times New Roman"/>
        </w:rPr>
        <w:t>f</w:t>
      </w:r>
      <w:r w:rsidRPr="0026134E">
        <w:rPr>
          <w:rFonts w:ascii="Times New Roman" w:hAnsi="Times New Roman" w:cs="Times New Roman"/>
        </w:rPr>
        <w:t>ruta, el número de lotes rechazados y los precios de compra de las fábricas a los producto</w:t>
      </w:r>
      <w:r w:rsidR="00457B42">
        <w:rPr>
          <w:rFonts w:ascii="Times New Roman" w:hAnsi="Times New Roman" w:cs="Times New Roman"/>
        </w:rPr>
        <w:t>re</w:t>
      </w:r>
      <w:r w:rsidRPr="0026134E">
        <w:rPr>
          <w:rFonts w:ascii="Times New Roman" w:hAnsi="Times New Roman" w:cs="Times New Roman"/>
        </w:rPr>
        <w:t xml:space="preserve">s y de venta para la exportación a Estados Unidos, (iv) informe de detección en 2014 y resultados de campañas anteriores de lucha contra la </w:t>
      </w:r>
      <w:r w:rsidR="00457B42">
        <w:rPr>
          <w:rFonts w:ascii="Times New Roman" w:hAnsi="Times New Roman" w:cs="Times New Roman"/>
        </w:rPr>
        <w:t>m</w:t>
      </w:r>
      <w:r w:rsidRPr="0026134E">
        <w:rPr>
          <w:rFonts w:ascii="Times New Roman" w:hAnsi="Times New Roman" w:cs="Times New Roman"/>
        </w:rPr>
        <w:t xml:space="preserve">osca de la </w:t>
      </w:r>
      <w:r w:rsidR="00457B42">
        <w:rPr>
          <w:rFonts w:ascii="Times New Roman" w:hAnsi="Times New Roman" w:cs="Times New Roman"/>
        </w:rPr>
        <w:t>f</w:t>
      </w:r>
      <w:r w:rsidRPr="0026134E">
        <w:rPr>
          <w:rFonts w:ascii="Times New Roman" w:hAnsi="Times New Roman" w:cs="Times New Roman"/>
        </w:rPr>
        <w:t xml:space="preserve">ruta (v) resultados de las encuestas de terreno realizadas en las áreas afectadas por la plaga de la </w:t>
      </w:r>
      <w:r w:rsidR="00457B42">
        <w:rPr>
          <w:rFonts w:ascii="Times New Roman" w:hAnsi="Times New Roman" w:cs="Times New Roman"/>
        </w:rPr>
        <w:t>h</w:t>
      </w:r>
      <w:r w:rsidRPr="0026134E">
        <w:rPr>
          <w:rFonts w:ascii="Times New Roman" w:hAnsi="Times New Roman" w:cs="Times New Roman"/>
        </w:rPr>
        <w:t xml:space="preserve">ormiga </w:t>
      </w:r>
      <w:r w:rsidR="00457B42">
        <w:rPr>
          <w:rFonts w:ascii="Times New Roman" w:hAnsi="Times New Roman" w:cs="Times New Roman"/>
        </w:rPr>
        <w:t>l</w:t>
      </w:r>
      <w:r w:rsidRPr="0026134E">
        <w:rPr>
          <w:rFonts w:ascii="Times New Roman" w:hAnsi="Times New Roman" w:cs="Times New Roman"/>
        </w:rPr>
        <w:t>oca.</w:t>
      </w:r>
    </w:p>
    <w:p w:rsidR="0026134E" w:rsidRDefault="0026134E" w:rsidP="004639E8">
      <w:pPr>
        <w:pStyle w:val="ListParagraph"/>
        <w:jc w:val="both"/>
        <w:rPr>
          <w:rFonts w:ascii="Times New Roman" w:hAnsi="Times New Roman" w:cs="Times New Roman"/>
        </w:rPr>
      </w:pPr>
    </w:p>
    <w:p w:rsidR="00C86351" w:rsidRPr="006D4BB8" w:rsidRDefault="00C86351" w:rsidP="00C86351">
      <w:pPr>
        <w:pStyle w:val="Heading2"/>
        <w:jc w:val="both"/>
        <w:rPr>
          <w:rFonts w:ascii="Times New Roman" w:hAnsi="Times New Roman" w:cs="Times New Roman"/>
          <w:i/>
          <w:color w:val="auto"/>
          <w:sz w:val="22"/>
        </w:rPr>
      </w:pPr>
      <w:bookmarkStart w:id="23" w:name="_Toc386887940"/>
      <w:r w:rsidRPr="00C11963">
        <w:rPr>
          <w:rFonts w:ascii="Times New Roman" w:hAnsi="Times New Roman" w:cs="Times New Roman"/>
          <w:i/>
          <w:color w:val="auto"/>
          <w:sz w:val="22"/>
        </w:rPr>
        <w:t>Beneficiarios y beneficios del Pro</w:t>
      </w:r>
      <w:bookmarkEnd w:id="15"/>
      <w:bookmarkEnd w:id="16"/>
      <w:bookmarkEnd w:id="17"/>
      <w:bookmarkEnd w:id="18"/>
      <w:bookmarkEnd w:id="19"/>
      <w:bookmarkEnd w:id="20"/>
      <w:bookmarkEnd w:id="21"/>
      <w:r>
        <w:rPr>
          <w:rFonts w:ascii="Times New Roman" w:hAnsi="Times New Roman" w:cs="Times New Roman"/>
          <w:i/>
          <w:color w:val="auto"/>
          <w:sz w:val="22"/>
        </w:rPr>
        <w:t>grama</w:t>
      </w:r>
      <w:bookmarkEnd w:id="22"/>
      <w:bookmarkEnd w:id="23"/>
    </w:p>
    <w:p w:rsidR="00C86351" w:rsidRDefault="00C86351">
      <w:pPr>
        <w:rPr>
          <w:rFonts w:ascii="Times New Roman" w:hAnsi="Times New Roman" w:cs="Times New Roman"/>
          <w:b/>
          <w:i/>
        </w:rPr>
      </w:pPr>
    </w:p>
    <w:p w:rsidR="004F6D13" w:rsidRDefault="004F6D13" w:rsidP="00D54E94">
      <w:pPr>
        <w:pStyle w:val="ListParagraph"/>
        <w:numPr>
          <w:ilvl w:val="1"/>
          <w:numId w:val="15"/>
        </w:numPr>
        <w:ind w:hanging="578"/>
        <w:jc w:val="both"/>
        <w:rPr>
          <w:rFonts w:ascii="Times New Roman" w:hAnsi="Times New Roman" w:cs="Times New Roman"/>
        </w:rPr>
      </w:pPr>
      <w:r w:rsidRPr="00C84FB5">
        <w:rPr>
          <w:rFonts w:ascii="Times New Roman" w:hAnsi="Times New Roman" w:cs="Times New Roman"/>
        </w:rPr>
        <w:t>Los beneficiarios del Programa</w:t>
      </w:r>
      <w:r>
        <w:rPr>
          <w:rFonts w:ascii="Times New Roman" w:hAnsi="Times New Roman" w:cs="Times New Roman"/>
        </w:rPr>
        <w:t xml:space="preserve"> serán los productores agropecuarios</w:t>
      </w:r>
      <w:r w:rsidR="009C7E97">
        <w:rPr>
          <w:rFonts w:ascii="Times New Roman" w:hAnsi="Times New Roman" w:cs="Times New Roman"/>
        </w:rPr>
        <w:t xml:space="preserve"> de todo el país</w:t>
      </w:r>
      <w:r>
        <w:rPr>
          <w:rFonts w:ascii="Times New Roman" w:hAnsi="Times New Roman" w:cs="Times New Roman"/>
        </w:rPr>
        <w:t xml:space="preserve">, </w:t>
      </w:r>
      <w:r w:rsidR="009C7E97">
        <w:rPr>
          <w:rFonts w:ascii="Times New Roman" w:hAnsi="Times New Roman" w:cs="Times New Roman"/>
        </w:rPr>
        <w:t xml:space="preserve">y </w:t>
      </w:r>
      <w:r>
        <w:rPr>
          <w:rFonts w:ascii="Times New Roman" w:hAnsi="Times New Roman" w:cs="Times New Roman"/>
        </w:rPr>
        <w:t>en particular</w:t>
      </w:r>
      <w:r w:rsidR="009C7E97">
        <w:rPr>
          <w:rFonts w:ascii="Times New Roman" w:hAnsi="Times New Roman" w:cs="Times New Roman"/>
        </w:rPr>
        <w:t>, dado que se realizarán campañas específicas en este sentido,</w:t>
      </w:r>
      <w:r>
        <w:rPr>
          <w:rFonts w:ascii="Times New Roman" w:hAnsi="Times New Roman" w:cs="Times New Roman"/>
        </w:rPr>
        <w:t xml:space="preserve"> los </w:t>
      </w:r>
      <w:r w:rsidR="009C7E97">
        <w:rPr>
          <w:rFonts w:ascii="Times New Roman" w:hAnsi="Times New Roman" w:cs="Times New Roman"/>
        </w:rPr>
        <w:t>productores de</w:t>
      </w:r>
      <w:r>
        <w:rPr>
          <w:rFonts w:ascii="Times New Roman" w:hAnsi="Times New Roman" w:cs="Times New Roman"/>
        </w:rPr>
        <w:t xml:space="preserve"> ganado porcino y de mango</w:t>
      </w:r>
      <w:r w:rsidR="00992B2B">
        <w:rPr>
          <w:rFonts w:ascii="Times New Roman" w:hAnsi="Times New Roman" w:cs="Times New Roman"/>
        </w:rPr>
        <w:t>, así como</w:t>
      </w:r>
      <w:r>
        <w:rPr>
          <w:rFonts w:ascii="Times New Roman" w:hAnsi="Times New Roman" w:cs="Times New Roman"/>
        </w:rPr>
        <w:t xml:space="preserve"> </w:t>
      </w:r>
      <w:r w:rsidR="009C7E97">
        <w:rPr>
          <w:rFonts w:ascii="Times New Roman" w:hAnsi="Times New Roman" w:cs="Times New Roman"/>
        </w:rPr>
        <w:t xml:space="preserve">los </w:t>
      </w:r>
      <w:r w:rsidR="005D2232">
        <w:rPr>
          <w:rFonts w:ascii="Times New Roman" w:hAnsi="Times New Roman" w:cs="Times New Roman"/>
        </w:rPr>
        <w:t xml:space="preserve">agricultores </w:t>
      </w:r>
      <w:r w:rsidR="009C7E97">
        <w:rPr>
          <w:rFonts w:ascii="Times New Roman" w:hAnsi="Times New Roman" w:cs="Times New Roman"/>
        </w:rPr>
        <w:t xml:space="preserve">de las zonas </w:t>
      </w:r>
      <w:r>
        <w:rPr>
          <w:rFonts w:ascii="Times New Roman" w:hAnsi="Times New Roman" w:cs="Times New Roman"/>
        </w:rPr>
        <w:t>afectada</w:t>
      </w:r>
      <w:r w:rsidR="009C7E97">
        <w:rPr>
          <w:rFonts w:ascii="Times New Roman" w:hAnsi="Times New Roman" w:cs="Times New Roman"/>
        </w:rPr>
        <w:t>s</w:t>
      </w:r>
      <w:r>
        <w:rPr>
          <w:rFonts w:ascii="Times New Roman" w:hAnsi="Times New Roman" w:cs="Times New Roman"/>
        </w:rPr>
        <w:t xml:space="preserve"> por la plaga de la hormiga loca</w:t>
      </w:r>
      <w:r w:rsidR="009C7E97">
        <w:rPr>
          <w:rFonts w:ascii="Times New Roman" w:hAnsi="Times New Roman" w:cs="Times New Roman"/>
        </w:rPr>
        <w:t xml:space="preserve"> y sus habitantes</w:t>
      </w:r>
      <w:r w:rsidR="008B5D8F">
        <w:rPr>
          <w:rFonts w:ascii="Times New Roman" w:hAnsi="Times New Roman" w:cs="Times New Roman"/>
        </w:rPr>
        <w:t>, localizadas principalmente en el departamento de Grand’Anse, en el extremo suroeste del país.</w:t>
      </w:r>
    </w:p>
    <w:p w:rsidR="008B5D8F" w:rsidRDefault="008B5D8F" w:rsidP="004639E8">
      <w:pPr>
        <w:pStyle w:val="ListParagraph"/>
        <w:jc w:val="both"/>
        <w:rPr>
          <w:rFonts w:ascii="Times New Roman" w:hAnsi="Times New Roman" w:cs="Times New Roman"/>
        </w:rPr>
      </w:pPr>
    </w:p>
    <w:p w:rsidR="00D66737" w:rsidRDefault="00C95E54" w:rsidP="004639E8">
      <w:pPr>
        <w:pStyle w:val="ListParagraph"/>
        <w:numPr>
          <w:ilvl w:val="1"/>
          <w:numId w:val="15"/>
        </w:numPr>
        <w:ind w:hanging="578"/>
        <w:jc w:val="both"/>
        <w:rPr>
          <w:rFonts w:ascii="Times New Roman" w:hAnsi="Times New Roman" w:cs="Times New Roman"/>
        </w:rPr>
      </w:pPr>
      <w:r>
        <w:rPr>
          <w:rFonts w:ascii="Times New Roman" w:hAnsi="Times New Roman" w:cs="Times New Roman"/>
        </w:rPr>
        <w:t>Los principales beneficios del Programa se pueden agrupar en 3 tipo</w:t>
      </w:r>
      <w:r w:rsidR="005D2232">
        <w:rPr>
          <w:rFonts w:ascii="Times New Roman" w:hAnsi="Times New Roman" w:cs="Times New Roman"/>
        </w:rPr>
        <w:t>logías</w:t>
      </w:r>
      <w:r>
        <w:rPr>
          <w:rFonts w:ascii="Times New Roman" w:hAnsi="Times New Roman" w:cs="Times New Roman"/>
        </w:rPr>
        <w:t xml:space="preserve">: </w:t>
      </w:r>
    </w:p>
    <w:p w:rsidR="00D66737" w:rsidRPr="00D66737" w:rsidRDefault="00D66737" w:rsidP="00D66737">
      <w:pPr>
        <w:pStyle w:val="ListParagraph"/>
        <w:rPr>
          <w:rFonts w:ascii="Times New Roman" w:hAnsi="Times New Roman" w:cs="Times New Roman"/>
        </w:rPr>
      </w:pPr>
    </w:p>
    <w:p w:rsidR="00D66737" w:rsidRDefault="00D66737" w:rsidP="00D66737">
      <w:pPr>
        <w:pStyle w:val="ListParagraph"/>
        <w:numPr>
          <w:ilvl w:val="0"/>
          <w:numId w:val="28"/>
        </w:numPr>
        <w:jc w:val="both"/>
        <w:rPr>
          <w:rFonts w:ascii="Times New Roman" w:hAnsi="Times New Roman" w:cs="Times New Roman"/>
        </w:rPr>
      </w:pPr>
      <w:r>
        <w:rPr>
          <w:rFonts w:ascii="Times New Roman" w:hAnsi="Times New Roman" w:cs="Times New Roman"/>
        </w:rPr>
        <w:t>D</w:t>
      </w:r>
      <w:r w:rsidR="00C95E54">
        <w:rPr>
          <w:rFonts w:ascii="Times New Roman" w:hAnsi="Times New Roman" w:cs="Times New Roman"/>
        </w:rPr>
        <w:t xml:space="preserve">isminución de las pérdidas de producción agropecuaria, </w:t>
      </w:r>
    </w:p>
    <w:p w:rsidR="00D66737" w:rsidRDefault="00D66737" w:rsidP="00D66737">
      <w:pPr>
        <w:pStyle w:val="ListParagraph"/>
        <w:numPr>
          <w:ilvl w:val="0"/>
          <w:numId w:val="28"/>
        </w:numPr>
        <w:jc w:val="both"/>
        <w:rPr>
          <w:rFonts w:ascii="Times New Roman" w:hAnsi="Times New Roman" w:cs="Times New Roman"/>
        </w:rPr>
      </w:pPr>
      <w:r>
        <w:rPr>
          <w:rFonts w:ascii="Times New Roman" w:hAnsi="Times New Roman" w:cs="Times New Roman"/>
        </w:rPr>
        <w:t>D</w:t>
      </w:r>
      <w:r w:rsidR="00C95E54">
        <w:rPr>
          <w:rFonts w:ascii="Times New Roman" w:hAnsi="Times New Roman" w:cs="Times New Roman"/>
        </w:rPr>
        <w:t xml:space="preserve">isminución de los rechazos de productos a la exportación y </w:t>
      </w:r>
    </w:p>
    <w:p w:rsidR="00C95E54" w:rsidRDefault="00D66737" w:rsidP="00D66737">
      <w:pPr>
        <w:pStyle w:val="ListParagraph"/>
        <w:numPr>
          <w:ilvl w:val="0"/>
          <w:numId w:val="28"/>
        </w:numPr>
        <w:jc w:val="both"/>
        <w:rPr>
          <w:rFonts w:ascii="Times New Roman" w:hAnsi="Times New Roman" w:cs="Times New Roman"/>
        </w:rPr>
      </w:pPr>
      <w:r>
        <w:rPr>
          <w:rFonts w:ascii="Times New Roman" w:hAnsi="Times New Roman" w:cs="Times New Roman"/>
        </w:rPr>
        <w:t>M</w:t>
      </w:r>
      <w:r w:rsidR="00C95E54">
        <w:rPr>
          <w:rFonts w:ascii="Times New Roman" w:hAnsi="Times New Roman" w:cs="Times New Roman"/>
        </w:rPr>
        <w:t>ejora de la eficiencia en la gestión institucional, ahorrando costos y recursos innecesarios o redundantes.</w:t>
      </w:r>
    </w:p>
    <w:p w:rsidR="0078365F" w:rsidRDefault="0078365F" w:rsidP="00E74A87"/>
    <w:p w:rsidR="0078365F" w:rsidRPr="00E74A87" w:rsidRDefault="0078365F" w:rsidP="00E74A87"/>
    <w:p w:rsidR="00AB735E" w:rsidRPr="00E74A87" w:rsidRDefault="00AB735E" w:rsidP="00E74A87">
      <w:pPr>
        <w:pStyle w:val="Heading2"/>
        <w:jc w:val="both"/>
        <w:rPr>
          <w:rFonts w:ascii="Times New Roman" w:hAnsi="Times New Roman" w:cs="Times New Roman"/>
          <w:i/>
        </w:rPr>
      </w:pPr>
      <w:bookmarkStart w:id="24" w:name="_Toc386887941"/>
      <w:r w:rsidRPr="00E74A87">
        <w:rPr>
          <w:rFonts w:ascii="Times New Roman" w:hAnsi="Times New Roman" w:cs="Times New Roman"/>
          <w:i/>
          <w:color w:val="auto"/>
          <w:sz w:val="22"/>
        </w:rPr>
        <w:t>Justificación de la provisión de fondos del sector público</w:t>
      </w:r>
      <w:bookmarkEnd w:id="24"/>
    </w:p>
    <w:p w:rsidR="00AB735E" w:rsidRPr="00CC5C38" w:rsidRDefault="00AB735E" w:rsidP="00CC5C38">
      <w:pPr>
        <w:pStyle w:val="ListParagraph"/>
        <w:rPr>
          <w:rFonts w:ascii="Times New Roman" w:hAnsi="Times New Roman" w:cs="Times New Roman"/>
        </w:rPr>
      </w:pPr>
    </w:p>
    <w:p w:rsidR="00170EC7" w:rsidRDefault="00170EC7" w:rsidP="004639E8">
      <w:pPr>
        <w:pStyle w:val="ListParagraph"/>
        <w:numPr>
          <w:ilvl w:val="1"/>
          <w:numId w:val="15"/>
        </w:numPr>
        <w:ind w:hanging="578"/>
        <w:jc w:val="both"/>
        <w:rPr>
          <w:rFonts w:ascii="Times New Roman" w:hAnsi="Times New Roman" w:cs="Times New Roman"/>
        </w:rPr>
      </w:pPr>
      <w:r>
        <w:rPr>
          <w:rFonts w:ascii="Times New Roman" w:hAnsi="Times New Roman" w:cs="Times New Roman"/>
        </w:rPr>
        <w:lastRenderedPageBreak/>
        <w:t xml:space="preserve">Desde la perspectiva de la provisión de fondos públicos para obtener los objetivos perseguidos, esta se justifica </w:t>
      </w:r>
      <w:r w:rsidR="00077BB0">
        <w:rPr>
          <w:rFonts w:ascii="Times New Roman" w:hAnsi="Times New Roman" w:cs="Times New Roman"/>
        </w:rPr>
        <w:t xml:space="preserve">en </w:t>
      </w:r>
      <w:r>
        <w:rPr>
          <w:rFonts w:ascii="Times New Roman" w:hAnsi="Times New Roman" w:cs="Times New Roman"/>
        </w:rPr>
        <w:t xml:space="preserve">la </w:t>
      </w:r>
      <w:r w:rsidR="00077BB0">
        <w:rPr>
          <w:rFonts w:ascii="Times New Roman" w:hAnsi="Times New Roman" w:cs="Times New Roman"/>
        </w:rPr>
        <w:t>limitada</w:t>
      </w:r>
      <w:r w:rsidR="00F057AE">
        <w:rPr>
          <w:rFonts w:ascii="Times New Roman" w:hAnsi="Times New Roman" w:cs="Times New Roman"/>
        </w:rPr>
        <w:t xml:space="preserve"> capacidad del sector privado de llevar a cabo </w:t>
      </w:r>
      <w:r w:rsidR="00077BB0">
        <w:rPr>
          <w:rFonts w:ascii="Times New Roman" w:hAnsi="Times New Roman" w:cs="Times New Roman"/>
        </w:rPr>
        <w:t>actuaciones</w:t>
      </w:r>
      <w:r w:rsidR="00F057AE">
        <w:rPr>
          <w:rFonts w:ascii="Times New Roman" w:hAnsi="Times New Roman" w:cs="Times New Roman"/>
        </w:rPr>
        <w:t xml:space="preserve"> coordinada</w:t>
      </w:r>
      <w:r w:rsidR="00077BB0">
        <w:rPr>
          <w:rFonts w:ascii="Times New Roman" w:hAnsi="Times New Roman" w:cs="Times New Roman"/>
        </w:rPr>
        <w:t>s</w:t>
      </w:r>
      <w:r w:rsidR="00F057AE">
        <w:rPr>
          <w:rFonts w:ascii="Times New Roman" w:hAnsi="Times New Roman" w:cs="Times New Roman"/>
        </w:rPr>
        <w:t xml:space="preserve"> en beneficio </w:t>
      </w:r>
      <w:r w:rsidR="00077BB0">
        <w:rPr>
          <w:rFonts w:ascii="Times New Roman" w:hAnsi="Times New Roman" w:cs="Times New Roman"/>
        </w:rPr>
        <w:t xml:space="preserve">del interés </w:t>
      </w:r>
      <w:r w:rsidR="00F057AE">
        <w:rPr>
          <w:rFonts w:ascii="Times New Roman" w:hAnsi="Times New Roman" w:cs="Times New Roman"/>
        </w:rPr>
        <w:t>de la comunidad agropecuaria</w:t>
      </w:r>
      <w:r w:rsidR="00077BB0">
        <w:rPr>
          <w:rFonts w:ascii="Times New Roman" w:hAnsi="Times New Roman" w:cs="Times New Roman"/>
        </w:rPr>
        <w:t xml:space="preserve"> en general</w:t>
      </w:r>
      <w:r w:rsidR="00F057AE">
        <w:rPr>
          <w:rFonts w:ascii="Times New Roman" w:hAnsi="Times New Roman" w:cs="Times New Roman"/>
        </w:rPr>
        <w:t xml:space="preserve">, en relación a </w:t>
      </w:r>
      <w:r>
        <w:rPr>
          <w:rFonts w:ascii="Times New Roman" w:hAnsi="Times New Roman" w:cs="Times New Roman"/>
        </w:rPr>
        <w:t xml:space="preserve">los servicios veterinarios y de laboratorio, </w:t>
      </w:r>
      <w:r w:rsidR="00F057AE">
        <w:rPr>
          <w:rFonts w:ascii="Times New Roman" w:hAnsi="Times New Roman" w:cs="Times New Roman"/>
        </w:rPr>
        <w:t xml:space="preserve">y a la </w:t>
      </w:r>
      <w:r w:rsidR="00077BB0">
        <w:rPr>
          <w:rFonts w:ascii="Times New Roman" w:hAnsi="Times New Roman" w:cs="Times New Roman"/>
        </w:rPr>
        <w:t xml:space="preserve">responsabilidad </w:t>
      </w:r>
      <w:r w:rsidR="00D74DD5">
        <w:rPr>
          <w:rFonts w:ascii="Times New Roman" w:hAnsi="Times New Roman" w:cs="Times New Roman"/>
        </w:rPr>
        <w:t xml:space="preserve">por parte </w:t>
      </w:r>
      <w:r w:rsidR="00F057AE">
        <w:rPr>
          <w:rFonts w:ascii="Times New Roman" w:hAnsi="Times New Roman" w:cs="Times New Roman"/>
        </w:rPr>
        <w:t xml:space="preserve">del sector público </w:t>
      </w:r>
      <w:r>
        <w:rPr>
          <w:rFonts w:ascii="Times New Roman" w:hAnsi="Times New Roman" w:cs="Times New Roman"/>
        </w:rPr>
        <w:t xml:space="preserve">de </w:t>
      </w:r>
      <w:r w:rsidR="00077BB0">
        <w:rPr>
          <w:rFonts w:ascii="Times New Roman" w:hAnsi="Times New Roman" w:cs="Times New Roman"/>
        </w:rPr>
        <w:t xml:space="preserve">utilizar </w:t>
      </w:r>
      <w:r>
        <w:rPr>
          <w:rFonts w:ascii="Times New Roman" w:hAnsi="Times New Roman" w:cs="Times New Roman"/>
        </w:rPr>
        <w:t xml:space="preserve">recursos y medios para </w:t>
      </w:r>
      <w:r w:rsidR="00D74DD5">
        <w:rPr>
          <w:rFonts w:ascii="Times New Roman" w:hAnsi="Times New Roman" w:cs="Times New Roman"/>
        </w:rPr>
        <w:t xml:space="preserve">detectar y responder </w:t>
      </w:r>
      <w:r>
        <w:rPr>
          <w:rFonts w:ascii="Times New Roman" w:hAnsi="Times New Roman" w:cs="Times New Roman"/>
        </w:rPr>
        <w:t>de forma eficiente</w:t>
      </w:r>
      <w:r w:rsidR="00D74DD5">
        <w:rPr>
          <w:rFonts w:ascii="Times New Roman" w:hAnsi="Times New Roman" w:cs="Times New Roman"/>
        </w:rPr>
        <w:t xml:space="preserve"> a estas problemáticas</w:t>
      </w:r>
      <w:r w:rsidR="00077BB0">
        <w:rPr>
          <w:rFonts w:ascii="Times New Roman" w:hAnsi="Times New Roman" w:cs="Times New Roman"/>
        </w:rPr>
        <w:t xml:space="preserve"> y generar externalidades positivas</w:t>
      </w:r>
      <w:r>
        <w:rPr>
          <w:rFonts w:ascii="Times New Roman" w:hAnsi="Times New Roman" w:cs="Times New Roman"/>
        </w:rPr>
        <w:t xml:space="preserve">. Es por ello que </w:t>
      </w:r>
      <w:r w:rsidR="009D5C75">
        <w:rPr>
          <w:rFonts w:ascii="Times New Roman" w:hAnsi="Times New Roman" w:cs="Times New Roman"/>
        </w:rPr>
        <w:t xml:space="preserve">es </w:t>
      </w:r>
      <w:r>
        <w:rPr>
          <w:rFonts w:ascii="Times New Roman" w:hAnsi="Times New Roman" w:cs="Times New Roman"/>
        </w:rPr>
        <w:t>necesario poner a punto un sistema de prestación del servicio público</w:t>
      </w:r>
      <w:r w:rsidR="005D2232">
        <w:rPr>
          <w:rFonts w:ascii="Times New Roman" w:hAnsi="Times New Roman" w:cs="Times New Roman"/>
        </w:rPr>
        <w:t xml:space="preserve"> dentro de un marco </w:t>
      </w:r>
      <w:r w:rsidR="00CC5C38">
        <w:rPr>
          <w:rFonts w:ascii="Times New Roman" w:hAnsi="Times New Roman" w:cs="Times New Roman"/>
        </w:rPr>
        <w:t xml:space="preserve">de funcionamiento </w:t>
      </w:r>
      <w:r w:rsidR="005D2232">
        <w:rPr>
          <w:rFonts w:ascii="Times New Roman" w:hAnsi="Times New Roman" w:cs="Times New Roman"/>
        </w:rPr>
        <w:t>estable y claro para sus actores</w:t>
      </w:r>
      <w:r>
        <w:rPr>
          <w:rFonts w:ascii="Times New Roman" w:hAnsi="Times New Roman" w:cs="Times New Roman"/>
        </w:rPr>
        <w:t xml:space="preserve">, que permita coordinar los esfuerzos y lograr impactos </w:t>
      </w:r>
      <w:r w:rsidR="00CC5C38">
        <w:rPr>
          <w:rFonts w:ascii="Times New Roman" w:hAnsi="Times New Roman" w:cs="Times New Roman"/>
        </w:rPr>
        <w:t>positivos en beneficio d</w:t>
      </w:r>
      <w:r>
        <w:rPr>
          <w:rFonts w:ascii="Times New Roman" w:hAnsi="Times New Roman" w:cs="Times New Roman"/>
        </w:rPr>
        <w:t>el conjunto del sector agropecuario del país.</w:t>
      </w:r>
    </w:p>
    <w:p w:rsidR="00170EC7" w:rsidRDefault="00170EC7" w:rsidP="00E74A87">
      <w:pPr>
        <w:pStyle w:val="ListParagraph"/>
        <w:jc w:val="right"/>
        <w:rPr>
          <w:rFonts w:ascii="Times New Roman" w:hAnsi="Times New Roman" w:cs="Times New Roman"/>
        </w:rPr>
      </w:pPr>
    </w:p>
    <w:p w:rsidR="00AB735E" w:rsidRDefault="00EF2748" w:rsidP="00AB735E">
      <w:pPr>
        <w:pStyle w:val="ListParagraph"/>
        <w:numPr>
          <w:ilvl w:val="1"/>
          <w:numId w:val="15"/>
        </w:numPr>
        <w:ind w:hanging="578"/>
        <w:jc w:val="both"/>
        <w:rPr>
          <w:rFonts w:ascii="Times New Roman" w:hAnsi="Times New Roman" w:cs="Times New Roman"/>
        </w:rPr>
      </w:pPr>
      <w:r>
        <w:rPr>
          <w:rFonts w:ascii="Times New Roman" w:hAnsi="Times New Roman" w:cs="Times New Roman"/>
        </w:rPr>
        <w:t>En este sentido, en relación con la asunción de los costos para garantizar la durabilidad del servicio, e</w:t>
      </w:r>
      <w:r w:rsidR="00AB735E">
        <w:rPr>
          <w:rFonts w:ascii="Times New Roman" w:hAnsi="Times New Roman" w:cs="Times New Roman"/>
        </w:rPr>
        <w:t xml:space="preserve">l componente 1 de refuerzo institucional </w:t>
      </w:r>
      <w:r w:rsidR="0020306C">
        <w:rPr>
          <w:rFonts w:ascii="Times New Roman" w:hAnsi="Times New Roman" w:cs="Times New Roman"/>
        </w:rPr>
        <w:t xml:space="preserve">facilitará </w:t>
      </w:r>
      <w:r w:rsidR="00AB735E">
        <w:rPr>
          <w:rFonts w:ascii="Times New Roman" w:hAnsi="Times New Roman" w:cs="Times New Roman"/>
        </w:rPr>
        <w:t>la sostenibilidad de la prestación del servicio, ya sea de forma delegada o no delegada al sector privado, mediante la generación de fondos a través de la transferencia de sus costos al sector privado. Esto supone fundar las bases que permitirán mantener una continuidad en la ejecución de las campañas contras las plagas y enfermedades zoo-fitosanitarias.</w:t>
      </w:r>
    </w:p>
    <w:p w:rsidR="00AB735E" w:rsidRDefault="00AB735E" w:rsidP="00AB735E">
      <w:pPr>
        <w:pStyle w:val="ListParagraph"/>
        <w:jc w:val="both"/>
        <w:rPr>
          <w:rFonts w:ascii="Times New Roman" w:hAnsi="Times New Roman" w:cs="Times New Roman"/>
        </w:rPr>
      </w:pPr>
    </w:p>
    <w:p w:rsidR="00AB735E" w:rsidRPr="00CC5C38" w:rsidRDefault="00AB735E" w:rsidP="00AB735E">
      <w:pPr>
        <w:pStyle w:val="ListParagraph"/>
        <w:numPr>
          <w:ilvl w:val="1"/>
          <w:numId w:val="15"/>
        </w:numPr>
        <w:ind w:hanging="578"/>
        <w:jc w:val="both"/>
        <w:rPr>
          <w:rFonts w:ascii="Times New Roman" w:hAnsi="Times New Roman" w:cs="Times New Roman"/>
        </w:rPr>
      </w:pPr>
      <w:r>
        <w:rPr>
          <w:rFonts w:ascii="Times New Roman" w:hAnsi="Times New Roman" w:cs="Times New Roman"/>
        </w:rPr>
        <w:t>La inexistente planificación a largo plazo, a causa de la falta de claridad en el marco normativo y reglamentario, así como el déficit de capacidad institucional derivado de este vacío de competencias, han limitado el volumen de recursos presupuestarios del sector público para intervenir en el sector de la sanidad agropecuaria de manera sostenible.</w:t>
      </w:r>
    </w:p>
    <w:p w:rsidR="00AB735E" w:rsidRPr="00A6124D" w:rsidRDefault="00AB735E" w:rsidP="00A6124D">
      <w:pPr>
        <w:pStyle w:val="ListParagraph"/>
        <w:rPr>
          <w:rFonts w:ascii="Times New Roman" w:hAnsi="Times New Roman" w:cs="Times New Roman"/>
        </w:rPr>
      </w:pPr>
    </w:p>
    <w:p w:rsidR="00C86351" w:rsidRDefault="00C86351" w:rsidP="004639E8">
      <w:pPr>
        <w:pStyle w:val="ListParagraph"/>
        <w:numPr>
          <w:ilvl w:val="1"/>
          <w:numId w:val="15"/>
        </w:numPr>
        <w:ind w:hanging="578"/>
        <w:jc w:val="both"/>
        <w:rPr>
          <w:rFonts w:ascii="Times New Roman" w:hAnsi="Times New Roman" w:cs="Times New Roman"/>
        </w:rPr>
      </w:pPr>
      <w:r>
        <w:rPr>
          <w:rFonts w:ascii="Times New Roman" w:hAnsi="Times New Roman" w:cs="Times New Roman"/>
        </w:rPr>
        <w:t xml:space="preserve">A continuación se describen </w:t>
      </w:r>
      <w:r w:rsidR="001B6CA7">
        <w:rPr>
          <w:rFonts w:ascii="Times New Roman" w:hAnsi="Times New Roman" w:cs="Times New Roman"/>
        </w:rPr>
        <w:t>la metodología</w:t>
      </w:r>
      <w:r>
        <w:rPr>
          <w:rFonts w:ascii="Times New Roman" w:hAnsi="Times New Roman" w:cs="Times New Roman"/>
        </w:rPr>
        <w:t xml:space="preserve"> </w:t>
      </w:r>
      <w:r w:rsidR="001B6CA7">
        <w:rPr>
          <w:rFonts w:ascii="Times New Roman" w:hAnsi="Times New Roman" w:cs="Times New Roman"/>
        </w:rPr>
        <w:t xml:space="preserve">utilizada </w:t>
      </w:r>
      <w:r w:rsidR="00CC5C38">
        <w:rPr>
          <w:rFonts w:ascii="Times New Roman" w:hAnsi="Times New Roman" w:cs="Times New Roman"/>
        </w:rPr>
        <w:t xml:space="preserve">en el desarrollo de </w:t>
      </w:r>
      <w:r w:rsidR="001B6CA7">
        <w:rPr>
          <w:rFonts w:ascii="Times New Roman" w:hAnsi="Times New Roman" w:cs="Times New Roman"/>
        </w:rPr>
        <w:t>la evaluación económica</w:t>
      </w:r>
      <w:r>
        <w:rPr>
          <w:rFonts w:ascii="Times New Roman" w:hAnsi="Times New Roman" w:cs="Times New Roman"/>
        </w:rPr>
        <w:t xml:space="preserve">, algunos aspectos metodológicos concretos </w:t>
      </w:r>
      <w:r w:rsidR="001B6CA7">
        <w:rPr>
          <w:rFonts w:ascii="Times New Roman" w:hAnsi="Times New Roman" w:cs="Times New Roman"/>
        </w:rPr>
        <w:t>del análisis</w:t>
      </w:r>
      <w:r>
        <w:rPr>
          <w:rFonts w:ascii="Times New Roman" w:hAnsi="Times New Roman" w:cs="Times New Roman"/>
        </w:rPr>
        <w:t xml:space="preserve">, </w:t>
      </w:r>
      <w:r w:rsidR="001B6CA7">
        <w:rPr>
          <w:rFonts w:ascii="Times New Roman" w:hAnsi="Times New Roman" w:cs="Times New Roman"/>
        </w:rPr>
        <w:t>así como los parámetros de resultados contemplados en el ACB</w:t>
      </w:r>
      <w:r>
        <w:rPr>
          <w:rFonts w:ascii="Times New Roman" w:hAnsi="Times New Roman" w:cs="Times New Roman"/>
        </w:rPr>
        <w:t>.</w:t>
      </w:r>
    </w:p>
    <w:p w:rsidR="000E5B00" w:rsidRDefault="000E5B00" w:rsidP="00C86351">
      <w:pPr>
        <w:jc w:val="both"/>
        <w:rPr>
          <w:rFonts w:ascii="Times New Roman" w:hAnsi="Times New Roman" w:cs="Times New Roman"/>
        </w:rPr>
      </w:pPr>
    </w:p>
    <w:p w:rsidR="00C86351" w:rsidRDefault="00C86351">
      <w:pPr>
        <w:rPr>
          <w:rFonts w:ascii="Times New Roman" w:hAnsi="Times New Roman" w:cs="Times New Roman"/>
          <w:b/>
          <w:i/>
        </w:rPr>
      </w:pPr>
      <w:r>
        <w:rPr>
          <w:rFonts w:ascii="Times New Roman" w:hAnsi="Times New Roman" w:cs="Times New Roman"/>
          <w:b/>
          <w:i/>
        </w:rPr>
        <w:br w:type="page"/>
      </w:r>
    </w:p>
    <w:p w:rsidR="00C86351" w:rsidRPr="00E138EE" w:rsidRDefault="00C86351" w:rsidP="00C86351">
      <w:pPr>
        <w:pStyle w:val="Heading1"/>
        <w:numPr>
          <w:ilvl w:val="0"/>
          <w:numId w:val="14"/>
        </w:numPr>
        <w:jc w:val="both"/>
        <w:rPr>
          <w:rFonts w:ascii="Times New Roman" w:hAnsi="Times New Roman" w:cs="Times New Roman"/>
          <w:color w:val="auto"/>
          <w:sz w:val="24"/>
          <w:szCs w:val="24"/>
          <w:lang w:val="en-US"/>
        </w:rPr>
      </w:pPr>
      <w:bookmarkStart w:id="25" w:name="_Toc380171565"/>
      <w:bookmarkStart w:id="26" w:name="_Toc386887942"/>
      <w:r w:rsidRPr="00E138EE">
        <w:rPr>
          <w:rFonts w:ascii="Times New Roman" w:hAnsi="Times New Roman" w:cs="Times New Roman"/>
          <w:color w:val="auto"/>
          <w:sz w:val="24"/>
          <w:szCs w:val="24"/>
          <w:lang w:val="en-US"/>
        </w:rPr>
        <w:lastRenderedPageBreak/>
        <w:t>SUPUESTOS Y METODOLOGÍA</w:t>
      </w:r>
      <w:bookmarkEnd w:id="25"/>
      <w:bookmarkEnd w:id="26"/>
    </w:p>
    <w:p w:rsidR="000E5B00" w:rsidRDefault="000E5B00" w:rsidP="000E5B00">
      <w:pPr>
        <w:autoSpaceDE w:val="0"/>
        <w:autoSpaceDN w:val="0"/>
        <w:adjustRightInd w:val="0"/>
        <w:rPr>
          <w:rFonts w:ascii="Times New Roman" w:hAnsi="Times New Roman" w:cs="Times New Roman"/>
          <w:b/>
          <w:bCs/>
        </w:rPr>
      </w:pPr>
      <w:bookmarkStart w:id="27" w:name="_Toc383005087"/>
    </w:p>
    <w:p w:rsidR="00AB735E" w:rsidRPr="00AB735E" w:rsidRDefault="00AB735E" w:rsidP="00AB735E">
      <w:pPr>
        <w:pStyle w:val="ListParagraph"/>
        <w:numPr>
          <w:ilvl w:val="0"/>
          <w:numId w:val="18"/>
        </w:numPr>
        <w:jc w:val="both"/>
        <w:rPr>
          <w:rFonts w:ascii="Times New Roman" w:eastAsia="Times New Roman" w:hAnsi="Times New Roman" w:cs="Times New Roman"/>
          <w:vanish/>
          <w:szCs w:val="20"/>
        </w:rPr>
      </w:pPr>
    </w:p>
    <w:p w:rsidR="00AB735E" w:rsidRPr="00AB735E" w:rsidRDefault="00AB735E" w:rsidP="00AB735E">
      <w:pPr>
        <w:pStyle w:val="ListParagraph"/>
        <w:numPr>
          <w:ilvl w:val="0"/>
          <w:numId w:val="18"/>
        </w:numPr>
        <w:jc w:val="both"/>
        <w:rPr>
          <w:rFonts w:ascii="Times New Roman" w:eastAsia="Times New Roman" w:hAnsi="Times New Roman" w:cs="Times New Roman"/>
          <w:vanish/>
          <w:szCs w:val="20"/>
        </w:rPr>
      </w:pPr>
    </w:p>
    <w:p w:rsidR="000E5B00" w:rsidRDefault="000E5B00" w:rsidP="00A6124D">
      <w:pPr>
        <w:pStyle w:val="ListParagraph"/>
        <w:numPr>
          <w:ilvl w:val="1"/>
          <w:numId w:val="18"/>
        </w:numPr>
        <w:ind w:left="709" w:hanging="567"/>
        <w:jc w:val="both"/>
        <w:rPr>
          <w:rFonts w:ascii="Times New Roman" w:eastAsia="Times New Roman" w:hAnsi="Times New Roman" w:cs="Times New Roman"/>
          <w:szCs w:val="20"/>
        </w:rPr>
      </w:pPr>
      <w:r w:rsidRPr="00800FCC">
        <w:rPr>
          <w:rFonts w:ascii="Times New Roman" w:eastAsia="Times New Roman" w:hAnsi="Times New Roman" w:cs="Times New Roman"/>
          <w:szCs w:val="20"/>
        </w:rPr>
        <w:t xml:space="preserve">Para la evaluación de la </w:t>
      </w:r>
      <w:r>
        <w:rPr>
          <w:rFonts w:ascii="Times New Roman" w:eastAsia="Times New Roman" w:hAnsi="Times New Roman" w:cs="Times New Roman"/>
          <w:szCs w:val="20"/>
        </w:rPr>
        <w:t>viabili</w:t>
      </w:r>
      <w:r w:rsidRPr="00800FCC">
        <w:rPr>
          <w:rFonts w:ascii="Times New Roman" w:eastAsia="Times New Roman" w:hAnsi="Times New Roman" w:cs="Times New Roman"/>
          <w:szCs w:val="20"/>
        </w:rPr>
        <w:t xml:space="preserve">dad económica del </w:t>
      </w:r>
      <w:r w:rsidR="004B2D7D">
        <w:rPr>
          <w:rFonts w:ascii="Times New Roman" w:eastAsia="Times New Roman" w:hAnsi="Times New Roman" w:cs="Times New Roman"/>
          <w:szCs w:val="20"/>
        </w:rPr>
        <w:t>Programa</w:t>
      </w:r>
      <w:r w:rsidRPr="00800FCC">
        <w:rPr>
          <w:rFonts w:ascii="Times New Roman" w:eastAsia="Times New Roman" w:hAnsi="Times New Roman" w:cs="Times New Roman"/>
          <w:szCs w:val="20"/>
        </w:rPr>
        <w:t xml:space="preserve">, se ha utilizado la metodología del </w:t>
      </w:r>
      <w:r>
        <w:rPr>
          <w:rFonts w:ascii="Times New Roman" w:eastAsia="Times New Roman" w:hAnsi="Times New Roman" w:cs="Times New Roman"/>
          <w:szCs w:val="20"/>
        </w:rPr>
        <w:t>Análisis Costo-Beneficio (“ACB”), que cuantifica la rentabilidad de las acciones llevadas a cabo por el Programa</w:t>
      </w:r>
      <w:r w:rsidRPr="00800FCC">
        <w:rPr>
          <w:rFonts w:ascii="Times New Roman" w:eastAsia="Times New Roman" w:hAnsi="Times New Roman" w:cs="Times New Roman"/>
          <w:szCs w:val="20"/>
        </w:rPr>
        <w:t xml:space="preserve">. </w:t>
      </w:r>
    </w:p>
    <w:p w:rsidR="000E5B00" w:rsidRDefault="000E5B00" w:rsidP="002902C7">
      <w:pPr>
        <w:pStyle w:val="ListParagraph"/>
        <w:ind w:hanging="578"/>
        <w:jc w:val="both"/>
        <w:rPr>
          <w:rFonts w:ascii="Times New Roman" w:eastAsia="Times New Roman" w:hAnsi="Times New Roman" w:cs="Times New Roman"/>
          <w:szCs w:val="20"/>
        </w:rPr>
      </w:pPr>
    </w:p>
    <w:p w:rsidR="000E5B00" w:rsidRDefault="000E5B00" w:rsidP="002902C7">
      <w:pPr>
        <w:pStyle w:val="ListParagraph"/>
        <w:numPr>
          <w:ilvl w:val="1"/>
          <w:numId w:val="18"/>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 metodología del ACB se ha adaptado a cado uno de los componentes evaluados, en función de los factores siguientes: (i) la información </w:t>
      </w:r>
      <w:r w:rsidR="004B2D7D">
        <w:rPr>
          <w:rFonts w:ascii="Times New Roman" w:eastAsia="Times New Roman" w:hAnsi="Times New Roman" w:cs="Times New Roman"/>
          <w:szCs w:val="20"/>
        </w:rPr>
        <w:t xml:space="preserve">primaria y segundaria </w:t>
      </w:r>
      <w:r>
        <w:rPr>
          <w:rFonts w:ascii="Times New Roman" w:eastAsia="Times New Roman" w:hAnsi="Times New Roman" w:cs="Times New Roman"/>
          <w:szCs w:val="20"/>
        </w:rPr>
        <w:t>disponible al respecto</w:t>
      </w:r>
      <w:r w:rsidR="004B2D7D">
        <w:rPr>
          <w:rFonts w:ascii="Times New Roman" w:eastAsia="Times New Roman" w:hAnsi="Times New Roman" w:cs="Times New Roman"/>
          <w:szCs w:val="20"/>
        </w:rPr>
        <w:t xml:space="preserve"> y</w:t>
      </w:r>
      <w:r>
        <w:rPr>
          <w:rFonts w:ascii="Times New Roman" w:eastAsia="Times New Roman" w:hAnsi="Times New Roman" w:cs="Times New Roman"/>
          <w:szCs w:val="20"/>
        </w:rPr>
        <w:t xml:space="preserve"> (ii) la asociación </w:t>
      </w:r>
      <w:r w:rsidR="00AA3350">
        <w:rPr>
          <w:rFonts w:ascii="Times New Roman" w:eastAsia="Times New Roman" w:hAnsi="Times New Roman" w:cs="Times New Roman"/>
          <w:szCs w:val="20"/>
        </w:rPr>
        <w:t xml:space="preserve">lógica </w:t>
      </w:r>
      <w:r>
        <w:rPr>
          <w:rFonts w:ascii="Times New Roman" w:eastAsia="Times New Roman" w:hAnsi="Times New Roman" w:cs="Times New Roman"/>
          <w:szCs w:val="20"/>
        </w:rPr>
        <w:t xml:space="preserve">de </w:t>
      </w:r>
      <w:r w:rsidR="00AA3350">
        <w:rPr>
          <w:rFonts w:ascii="Times New Roman" w:eastAsia="Times New Roman" w:hAnsi="Times New Roman" w:cs="Times New Roman"/>
          <w:szCs w:val="20"/>
        </w:rPr>
        <w:t xml:space="preserve">algunas </w:t>
      </w:r>
      <w:r>
        <w:rPr>
          <w:rFonts w:ascii="Times New Roman" w:eastAsia="Times New Roman" w:hAnsi="Times New Roman" w:cs="Times New Roman"/>
          <w:szCs w:val="20"/>
        </w:rPr>
        <w:t xml:space="preserve">líneas programáticas con acciones </w:t>
      </w:r>
      <w:r w:rsidR="00AA3350">
        <w:rPr>
          <w:rFonts w:ascii="Times New Roman" w:eastAsia="Times New Roman" w:hAnsi="Times New Roman" w:cs="Times New Roman"/>
          <w:szCs w:val="20"/>
        </w:rPr>
        <w:t>que generarán</w:t>
      </w:r>
      <w:r>
        <w:rPr>
          <w:rFonts w:ascii="Times New Roman" w:eastAsia="Times New Roman" w:hAnsi="Times New Roman" w:cs="Times New Roman"/>
          <w:szCs w:val="20"/>
        </w:rPr>
        <w:t xml:space="preserve"> efectos económicos causales diferenciables</w:t>
      </w:r>
      <w:r w:rsidR="004B2D7D">
        <w:rPr>
          <w:rFonts w:ascii="Times New Roman" w:eastAsia="Times New Roman" w:hAnsi="Times New Roman" w:cs="Times New Roman"/>
          <w:szCs w:val="20"/>
        </w:rPr>
        <w:t>.</w:t>
      </w:r>
    </w:p>
    <w:p w:rsidR="000E5B00" w:rsidRPr="001D51AE" w:rsidRDefault="000E5B00" w:rsidP="002902C7">
      <w:pPr>
        <w:pStyle w:val="ListParagraph"/>
        <w:ind w:hanging="578"/>
        <w:rPr>
          <w:rFonts w:ascii="Times New Roman" w:eastAsia="Times New Roman" w:hAnsi="Times New Roman" w:cs="Times New Roman"/>
          <w:szCs w:val="20"/>
        </w:rPr>
      </w:pPr>
    </w:p>
    <w:p w:rsidR="000E5B00" w:rsidRPr="001E62C5" w:rsidRDefault="000E5B00" w:rsidP="002902C7">
      <w:pPr>
        <w:pStyle w:val="ListParagraph"/>
        <w:numPr>
          <w:ilvl w:val="1"/>
          <w:numId w:val="18"/>
        </w:numPr>
        <w:autoSpaceDE w:val="0"/>
        <w:autoSpaceDN w:val="0"/>
        <w:adjustRightInd w:val="0"/>
        <w:ind w:hanging="578"/>
        <w:jc w:val="both"/>
        <w:rPr>
          <w:rFonts w:ascii="Times New Roman" w:eastAsia="Times New Roman" w:hAnsi="Times New Roman" w:cs="Times New Roman"/>
          <w:szCs w:val="20"/>
        </w:rPr>
      </w:pPr>
      <w:r w:rsidRPr="001E62C5">
        <w:rPr>
          <w:rFonts w:ascii="Times New Roman" w:eastAsia="Times New Roman" w:hAnsi="Times New Roman" w:cs="Times New Roman"/>
          <w:szCs w:val="20"/>
        </w:rPr>
        <w:t xml:space="preserve">Además del análisis cuantitativo, se han tenido en cuenta </w:t>
      </w:r>
      <w:r>
        <w:rPr>
          <w:rFonts w:ascii="Times New Roman" w:eastAsia="Times New Roman" w:hAnsi="Times New Roman" w:cs="Times New Roman"/>
          <w:szCs w:val="20"/>
        </w:rPr>
        <w:t xml:space="preserve">otros </w:t>
      </w:r>
      <w:r w:rsidR="00680B75">
        <w:rPr>
          <w:rFonts w:ascii="Times New Roman" w:eastAsia="Times New Roman" w:hAnsi="Times New Roman" w:cs="Times New Roman"/>
          <w:szCs w:val="20"/>
        </w:rPr>
        <w:t xml:space="preserve">beneficios en términos </w:t>
      </w:r>
      <w:r w:rsidRPr="001E62C5">
        <w:rPr>
          <w:rFonts w:ascii="Times New Roman" w:eastAsia="Times New Roman" w:hAnsi="Times New Roman" w:cs="Times New Roman"/>
          <w:szCs w:val="20"/>
        </w:rPr>
        <w:t>cualitat</w:t>
      </w:r>
      <w:r w:rsidR="00680B75">
        <w:rPr>
          <w:rFonts w:ascii="Times New Roman" w:eastAsia="Times New Roman" w:hAnsi="Times New Roman" w:cs="Times New Roman"/>
          <w:szCs w:val="20"/>
        </w:rPr>
        <w:t>ivos,</w:t>
      </w:r>
      <w:r w:rsidRPr="001E62C5">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asociados a </w:t>
      </w:r>
      <w:r w:rsidRPr="001E62C5">
        <w:rPr>
          <w:rFonts w:ascii="Times New Roman" w:eastAsia="Times New Roman" w:hAnsi="Times New Roman" w:cs="Times New Roman"/>
          <w:szCs w:val="20"/>
        </w:rPr>
        <w:t xml:space="preserve">la ejecución del </w:t>
      </w:r>
      <w:r w:rsidR="00680B75">
        <w:rPr>
          <w:rFonts w:ascii="Times New Roman" w:eastAsia="Times New Roman" w:hAnsi="Times New Roman" w:cs="Times New Roman"/>
          <w:szCs w:val="20"/>
        </w:rPr>
        <w:t>Programa</w:t>
      </w:r>
      <w:r w:rsidRPr="001E62C5">
        <w:rPr>
          <w:rFonts w:ascii="Times New Roman" w:eastAsia="Times New Roman" w:hAnsi="Times New Roman" w:cs="Times New Roman"/>
          <w:szCs w:val="20"/>
        </w:rPr>
        <w:t xml:space="preserve">. Estos beneficios no han formado parte de la estimación de la rentabilidad económica, </w:t>
      </w:r>
      <w:r>
        <w:rPr>
          <w:rFonts w:ascii="Times New Roman" w:eastAsia="Times New Roman" w:hAnsi="Times New Roman" w:cs="Times New Roman"/>
          <w:szCs w:val="20"/>
        </w:rPr>
        <w:t xml:space="preserve">no obstante </w:t>
      </w:r>
      <w:r w:rsidRPr="001E62C5">
        <w:rPr>
          <w:rFonts w:ascii="Times New Roman" w:eastAsia="Times New Roman" w:hAnsi="Times New Roman" w:cs="Times New Roman"/>
          <w:szCs w:val="20"/>
        </w:rPr>
        <w:t>han sido identificados para su consideración en el conjunto de la evaluación.</w:t>
      </w:r>
    </w:p>
    <w:p w:rsidR="000E5B00" w:rsidRPr="009E37AA" w:rsidRDefault="000E5B00" w:rsidP="002902C7">
      <w:pPr>
        <w:ind w:hanging="578"/>
        <w:jc w:val="both"/>
        <w:rPr>
          <w:rFonts w:ascii="Times New Roman" w:hAnsi="Times New Roman" w:cs="Times New Roman"/>
        </w:rPr>
      </w:pPr>
    </w:p>
    <w:p w:rsidR="000E5B00" w:rsidRPr="00882B94" w:rsidRDefault="000E5B00" w:rsidP="000E5B00">
      <w:pPr>
        <w:pStyle w:val="Heading2"/>
        <w:rPr>
          <w:rFonts w:ascii="Times New Roman" w:hAnsi="Times New Roman" w:cs="Times New Roman"/>
          <w:i/>
          <w:color w:val="auto"/>
          <w:sz w:val="22"/>
        </w:rPr>
      </w:pPr>
      <w:bookmarkStart w:id="28" w:name="_Toc352689733"/>
      <w:bookmarkStart w:id="29" w:name="_Toc386887943"/>
      <w:bookmarkStart w:id="30" w:name="_Toc320196400"/>
      <w:r w:rsidRPr="00882B94">
        <w:rPr>
          <w:rFonts w:ascii="Times New Roman" w:hAnsi="Times New Roman" w:cs="Times New Roman"/>
          <w:i/>
          <w:color w:val="auto"/>
          <w:sz w:val="22"/>
        </w:rPr>
        <w:t>Perímetro del Análisis</w:t>
      </w:r>
      <w:bookmarkEnd w:id="28"/>
      <w:bookmarkEnd w:id="29"/>
    </w:p>
    <w:p w:rsidR="000E5B00" w:rsidRPr="009E37AA" w:rsidRDefault="000E5B00" w:rsidP="000E5B00">
      <w:pPr>
        <w:jc w:val="both"/>
        <w:rPr>
          <w:rFonts w:ascii="Times New Roman" w:eastAsia="Times New Roman" w:hAnsi="Times New Roman" w:cs="Times New Roman"/>
          <w:i/>
          <w:szCs w:val="20"/>
        </w:rPr>
      </w:pPr>
    </w:p>
    <w:p w:rsidR="000E5B00" w:rsidRPr="009E37AA" w:rsidRDefault="000E5B00" w:rsidP="002902C7">
      <w:pPr>
        <w:pStyle w:val="ListParagraph"/>
        <w:numPr>
          <w:ilvl w:val="1"/>
          <w:numId w:val="18"/>
        </w:numPr>
        <w:ind w:hanging="578"/>
        <w:jc w:val="both"/>
        <w:rPr>
          <w:rFonts w:ascii="Times New Roman" w:hAnsi="Times New Roman" w:cs="Times New Roman"/>
        </w:rPr>
      </w:pPr>
      <w:r>
        <w:rPr>
          <w:rFonts w:ascii="Times New Roman" w:hAnsi="Times New Roman" w:cs="Times New Roman"/>
        </w:rPr>
        <w:t xml:space="preserve">Tal </w:t>
      </w:r>
      <w:r w:rsidR="00AA3350">
        <w:rPr>
          <w:rFonts w:ascii="Times New Roman" w:hAnsi="Times New Roman" w:cs="Times New Roman"/>
        </w:rPr>
        <w:t>y</w:t>
      </w:r>
      <w:r>
        <w:rPr>
          <w:rFonts w:ascii="Times New Roman" w:hAnsi="Times New Roman" w:cs="Times New Roman"/>
        </w:rPr>
        <w:t xml:space="preserve"> como se ha señalado anteriormente, l</w:t>
      </w:r>
      <w:r w:rsidRPr="009E37AA">
        <w:rPr>
          <w:rFonts w:ascii="Times New Roman" w:hAnsi="Times New Roman" w:cs="Times New Roman"/>
        </w:rPr>
        <w:t xml:space="preserve">a evaluación económica se </w:t>
      </w:r>
      <w:r>
        <w:rPr>
          <w:rFonts w:ascii="Times New Roman" w:hAnsi="Times New Roman" w:cs="Times New Roman"/>
        </w:rPr>
        <w:t>ha concentrado</w:t>
      </w:r>
      <w:r w:rsidRPr="009E37AA">
        <w:rPr>
          <w:rFonts w:ascii="Times New Roman" w:hAnsi="Times New Roman" w:cs="Times New Roman"/>
        </w:rPr>
        <w:t xml:space="preserve"> en aquellos componentes cuyos efectos económicos </w:t>
      </w:r>
      <w:r>
        <w:rPr>
          <w:rFonts w:ascii="Times New Roman" w:hAnsi="Times New Roman" w:cs="Times New Roman"/>
        </w:rPr>
        <w:t>han sido</w:t>
      </w:r>
      <w:r w:rsidRPr="009E37AA">
        <w:rPr>
          <w:rFonts w:ascii="Times New Roman" w:hAnsi="Times New Roman" w:cs="Times New Roman"/>
        </w:rPr>
        <w:t xml:space="preserve"> identificables y directamente atribuibles al Programa, mediante relaciones causa-efecto suficientemente definidas, y que </w:t>
      </w:r>
      <w:r w:rsidR="00042A4D">
        <w:rPr>
          <w:rFonts w:ascii="Times New Roman" w:hAnsi="Times New Roman" w:cs="Times New Roman"/>
        </w:rPr>
        <w:t>han permitido</w:t>
      </w:r>
      <w:r w:rsidRPr="009E37AA">
        <w:rPr>
          <w:rFonts w:ascii="Times New Roman" w:hAnsi="Times New Roman" w:cs="Times New Roman"/>
        </w:rPr>
        <w:t xml:space="preserve"> una mejor c</w:t>
      </w:r>
      <w:r w:rsidR="00E96826">
        <w:rPr>
          <w:rFonts w:ascii="Times New Roman" w:hAnsi="Times New Roman" w:cs="Times New Roman"/>
        </w:rPr>
        <w:t>uantificación de estos efectos.</w:t>
      </w:r>
    </w:p>
    <w:p w:rsidR="000E5B00" w:rsidRPr="009E37AA" w:rsidRDefault="000E5B00" w:rsidP="002902C7">
      <w:pPr>
        <w:ind w:hanging="578"/>
        <w:jc w:val="both"/>
        <w:rPr>
          <w:rFonts w:ascii="Times New Roman" w:hAnsi="Times New Roman" w:cs="Times New Roman"/>
        </w:rPr>
      </w:pPr>
    </w:p>
    <w:p w:rsidR="000E5B00" w:rsidRPr="00BB44EB" w:rsidRDefault="000E5B00" w:rsidP="002902C7">
      <w:pPr>
        <w:pStyle w:val="ListParagraph"/>
        <w:numPr>
          <w:ilvl w:val="1"/>
          <w:numId w:val="18"/>
        </w:numPr>
        <w:ind w:hanging="578"/>
        <w:jc w:val="both"/>
        <w:rPr>
          <w:rFonts w:ascii="Times New Roman" w:hAnsi="Times New Roman" w:cs="Times New Roman"/>
        </w:rPr>
      </w:pPr>
      <w:r>
        <w:rPr>
          <w:rFonts w:ascii="Times New Roman" w:eastAsia="Times New Roman" w:hAnsi="Times New Roman" w:cs="Times New Roman"/>
          <w:szCs w:val="20"/>
        </w:rPr>
        <w:t>Por ello, e</w:t>
      </w:r>
      <w:r w:rsidRPr="004D5AD2">
        <w:rPr>
          <w:rFonts w:ascii="Times New Roman" w:eastAsia="Times New Roman" w:hAnsi="Times New Roman" w:cs="Times New Roman"/>
          <w:szCs w:val="20"/>
        </w:rPr>
        <w:t>l análisis se ha acotado</w:t>
      </w:r>
      <w:r>
        <w:rPr>
          <w:rFonts w:ascii="Times New Roman" w:eastAsia="Times New Roman" w:hAnsi="Times New Roman" w:cs="Times New Roman"/>
          <w:szCs w:val="20"/>
        </w:rPr>
        <w:t>,</w:t>
      </w:r>
      <w:r w:rsidRPr="004D5AD2">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en función </w:t>
      </w:r>
      <w:r w:rsidRPr="004D5AD2">
        <w:rPr>
          <w:rFonts w:ascii="Times New Roman" w:eastAsia="Times New Roman" w:hAnsi="Times New Roman" w:cs="Times New Roman"/>
          <w:szCs w:val="20"/>
        </w:rPr>
        <w:t xml:space="preserve">de la información y de </w:t>
      </w:r>
      <w:r>
        <w:rPr>
          <w:rFonts w:ascii="Times New Roman" w:eastAsia="Times New Roman" w:hAnsi="Times New Roman" w:cs="Times New Roman"/>
          <w:szCs w:val="20"/>
        </w:rPr>
        <w:t xml:space="preserve">los </w:t>
      </w:r>
      <w:r w:rsidRPr="004D5AD2">
        <w:rPr>
          <w:rFonts w:ascii="Times New Roman" w:eastAsia="Times New Roman" w:hAnsi="Times New Roman" w:cs="Times New Roman"/>
          <w:szCs w:val="20"/>
        </w:rPr>
        <w:t xml:space="preserve">datos </w:t>
      </w:r>
      <w:r>
        <w:rPr>
          <w:rFonts w:ascii="Times New Roman" w:eastAsia="Times New Roman" w:hAnsi="Times New Roman" w:cs="Times New Roman"/>
          <w:szCs w:val="20"/>
        </w:rPr>
        <w:t>disponibles</w:t>
      </w:r>
      <w:r w:rsidRPr="004D5AD2">
        <w:rPr>
          <w:rFonts w:ascii="Times New Roman" w:eastAsia="Times New Roman" w:hAnsi="Times New Roman" w:cs="Times New Roman"/>
          <w:szCs w:val="20"/>
        </w:rPr>
        <w:t xml:space="preserve">, a unos </w:t>
      </w:r>
      <w:r w:rsidR="00436D21">
        <w:rPr>
          <w:rFonts w:ascii="Times New Roman" w:eastAsia="Times New Roman" w:hAnsi="Times New Roman" w:cs="Times New Roman"/>
          <w:szCs w:val="20"/>
        </w:rPr>
        <w:t>elementos</w:t>
      </w:r>
      <w:r w:rsidR="00436D21" w:rsidRPr="004D5AD2">
        <w:rPr>
          <w:rFonts w:ascii="Times New Roman" w:eastAsia="Times New Roman" w:hAnsi="Times New Roman" w:cs="Times New Roman"/>
          <w:szCs w:val="20"/>
        </w:rPr>
        <w:t xml:space="preserve"> </w:t>
      </w:r>
      <w:r w:rsidRPr="004D5AD2">
        <w:rPr>
          <w:rFonts w:ascii="Times New Roman" w:eastAsia="Times New Roman" w:hAnsi="Times New Roman" w:cs="Times New Roman"/>
          <w:szCs w:val="20"/>
        </w:rPr>
        <w:t xml:space="preserve">identificables y cuantificables, que </w:t>
      </w:r>
      <w:r>
        <w:rPr>
          <w:rFonts w:ascii="Times New Roman" w:eastAsia="Times New Roman" w:hAnsi="Times New Roman" w:cs="Times New Roman"/>
          <w:szCs w:val="20"/>
        </w:rPr>
        <w:t xml:space="preserve">han constituido </w:t>
      </w:r>
      <w:r w:rsidRPr="004D5AD2">
        <w:rPr>
          <w:rFonts w:ascii="Times New Roman" w:eastAsia="Times New Roman" w:hAnsi="Times New Roman" w:cs="Times New Roman"/>
          <w:szCs w:val="20"/>
        </w:rPr>
        <w:t xml:space="preserve">el </w:t>
      </w:r>
      <w:r w:rsidR="00436D21">
        <w:rPr>
          <w:rFonts w:ascii="Times New Roman" w:eastAsia="Times New Roman" w:hAnsi="Times New Roman" w:cs="Times New Roman"/>
          <w:szCs w:val="20"/>
        </w:rPr>
        <w:t xml:space="preserve">perímetro </w:t>
      </w:r>
      <w:r w:rsidRPr="004D5AD2">
        <w:rPr>
          <w:rFonts w:ascii="Times New Roman" w:eastAsia="Times New Roman" w:hAnsi="Times New Roman" w:cs="Times New Roman"/>
          <w:szCs w:val="20"/>
        </w:rPr>
        <w:t xml:space="preserve">evaluado. </w:t>
      </w:r>
    </w:p>
    <w:p w:rsidR="000E5B00" w:rsidRPr="00BB44EB" w:rsidRDefault="000E5B00" w:rsidP="002902C7">
      <w:pPr>
        <w:pStyle w:val="ListParagraph"/>
        <w:ind w:hanging="578"/>
        <w:rPr>
          <w:rFonts w:ascii="Times New Roman" w:hAnsi="Times New Roman" w:cs="Times New Roman"/>
        </w:rPr>
      </w:pPr>
    </w:p>
    <w:p w:rsidR="000E5B00" w:rsidRDefault="000E5B00" w:rsidP="002902C7">
      <w:pPr>
        <w:pStyle w:val="ListParagraph"/>
        <w:numPr>
          <w:ilvl w:val="1"/>
          <w:numId w:val="18"/>
        </w:numPr>
        <w:ind w:hanging="578"/>
        <w:jc w:val="both"/>
        <w:rPr>
          <w:rFonts w:ascii="Times New Roman" w:hAnsi="Times New Roman" w:cs="Times New Roman"/>
        </w:rPr>
      </w:pPr>
      <w:r w:rsidRPr="00BB44EB">
        <w:rPr>
          <w:rFonts w:ascii="Times New Roman" w:hAnsi="Times New Roman" w:cs="Times New Roman"/>
        </w:rPr>
        <w:t xml:space="preserve">En este sentido, el perímetro de la evaluación </w:t>
      </w:r>
      <w:r>
        <w:rPr>
          <w:rFonts w:ascii="Times New Roman" w:hAnsi="Times New Roman" w:cs="Times New Roman"/>
        </w:rPr>
        <w:t xml:space="preserve">se ha delimitado en torno a las </w:t>
      </w:r>
      <w:r w:rsidR="00E96826">
        <w:rPr>
          <w:rFonts w:ascii="Times New Roman" w:hAnsi="Times New Roman" w:cs="Times New Roman"/>
        </w:rPr>
        <w:t xml:space="preserve">enfermedades y plagas que serán intervenidas por el Programa a través las correspondientes </w:t>
      </w:r>
      <w:r w:rsidR="00BB3F72">
        <w:rPr>
          <w:rFonts w:ascii="Times New Roman" w:hAnsi="Times New Roman" w:cs="Times New Roman"/>
        </w:rPr>
        <w:t>actuaciones de control, prevención, supervisión y/o tratamiento</w:t>
      </w:r>
      <w:r w:rsidR="00E96826">
        <w:rPr>
          <w:rFonts w:ascii="Times New Roman" w:hAnsi="Times New Roman" w:cs="Times New Roman"/>
        </w:rPr>
        <w:t xml:space="preserve">. </w:t>
      </w:r>
      <w:r w:rsidR="00BB3F72">
        <w:rPr>
          <w:rFonts w:ascii="Times New Roman" w:hAnsi="Times New Roman" w:cs="Times New Roman"/>
        </w:rPr>
        <w:t xml:space="preserve">Cabe señalar que </w:t>
      </w:r>
      <w:r w:rsidR="00E96826">
        <w:rPr>
          <w:rFonts w:ascii="Times New Roman" w:hAnsi="Times New Roman" w:cs="Times New Roman"/>
        </w:rPr>
        <w:t>el planteamiento de la</w:t>
      </w:r>
      <w:r w:rsidR="00BB3F72">
        <w:rPr>
          <w:rFonts w:ascii="Times New Roman" w:hAnsi="Times New Roman" w:cs="Times New Roman"/>
        </w:rPr>
        <w:t>s</w:t>
      </w:r>
      <w:r w:rsidR="00E96826">
        <w:rPr>
          <w:rFonts w:ascii="Times New Roman" w:hAnsi="Times New Roman" w:cs="Times New Roman"/>
        </w:rPr>
        <w:t xml:space="preserve"> actuaciones relacionadas con cada una de las 4 patologías </w:t>
      </w:r>
      <w:r w:rsidR="00042A4D">
        <w:rPr>
          <w:rFonts w:ascii="Times New Roman" w:hAnsi="Times New Roman" w:cs="Times New Roman"/>
        </w:rPr>
        <w:t>contemplad</w:t>
      </w:r>
      <w:r w:rsidR="00200DA7">
        <w:rPr>
          <w:rFonts w:ascii="Times New Roman" w:hAnsi="Times New Roman" w:cs="Times New Roman"/>
        </w:rPr>
        <w:t>as (PPC, Teschen, Mosca de la Fruta y Hormiga Loca) varía significativamente</w:t>
      </w:r>
      <w:r w:rsidR="00BB3F72">
        <w:rPr>
          <w:rFonts w:ascii="Times New Roman" w:hAnsi="Times New Roman" w:cs="Times New Roman"/>
        </w:rPr>
        <w:t xml:space="preserve"> dada la disparidad en las </w:t>
      </w:r>
      <w:r w:rsidR="0068704E">
        <w:rPr>
          <w:rFonts w:ascii="Times New Roman" w:hAnsi="Times New Roman" w:cs="Times New Roman"/>
        </w:rPr>
        <w:t xml:space="preserve">intervenciones </w:t>
      </w:r>
      <w:r w:rsidR="00BB3F72">
        <w:rPr>
          <w:rFonts w:ascii="Times New Roman" w:hAnsi="Times New Roman" w:cs="Times New Roman"/>
        </w:rPr>
        <w:t>que ya se han llevado a cabo al respecto</w:t>
      </w:r>
      <w:r w:rsidR="00200DA7">
        <w:rPr>
          <w:rFonts w:ascii="Times New Roman" w:hAnsi="Times New Roman" w:cs="Times New Roman"/>
        </w:rPr>
        <w:t>.</w:t>
      </w:r>
      <w:r w:rsidR="00BB3F72">
        <w:rPr>
          <w:rFonts w:ascii="Times New Roman" w:hAnsi="Times New Roman" w:cs="Times New Roman"/>
        </w:rPr>
        <w:t xml:space="preserve"> Por ejemplo, si bien </w:t>
      </w:r>
      <w:r w:rsidR="00BB3F72" w:rsidRPr="004639E8">
        <w:rPr>
          <w:rFonts w:ascii="Times New Roman" w:hAnsi="Times New Roman" w:cs="Times New Roman"/>
        </w:rPr>
        <w:t xml:space="preserve">la PPC </w:t>
      </w:r>
      <w:r w:rsidR="00E55A24">
        <w:rPr>
          <w:rFonts w:ascii="Times New Roman" w:hAnsi="Times New Roman" w:cs="Times New Roman"/>
        </w:rPr>
        <w:t>es una patología bien conocida y no abordada</w:t>
      </w:r>
      <w:r w:rsidR="00BB3F72">
        <w:rPr>
          <w:rFonts w:ascii="Times New Roman" w:hAnsi="Times New Roman" w:cs="Times New Roman"/>
        </w:rPr>
        <w:t xml:space="preserve"> correctamente </w:t>
      </w:r>
      <w:r w:rsidR="00042A4D">
        <w:rPr>
          <w:rFonts w:ascii="Times New Roman" w:hAnsi="Times New Roman" w:cs="Times New Roman"/>
        </w:rPr>
        <w:t>a causa de</w:t>
      </w:r>
      <w:r w:rsidR="00BB3F72">
        <w:rPr>
          <w:rFonts w:ascii="Times New Roman" w:hAnsi="Times New Roman" w:cs="Times New Roman"/>
        </w:rPr>
        <w:t xml:space="preserve"> la debilidad institucional,</w:t>
      </w:r>
      <w:r w:rsidR="00E55A24">
        <w:rPr>
          <w:rFonts w:ascii="Times New Roman" w:hAnsi="Times New Roman" w:cs="Times New Roman"/>
        </w:rPr>
        <w:t xml:space="preserve"> </w:t>
      </w:r>
      <w:r w:rsidR="00436D21">
        <w:rPr>
          <w:rFonts w:ascii="Times New Roman" w:hAnsi="Times New Roman" w:cs="Times New Roman"/>
        </w:rPr>
        <w:t>la falta de un marco</w:t>
      </w:r>
      <w:r w:rsidR="00E55A24">
        <w:rPr>
          <w:rFonts w:ascii="Times New Roman" w:hAnsi="Times New Roman" w:cs="Times New Roman"/>
        </w:rPr>
        <w:t xml:space="preserve"> reglamentario y legal</w:t>
      </w:r>
      <w:r w:rsidR="00436D21">
        <w:rPr>
          <w:rFonts w:ascii="Times New Roman" w:hAnsi="Times New Roman" w:cs="Times New Roman"/>
        </w:rPr>
        <w:t xml:space="preserve"> suficientemente claro</w:t>
      </w:r>
      <w:r w:rsidR="00E55A24">
        <w:rPr>
          <w:rFonts w:ascii="Times New Roman" w:hAnsi="Times New Roman" w:cs="Times New Roman"/>
        </w:rPr>
        <w:t>,</w:t>
      </w:r>
      <w:r w:rsidR="00BB3F72">
        <w:rPr>
          <w:rFonts w:ascii="Times New Roman" w:hAnsi="Times New Roman" w:cs="Times New Roman"/>
        </w:rPr>
        <w:t xml:space="preserve"> así como la insuficiencia de fondos, el Teschen</w:t>
      </w:r>
      <w:r w:rsidR="00E55A24">
        <w:rPr>
          <w:rFonts w:ascii="Times New Roman" w:hAnsi="Times New Roman" w:cs="Times New Roman"/>
        </w:rPr>
        <w:t>, el control de la mosca de la fruta</w:t>
      </w:r>
      <w:r w:rsidR="00BB3F72">
        <w:rPr>
          <w:rFonts w:ascii="Times New Roman" w:hAnsi="Times New Roman" w:cs="Times New Roman"/>
        </w:rPr>
        <w:t xml:space="preserve"> y la </w:t>
      </w:r>
      <w:r w:rsidR="0026134E">
        <w:rPr>
          <w:rFonts w:ascii="Times New Roman" w:hAnsi="Times New Roman" w:cs="Times New Roman"/>
        </w:rPr>
        <w:t>plaga de la h</w:t>
      </w:r>
      <w:r w:rsidR="00BB3F72">
        <w:rPr>
          <w:rFonts w:ascii="Times New Roman" w:hAnsi="Times New Roman" w:cs="Times New Roman"/>
        </w:rPr>
        <w:t xml:space="preserve">ormiga </w:t>
      </w:r>
      <w:r w:rsidR="0026134E">
        <w:rPr>
          <w:rFonts w:ascii="Times New Roman" w:hAnsi="Times New Roman" w:cs="Times New Roman"/>
        </w:rPr>
        <w:t>l</w:t>
      </w:r>
      <w:r w:rsidR="00BB3F72">
        <w:rPr>
          <w:rFonts w:ascii="Times New Roman" w:hAnsi="Times New Roman" w:cs="Times New Roman"/>
        </w:rPr>
        <w:t xml:space="preserve">oca son </w:t>
      </w:r>
      <w:r w:rsidR="0026134E">
        <w:rPr>
          <w:rFonts w:ascii="Times New Roman" w:hAnsi="Times New Roman" w:cs="Times New Roman"/>
        </w:rPr>
        <w:t xml:space="preserve">problemáticas </w:t>
      </w:r>
      <w:r w:rsidR="00BB3F72">
        <w:rPr>
          <w:rFonts w:ascii="Times New Roman" w:hAnsi="Times New Roman" w:cs="Times New Roman"/>
        </w:rPr>
        <w:t xml:space="preserve">que </w:t>
      </w:r>
      <w:r w:rsidR="00042A4D">
        <w:rPr>
          <w:rFonts w:ascii="Times New Roman" w:hAnsi="Times New Roman" w:cs="Times New Roman"/>
        </w:rPr>
        <w:t>se abordarán</w:t>
      </w:r>
      <w:r w:rsidR="002738EA">
        <w:rPr>
          <w:rFonts w:ascii="Times New Roman" w:hAnsi="Times New Roman" w:cs="Times New Roman"/>
        </w:rPr>
        <w:t xml:space="preserve"> con una perspectiva de proyectos piloto cuyo objetivo será demostrar la efectividad de las </w:t>
      </w:r>
      <w:r w:rsidR="00042A4D">
        <w:rPr>
          <w:rFonts w:ascii="Times New Roman" w:hAnsi="Times New Roman" w:cs="Times New Roman"/>
        </w:rPr>
        <w:t>actuaciones que se llevarán</w:t>
      </w:r>
      <w:r w:rsidR="002738EA">
        <w:rPr>
          <w:rFonts w:ascii="Times New Roman" w:hAnsi="Times New Roman" w:cs="Times New Roman"/>
        </w:rPr>
        <w:t xml:space="preserve"> a cabo y la racionalidad para demandar fondos públicos </w:t>
      </w:r>
      <w:r w:rsidR="0068704E">
        <w:rPr>
          <w:rFonts w:ascii="Times New Roman" w:hAnsi="Times New Roman" w:cs="Times New Roman"/>
        </w:rPr>
        <w:t xml:space="preserve">adicionales </w:t>
      </w:r>
      <w:r w:rsidR="002738EA">
        <w:rPr>
          <w:rFonts w:ascii="Times New Roman" w:hAnsi="Times New Roman" w:cs="Times New Roman"/>
        </w:rPr>
        <w:t xml:space="preserve">para prolongar dichas </w:t>
      </w:r>
      <w:r w:rsidR="00E55A24">
        <w:rPr>
          <w:rFonts w:ascii="Times New Roman" w:hAnsi="Times New Roman" w:cs="Times New Roman"/>
        </w:rPr>
        <w:t>intervenciones</w:t>
      </w:r>
      <w:r w:rsidR="002738EA">
        <w:rPr>
          <w:rFonts w:ascii="Times New Roman" w:hAnsi="Times New Roman" w:cs="Times New Roman"/>
        </w:rPr>
        <w:t>.</w:t>
      </w:r>
    </w:p>
    <w:p w:rsidR="009C44CA" w:rsidRPr="004639E8" w:rsidRDefault="009C44CA" w:rsidP="004639E8">
      <w:pPr>
        <w:jc w:val="both"/>
        <w:rPr>
          <w:rFonts w:ascii="Times New Roman" w:hAnsi="Times New Roman" w:cs="Times New Roman"/>
        </w:rPr>
      </w:pPr>
    </w:p>
    <w:p w:rsidR="00042A4D" w:rsidRDefault="00042A4D" w:rsidP="002902C7">
      <w:pPr>
        <w:pStyle w:val="ListParagraph"/>
        <w:numPr>
          <w:ilvl w:val="1"/>
          <w:numId w:val="18"/>
        </w:numPr>
        <w:ind w:hanging="578"/>
        <w:jc w:val="both"/>
        <w:rPr>
          <w:rFonts w:ascii="Times New Roman" w:hAnsi="Times New Roman" w:cs="Times New Roman"/>
        </w:rPr>
      </w:pPr>
      <w:r>
        <w:rPr>
          <w:rFonts w:ascii="Times New Roman" w:hAnsi="Times New Roman" w:cs="Times New Roman"/>
        </w:rPr>
        <w:t xml:space="preserve">Precisamente, unas de las partidas del Programa contempla la puesta a punto de un sistema de información que integrará todos los datos sobre la sanidad animal y vegetal del país, que </w:t>
      </w:r>
      <w:r>
        <w:rPr>
          <w:rFonts w:ascii="Times New Roman" w:hAnsi="Times New Roman" w:cs="Times New Roman"/>
        </w:rPr>
        <w:lastRenderedPageBreak/>
        <w:t>permitirá una mejora de la eficacia en la priorización de fondos as</w:t>
      </w:r>
      <w:r w:rsidR="00712793">
        <w:rPr>
          <w:rFonts w:ascii="Times New Roman" w:hAnsi="Times New Roman" w:cs="Times New Roman"/>
        </w:rPr>
        <w:t>í como en la toma de decisiones estratégicas y operativas.</w:t>
      </w:r>
    </w:p>
    <w:p w:rsidR="00BB3F72" w:rsidRPr="00BB3F72" w:rsidRDefault="00BB3F72" w:rsidP="00BB3F72">
      <w:pPr>
        <w:jc w:val="both"/>
        <w:rPr>
          <w:rFonts w:ascii="Times New Roman" w:hAnsi="Times New Roman" w:cs="Times New Roman"/>
        </w:rPr>
      </w:pPr>
    </w:p>
    <w:p w:rsidR="000E5B00" w:rsidRPr="00882B94" w:rsidRDefault="000E5B00" w:rsidP="000E5B00">
      <w:pPr>
        <w:pStyle w:val="Heading2"/>
        <w:rPr>
          <w:rFonts w:ascii="Times New Roman" w:hAnsi="Times New Roman" w:cs="Times New Roman"/>
          <w:i/>
          <w:color w:val="auto"/>
          <w:sz w:val="22"/>
        </w:rPr>
      </w:pPr>
      <w:bookmarkStart w:id="31" w:name="_Toc352689734"/>
      <w:bookmarkStart w:id="32" w:name="_Toc386887944"/>
      <w:r w:rsidRPr="00882B94">
        <w:rPr>
          <w:rFonts w:ascii="Times New Roman" w:hAnsi="Times New Roman" w:cs="Times New Roman"/>
          <w:i/>
          <w:color w:val="auto"/>
          <w:sz w:val="22"/>
        </w:rPr>
        <w:t>Alternativas Sin Proyecto y Con Proyecto</w:t>
      </w:r>
      <w:bookmarkEnd w:id="30"/>
      <w:bookmarkEnd w:id="31"/>
      <w:bookmarkEnd w:id="32"/>
    </w:p>
    <w:p w:rsidR="000E5B00" w:rsidRPr="00AE54DF" w:rsidRDefault="000E5B00" w:rsidP="000E5B00">
      <w:pPr>
        <w:autoSpaceDE w:val="0"/>
        <w:autoSpaceDN w:val="0"/>
        <w:adjustRightInd w:val="0"/>
        <w:rPr>
          <w:rFonts w:ascii="Times New Roman" w:hAnsi="Times New Roman" w:cs="Times New Roman"/>
          <w:b/>
        </w:rPr>
      </w:pPr>
      <w:r>
        <w:rPr>
          <w:rFonts w:ascii="Times New Roman" w:hAnsi="Times New Roman" w:cs="Times New Roman"/>
          <w:b/>
        </w:rPr>
        <w:t xml:space="preserve"> </w:t>
      </w:r>
    </w:p>
    <w:p w:rsidR="000E5B00" w:rsidRPr="00B67E14" w:rsidRDefault="000E5B00" w:rsidP="002902C7">
      <w:pPr>
        <w:pStyle w:val="ListParagraph"/>
        <w:numPr>
          <w:ilvl w:val="1"/>
          <w:numId w:val="18"/>
        </w:numPr>
        <w:ind w:hanging="578"/>
        <w:jc w:val="both"/>
        <w:rPr>
          <w:rFonts w:ascii="Times New Roman" w:eastAsia="Times New Roman" w:hAnsi="Times New Roman" w:cs="Times New Roman"/>
          <w:szCs w:val="20"/>
        </w:rPr>
      </w:pPr>
      <w:r w:rsidRPr="00AE54DF">
        <w:rPr>
          <w:rFonts w:ascii="Times New Roman" w:eastAsia="Times New Roman" w:hAnsi="Times New Roman" w:cs="Times New Roman"/>
          <w:szCs w:val="20"/>
        </w:rPr>
        <w:t>De</w:t>
      </w:r>
      <w:r w:rsidRPr="00B67E14">
        <w:rPr>
          <w:rFonts w:ascii="Times New Roman" w:eastAsia="Times New Roman" w:hAnsi="Times New Roman" w:cs="Times New Roman"/>
          <w:szCs w:val="20"/>
        </w:rPr>
        <w:t xml:space="preserve"> conformidad con la metodología habitualmente utilizada en los ACB, se han definido las alternativas consideradas para cuantificar las diferencias entre los beneficios (o pérdidas, en su caso) económicos netos de una y otra alternativa.</w:t>
      </w:r>
    </w:p>
    <w:p w:rsidR="000E5B00" w:rsidRPr="00773DBB" w:rsidRDefault="000E5B00" w:rsidP="002902C7">
      <w:pPr>
        <w:pStyle w:val="ListParagraph"/>
        <w:ind w:hanging="578"/>
        <w:jc w:val="both"/>
        <w:rPr>
          <w:rFonts w:ascii="Times New Roman" w:eastAsia="Times New Roman" w:hAnsi="Times New Roman" w:cs="Times New Roman"/>
          <w:szCs w:val="20"/>
        </w:rPr>
      </w:pPr>
    </w:p>
    <w:p w:rsidR="000E5B00" w:rsidRDefault="000E5B00" w:rsidP="002902C7">
      <w:pPr>
        <w:pStyle w:val="ListParagraph"/>
        <w:numPr>
          <w:ilvl w:val="1"/>
          <w:numId w:val="18"/>
        </w:numPr>
        <w:ind w:hanging="578"/>
        <w:jc w:val="both"/>
        <w:rPr>
          <w:rFonts w:ascii="Times New Roman" w:eastAsia="Times New Roman" w:hAnsi="Times New Roman" w:cs="Times New Roman"/>
          <w:szCs w:val="20"/>
        </w:rPr>
      </w:pPr>
      <w:r w:rsidRPr="00154890">
        <w:rPr>
          <w:rFonts w:ascii="Times New Roman" w:eastAsia="Times New Roman" w:hAnsi="Times New Roman" w:cs="Times New Roman"/>
          <w:szCs w:val="20"/>
        </w:rPr>
        <w:t xml:space="preserve">En este sentido, como escenarios comparables, se han planteado dos Alternativas: (i) Alternativa Sin Proyecto y (ii) Alternativa Con Proyecto. La primera corresponde a las proyecciones económicas futuras de no llevarse a cabo el </w:t>
      </w:r>
      <w:r w:rsidR="00436D21" w:rsidRPr="00154890">
        <w:rPr>
          <w:rFonts w:ascii="Times New Roman" w:eastAsia="Times New Roman" w:hAnsi="Times New Roman" w:cs="Times New Roman"/>
          <w:szCs w:val="20"/>
        </w:rPr>
        <w:t>Pro</w:t>
      </w:r>
      <w:r w:rsidR="00436D21">
        <w:rPr>
          <w:rFonts w:ascii="Times New Roman" w:eastAsia="Times New Roman" w:hAnsi="Times New Roman" w:cs="Times New Roman"/>
          <w:szCs w:val="20"/>
        </w:rPr>
        <w:t>grama</w:t>
      </w:r>
      <w:r w:rsidRPr="00154890">
        <w:rPr>
          <w:rFonts w:ascii="Times New Roman" w:eastAsia="Times New Roman" w:hAnsi="Times New Roman" w:cs="Times New Roman"/>
          <w:szCs w:val="20"/>
        </w:rPr>
        <w:t>, es decir, un escenario de continuidad en la situación actual y sin ejecución del Programa; mientras que la segunda incluye los efectos esperados que se derivan de la imple</w:t>
      </w:r>
      <w:r w:rsidR="00712793">
        <w:rPr>
          <w:rFonts w:ascii="Times New Roman" w:eastAsia="Times New Roman" w:hAnsi="Times New Roman" w:cs="Times New Roman"/>
          <w:szCs w:val="20"/>
        </w:rPr>
        <w:t>mentación exitosa del Programa.</w:t>
      </w:r>
    </w:p>
    <w:p w:rsidR="000E5B00" w:rsidRPr="00154890" w:rsidRDefault="000E5B00" w:rsidP="000E5B00">
      <w:pPr>
        <w:jc w:val="both"/>
        <w:rPr>
          <w:rFonts w:ascii="Times New Roman" w:eastAsia="Times New Roman" w:hAnsi="Times New Roman" w:cs="Times New Roman"/>
          <w:szCs w:val="20"/>
        </w:rPr>
      </w:pPr>
    </w:p>
    <w:p w:rsidR="002738EA" w:rsidRPr="004B2128" w:rsidRDefault="002738EA" w:rsidP="002738EA">
      <w:pPr>
        <w:pStyle w:val="Heading2"/>
        <w:jc w:val="both"/>
        <w:rPr>
          <w:rFonts w:ascii="Times New Roman" w:hAnsi="Times New Roman" w:cs="Times New Roman"/>
          <w:i/>
          <w:color w:val="auto"/>
          <w:sz w:val="22"/>
        </w:rPr>
      </w:pPr>
      <w:bookmarkStart w:id="33" w:name="_Toc383704764"/>
      <w:bookmarkStart w:id="34" w:name="_Toc386887945"/>
      <w:bookmarkStart w:id="35" w:name="_Toc320196406"/>
      <w:bookmarkStart w:id="36" w:name="_Toc352689737"/>
      <w:r>
        <w:rPr>
          <w:rFonts w:ascii="Times New Roman" w:hAnsi="Times New Roman" w:cs="Times New Roman"/>
          <w:i/>
          <w:color w:val="auto"/>
          <w:sz w:val="22"/>
        </w:rPr>
        <w:t>Valoración a p</w:t>
      </w:r>
      <w:r w:rsidRPr="004B2128">
        <w:rPr>
          <w:rFonts w:ascii="Times New Roman" w:hAnsi="Times New Roman" w:cs="Times New Roman"/>
          <w:i/>
          <w:color w:val="auto"/>
          <w:sz w:val="22"/>
        </w:rPr>
        <w:t xml:space="preserve">recios </w:t>
      </w:r>
      <w:r>
        <w:rPr>
          <w:rFonts w:ascii="Times New Roman" w:hAnsi="Times New Roman" w:cs="Times New Roman"/>
          <w:i/>
          <w:color w:val="auto"/>
          <w:sz w:val="22"/>
        </w:rPr>
        <w:t xml:space="preserve">económicos o precios </w:t>
      </w:r>
      <w:r w:rsidRPr="004B2128">
        <w:rPr>
          <w:rFonts w:ascii="Times New Roman" w:hAnsi="Times New Roman" w:cs="Times New Roman"/>
          <w:i/>
          <w:color w:val="auto"/>
          <w:sz w:val="22"/>
        </w:rPr>
        <w:t>sombra</w:t>
      </w:r>
      <w:bookmarkEnd w:id="33"/>
      <w:bookmarkEnd w:id="34"/>
    </w:p>
    <w:p w:rsidR="002738EA" w:rsidRPr="00F512D2" w:rsidRDefault="002738EA" w:rsidP="002738EA">
      <w:pPr>
        <w:autoSpaceDE w:val="0"/>
        <w:autoSpaceDN w:val="0"/>
        <w:adjustRightInd w:val="0"/>
        <w:jc w:val="both"/>
        <w:rPr>
          <w:rFonts w:ascii="Times New Roman" w:hAnsi="Times New Roman" w:cs="Times New Roman"/>
        </w:rPr>
      </w:pPr>
    </w:p>
    <w:p w:rsidR="002738EA" w:rsidRPr="00823C7E" w:rsidRDefault="002738EA" w:rsidP="002738EA">
      <w:pPr>
        <w:pStyle w:val="ListParagraph"/>
        <w:numPr>
          <w:ilvl w:val="0"/>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0"/>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738EA" w:rsidRPr="00823C7E" w:rsidRDefault="002738EA" w:rsidP="002738EA">
      <w:pPr>
        <w:pStyle w:val="ListParagraph"/>
        <w:numPr>
          <w:ilvl w:val="1"/>
          <w:numId w:val="18"/>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0"/>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0"/>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5712F" w:rsidRPr="0025712F" w:rsidRDefault="0025712F" w:rsidP="0025712F">
      <w:pPr>
        <w:pStyle w:val="ListParagraph"/>
        <w:numPr>
          <w:ilvl w:val="1"/>
          <w:numId w:val="30"/>
        </w:numPr>
        <w:autoSpaceDE w:val="0"/>
        <w:autoSpaceDN w:val="0"/>
        <w:adjustRightInd w:val="0"/>
        <w:jc w:val="both"/>
        <w:rPr>
          <w:rFonts w:ascii="Times New Roman" w:hAnsi="Times New Roman" w:cs="Times New Roman"/>
          <w:vanish/>
        </w:rPr>
      </w:pPr>
    </w:p>
    <w:p w:rsidR="002738EA" w:rsidRDefault="002738EA" w:rsidP="0025712F">
      <w:pPr>
        <w:pStyle w:val="ListParagraph"/>
        <w:numPr>
          <w:ilvl w:val="1"/>
          <w:numId w:val="30"/>
        </w:numPr>
        <w:autoSpaceDE w:val="0"/>
        <w:autoSpaceDN w:val="0"/>
        <w:adjustRightInd w:val="0"/>
        <w:ind w:hanging="578"/>
        <w:jc w:val="both"/>
        <w:rPr>
          <w:rFonts w:ascii="Times New Roman" w:hAnsi="Times New Roman" w:cs="Times New Roman"/>
        </w:rPr>
      </w:pPr>
      <w:r w:rsidRPr="00F512D2">
        <w:rPr>
          <w:rFonts w:ascii="Times New Roman" w:hAnsi="Times New Roman" w:cs="Times New Roman"/>
        </w:rPr>
        <w:t xml:space="preserve">El mercado agrícola </w:t>
      </w:r>
      <w:r>
        <w:rPr>
          <w:rFonts w:ascii="Times New Roman" w:hAnsi="Times New Roman" w:cs="Times New Roman"/>
        </w:rPr>
        <w:t>haitiano</w:t>
      </w:r>
      <w:r w:rsidRPr="00F512D2">
        <w:rPr>
          <w:rFonts w:ascii="Times New Roman" w:hAnsi="Times New Roman" w:cs="Times New Roman"/>
        </w:rPr>
        <w:t xml:space="preserve"> no es un mercado perfecto, </w:t>
      </w:r>
      <w:r>
        <w:rPr>
          <w:rFonts w:ascii="Times New Roman" w:hAnsi="Times New Roman" w:cs="Times New Roman"/>
        </w:rPr>
        <w:t xml:space="preserve">dado </w:t>
      </w:r>
      <w:r w:rsidRPr="00F512D2">
        <w:rPr>
          <w:rFonts w:ascii="Times New Roman" w:hAnsi="Times New Roman" w:cs="Times New Roman"/>
        </w:rPr>
        <w:t xml:space="preserve">que </w:t>
      </w:r>
      <w:r>
        <w:rPr>
          <w:rFonts w:ascii="Times New Roman" w:hAnsi="Times New Roman" w:cs="Times New Roman"/>
        </w:rPr>
        <w:t xml:space="preserve">se encuentra </w:t>
      </w:r>
      <w:r w:rsidRPr="00F512D2">
        <w:rPr>
          <w:rFonts w:ascii="Times New Roman" w:hAnsi="Times New Roman" w:cs="Times New Roman"/>
        </w:rPr>
        <w:t>influenciado por factores que distorsionan los precios de los bienes transable</w:t>
      </w:r>
      <w:r>
        <w:rPr>
          <w:rFonts w:ascii="Times New Roman" w:hAnsi="Times New Roman" w:cs="Times New Roman"/>
        </w:rPr>
        <w:t>s</w:t>
      </w:r>
      <w:r w:rsidRPr="00F512D2">
        <w:rPr>
          <w:rFonts w:ascii="Times New Roman" w:hAnsi="Times New Roman" w:cs="Times New Roman"/>
        </w:rPr>
        <w:t>.</w:t>
      </w:r>
      <w:r>
        <w:rPr>
          <w:rFonts w:ascii="Times New Roman" w:hAnsi="Times New Roman" w:cs="Times New Roman"/>
        </w:rPr>
        <w:t xml:space="preserve"> Es por ello que los importes de varios conceptos del ACB han sido ajustados a valores expresados a precios sombra (también llamados precios económicos), de forma que reflejen el costo real de los recursos para la economía.</w:t>
      </w:r>
    </w:p>
    <w:p w:rsidR="00D92EA7" w:rsidRDefault="00D92EA7" w:rsidP="00A6124D">
      <w:pPr>
        <w:pStyle w:val="ListParagraph"/>
        <w:autoSpaceDE w:val="0"/>
        <w:autoSpaceDN w:val="0"/>
        <w:adjustRightInd w:val="0"/>
        <w:jc w:val="both"/>
        <w:rPr>
          <w:rFonts w:ascii="Times New Roman" w:hAnsi="Times New Roman" w:cs="Times New Roman"/>
        </w:rPr>
      </w:pPr>
    </w:p>
    <w:p w:rsidR="00D92EA7" w:rsidRDefault="00D92EA7" w:rsidP="0025712F">
      <w:pPr>
        <w:pStyle w:val="ListParagraph"/>
        <w:numPr>
          <w:ilvl w:val="1"/>
          <w:numId w:val="30"/>
        </w:numPr>
        <w:autoSpaceDE w:val="0"/>
        <w:autoSpaceDN w:val="0"/>
        <w:adjustRightInd w:val="0"/>
        <w:ind w:hanging="578"/>
        <w:jc w:val="both"/>
        <w:rPr>
          <w:rFonts w:ascii="Times New Roman" w:hAnsi="Times New Roman" w:cs="Times New Roman"/>
        </w:rPr>
      </w:pPr>
      <w:r w:rsidRPr="00A6124D">
        <w:rPr>
          <w:rFonts w:ascii="Times New Roman" w:hAnsi="Times New Roman" w:cs="Times New Roman"/>
        </w:rPr>
        <w:t xml:space="preserve">En particular, </w:t>
      </w:r>
      <w:r w:rsidR="003E0EF7">
        <w:rPr>
          <w:rFonts w:ascii="Times New Roman" w:hAnsi="Times New Roman" w:cs="Times New Roman"/>
        </w:rPr>
        <w:t xml:space="preserve">para </w:t>
      </w:r>
      <w:r w:rsidRPr="00A6124D">
        <w:rPr>
          <w:rFonts w:ascii="Times New Roman" w:hAnsi="Times New Roman" w:cs="Times New Roman"/>
        </w:rPr>
        <w:t xml:space="preserve">los productos </w:t>
      </w:r>
      <w:r w:rsidR="001516D9">
        <w:rPr>
          <w:rFonts w:ascii="Times New Roman" w:hAnsi="Times New Roman" w:cs="Times New Roman"/>
        </w:rPr>
        <w:t>contemplado</w:t>
      </w:r>
      <w:r w:rsidR="0068704E">
        <w:rPr>
          <w:rFonts w:ascii="Times New Roman" w:hAnsi="Times New Roman" w:cs="Times New Roman"/>
        </w:rPr>
        <w:t>s</w:t>
      </w:r>
      <w:r w:rsidR="001516D9">
        <w:rPr>
          <w:rFonts w:ascii="Times New Roman" w:hAnsi="Times New Roman" w:cs="Times New Roman"/>
        </w:rPr>
        <w:t xml:space="preserve"> en el ACB </w:t>
      </w:r>
      <w:r w:rsidRPr="00A6124D">
        <w:rPr>
          <w:rFonts w:ascii="Times New Roman" w:hAnsi="Times New Roman" w:cs="Times New Roman"/>
        </w:rPr>
        <w:t xml:space="preserve">para los que Haití es importador neto, se ha procedido a determinar </w:t>
      </w:r>
      <w:r w:rsidR="003E0EF7">
        <w:rPr>
          <w:rFonts w:ascii="Times New Roman" w:hAnsi="Times New Roman" w:cs="Times New Roman"/>
        </w:rPr>
        <w:t xml:space="preserve">su </w:t>
      </w:r>
      <w:r w:rsidRPr="00A6124D">
        <w:rPr>
          <w:rFonts w:ascii="Times New Roman" w:hAnsi="Times New Roman" w:cs="Times New Roman"/>
        </w:rPr>
        <w:t xml:space="preserve">precio </w:t>
      </w:r>
      <w:r w:rsidR="001516D9">
        <w:rPr>
          <w:rFonts w:ascii="Times New Roman" w:hAnsi="Times New Roman" w:cs="Times New Roman"/>
        </w:rPr>
        <w:t xml:space="preserve">económico, equivalente </w:t>
      </w:r>
      <w:r w:rsidRPr="00A6124D">
        <w:rPr>
          <w:rFonts w:ascii="Times New Roman" w:hAnsi="Times New Roman" w:cs="Times New Roman"/>
        </w:rPr>
        <w:t>al que los productores deberían venderlos para poder competir con las importaciones</w:t>
      </w:r>
      <w:r w:rsidR="001516D9">
        <w:rPr>
          <w:rFonts w:ascii="Times New Roman" w:hAnsi="Times New Roman" w:cs="Times New Roman"/>
        </w:rPr>
        <w:t xml:space="preserve"> en condiciones de libre mercado</w:t>
      </w:r>
      <w:r w:rsidRPr="00A6124D">
        <w:rPr>
          <w:rFonts w:ascii="Times New Roman" w:hAnsi="Times New Roman" w:cs="Times New Roman"/>
        </w:rPr>
        <w:t xml:space="preserve">. En el caso de Haití, se da la circunstancia </w:t>
      </w:r>
      <w:r w:rsidR="001516D9">
        <w:rPr>
          <w:rFonts w:ascii="Times New Roman" w:hAnsi="Times New Roman" w:cs="Times New Roman"/>
        </w:rPr>
        <w:t xml:space="preserve">poco habitual </w:t>
      </w:r>
      <w:r w:rsidRPr="00A6124D">
        <w:rPr>
          <w:rFonts w:ascii="Times New Roman" w:hAnsi="Times New Roman" w:cs="Times New Roman"/>
        </w:rPr>
        <w:t xml:space="preserve">de que los precios </w:t>
      </w:r>
      <w:r w:rsidR="001516D9">
        <w:rPr>
          <w:rFonts w:ascii="Times New Roman" w:hAnsi="Times New Roman" w:cs="Times New Roman"/>
        </w:rPr>
        <w:t xml:space="preserve"> económicos </w:t>
      </w:r>
      <w:r w:rsidR="001516D9" w:rsidRPr="00EF5A6E">
        <w:rPr>
          <w:rFonts w:ascii="Times New Roman" w:hAnsi="Times New Roman" w:cs="Times New Roman"/>
        </w:rPr>
        <w:t xml:space="preserve">resultantes </w:t>
      </w:r>
      <w:r w:rsidRPr="00A6124D">
        <w:rPr>
          <w:rFonts w:ascii="Times New Roman" w:hAnsi="Times New Roman" w:cs="Times New Roman"/>
        </w:rPr>
        <w:t xml:space="preserve">de los productos son superiores a </w:t>
      </w:r>
      <w:r w:rsidR="003E0EF7">
        <w:rPr>
          <w:rFonts w:ascii="Times New Roman" w:hAnsi="Times New Roman" w:cs="Times New Roman"/>
        </w:rPr>
        <w:t xml:space="preserve">los </w:t>
      </w:r>
      <w:r w:rsidR="001516D9">
        <w:rPr>
          <w:rFonts w:ascii="Times New Roman" w:hAnsi="Times New Roman" w:cs="Times New Roman"/>
        </w:rPr>
        <w:t xml:space="preserve">que se </w:t>
      </w:r>
      <w:r w:rsidR="001516D9" w:rsidRPr="00436E67">
        <w:rPr>
          <w:rFonts w:ascii="Times New Roman" w:hAnsi="Times New Roman" w:cs="Times New Roman"/>
        </w:rPr>
        <w:t>paga</w:t>
      </w:r>
      <w:r w:rsidR="001516D9">
        <w:rPr>
          <w:rFonts w:ascii="Times New Roman" w:hAnsi="Times New Roman" w:cs="Times New Roman"/>
        </w:rPr>
        <w:t>n</w:t>
      </w:r>
      <w:r w:rsidR="001516D9" w:rsidRPr="00436E67">
        <w:rPr>
          <w:rFonts w:ascii="Times New Roman" w:hAnsi="Times New Roman" w:cs="Times New Roman"/>
        </w:rPr>
        <w:t xml:space="preserve"> a pie de finca</w:t>
      </w:r>
      <w:r w:rsidR="001516D9">
        <w:rPr>
          <w:rFonts w:ascii="Times New Roman" w:hAnsi="Times New Roman" w:cs="Times New Roman"/>
        </w:rPr>
        <w:t xml:space="preserve">; </w:t>
      </w:r>
      <w:r w:rsidRPr="00A6124D">
        <w:rPr>
          <w:rFonts w:ascii="Times New Roman" w:hAnsi="Times New Roman" w:cs="Times New Roman"/>
        </w:rPr>
        <w:t xml:space="preserve">lo que </w:t>
      </w:r>
      <w:r w:rsidR="001516D9">
        <w:rPr>
          <w:rFonts w:ascii="Times New Roman" w:hAnsi="Times New Roman" w:cs="Times New Roman"/>
        </w:rPr>
        <w:t xml:space="preserve">podría indicar </w:t>
      </w:r>
      <w:r w:rsidRPr="00A6124D">
        <w:rPr>
          <w:rFonts w:ascii="Times New Roman" w:hAnsi="Times New Roman" w:cs="Times New Roman"/>
        </w:rPr>
        <w:t xml:space="preserve">una insuficiencia en la producción </w:t>
      </w:r>
      <w:r w:rsidR="009D783E">
        <w:rPr>
          <w:rFonts w:ascii="Times New Roman" w:hAnsi="Times New Roman" w:cs="Times New Roman"/>
        </w:rPr>
        <w:t xml:space="preserve">doméstica </w:t>
      </w:r>
      <w:r w:rsidRPr="00A6124D">
        <w:rPr>
          <w:rFonts w:ascii="Times New Roman" w:hAnsi="Times New Roman" w:cs="Times New Roman"/>
        </w:rPr>
        <w:t xml:space="preserve">para atender </w:t>
      </w:r>
      <w:r w:rsidR="00A03B81">
        <w:rPr>
          <w:rFonts w:ascii="Times New Roman" w:hAnsi="Times New Roman" w:cs="Times New Roman"/>
        </w:rPr>
        <w:t>a la demanda del</w:t>
      </w:r>
      <w:r w:rsidRPr="00A6124D">
        <w:rPr>
          <w:rFonts w:ascii="Times New Roman" w:hAnsi="Times New Roman" w:cs="Times New Roman"/>
        </w:rPr>
        <w:t xml:space="preserve"> mercado local, </w:t>
      </w:r>
      <w:r w:rsidR="003E0EF7">
        <w:rPr>
          <w:rFonts w:ascii="Times New Roman" w:hAnsi="Times New Roman" w:cs="Times New Roman"/>
        </w:rPr>
        <w:t>así como</w:t>
      </w:r>
      <w:r w:rsidRPr="00A6124D">
        <w:rPr>
          <w:rFonts w:ascii="Times New Roman" w:hAnsi="Times New Roman" w:cs="Times New Roman"/>
        </w:rPr>
        <w:t xml:space="preserve"> una oportunidad en cuanto al nicho de </w:t>
      </w:r>
      <w:r w:rsidR="00A03B81">
        <w:rPr>
          <w:rFonts w:ascii="Times New Roman" w:hAnsi="Times New Roman" w:cs="Times New Roman"/>
        </w:rPr>
        <w:t xml:space="preserve">mercado </w:t>
      </w:r>
      <w:r w:rsidRPr="00A6124D">
        <w:rPr>
          <w:rFonts w:ascii="Times New Roman" w:hAnsi="Times New Roman" w:cs="Times New Roman"/>
        </w:rPr>
        <w:t xml:space="preserve">que podría </w:t>
      </w:r>
      <w:r w:rsidR="00A03B81" w:rsidRPr="00A03B81">
        <w:rPr>
          <w:rFonts w:ascii="Times New Roman" w:hAnsi="Times New Roman" w:cs="Times New Roman"/>
        </w:rPr>
        <w:t>sustituir</w:t>
      </w:r>
      <w:r w:rsidR="00A03B81">
        <w:rPr>
          <w:rFonts w:ascii="Times New Roman" w:hAnsi="Times New Roman" w:cs="Times New Roman"/>
        </w:rPr>
        <w:t xml:space="preserve"> la importación</w:t>
      </w:r>
      <w:r w:rsidRPr="00A6124D">
        <w:rPr>
          <w:rFonts w:ascii="Times New Roman" w:hAnsi="Times New Roman" w:cs="Times New Roman"/>
        </w:rPr>
        <w:t xml:space="preserve"> por productos </w:t>
      </w:r>
      <w:r w:rsidR="00A03B81">
        <w:rPr>
          <w:rFonts w:ascii="Times New Roman" w:hAnsi="Times New Roman" w:cs="Times New Roman"/>
        </w:rPr>
        <w:t>locales</w:t>
      </w:r>
      <w:r w:rsidR="009D783E">
        <w:rPr>
          <w:rFonts w:ascii="Times New Roman" w:hAnsi="Times New Roman" w:cs="Times New Roman"/>
        </w:rPr>
        <w:t xml:space="preserve"> a un precio mayor</w:t>
      </w:r>
      <w:r w:rsidR="001516D9">
        <w:rPr>
          <w:rFonts w:ascii="Times New Roman" w:hAnsi="Times New Roman" w:cs="Times New Roman"/>
        </w:rPr>
        <w:t>.</w:t>
      </w:r>
    </w:p>
    <w:p w:rsidR="006A0A9C" w:rsidRPr="00A6124D" w:rsidRDefault="006A0A9C" w:rsidP="00A6124D">
      <w:pPr>
        <w:pStyle w:val="ListParagraph"/>
        <w:rPr>
          <w:rFonts w:ascii="Times New Roman" w:hAnsi="Times New Roman" w:cs="Times New Roman"/>
        </w:rPr>
      </w:pPr>
    </w:p>
    <w:p w:rsidR="006A0A9C" w:rsidRPr="00FD011A" w:rsidRDefault="006A0A9C" w:rsidP="0025712F">
      <w:pPr>
        <w:pStyle w:val="ListParagraph"/>
        <w:numPr>
          <w:ilvl w:val="1"/>
          <w:numId w:val="30"/>
        </w:numPr>
        <w:autoSpaceDE w:val="0"/>
        <w:autoSpaceDN w:val="0"/>
        <w:adjustRightInd w:val="0"/>
        <w:ind w:hanging="578"/>
        <w:jc w:val="both"/>
        <w:rPr>
          <w:rFonts w:ascii="Times New Roman" w:hAnsi="Times New Roman" w:cs="Times New Roman"/>
        </w:rPr>
      </w:pPr>
      <w:r>
        <w:rPr>
          <w:rFonts w:ascii="Times New Roman" w:hAnsi="Times New Roman" w:cs="Times New Roman"/>
        </w:rPr>
        <w:t xml:space="preserve">Para la estimación de los precios económicos de los productos considerados en la cuantificación de los beneficios del Programa, se han utilizado los conceptos </w:t>
      </w:r>
      <w:r w:rsidR="009D783E">
        <w:rPr>
          <w:rFonts w:ascii="Times New Roman" w:hAnsi="Times New Roman" w:cs="Times New Roman"/>
        </w:rPr>
        <w:t xml:space="preserve">y valores </w:t>
      </w:r>
      <w:r>
        <w:rPr>
          <w:rFonts w:ascii="Times New Roman" w:hAnsi="Times New Roman" w:cs="Times New Roman"/>
        </w:rPr>
        <w:t>que se recogen al final del documento en el Anexo I de Estimación de los Precios Económicos de los Productos.</w:t>
      </w:r>
    </w:p>
    <w:p w:rsidR="002738EA" w:rsidRDefault="002738EA" w:rsidP="0025712F">
      <w:pPr>
        <w:pStyle w:val="ListParagraph"/>
        <w:autoSpaceDE w:val="0"/>
        <w:autoSpaceDN w:val="0"/>
        <w:adjustRightInd w:val="0"/>
        <w:ind w:hanging="578"/>
        <w:jc w:val="both"/>
        <w:rPr>
          <w:rFonts w:ascii="Times New Roman" w:hAnsi="Times New Roman" w:cs="Times New Roman"/>
        </w:rPr>
      </w:pPr>
    </w:p>
    <w:p w:rsidR="002738EA" w:rsidRDefault="002738EA" w:rsidP="0025712F">
      <w:pPr>
        <w:pStyle w:val="ListParagraph"/>
        <w:numPr>
          <w:ilvl w:val="1"/>
          <w:numId w:val="30"/>
        </w:numPr>
        <w:autoSpaceDE w:val="0"/>
        <w:autoSpaceDN w:val="0"/>
        <w:adjustRightInd w:val="0"/>
        <w:ind w:hanging="578"/>
        <w:jc w:val="both"/>
        <w:rPr>
          <w:rFonts w:ascii="Times New Roman" w:hAnsi="Times New Roman" w:cs="Times New Roman"/>
        </w:rPr>
      </w:pPr>
      <w:r>
        <w:rPr>
          <w:rFonts w:ascii="Times New Roman" w:hAnsi="Times New Roman" w:cs="Times New Roman"/>
        </w:rPr>
        <w:lastRenderedPageBreak/>
        <w:t xml:space="preserve">Asimismo, se han considerado los costos </w:t>
      </w:r>
      <w:r w:rsidR="00346684">
        <w:rPr>
          <w:rFonts w:ascii="Times New Roman" w:hAnsi="Times New Roman" w:cs="Times New Roman"/>
        </w:rPr>
        <w:t xml:space="preserve">de los bienes no transables, </w:t>
      </w:r>
      <w:r>
        <w:rPr>
          <w:rFonts w:ascii="Times New Roman" w:hAnsi="Times New Roman" w:cs="Times New Roman"/>
        </w:rPr>
        <w:t>netos de los impuestos indir</w:t>
      </w:r>
      <w:r w:rsidR="006F64EC">
        <w:rPr>
          <w:rFonts w:ascii="Times New Roman" w:hAnsi="Times New Roman" w:cs="Times New Roman"/>
        </w:rPr>
        <w:t>ectos que gravarán los equipos,</w:t>
      </w:r>
      <w:r>
        <w:rPr>
          <w:rFonts w:ascii="Times New Roman" w:hAnsi="Times New Roman" w:cs="Times New Roman"/>
        </w:rPr>
        <w:t xml:space="preserve"> maquinaria </w:t>
      </w:r>
      <w:r w:rsidR="006F64EC">
        <w:rPr>
          <w:rFonts w:ascii="Times New Roman" w:hAnsi="Times New Roman" w:cs="Times New Roman"/>
        </w:rPr>
        <w:t>y servicios adquiridos</w:t>
      </w:r>
      <w:r w:rsidR="00785CF9">
        <w:rPr>
          <w:rStyle w:val="FootnoteReference"/>
          <w:rFonts w:ascii="Times New Roman" w:hAnsi="Times New Roman" w:cs="Times New Roman"/>
        </w:rPr>
        <w:footnoteReference w:id="1"/>
      </w:r>
      <w:r>
        <w:rPr>
          <w:rFonts w:ascii="Times New Roman" w:hAnsi="Times New Roman" w:cs="Times New Roman"/>
        </w:rPr>
        <w:t>.</w:t>
      </w:r>
    </w:p>
    <w:p w:rsidR="001A2D6D" w:rsidRPr="00054E1C" w:rsidRDefault="001A2D6D" w:rsidP="002738EA">
      <w:pPr>
        <w:autoSpaceDE w:val="0"/>
        <w:autoSpaceDN w:val="0"/>
        <w:adjustRightInd w:val="0"/>
        <w:jc w:val="both"/>
        <w:rPr>
          <w:rFonts w:ascii="Times New Roman" w:hAnsi="Times New Roman" w:cs="Times New Roman"/>
        </w:rPr>
      </w:pPr>
    </w:p>
    <w:p w:rsidR="00C55379" w:rsidRPr="00E666F9" w:rsidRDefault="00C55379" w:rsidP="00C55379">
      <w:pPr>
        <w:pStyle w:val="Heading2"/>
        <w:rPr>
          <w:rFonts w:ascii="Times New Roman" w:eastAsiaTheme="minorHAnsi" w:hAnsi="Times New Roman" w:cs="Times New Roman"/>
          <w:b w:val="0"/>
          <w:i/>
          <w:szCs w:val="22"/>
        </w:rPr>
      </w:pPr>
      <w:bookmarkStart w:id="37" w:name="_Toc352689735"/>
      <w:bookmarkStart w:id="38" w:name="_Toc386887946"/>
      <w:r w:rsidRPr="00882B94">
        <w:rPr>
          <w:rFonts w:ascii="Times New Roman" w:hAnsi="Times New Roman" w:cs="Times New Roman"/>
          <w:i/>
          <w:color w:val="auto"/>
          <w:sz w:val="22"/>
        </w:rPr>
        <w:t>Otros aspectos metodológicos del ACB</w:t>
      </w:r>
      <w:bookmarkEnd w:id="37"/>
      <w:bookmarkEnd w:id="38"/>
    </w:p>
    <w:p w:rsidR="00C55379" w:rsidRPr="00E666F9" w:rsidRDefault="00C55379" w:rsidP="00C55379">
      <w:pPr>
        <w:jc w:val="both"/>
        <w:rPr>
          <w:rFonts w:ascii="Times New Roman" w:eastAsia="Times New Roman" w:hAnsi="Times New Roman" w:cs="Times New Roman"/>
          <w:szCs w:val="20"/>
        </w:rPr>
      </w:pPr>
    </w:p>
    <w:p w:rsidR="00C55379" w:rsidRPr="004D5AD2" w:rsidRDefault="00C55379" w:rsidP="00C55379">
      <w:pPr>
        <w:rPr>
          <w:rFonts w:ascii="Times New Roman" w:hAnsi="Times New Roman" w:cs="Times New Roman"/>
          <w:i/>
        </w:rPr>
      </w:pPr>
      <w:bookmarkStart w:id="39" w:name="_Toc320196403"/>
      <w:r w:rsidRPr="004D5AD2">
        <w:rPr>
          <w:rFonts w:ascii="Times New Roman" w:hAnsi="Times New Roman" w:cs="Times New Roman"/>
          <w:i/>
        </w:rPr>
        <w:t>Horizonte temporal del ACB</w:t>
      </w:r>
      <w:bookmarkEnd w:id="39"/>
    </w:p>
    <w:p w:rsidR="00C55379" w:rsidRDefault="00C55379" w:rsidP="00C55379">
      <w:pPr>
        <w:autoSpaceDE w:val="0"/>
        <w:autoSpaceDN w:val="0"/>
        <w:adjustRightInd w:val="0"/>
        <w:rPr>
          <w:rFonts w:ascii="Times New Roman" w:hAnsi="Times New Roman" w:cs="Times New Roman"/>
          <w:i/>
        </w:rPr>
      </w:pPr>
    </w:p>
    <w:p w:rsidR="00C55379" w:rsidRPr="000E5B00" w:rsidRDefault="00C55379" w:rsidP="00C55379">
      <w:pPr>
        <w:pStyle w:val="ListParagraph"/>
        <w:numPr>
          <w:ilvl w:val="0"/>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0"/>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C55379" w:rsidRPr="000E5B00" w:rsidRDefault="00C55379" w:rsidP="00C55379">
      <w:pPr>
        <w:pStyle w:val="ListParagraph"/>
        <w:numPr>
          <w:ilvl w:val="1"/>
          <w:numId w:val="10"/>
        </w:numPr>
        <w:jc w:val="both"/>
        <w:rPr>
          <w:rFonts w:ascii="Times New Roman" w:eastAsia="Times New Roman" w:hAnsi="Times New Roman" w:cs="Times New Roman"/>
          <w:vanish/>
          <w:szCs w:val="20"/>
        </w:rPr>
      </w:pPr>
    </w:p>
    <w:p w:rsidR="007B3F96" w:rsidRPr="007B3F96" w:rsidRDefault="007B3F96" w:rsidP="007B3F96">
      <w:pPr>
        <w:pStyle w:val="ListParagraph"/>
        <w:numPr>
          <w:ilvl w:val="0"/>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0"/>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7B3F96" w:rsidRPr="007B3F96" w:rsidRDefault="007B3F96" w:rsidP="007B3F96">
      <w:pPr>
        <w:pStyle w:val="ListParagraph"/>
        <w:numPr>
          <w:ilvl w:val="1"/>
          <w:numId w:val="32"/>
        </w:numPr>
        <w:jc w:val="both"/>
        <w:rPr>
          <w:rFonts w:ascii="Times New Roman" w:eastAsia="Times New Roman" w:hAnsi="Times New Roman" w:cs="Times New Roman"/>
          <w:vanish/>
          <w:szCs w:val="20"/>
        </w:rPr>
      </w:pPr>
    </w:p>
    <w:p w:rsidR="00C55379" w:rsidRPr="00E55A24" w:rsidRDefault="00C55379" w:rsidP="00E55A24">
      <w:pPr>
        <w:pStyle w:val="ListParagraph"/>
        <w:numPr>
          <w:ilvl w:val="1"/>
          <w:numId w:val="30"/>
        </w:numPr>
        <w:autoSpaceDE w:val="0"/>
        <w:autoSpaceDN w:val="0"/>
        <w:adjustRightInd w:val="0"/>
        <w:ind w:hanging="578"/>
        <w:jc w:val="both"/>
        <w:rPr>
          <w:rFonts w:ascii="Times New Roman" w:hAnsi="Times New Roman" w:cs="Times New Roman"/>
        </w:rPr>
      </w:pPr>
      <w:r w:rsidRPr="00E55A24">
        <w:rPr>
          <w:rFonts w:ascii="Times New Roman" w:hAnsi="Times New Roman" w:cs="Times New Roman"/>
        </w:rPr>
        <w:t>El horizonte temporal corresponde al ciclo económico asociado a las inversiones económicas que son objeto del análisis. La duración de este ciclo determina el plazo considerado para las proyecciones económicas de cada una de las alternativas consideradas</w:t>
      </w:r>
      <w:r w:rsidR="00E55A24">
        <w:rPr>
          <w:rFonts w:ascii="Times New Roman" w:hAnsi="Times New Roman" w:cs="Times New Roman"/>
        </w:rPr>
        <w:t xml:space="preserve"> en el </w:t>
      </w:r>
      <w:r w:rsidRPr="00E55A24">
        <w:rPr>
          <w:rFonts w:ascii="Times New Roman" w:hAnsi="Times New Roman" w:cs="Times New Roman"/>
        </w:rPr>
        <w:t xml:space="preserve">modelo </w:t>
      </w:r>
      <w:r w:rsidR="00E55A24">
        <w:rPr>
          <w:rFonts w:ascii="Times New Roman" w:hAnsi="Times New Roman" w:cs="Times New Roman"/>
        </w:rPr>
        <w:t xml:space="preserve">de cálculo de los flujos </w:t>
      </w:r>
      <w:r w:rsidRPr="00E55A24">
        <w:rPr>
          <w:rFonts w:ascii="Times New Roman" w:hAnsi="Times New Roman" w:cs="Times New Roman"/>
        </w:rPr>
        <w:t>económico</w:t>
      </w:r>
      <w:r w:rsidR="00E55A24">
        <w:rPr>
          <w:rFonts w:ascii="Times New Roman" w:hAnsi="Times New Roman" w:cs="Times New Roman"/>
        </w:rPr>
        <w:t>s</w:t>
      </w:r>
      <w:r w:rsidRPr="00E55A24">
        <w:rPr>
          <w:rFonts w:ascii="Times New Roman" w:hAnsi="Times New Roman" w:cs="Times New Roman"/>
        </w:rPr>
        <w:t xml:space="preserve">. </w:t>
      </w:r>
    </w:p>
    <w:p w:rsidR="00C55379" w:rsidRDefault="00C55379" w:rsidP="00C55379">
      <w:pPr>
        <w:pStyle w:val="ListParagraph"/>
        <w:ind w:hanging="578"/>
        <w:jc w:val="both"/>
        <w:rPr>
          <w:rFonts w:ascii="Times New Roman" w:eastAsia="Times New Roman" w:hAnsi="Times New Roman" w:cs="Times New Roman"/>
          <w:szCs w:val="20"/>
        </w:rPr>
      </w:pPr>
    </w:p>
    <w:p w:rsidR="00C55379" w:rsidRPr="00573762" w:rsidRDefault="00C55379" w:rsidP="008E524F">
      <w:pPr>
        <w:pStyle w:val="ListParagraph"/>
        <w:numPr>
          <w:ilvl w:val="1"/>
          <w:numId w:val="44"/>
        </w:numPr>
        <w:ind w:hanging="578"/>
        <w:jc w:val="both"/>
        <w:rPr>
          <w:rFonts w:ascii="Times New Roman" w:eastAsia="Times New Roman" w:hAnsi="Times New Roman" w:cs="Times New Roman"/>
          <w:szCs w:val="20"/>
        </w:rPr>
      </w:pPr>
      <w:r w:rsidRPr="00573762">
        <w:rPr>
          <w:rFonts w:ascii="Times New Roman" w:eastAsia="Times New Roman" w:hAnsi="Times New Roman" w:cs="Times New Roman"/>
          <w:szCs w:val="20"/>
        </w:rPr>
        <w:t>En este caso, se ha establecido un plazo de 15 años como periodo de análisis.</w:t>
      </w:r>
    </w:p>
    <w:p w:rsidR="00C55379" w:rsidRDefault="00C55379" w:rsidP="00C55379">
      <w:pPr>
        <w:pStyle w:val="ListParagraph"/>
        <w:ind w:hanging="578"/>
        <w:jc w:val="both"/>
        <w:rPr>
          <w:rFonts w:ascii="Times New Roman" w:eastAsia="Times New Roman" w:hAnsi="Times New Roman" w:cs="Times New Roman"/>
          <w:szCs w:val="20"/>
        </w:rPr>
      </w:pPr>
    </w:p>
    <w:p w:rsidR="00C55379" w:rsidRPr="006D4BB8" w:rsidRDefault="00C55379" w:rsidP="00C55379">
      <w:pPr>
        <w:rPr>
          <w:rFonts w:ascii="Times New Roman" w:hAnsi="Times New Roman" w:cs="Times New Roman"/>
          <w:i/>
        </w:rPr>
      </w:pPr>
      <w:bookmarkStart w:id="40" w:name="_Toc320196404"/>
      <w:r w:rsidRPr="006D4BB8">
        <w:rPr>
          <w:rFonts w:ascii="Times New Roman" w:hAnsi="Times New Roman" w:cs="Times New Roman"/>
          <w:i/>
        </w:rPr>
        <w:t>Unidades</w:t>
      </w:r>
      <w:r>
        <w:rPr>
          <w:rFonts w:ascii="Times New Roman" w:hAnsi="Times New Roman" w:cs="Times New Roman"/>
          <w:i/>
        </w:rPr>
        <w:t xml:space="preserve"> m</w:t>
      </w:r>
      <w:r w:rsidRPr="006D4BB8">
        <w:rPr>
          <w:rFonts w:ascii="Times New Roman" w:hAnsi="Times New Roman" w:cs="Times New Roman"/>
          <w:i/>
        </w:rPr>
        <w:t>onetarias</w:t>
      </w:r>
      <w:bookmarkEnd w:id="40"/>
    </w:p>
    <w:p w:rsidR="00C55379" w:rsidRPr="003629FC" w:rsidRDefault="00C55379" w:rsidP="00C55379">
      <w:pPr>
        <w:autoSpaceDE w:val="0"/>
        <w:autoSpaceDN w:val="0"/>
        <w:adjustRightInd w:val="0"/>
        <w:jc w:val="both"/>
        <w:rPr>
          <w:rFonts w:ascii="Times New Roman" w:eastAsia="Times New Roman" w:hAnsi="Times New Roman" w:cs="Times New Roman"/>
          <w:szCs w:val="20"/>
        </w:rPr>
      </w:pPr>
    </w:p>
    <w:p w:rsidR="00C55379" w:rsidRDefault="00C55379" w:rsidP="007000F5">
      <w:pPr>
        <w:pStyle w:val="ListParagraph"/>
        <w:numPr>
          <w:ilvl w:val="1"/>
          <w:numId w:val="44"/>
        </w:numPr>
        <w:autoSpaceDE w:val="0"/>
        <w:autoSpaceDN w:val="0"/>
        <w:adjustRightInd w:val="0"/>
        <w:ind w:hanging="578"/>
        <w:jc w:val="both"/>
        <w:rPr>
          <w:rFonts w:ascii="Times New Roman" w:eastAsia="Times New Roman" w:hAnsi="Times New Roman" w:cs="Times New Roman"/>
          <w:szCs w:val="20"/>
        </w:rPr>
      </w:pPr>
      <w:r w:rsidRPr="00781A4E">
        <w:rPr>
          <w:rFonts w:ascii="Times New Roman" w:eastAsia="Times New Roman" w:hAnsi="Times New Roman" w:cs="Times New Roman"/>
          <w:szCs w:val="20"/>
        </w:rPr>
        <w:t xml:space="preserve">Para la cuantificación de los </w:t>
      </w:r>
      <w:r>
        <w:rPr>
          <w:rFonts w:ascii="Times New Roman" w:eastAsia="Times New Roman" w:hAnsi="Times New Roman" w:cs="Times New Roman"/>
          <w:szCs w:val="20"/>
        </w:rPr>
        <w:t>flujos económicos</w:t>
      </w:r>
      <w:r w:rsidRPr="00781A4E">
        <w:rPr>
          <w:rFonts w:ascii="Times New Roman" w:eastAsia="Times New Roman" w:hAnsi="Times New Roman" w:cs="Times New Roman"/>
          <w:szCs w:val="20"/>
        </w:rPr>
        <w:t xml:space="preserve">, la unidad de medida </w:t>
      </w:r>
      <w:r>
        <w:rPr>
          <w:rFonts w:ascii="Times New Roman" w:eastAsia="Times New Roman" w:hAnsi="Times New Roman" w:cs="Times New Roman"/>
          <w:szCs w:val="20"/>
        </w:rPr>
        <w:t>utilizada ha sido</w:t>
      </w:r>
      <w:r w:rsidRPr="00781A4E">
        <w:rPr>
          <w:rFonts w:ascii="Times New Roman" w:eastAsia="Times New Roman" w:hAnsi="Times New Roman" w:cs="Times New Roman"/>
          <w:szCs w:val="20"/>
        </w:rPr>
        <w:t xml:space="preserve"> la moneda local Gourde (“HTG”, según el código ISO 4217), en términos constantes, es decir, deflactad</w:t>
      </w:r>
      <w:r>
        <w:rPr>
          <w:rFonts w:ascii="Times New Roman" w:eastAsia="Times New Roman" w:hAnsi="Times New Roman" w:cs="Times New Roman"/>
          <w:szCs w:val="20"/>
        </w:rPr>
        <w:t>a</w:t>
      </w:r>
      <w:r w:rsidRPr="00781A4E">
        <w:rPr>
          <w:rFonts w:ascii="Times New Roman" w:eastAsia="Times New Roman" w:hAnsi="Times New Roman" w:cs="Times New Roman"/>
          <w:szCs w:val="20"/>
        </w:rPr>
        <w:t xml:space="preserve"> de cualquier efecto en los precios generado por la inflación. </w:t>
      </w:r>
    </w:p>
    <w:p w:rsidR="00C55379" w:rsidRDefault="00C55379" w:rsidP="00C55379">
      <w:pPr>
        <w:autoSpaceDE w:val="0"/>
        <w:autoSpaceDN w:val="0"/>
        <w:adjustRightInd w:val="0"/>
        <w:ind w:hanging="578"/>
        <w:jc w:val="both"/>
        <w:rPr>
          <w:rFonts w:ascii="Times New Roman" w:hAnsi="Times New Roman" w:cs="Times New Roman"/>
        </w:rPr>
      </w:pPr>
    </w:p>
    <w:p w:rsidR="00C55379" w:rsidRDefault="00C55379" w:rsidP="007000F5">
      <w:pPr>
        <w:pStyle w:val="ListParagraph"/>
        <w:numPr>
          <w:ilvl w:val="1"/>
          <w:numId w:val="44"/>
        </w:numPr>
        <w:autoSpaceDE w:val="0"/>
        <w:autoSpaceDN w:val="0"/>
        <w:adjustRightInd w:val="0"/>
        <w:ind w:hanging="578"/>
        <w:jc w:val="both"/>
        <w:rPr>
          <w:rFonts w:ascii="Times New Roman" w:eastAsia="Times New Roman" w:hAnsi="Times New Roman" w:cs="Times New Roman"/>
          <w:szCs w:val="20"/>
        </w:rPr>
      </w:pPr>
      <w:r w:rsidRPr="00473D5D">
        <w:rPr>
          <w:rFonts w:ascii="Times New Roman" w:eastAsia="Times New Roman" w:hAnsi="Times New Roman" w:cs="Times New Roman"/>
          <w:szCs w:val="20"/>
        </w:rPr>
        <w:t>Una vez deducidos los costos y beneficios en HTG</w:t>
      </w:r>
      <w:r w:rsidRPr="00473D5D">
        <w:rPr>
          <w:rStyle w:val="FootnoteReference"/>
          <w:rFonts w:ascii="Times New Roman" w:eastAsia="Times New Roman" w:hAnsi="Times New Roman" w:cs="Times New Roman"/>
          <w:szCs w:val="20"/>
        </w:rPr>
        <w:footnoteReference w:id="2"/>
      </w:r>
      <w:r w:rsidRPr="00473D5D">
        <w:rPr>
          <w:rFonts w:ascii="Times New Roman" w:eastAsia="Times New Roman" w:hAnsi="Times New Roman" w:cs="Times New Roman"/>
          <w:szCs w:val="20"/>
        </w:rPr>
        <w:t>, se ha realizado, en su caso, la conversión al Dólar Estadounidense en función de una tasa de cambio HTG/USD constante a lo largo del periodo de análisis</w:t>
      </w:r>
      <w:r w:rsidR="00E46534">
        <w:rPr>
          <w:rFonts w:ascii="Times New Roman" w:eastAsia="Times New Roman" w:hAnsi="Times New Roman" w:cs="Times New Roman"/>
          <w:szCs w:val="20"/>
        </w:rPr>
        <w:t xml:space="preserve"> de </w:t>
      </w:r>
      <w:r w:rsidRPr="00473D5D">
        <w:rPr>
          <w:rFonts w:ascii="Times New Roman" w:eastAsia="Times New Roman" w:hAnsi="Times New Roman" w:cs="Times New Roman"/>
          <w:szCs w:val="20"/>
        </w:rPr>
        <w:t>4</w:t>
      </w:r>
      <w:r>
        <w:rPr>
          <w:rFonts w:ascii="Times New Roman" w:eastAsia="Times New Roman" w:hAnsi="Times New Roman" w:cs="Times New Roman"/>
          <w:szCs w:val="20"/>
        </w:rPr>
        <w:t>4</w:t>
      </w:r>
      <w:r w:rsidRPr="00473D5D">
        <w:rPr>
          <w:rFonts w:ascii="Times New Roman" w:eastAsia="Times New Roman" w:hAnsi="Times New Roman" w:cs="Times New Roman"/>
          <w:szCs w:val="20"/>
        </w:rPr>
        <w:t>,</w:t>
      </w:r>
      <w:r>
        <w:rPr>
          <w:rFonts w:ascii="Times New Roman" w:eastAsia="Times New Roman" w:hAnsi="Times New Roman" w:cs="Times New Roman"/>
          <w:szCs w:val="20"/>
        </w:rPr>
        <w:t>54</w:t>
      </w:r>
      <w:r w:rsidRPr="00473D5D">
        <w:rPr>
          <w:rFonts w:ascii="Times New Roman" w:eastAsia="Times New Roman" w:hAnsi="Times New Roman" w:cs="Times New Roman"/>
          <w:szCs w:val="20"/>
        </w:rPr>
        <w:t xml:space="preserve"> HTG/USD</w:t>
      </w:r>
      <w:r w:rsidRPr="00473D5D">
        <w:rPr>
          <w:rStyle w:val="FootnoteReference"/>
          <w:rFonts w:ascii="Times New Roman" w:eastAsia="Times New Roman" w:hAnsi="Times New Roman" w:cs="Times New Roman"/>
          <w:szCs w:val="20"/>
        </w:rPr>
        <w:footnoteReference w:id="3"/>
      </w:r>
      <w:r w:rsidRPr="00473D5D">
        <w:rPr>
          <w:rFonts w:ascii="Times New Roman" w:eastAsia="Times New Roman" w:hAnsi="Times New Roman" w:cs="Times New Roman"/>
          <w:szCs w:val="20"/>
        </w:rPr>
        <w:t>.</w:t>
      </w:r>
    </w:p>
    <w:p w:rsidR="00C55379" w:rsidRDefault="00C55379" w:rsidP="00752678">
      <w:pPr>
        <w:jc w:val="both"/>
        <w:rPr>
          <w:rFonts w:ascii="Times New Roman" w:hAnsi="Times New Roman" w:cs="Times New Roman"/>
          <w:b/>
          <w:i/>
        </w:rPr>
      </w:pPr>
    </w:p>
    <w:p w:rsidR="00752678" w:rsidRPr="001A2D6D" w:rsidRDefault="00752678" w:rsidP="001A2D6D">
      <w:pPr>
        <w:pStyle w:val="Heading2"/>
        <w:rPr>
          <w:rFonts w:ascii="Times New Roman" w:hAnsi="Times New Roman" w:cs="Times New Roman"/>
          <w:i/>
          <w:color w:val="auto"/>
          <w:sz w:val="22"/>
        </w:rPr>
      </w:pPr>
      <w:bookmarkStart w:id="41" w:name="_Toc386887947"/>
      <w:r w:rsidRPr="001A2D6D">
        <w:rPr>
          <w:rFonts w:ascii="Times New Roman" w:hAnsi="Times New Roman" w:cs="Times New Roman"/>
          <w:i/>
          <w:color w:val="auto"/>
          <w:sz w:val="22"/>
        </w:rPr>
        <w:t>Limitaciones metodológicas</w:t>
      </w:r>
      <w:bookmarkEnd w:id="41"/>
    </w:p>
    <w:p w:rsidR="00752678" w:rsidRDefault="00752678" w:rsidP="00752678">
      <w:pPr>
        <w:jc w:val="both"/>
        <w:rPr>
          <w:rFonts w:ascii="Times New Roman" w:hAnsi="Times New Roman" w:cs="Times New Roman"/>
          <w:b/>
          <w:i/>
        </w:rPr>
      </w:pPr>
    </w:p>
    <w:p w:rsidR="002738EA" w:rsidRPr="00C8240C" w:rsidRDefault="00752678" w:rsidP="007000F5">
      <w:pPr>
        <w:pStyle w:val="ListParagraph"/>
        <w:numPr>
          <w:ilvl w:val="1"/>
          <w:numId w:val="44"/>
        </w:numPr>
        <w:autoSpaceDE w:val="0"/>
        <w:autoSpaceDN w:val="0"/>
        <w:adjustRightInd w:val="0"/>
        <w:ind w:hanging="578"/>
        <w:jc w:val="both"/>
        <w:rPr>
          <w:rFonts w:ascii="Times New Roman" w:hAnsi="Times New Roman" w:cs="Times New Roman"/>
        </w:rPr>
      </w:pPr>
      <w:r w:rsidRPr="00C8240C">
        <w:rPr>
          <w:rFonts w:ascii="Times New Roman" w:hAnsi="Times New Roman" w:cs="Times New Roman"/>
        </w:rPr>
        <w:t xml:space="preserve">Aunque algunas de las problemáticas </w:t>
      </w:r>
      <w:r w:rsidR="00170EC7" w:rsidRPr="00C8240C">
        <w:rPr>
          <w:rFonts w:ascii="Times New Roman" w:hAnsi="Times New Roman" w:cs="Times New Roman"/>
        </w:rPr>
        <w:t xml:space="preserve">zoo-fitosanitarias </w:t>
      </w:r>
      <w:r w:rsidRPr="00C8240C">
        <w:rPr>
          <w:rFonts w:ascii="Times New Roman" w:hAnsi="Times New Roman" w:cs="Times New Roman"/>
        </w:rPr>
        <w:t xml:space="preserve">abordadas </w:t>
      </w:r>
      <w:r w:rsidR="00170EC7" w:rsidRPr="0026134E">
        <w:rPr>
          <w:rFonts w:ascii="Times New Roman" w:hAnsi="Times New Roman" w:cs="Times New Roman"/>
        </w:rPr>
        <w:t xml:space="preserve">son </w:t>
      </w:r>
      <w:r w:rsidRPr="0026134E">
        <w:rPr>
          <w:rFonts w:ascii="Times New Roman" w:hAnsi="Times New Roman" w:cs="Times New Roman"/>
        </w:rPr>
        <w:t>bien conocida</w:t>
      </w:r>
      <w:r w:rsidR="00170EC7" w:rsidRPr="0026134E">
        <w:rPr>
          <w:rFonts w:ascii="Times New Roman" w:hAnsi="Times New Roman" w:cs="Times New Roman"/>
        </w:rPr>
        <w:t>s</w:t>
      </w:r>
      <w:r w:rsidRPr="0026134E">
        <w:rPr>
          <w:rFonts w:ascii="Times New Roman" w:hAnsi="Times New Roman" w:cs="Times New Roman"/>
        </w:rPr>
        <w:t xml:space="preserve"> en el sector</w:t>
      </w:r>
      <w:r w:rsidR="00170EC7" w:rsidRPr="0026134E">
        <w:rPr>
          <w:rFonts w:ascii="Times New Roman" w:hAnsi="Times New Roman" w:cs="Times New Roman"/>
        </w:rPr>
        <w:t xml:space="preserve"> en Haití</w:t>
      </w:r>
      <w:r w:rsidRPr="0026134E">
        <w:rPr>
          <w:rFonts w:ascii="Times New Roman" w:hAnsi="Times New Roman" w:cs="Times New Roman"/>
        </w:rPr>
        <w:t xml:space="preserve">, no </w:t>
      </w:r>
      <w:r w:rsidR="00170EC7" w:rsidRPr="0026134E">
        <w:rPr>
          <w:rFonts w:ascii="Times New Roman" w:hAnsi="Times New Roman" w:cs="Times New Roman"/>
        </w:rPr>
        <w:t xml:space="preserve">existen </w:t>
      </w:r>
      <w:r w:rsidRPr="0026134E">
        <w:rPr>
          <w:rFonts w:ascii="Times New Roman" w:hAnsi="Times New Roman" w:cs="Times New Roman"/>
        </w:rPr>
        <w:t xml:space="preserve">estudios que </w:t>
      </w:r>
      <w:r w:rsidR="00170EC7" w:rsidRPr="0026134E">
        <w:rPr>
          <w:rFonts w:ascii="Times New Roman" w:hAnsi="Times New Roman" w:cs="Times New Roman"/>
        </w:rPr>
        <w:t xml:space="preserve">analicen </w:t>
      </w:r>
      <w:r w:rsidR="008414B0" w:rsidRPr="0026134E">
        <w:rPr>
          <w:rFonts w:ascii="Times New Roman" w:hAnsi="Times New Roman" w:cs="Times New Roman"/>
        </w:rPr>
        <w:t>en profundidad su</w:t>
      </w:r>
      <w:r w:rsidRPr="0026134E">
        <w:rPr>
          <w:rFonts w:ascii="Times New Roman" w:hAnsi="Times New Roman" w:cs="Times New Roman"/>
        </w:rPr>
        <w:t xml:space="preserve"> impacto </w:t>
      </w:r>
      <w:r w:rsidR="00170EC7" w:rsidRPr="0026134E">
        <w:rPr>
          <w:rFonts w:ascii="Times New Roman" w:hAnsi="Times New Roman" w:cs="Times New Roman"/>
        </w:rPr>
        <w:t xml:space="preserve">e incidencia </w:t>
      </w:r>
      <w:r w:rsidRPr="0026134E">
        <w:rPr>
          <w:rFonts w:ascii="Times New Roman" w:hAnsi="Times New Roman" w:cs="Times New Roman"/>
        </w:rPr>
        <w:t xml:space="preserve">en la producción agropecuaria. Por esta razón, se ha recurrido en algunos casos a estudios realizados en </w:t>
      </w:r>
      <w:r w:rsidR="008414B0" w:rsidRPr="0026134E">
        <w:rPr>
          <w:rFonts w:ascii="Times New Roman" w:hAnsi="Times New Roman" w:cs="Times New Roman"/>
        </w:rPr>
        <w:t xml:space="preserve">otros </w:t>
      </w:r>
      <w:r w:rsidRPr="0026134E">
        <w:rPr>
          <w:rFonts w:ascii="Times New Roman" w:hAnsi="Times New Roman" w:cs="Times New Roman"/>
        </w:rPr>
        <w:t xml:space="preserve">países como la República Dominicana, cuyos </w:t>
      </w:r>
      <w:r w:rsidR="0026134E" w:rsidRPr="0026134E">
        <w:rPr>
          <w:rFonts w:ascii="Times New Roman" w:hAnsi="Times New Roman" w:cs="Times New Roman"/>
        </w:rPr>
        <w:t xml:space="preserve">progresos </w:t>
      </w:r>
      <w:r w:rsidRPr="0026134E">
        <w:rPr>
          <w:rFonts w:ascii="Times New Roman" w:hAnsi="Times New Roman" w:cs="Times New Roman"/>
        </w:rPr>
        <w:t xml:space="preserve">en </w:t>
      </w:r>
      <w:r w:rsidR="008414B0" w:rsidRPr="0026134E">
        <w:rPr>
          <w:rFonts w:ascii="Times New Roman" w:hAnsi="Times New Roman" w:cs="Times New Roman"/>
        </w:rPr>
        <w:t>est</w:t>
      </w:r>
      <w:r w:rsidRPr="0026134E">
        <w:rPr>
          <w:rFonts w:ascii="Times New Roman" w:hAnsi="Times New Roman" w:cs="Times New Roman"/>
        </w:rPr>
        <w:t xml:space="preserve">a materia </w:t>
      </w:r>
      <w:r w:rsidR="0026134E" w:rsidRPr="0026134E">
        <w:rPr>
          <w:rFonts w:ascii="Times New Roman" w:hAnsi="Times New Roman" w:cs="Times New Roman"/>
        </w:rPr>
        <w:t>se encuentran más adelantados</w:t>
      </w:r>
      <w:r w:rsidR="0035269B" w:rsidRPr="0035269B">
        <w:rPr>
          <w:rFonts w:ascii="Times New Roman" w:hAnsi="Times New Roman" w:cs="Times New Roman"/>
        </w:rPr>
        <w:t xml:space="preserve"> </w:t>
      </w:r>
      <w:r w:rsidR="0035269B">
        <w:rPr>
          <w:rFonts w:ascii="Times New Roman" w:hAnsi="Times New Roman" w:cs="Times New Roman"/>
        </w:rPr>
        <w:t>y que son comparables en alguna medida a la situación de Haití</w:t>
      </w:r>
      <w:r w:rsidRPr="0026134E">
        <w:rPr>
          <w:rFonts w:ascii="Times New Roman" w:hAnsi="Times New Roman" w:cs="Times New Roman"/>
        </w:rPr>
        <w:t xml:space="preserve">. </w:t>
      </w:r>
    </w:p>
    <w:p w:rsidR="001A2D6D" w:rsidRDefault="001A2D6D" w:rsidP="002738EA">
      <w:pPr>
        <w:pStyle w:val="ListParagraph"/>
        <w:autoSpaceDE w:val="0"/>
        <w:autoSpaceDN w:val="0"/>
        <w:adjustRightInd w:val="0"/>
        <w:jc w:val="both"/>
        <w:rPr>
          <w:rFonts w:ascii="Times New Roman" w:hAnsi="Times New Roman" w:cs="Times New Roman"/>
        </w:rPr>
      </w:pPr>
    </w:p>
    <w:p w:rsidR="0035269B" w:rsidRDefault="0035269B" w:rsidP="002738EA">
      <w:pPr>
        <w:pStyle w:val="ListParagraph"/>
        <w:autoSpaceDE w:val="0"/>
        <w:autoSpaceDN w:val="0"/>
        <w:adjustRightInd w:val="0"/>
        <w:jc w:val="both"/>
        <w:rPr>
          <w:rFonts w:ascii="Times New Roman" w:hAnsi="Times New Roman" w:cs="Times New Roman"/>
        </w:rPr>
      </w:pPr>
    </w:p>
    <w:p w:rsidR="0035269B" w:rsidRDefault="0035269B" w:rsidP="002738EA">
      <w:pPr>
        <w:pStyle w:val="ListParagraph"/>
        <w:autoSpaceDE w:val="0"/>
        <w:autoSpaceDN w:val="0"/>
        <w:adjustRightInd w:val="0"/>
        <w:jc w:val="both"/>
        <w:rPr>
          <w:rFonts w:ascii="Times New Roman" w:hAnsi="Times New Roman" w:cs="Times New Roman"/>
        </w:rPr>
      </w:pPr>
    </w:p>
    <w:p w:rsidR="000E5B00" w:rsidRPr="00413644" w:rsidRDefault="000E5B00" w:rsidP="000E5B00">
      <w:pPr>
        <w:pStyle w:val="Heading2"/>
        <w:rPr>
          <w:rFonts w:ascii="Times New Roman" w:hAnsi="Times New Roman" w:cs="Times New Roman"/>
          <w:i/>
          <w:color w:val="auto"/>
          <w:sz w:val="22"/>
        </w:rPr>
      </w:pPr>
      <w:bookmarkStart w:id="42" w:name="_Toc386887948"/>
      <w:r>
        <w:rPr>
          <w:rFonts w:ascii="Times New Roman" w:hAnsi="Times New Roman" w:cs="Times New Roman"/>
          <w:i/>
          <w:color w:val="auto"/>
          <w:sz w:val="22"/>
        </w:rPr>
        <w:lastRenderedPageBreak/>
        <w:t xml:space="preserve">Outputs de la evaluación: </w:t>
      </w:r>
      <w:r w:rsidRPr="00413644">
        <w:rPr>
          <w:rFonts w:ascii="Times New Roman" w:hAnsi="Times New Roman" w:cs="Times New Roman"/>
          <w:i/>
          <w:color w:val="auto"/>
          <w:sz w:val="22"/>
        </w:rPr>
        <w:t>parámetros de rentabilidad económica</w:t>
      </w:r>
      <w:bookmarkEnd w:id="35"/>
      <w:r>
        <w:rPr>
          <w:rFonts w:ascii="Times New Roman" w:hAnsi="Times New Roman" w:cs="Times New Roman"/>
          <w:i/>
          <w:color w:val="auto"/>
          <w:sz w:val="22"/>
        </w:rPr>
        <w:t xml:space="preserve"> utilizados</w:t>
      </w:r>
      <w:bookmarkEnd w:id="36"/>
      <w:bookmarkEnd w:id="42"/>
    </w:p>
    <w:p w:rsidR="000E5B00" w:rsidRPr="00413644" w:rsidRDefault="000E5B00" w:rsidP="000E5B00">
      <w:pPr>
        <w:autoSpaceDE w:val="0"/>
        <w:autoSpaceDN w:val="0"/>
        <w:adjustRightInd w:val="0"/>
        <w:rPr>
          <w:rFonts w:ascii="Times New Roman" w:hAnsi="Times New Roman" w:cs="Times New Roman"/>
          <w:i/>
        </w:rPr>
      </w:pPr>
    </w:p>
    <w:p w:rsidR="000E5B00" w:rsidRPr="00413644" w:rsidRDefault="000E5B00" w:rsidP="000E5B00">
      <w:pPr>
        <w:autoSpaceDE w:val="0"/>
        <w:autoSpaceDN w:val="0"/>
        <w:adjustRightInd w:val="0"/>
        <w:rPr>
          <w:rFonts w:ascii="Times New Roman" w:hAnsi="Times New Roman" w:cs="Times New Roman"/>
          <w:i/>
        </w:rPr>
      </w:pPr>
      <w:bookmarkStart w:id="43" w:name="_Toc280718148"/>
      <w:bookmarkStart w:id="44" w:name="_Toc284176021"/>
      <w:r w:rsidRPr="00413644">
        <w:rPr>
          <w:rFonts w:ascii="Times New Roman" w:hAnsi="Times New Roman" w:cs="Times New Roman"/>
          <w:i/>
        </w:rPr>
        <w:t xml:space="preserve">Tasa de descuento </w:t>
      </w:r>
      <w:bookmarkEnd w:id="43"/>
      <w:bookmarkEnd w:id="44"/>
      <w:r w:rsidRPr="00413644">
        <w:rPr>
          <w:rFonts w:ascii="Times New Roman" w:hAnsi="Times New Roman" w:cs="Times New Roman"/>
          <w:i/>
        </w:rPr>
        <w:t>económico</w:t>
      </w:r>
    </w:p>
    <w:p w:rsidR="000E5B00" w:rsidRPr="00413644" w:rsidRDefault="000E5B00" w:rsidP="000E5B00">
      <w:pPr>
        <w:jc w:val="both"/>
        <w:rPr>
          <w:rFonts w:ascii="Times New Roman" w:hAnsi="Times New Roman" w:cs="Times New Roman"/>
          <w:highlight w:val="yellow"/>
        </w:rPr>
      </w:pPr>
    </w:p>
    <w:p w:rsidR="000E5B00" w:rsidRDefault="000E5B00" w:rsidP="007000F5">
      <w:pPr>
        <w:pStyle w:val="ListParagraph"/>
        <w:numPr>
          <w:ilvl w:val="1"/>
          <w:numId w:val="44"/>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Se ha utilizado una tasa de descuento de 12% en términos reales, usada habitualmente en este tipo de evaluaciones. Esta tasa es una referencia como costo temporal de los flujos</w:t>
      </w:r>
      <w:r>
        <w:rPr>
          <w:rFonts w:ascii="Times New Roman" w:eastAsia="Times New Roman" w:hAnsi="Times New Roman" w:cs="Times New Roman"/>
          <w:szCs w:val="20"/>
        </w:rPr>
        <w:t xml:space="preserve"> económicos</w:t>
      </w:r>
      <w:r w:rsidRPr="00413644">
        <w:rPr>
          <w:rFonts w:ascii="Times New Roman" w:eastAsia="Times New Roman" w:hAnsi="Times New Roman" w:cs="Times New Roman"/>
          <w:szCs w:val="20"/>
        </w:rPr>
        <w:t xml:space="preserve">, </w:t>
      </w:r>
      <w:r>
        <w:rPr>
          <w:rFonts w:ascii="Times New Roman" w:eastAsia="Times New Roman" w:hAnsi="Times New Roman" w:cs="Times New Roman"/>
          <w:szCs w:val="20"/>
        </w:rPr>
        <w:t>sin embargo</w:t>
      </w:r>
      <w:r w:rsidRPr="00413644">
        <w:rPr>
          <w:rFonts w:ascii="Times New Roman" w:eastAsia="Times New Roman" w:hAnsi="Times New Roman" w:cs="Times New Roman"/>
          <w:szCs w:val="20"/>
        </w:rPr>
        <w:t xml:space="preserve"> no </w:t>
      </w:r>
      <w:r>
        <w:rPr>
          <w:rFonts w:ascii="Times New Roman" w:eastAsia="Times New Roman" w:hAnsi="Times New Roman" w:cs="Times New Roman"/>
          <w:szCs w:val="20"/>
        </w:rPr>
        <w:t xml:space="preserve">pretende </w:t>
      </w:r>
      <w:r w:rsidRPr="00413644">
        <w:rPr>
          <w:rFonts w:ascii="Times New Roman" w:eastAsia="Times New Roman" w:hAnsi="Times New Roman" w:cs="Times New Roman"/>
          <w:szCs w:val="20"/>
        </w:rPr>
        <w:t>refleja</w:t>
      </w:r>
      <w:r>
        <w:rPr>
          <w:rFonts w:ascii="Times New Roman" w:eastAsia="Times New Roman" w:hAnsi="Times New Roman" w:cs="Times New Roman"/>
          <w:szCs w:val="20"/>
        </w:rPr>
        <w:t>r</w:t>
      </w:r>
      <w:r w:rsidRPr="00413644">
        <w:rPr>
          <w:rFonts w:ascii="Times New Roman" w:eastAsia="Times New Roman" w:hAnsi="Times New Roman" w:cs="Times New Roman"/>
          <w:szCs w:val="20"/>
        </w:rPr>
        <w:t xml:space="preserve"> el coste de los recursos, </w:t>
      </w:r>
      <w:r>
        <w:rPr>
          <w:rFonts w:ascii="Times New Roman" w:eastAsia="Times New Roman" w:hAnsi="Times New Roman" w:cs="Times New Roman"/>
          <w:szCs w:val="20"/>
        </w:rPr>
        <w:t>sino</w:t>
      </w:r>
      <w:r w:rsidRPr="00413644">
        <w:rPr>
          <w:rFonts w:ascii="Times New Roman" w:eastAsia="Times New Roman" w:hAnsi="Times New Roman" w:cs="Times New Roman"/>
          <w:szCs w:val="20"/>
        </w:rPr>
        <w:t xml:space="preserve"> el cost</w:t>
      </w:r>
      <w:r>
        <w:rPr>
          <w:rFonts w:ascii="Times New Roman" w:eastAsia="Times New Roman" w:hAnsi="Times New Roman" w:cs="Times New Roman"/>
          <w:szCs w:val="20"/>
        </w:rPr>
        <w:t>o</w:t>
      </w:r>
      <w:r w:rsidRPr="00413644">
        <w:rPr>
          <w:rFonts w:ascii="Times New Roman" w:eastAsia="Times New Roman" w:hAnsi="Times New Roman" w:cs="Times New Roman"/>
          <w:szCs w:val="20"/>
        </w:rPr>
        <w:t xml:space="preserve"> de oportunidad de los fondos em</w:t>
      </w:r>
      <w:r>
        <w:rPr>
          <w:rFonts w:ascii="Times New Roman" w:eastAsia="Times New Roman" w:hAnsi="Times New Roman" w:cs="Times New Roman"/>
          <w:szCs w:val="20"/>
        </w:rPr>
        <w:t>p</w:t>
      </w:r>
      <w:r w:rsidRPr="00413644">
        <w:rPr>
          <w:rFonts w:ascii="Times New Roman" w:eastAsia="Times New Roman" w:hAnsi="Times New Roman" w:cs="Times New Roman"/>
          <w:szCs w:val="20"/>
        </w:rPr>
        <w:t>leados en el desarrollo del Pro</w:t>
      </w:r>
      <w:r w:rsidR="00C60ACD">
        <w:rPr>
          <w:rFonts w:ascii="Times New Roman" w:eastAsia="Times New Roman" w:hAnsi="Times New Roman" w:cs="Times New Roman"/>
          <w:szCs w:val="20"/>
        </w:rPr>
        <w:t>grama</w:t>
      </w:r>
      <w:r w:rsidRPr="00413644">
        <w:rPr>
          <w:rFonts w:ascii="Times New Roman" w:eastAsia="Times New Roman" w:hAnsi="Times New Roman" w:cs="Times New Roman"/>
          <w:szCs w:val="20"/>
        </w:rPr>
        <w:t xml:space="preserve">. </w:t>
      </w:r>
    </w:p>
    <w:p w:rsidR="009C44CA" w:rsidRDefault="009C44CA" w:rsidP="000E5B00">
      <w:pPr>
        <w:autoSpaceDE w:val="0"/>
        <w:autoSpaceDN w:val="0"/>
        <w:adjustRightInd w:val="0"/>
        <w:rPr>
          <w:rFonts w:ascii="Times New Roman" w:hAnsi="Times New Roman" w:cs="Times New Roman"/>
          <w:i/>
        </w:rPr>
      </w:pPr>
      <w:bookmarkStart w:id="45" w:name="_Toc280718149"/>
      <w:bookmarkStart w:id="46" w:name="_Toc284176022"/>
    </w:p>
    <w:p w:rsidR="000E5B00" w:rsidRPr="00413644" w:rsidRDefault="000E5B00" w:rsidP="000E5B00">
      <w:pPr>
        <w:autoSpaceDE w:val="0"/>
        <w:autoSpaceDN w:val="0"/>
        <w:adjustRightInd w:val="0"/>
        <w:rPr>
          <w:rFonts w:ascii="Times New Roman" w:hAnsi="Times New Roman" w:cs="Times New Roman"/>
          <w:i/>
        </w:rPr>
      </w:pPr>
      <w:r w:rsidRPr="00413644">
        <w:rPr>
          <w:rFonts w:ascii="Times New Roman" w:hAnsi="Times New Roman" w:cs="Times New Roman"/>
          <w:i/>
        </w:rPr>
        <w:t>Valor Actual Neto (“</w:t>
      </w:r>
      <w:r w:rsidRPr="00413644">
        <w:rPr>
          <w:rFonts w:ascii="Times New Roman" w:hAnsi="Times New Roman" w:cs="Times New Roman"/>
          <w:b/>
          <w:i/>
        </w:rPr>
        <w:t>VAN</w:t>
      </w:r>
      <w:r w:rsidRPr="00413644">
        <w:rPr>
          <w:rFonts w:ascii="Times New Roman" w:hAnsi="Times New Roman" w:cs="Times New Roman"/>
          <w:i/>
        </w:rPr>
        <w:t>”)</w:t>
      </w:r>
      <w:bookmarkEnd w:id="45"/>
      <w:bookmarkEnd w:id="46"/>
    </w:p>
    <w:p w:rsidR="000E5B00" w:rsidRPr="00413644" w:rsidRDefault="000E5B00" w:rsidP="000E5B00">
      <w:pPr>
        <w:jc w:val="both"/>
        <w:rPr>
          <w:rFonts w:ascii="Times New Roman" w:hAnsi="Times New Roman" w:cs="Times New Roman"/>
        </w:rPr>
      </w:pPr>
    </w:p>
    <w:p w:rsidR="000E5B00" w:rsidRPr="00413644" w:rsidRDefault="000E5B00" w:rsidP="007000F5">
      <w:pPr>
        <w:pStyle w:val="ListParagraph"/>
        <w:numPr>
          <w:ilvl w:val="1"/>
          <w:numId w:val="44"/>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w:t>
      </w:r>
      <w:r>
        <w:rPr>
          <w:rFonts w:ascii="Times New Roman" w:eastAsia="Times New Roman" w:hAnsi="Times New Roman" w:cs="Times New Roman"/>
          <w:szCs w:val="20"/>
        </w:rPr>
        <w:t>te</w:t>
      </w:r>
      <w:r w:rsidRPr="00413644">
        <w:rPr>
          <w:rFonts w:ascii="Times New Roman" w:eastAsia="Times New Roman" w:hAnsi="Times New Roman" w:cs="Times New Roman"/>
          <w:szCs w:val="20"/>
        </w:rPr>
        <w:t xml:space="preserve"> método de valoración </w:t>
      </w:r>
      <w:r>
        <w:rPr>
          <w:rFonts w:ascii="Times New Roman" w:eastAsia="Times New Roman" w:hAnsi="Times New Roman" w:cs="Times New Roman"/>
          <w:szCs w:val="20"/>
        </w:rPr>
        <w:t xml:space="preserve">es el </w:t>
      </w:r>
      <w:r w:rsidRPr="00413644">
        <w:rPr>
          <w:rFonts w:ascii="Times New Roman" w:eastAsia="Times New Roman" w:hAnsi="Times New Roman" w:cs="Times New Roman"/>
          <w:szCs w:val="20"/>
        </w:rPr>
        <w:t>más utilizado para la comparativa de las alternativas de Proyecto en los ACB. Su valor se calcula de la siguiente forma:</w:t>
      </w:r>
    </w:p>
    <w:p w:rsidR="000E5B00" w:rsidRPr="00413644" w:rsidRDefault="000E5B00" w:rsidP="000E5B00">
      <w:pPr>
        <w:jc w:val="both"/>
        <w:rPr>
          <w:rFonts w:ascii="Times New Roman" w:hAnsi="Times New Roman" w:cs="Times New Roman"/>
        </w:rPr>
      </w:pPr>
    </w:p>
    <w:p w:rsidR="000E5B00" w:rsidRPr="00413644" w:rsidRDefault="000E5B00" w:rsidP="000E5B00">
      <w:pPr>
        <w:keepNext/>
        <w:jc w:val="center"/>
        <w:rPr>
          <w:rFonts w:ascii="Times New Roman" w:hAnsi="Times New Roman" w:cs="Times New Roman"/>
        </w:rPr>
      </w:pPr>
      <w:r w:rsidRPr="00413644">
        <w:rPr>
          <w:rFonts w:ascii="Times New Roman" w:hAnsi="Times New Roman" w:cs="Times New Roman"/>
          <w:snapToGrid w:val="0"/>
          <w:position w:val="-30"/>
        </w:rPr>
        <w:object w:dxaOrig="43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37.5pt" o:ole="">
            <v:imagedata r:id="rId9" o:title=""/>
          </v:shape>
          <o:OLEObject Type="Embed" ProgID="Equation.3" ShapeID="_x0000_i1025" DrawAspect="Content" ObjectID="_1460875807" r:id="rId10"/>
        </w:objec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Siendo: </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B: beneficios anuales futuros en términos constantes.</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C: costes anuales futuros en términos constantes.</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r: tasa de descuento (en este caso del 12%).</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r w:rsidRPr="00413644">
        <w:rPr>
          <w:rFonts w:ascii="Times New Roman" w:eastAsia="Times New Roman" w:hAnsi="Times New Roman" w:cs="Times New Roman"/>
          <w:szCs w:val="20"/>
        </w:rPr>
        <w:t>k: número de años desde el año de inicio del Pro</w:t>
      </w:r>
      <w:r w:rsidR="007E0F0C">
        <w:rPr>
          <w:rFonts w:ascii="Times New Roman" w:eastAsia="Times New Roman" w:hAnsi="Times New Roman" w:cs="Times New Roman"/>
          <w:szCs w:val="20"/>
        </w:rPr>
        <w:t>grama</w:t>
      </w:r>
      <w:r w:rsidRPr="00413644">
        <w:rPr>
          <w:rFonts w:ascii="Times New Roman" w:eastAsia="Times New Roman" w:hAnsi="Times New Roman" w:cs="Times New Roman"/>
          <w:szCs w:val="20"/>
        </w:rPr>
        <w:t>.</w:t>
      </w:r>
    </w:p>
    <w:p w:rsidR="000E5B00" w:rsidRPr="00413644" w:rsidRDefault="000E5B00" w:rsidP="000E5B00">
      <w:pPr>
        <w:pStyle w:val="ListParagraph"/>
        <w:autoSpaceDE w:val="0"/>
        <w:autoSpaceDN w:val="0"/>
        <w:adjustRightInd w:val="0"/>
        <w:jc w:val="both"/>
        <w:rPr>
          <w:rFonts w:ascii="Times New Roman" w:eastAsia="Times New Roman" w:hAnsi="Times New Roman" w:cs="Times New Roman"/>
          <w:szCs w:val="20"/>
        </w:rPr>
      </w:pPr>
    </w:p>
    <w:p w:rsidR="000E5B00" w:rsidRPr="00B944FC" w:rsidRDefault="000E5B00" w:rsidP="000E5B00">
      <w:pPr>
        <w:autoSpaceDE w:val="0"/>
        <w:autoSpaceDN w:val="0"/>
        <w:adjustRightInd w:val="0"/>
        <w:rPr>
          <w:rFonts w:ascii="Times New Roman" w:hAnsi="Times New Roman" w:cs="Times New Roman"/>
          <w:i/>
        </w:rPr>
      </w:pPr>
      <w:bookmarkStart w:id="47" w:name="_Toc280718150"/>
      <w:bookmarkStart w:id="48" w:name="_Toc284176023"/>
      <w:r w:rsidRPr="00413644">
        <w:rPr>
          <w:rFonts w:ascii="Times New Roman" w:hAnsi="Times New Roman" w:cs="Times New Roman"/>
          <w:i/>
        </w:rPr>
        <w:t xml:space="preserve">Tasa </w:t>
      </w:r>
      <w:r>
        <w:rPr>
          <w:rFonts w:ascii="Times New Roman" w:hAnsi="Times New Roman" w:cs="Times New Roman"/>
          <w:i/>
        </w:rPr>
        <w:t xml:space="preserve">Interna </w:t>
      </w:r>
      <w:r w:rsidRPr="00413644">
        <w:rPr>
          <w:rFonts w:ascii="Times New Roman" w:hAnsi="Times New Roman" w:cs="Times New Roman"/>
          <w:i/>
        </w:rPr>
        <w:t xml:space="preserve">de </w:t>
      </w:r>
      <w:bookmarkEnd w:id="47"/>
      <w:bookmarkEnd w:id="48"/>
      <w:r w:rsidRPr="00413644">
        <w:rPr>
          <w:rFonts w:ascii="Times New Roman" w:hAnsi="Times New Roman" w:cs="Times New Roman"/>
          <w:i/>
        </w:rPr>
        <w:t>Re</w:t>
      </w:r>
      <w:r>
        <w:rPr>
          <w:rFonts w:ascii="Times New Roman" w:hAnsi="Times New Roman" w:cs="Times New Roman"/>
          <w:i/>
        </w:rPr>
        <w:t>torno (“</w:t>
      </w:r>
      <w:r>
        <w:rPr>
          <w:rFonts w:ascii="Times New Roman" w:hAnsi="Times New Roman" w:cs="Times New Roman"/>
          <w:b/>
          <w:i/>
        </w:rPr>
        <w:t>TIR</w:t>
      </w:r>
      <w:r>
        <w:rPr>
          <w:rFonts w:ascii="Times New Roman" w:hAnsi="Times New Roman" w:cs="Times New Roman"/>
          <w:i/>
        </w:rPr>
        <w:t>”)</w:t>
      </w:r>
    </w:p>
    <w:p w:rsidR="000E5B00" w:rsidRPr="00413644" w:rsidRDefault="000E5B00" w:rsidP="000E5B00">
      <w:pPr>
        <w:jc w:val="both"/>
        <w:rPr>
          <w:rFonts w:ascii="Times New Roman" w:hAnsi="Times New Roman" w:cs="Times New Roman"/>
        </w:rPr>
      </w:pPr>
    </w:p>
    <w:p w:rsidR="000E5B00" w:rsidRDefault="000E5B00" w:rsidP="007000F5">
      <w:pPr>
        <w:pStyle w:val="ListParagraph"/>
        <w:numPr>
          <w:ilvl w:val="1"/>
          <w:numId w:val="44"/>
        </w:numPr>
        <w:autoSpaceDE w:val="0"/>
        <w:autoSpaceDN w:val="0"/>
        <w:adjustRightInd w:val="0"/>
        <w:ind w:hanging="578"/>
        <w:jc w:val="both"/>
        <w:rPr>
          <w:rFonts w:ascii="Times New Roman" w:eastAsia="Times New Roman" w:hAnsi="Times New Roman" w:cs="Times New Roman"/>
          <w:szCs w:val="20"/>
        </w:rPr>
      </w:pPr>
      <w:r w:rsidRPr="00413644">
        <w:rPr>
          <w:rFonts w:ascii="Times New Roman" w:eastAsia="Times New Roman" w:hAnsi="Times New Roman" w:cs="Times New Roman"/>
          <w:szCs w:val="20"/>
        </w:rPr>
        <w:t>Es la tasa de descuento que permite que el VAN de los flujos</w:t>
      </w:r>
      <w:r>
        <w:rPr>
          <w:rFonts w:ascii="Times New Roman" w:eastAsia="Times New Roman" w:hAnsi="Times New Roman" w:cs="Times New Roman"/>
          <w:szCs w:val="20"/>
        </w:rPr>
        <w:t xml:space="preserve"> </w:t>
      </w:r>
      <w:r w:rsidR="007E0F0C">
        <w:rPr>
          <w:rFonts w:ascii="Times New Roman" w:eastAsia="Times New Roman" w:hAnsi="Times New Roman" w:cs="Times New Roman"/>
          <w:szCs w:val="20"/>
        </w:rPr>
        <w:t>de impacto económico</w:t>
      </w:r>
      <w:r w:rsidRPr="00413644">
        <w:rPr>
          <w:rFonts w:ascii="Times New Roman" w:eastAsia="Times New Roman" w:hAnsi="Times New Roman" w:cs="Times New Roman"/>
          <w:szCs w:val="20"/>
        </w:rPr>
        <w:t xml:space="preserve"> a lo largo del horizonte temporal de</w:t>
      </w:r>
      <w:r>
        <w:rPr>
          <w:rFonts w:ascii="Times New Roman" w:eastAsia="Times New Roman" w:hAnsi="Times New Roman" w:cs="Times New Roman"/>
          <w:szCs w:val="20"/>
        </w:rPr>
        <w:t>l</w:t>
      </w:r>
      <w:r w:rsidR="00E55A24">
        <w:rPr>
          <w:rFonts w:ascii="Times New Roman" w:eastAsia="Times New Roman" w:hAnsi="Times New Roman" w:cs="Times New Roman"/>
          <w:szCs w:val="20"/>
        </w:rPr>
        <w:t xml:space="preserve"> análisis</w:t>
      </w:r>
      <w:r w:rsidRPr="00413644">
        <w:rPr>
          <w:rFonts w:ascii="Times New Roman" w:eastAsia="Times New Roman" w:hAnsi="Times New Roman" w:cs="Times New Roman"/>
          <w:szCs w:val="20"/>
        </w:rPr>
        <w:t xml:space="preserve"> se iguale a 0. Se espera, lógicamente, que dicha tasa supere a la tasa de descuento utilizada del 12%, tal y como se ha señalado anteriormente.</w:t>
      </w:r>
    </w:p>
    <w:p w:rsidR="000E5B00" w:rsidRDefault="000E5B00" w:rsidP="000E5B00">
      <w:pPr>
        <w:autoSpaceDE w:val="0"/>
        <w:autoSpaceDN w:val="0"/>
        <w:adjustRightInd w:val="0"/>
        <w:jc w:val="both"/>
        <w:rPr>
          <w:rFonts w:ascii="Times New Roman" w:eastAsia="Times New Roman" w:hAnsi="Times New Roman" w:cs="Times New Roman"/>
          <w:szCs w:val="20"/>
        </w:rPr>
      </w:pPr>
    </w:p>
    <w:p w:rsidR="000E5B00" w:rsidRPr="00413644" w:rsidRDefault="000E5B00" w:rsidP="000E5B00">
      <w:pPr>
        <w:autoSpaceDE w:val="0"/>
        <w:autoSpaceDN w:val="0"/>
        <w:adjustRightInd w:val="0"/>
        <w:rPr>
          <w:rFonts w:ascii="Times New Roman" w:hAnsi="Times New Roman" w:cs="Times New Roman"/>
          <w:i/>
        </w:rPr>
      </w:pPr>
      <w:bookmarkStart w:id="49" w:name="_Toc284176025"/>
      <w:r w:rsidRPr="00413644">
        <w:rPr>
          <w:rFonts w:ascii="Times New Roman" w:hAnsi="Times New Roman" w:cs="Times New Roman"/>
          <w:i/>
        </w:rPr>
        <w:t xml:space="preserve">Ratio </w:t>
      </w:r>
      <w:bookmarkEnd w:id="49"/>
      <w:r w:rsidRPr="00413644">
        <w:rPr>
          <w:rFonts w:ascii="Times New Roman" w:hAnsi="Times New Roman" w:cs="Times New Roman"/>
          <w:i/>
        </w:rPr>
        <w:t>Beneficio/Costo</w:t>
      </w:r>
    </w:p>
    <w:p w:rsidR="000E5B00" w:rsidRPr="00413644" w:rsidRDefault="000E5B00" w:rsidP="000E5B00">
      <w:pPr>
        <w:jc w:val="both"/>
        <w:rPr>
          <w:rFonts w:ascii="Times New Roman" w:hAnsi="Times New Roman" w:cs="Times New Roman"/>
        </w:rPr>
      </w:pPr>
    </w:p>
    <w:p w:rsidR="000E5B00" w:rsidRPr="00586A52" w:rsidRDefault="000E5B00" w:rsidP="007000F5">
      <w:pPr>
        <w:pStyle w:val="ListParagraph"/>
        <w:numPr>
          <w:ilvl w:val="1"/>
          <w:numId w:val="44"/>
        </w:numPr>
        <w:autoSpaceDE w:val="0"/>
        <w:autoSpaceDN w:val="0"/>
        <w:adjustRightInd w:val="0"/>
        <w:ind w:hanging="578"/>
        <w:jc w:val="both"/>
        <w:rPr>
          <w:rFonts w:ascii="Times New Roman" w:eastAsiaTheme="majorEastAsia" w:hAnsi="Times New Roman" w:cs="Times New Roman"/>
          <w:b/>
          <w:bCs/>
          <w:sz w:val="24"/>
          <w:szCs w:val="24"/>
        </w:rPr>
      </w:pPr>
      <w:r w:rsidRPr="00586A52">
        <w:rPr>
          <w:rFonts w:ascii="Times New Roman" w:eastAsia="Times New Roman" w:hAnsi="Times New Roman" w:cs="Times New Roman"/>
          <w:szCs w:val="20"/>
        </w:rPr>
        <w:t>El ratio Beneficio/Costo se define como el cociente de los valores actuales de beneficios y costos del Proyecto. Si el ratio Beneficio/Costo es superior a la unidad, los beneficios del proyecto son superiores a sus costos en valor actual, lo que indica la viabilidad económica del Pro</w:t>
      </w:r>
      <w:r w:rsidR="007E0F0C">
        <w:rPr>
          <w:rFonts w:ascii="Times New Roman" w:eastAsia="Times New Roman" w:hAnsi="Times New Roman" w:cs="Times New Roman"/>
          <w:szCs w:val="20"/>
        </w:rPr>
        <w:t>grama</w:t>
      </w:r>
      <w:r w:rsidRPr="00586A52">
        <w:rPr>
          <w:rFonts w:ascii="Times New Roman" w:eastAsia="Times New Roman" w:hAnsi="Times New Roman" w:cs="Times New Roman"/>
          <w:szCs w:val="20"/>
        </w:rPr>
        <w:t>, y el grado de cobertura general de los beneficios sobre los costos.</w:t>
      </w:r>
      <w:r w:rsidRPr="00586A52">
        <w:rPr>
          <w:rFonts w:ascii="Times New Roman" w:hAnsi="Times New Roman" w:cs="Times New Roman"/>
          <w:sz w:val="24"/>
          <w:szCs w:val="24"/>
        </w:rPr>
        <w:br w:type="page"/>
      </w:r>
    </w:p>
    <w:p w:rsidR="00B66668" w:rsidRPr="009E37AA" w:rsidRDefault="00B66668" w:rsidP="002738EA">
      <w:pPr>
        <w:pStyle w:val="Heading1"/>
        <w:numPr>
          <w:ilvl w:val="0"/>
          <w:numId w:val="30"/>
        </w:numPr>
        <w:rPr>
          <w:rFonts w:ascii="Times New Roman" w:hAnsi="Times New Roman" w:cs="Times New Roman"/>
          <w:color w:val="auto"/>
          <w:sz w:val="24"/>
          <w:szCs w:val="24"/>
        </w:rPr>
      </w:pPr>
      <w:bookmarkStart w:id="50" w:name="_Ref351302875"/>
      <w:bookmarkStart w:id="51" w:name="_Toc352689739"/>
      <w:bookmarkStart w:id="52" w:name="_Toc386887949"/>
      <w:r>
        <w:rPr>
          <w:rFonts w:ascii="Times New Roman" w:hAnsi="Times New Roman" w:cs="Times New Roman"/>
          <w:color w:val="auto"/>
          <w:sz w:val="24"/>
          <w:szCs w:val="24"/>
        </w:rPr>
        <w:lastRenderedPageBreak/>
        <w:t>BENEFICIOS</w:t>
      </w:r>
      <w:r w:rsidRPr="009E37AA">
        <w:rPr>
          <w:rFonts w:ascii="Times New Roman" w:hAnsi="Times New Roman" w:cs="Times New Roman"/>
          <w:color w:val="auto"/>
          <w:sz w:val="24"/>
          <w:szCs w:val="24"/>
        </w:rPr>
        <w:t xml:space="preserve"> </w:t>
      </w:r>
      <w:r>
        <w:rPr>
          <w:rFonts w:ascii="Times New Roman" w:hAnsi="Times New Roman" w:cs="Times New Roman"/>
          <w:color w:val="auto"/>
          <w:sz w:val="24"/>
          <w:szCs w:val="24"/>
        </w:rPr>
        <w:t>ECONÓMICOS</w:t>
      </w:r>
      <w:bookmarkEnd w:id="50"/>
      <w:bookmarkEnd w:id="51"/>
      <w:bookmarkEnd w:id="52"/>
    </w:p>
    <w:p w:rsidR="00B66668" w:rsidRDefault="00B66668" w:rsidP="00B66668">
      <w:pPr>
        <w:autoSpaceDE w:val="0"/>
        <w:autoSpaceDN w:val="0"/>
        <w:adjustRightInd w:val="0"/>
        <w:jc w:val="both"/>
        <w:rPr>
          <w:rFonts w:ascii="Times New Roman" w:hAnsi="Times New Roman" w:cs="Times New Roman"/>
          <w:b/>
        </w:rPr>
      </w:pPr>
    </w:p>
    <w:p w:rsidR="00B66668" w:rsidRDefault="00B66668" w:rsidP="002738EA">
      <w:pPr>
        <w:pStyle w:val="ListParagraph"/>
        <w:numPr>
          <w:ilvl w:val="1"/>
          <w:numId w:val="30"/>
        </w:numPr>
        <w:ind w:hanging="578"/>
        <w:jc w:val="both"/>
        <w:rPr>
          <w:rFonts w:ascii="Times New Roman" w:hAnsi="Times New Roman" w:cs="Times New Roman"/>
        </w:rPr>
      </w:pPr>
      <w:r w:rsidRPr="00FE65C7">
        <w:rPr>
          <w:rFonts w:ascii="Times New Roman" w:hAnsi="Times New Roman" w:cs="Times New Roman"/>
        </w:rPr>
        <w:t>En este apartado se describen los beneficios económico</w:t>
      </w:r>
      <w:r>
        <w:rPr>
          <w:rFonts w:ascii="Times New Roman" w:hAnsi="Times New Roman" w:cs="Times New Roman"/>
        </w:rPr>
        <w:t>s del Pro</w:t>
      </w:r>
      <w:r w:rsidR="00004110">
        <w:rPr>
          <w:rFonts w:ascii="Times New Roman" w:hAnsi="Times New Roman" w:cs="Times New Roman"/>
        </w:rPr>
        <w:t>grama</w:t>
      </w:r>
      <w:r w:rsidRPr="00FE65C7">
        <w:rPr>
          <w:rFonts w:ascii="Times New Roman" w:hAnsi="Times New Roman" w:cs="Times New Roman"/>
        </w:rPr>
        <w:t xml:space="preserve"> que </w:t>
      </w:r>
      <w:r>
        <w:rPr>
          <w:rFonts w:ascii="Times New Roman" w:hAnsi="Times New Roman" w:cs="Times New Roman"/>
        </w:rPr>
        <w:t xml:space="preserve">han sido identificados y, en su caso, cuantificados de cara al cálculo de la rentabilidad del mismo. </w:t>
      </w:r>
    </w:p>
    <w:p w:rsidR="001331D8" w:rsidRDefault="001331D8" w:rsidP="004639E8">
      <w:pPr>
        <w:pStyle w:val="ListParagraph"/>
        <w:jc w:val="both"/>
        <w:rPr>
          <w:rFonts w:ascii="Times New Roman" w:hAnsi="Times New Roman" w:cs="Times New Roman"/>
        </w:rPr>
      </w:pPr>
    </w:p>
    <w:p w:rsidR="001331D8" w:rsidRPr="001331D8" w:rsidRDefault="001331D8" w:rsidP="007B3F96">
      <w:pPr>
        <w:pStyle w:val="ListParagraph"/>
        <w:numPr>
          <w:ilvl w:val="1"/>
          <w:numId w:val="30"/>
        </w:numPr>
        <w:ind w:hanging="578"/>
        <w:jc w:val="both"/>
        <w:rPr>
          <w:rFonts w:ascii="Times New Roman" w:hAnsi="Times New Roman" w:cs="Times New Roman"/>
        </w:rPr>
      </w:pPr>
      <w:r w:rsidRPr="001331D8">
        <w:rPr>
          <w:rFonts w:ascii="Times New Roman" w:hAnsi="Times New Roman" w:cs="Times New Roman"/>
        </w:rPr>
        <w:t xml:space="preserve">Los beneficios económicos </w:t>
      </w:r>
      <w:r>
        <w:rPr>
          <w:rFonts w:ascii="Times New Roman" w:hAnsi="Times New Roman" w:cs="Times New Roman"/>
        </w:rPr>
        <w:t>cuantificados</w:t>
      </w:r>
      <w:r w:rsidRPr="001331D8">
        <w:rPr>
          <w:rFonts w:ascii="Times New Roman" w:hAnsi="Times New Roman" w:cs="Times New Roman"/>
        </w:rPr>
        <w:t xml:space="preserve"> en el ACB </w:t>
      </w:r>
      <w:r>
        <w:rPr>
          <w:rFonts w:ascii="Times New Roman" w:hAnsi="Times New Roman" w:cs="Times New Roman"/>
        </w:rPr>
        <w:t xml:space="preserve">han sido </w:t>
      </w:r>
      <w:r w:rsidRPr="001331D8">
        <w:rPr>
          <w:rFonts w:ascii="Times New Roman" w:hAnsi="Times New Roman" w:cs="Times New Roman"/>
        </w:rPr>
        <w:t xml:space="preserve">por una parte la mejora de la productividad agrícola gracias a la disminución y prevención de pérdidas futuras en la producción </w:t>
      </w:r>
      <w:r>
        <w:rPr>
          <w:rFonts w:ascii="Times New Roman" w:hAnsi="Times New Roman" w:cs="Times New Roman"/>
        </w:rPr>
        <w:t xml:space="preserve">agropecuaria </w:t>
      </w:r>
      <w:r w:rsidRPr="001331D8">
        <w:rPr>
          <w:rFonts w:ascii="Times New Roman" w:hAnsi="Times New Roman" w:cs="Times New Roman"/>
        </w:rPr>
        <w:t xml:space="preserve">y, por otra parte, la protección y mejora del acceso de los productos </w:t>
      </w:r>
      <w:r w:rsidR="00187233">
        <w:rPr>
          <w:rFonts w:ascii="Times New Roman" w:hAnsi="Times New Roman" w:cs="Times New Roman"/>
        </w:rPr>
        <w:t>frutícola</w:t>
      </w:r>
      <w:r>
        <w:rPr>
          <w:rFonts w:ascii="Times New Roman" w:hAnsi="Times New Roman" w:cs="Times New Roman"/>
        </w:rPr>
        <w:t>s haitianos a la exportación.</w:t>
      </w:r>
    </w:p>
    <w:p w:rsidR="00B66668" w:rsidRDefault="00B66668" w:rsidP="00B66668">
      <w:pPr>
        <w:pStyle w:val="ListParagraph"/>
        <w:jc w:val="both"/>
        <w:rPr>
          <w:rFonts w:ascii="Times New Roman" w:hAnsi="Times New Roman" w:cs="Times New Roman"/>
        </w:rPr>
      </w:pPr>
    </w:p>
    <w:p w:rsidR="00B66668" w:rsidRDefault="00B66668" w:rsidP="004639E8">
      <w:pPr>
        <w:pStyle w:val="Heading2"/>
        <w:rPr>
          <w:rFonts w:ascii="Times New Roman" w:hAnsi="Times New Roman" w:cs="Times New Roman"/>
          <w:i/>
        </w:rPr>
      </w:pPr>
      <w:bookmarkStart w:id="53" w:name="_Toc386887950"/>
      <w:r w:rsidRPr="004639E8">
        <w:rPr>
          <w:rFonts w:ascii="Times New Roman" w:hAnsi="Times New Roman" w:cs="Times New Roman"/>
          <w:i/>
          <w:color w:val="auto"/>
          <w:sz w:val="22"/>
        </w:rPr>
        <w:t>Beneficios económicos identificados</w:t>
      </w:r>
      <w:bookmarkEnd w:id="53"/>
    </w:p>
    <w:p w:rsidR="0080439D" w:rsidRPr="004639E8" w:rsidRDefault="0080439D" w:rsidP="004639E8"/>
    <w:p w:rsidR="00AF59CE" w:rsidRPr="002738EA" w:rsidRDefault="00AF59CE" w:rsidP="002738EA">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Tal y como se ha señalado anteriormente, los principales beneficios del Programa se pueden agrupar en 3 tipos: (i) </w:t>
      </w:r>
      <w:r w:rsidR="001331D8">
        <w:rPr>
          <w:rFonts w:ascii="Times New Roman" w:hAnsi="Times New Roman" w:cs="Times New Roman"/>
        </w:rPr>
        <w:t xml:space="preserve">mejoras de productividad con la </w:t>
      </w:r>
      <w:r>
        <w:rPr>
          <w:rFonts w:ascii="Times New Roman" w:hAnsi="Times New Roman" w:cs="Times New Roman"/>
        </w:rPr>
        <w:t xml:space="preserve">disminución de las pérdidas de producción agropecuaria, (ii) disminución de los rechazos de productos a la exportación y (iii) mejora de la eficiencia en </w:t>
      </w:r>
      <w:r w:rsidRPr="002738EA">
        <w:rPr>
          <w:rFonts w:ascii="Times New Roman" w:hAnsi="Times New Roman" w:cs="Times New Roman"/>
        </w:rPr>
        <w:t>la gestión institucional, ahorrando costos y recursos innecesarios o redundantes.</w:t>
      </w:r>
    </w:p>
    <w:p w:rsidR="00AF59CE" w:rsidRPr="002738EA" w:rsidRDefault="00AF59CE" w:rsidP="00AF59CE">
      <w:pPr>
        <w:pStyle w:val="ListParagraph"/>
        <w:jc w:val="both"/>
        <w:rPr>
          <w:rFonts w:ascii="Times New Roman" w:hAnsi="Times New Roman" w:cs="Times New Roman"/>
        </w:rPr>
      </w:pPr>
    </w:p>
    <w:p w:rsidR="004D2CB4" w:rsidRPr="004639E8" w:rsidRDefault="00B45229" w:rsidP="004639E8">
      <w:pPr>
        <w:pStyle w:val="Heading2"/>
        <w:rPr>
          <w:rFonts w:ascii="Times New Roman" w:hAnsi="Times New Roman" w:cs="Times New Roman"/>
          <w:b w:val="0"/>
          <w:i/>
        </w:rPr>
      </w:pPr>
      <w:bookmarkStart w:id="54" w:name="_Toc386887951"/>
      <w:r w:rsidRPr="004639E8">
        <w:rPr>
          <w:rFonts w:ascii="Times New Roman" w:hAnsi="Times New Roman" w:cs="Times New Roman"/>
          <w:i/>
          <w:color w:val="auto"/>
          <w:sz w:val="22"/>
        </w:rPr>
        <w:t xml:space="preserve">Evaluación </w:t>
      </w:r>
      <w:r w:rsidR="004D2CB4" w:rsidRPr="004639E8">
        <w:rPr>
          <w:rFonts w:ascii="Times New Roman" w:hAnsi="Times New Roman" w:cs="Times New Roman"/>
          <w:i/>
          <w:color w:val="auto"/>
          <w:sz w:val="22"/>
        </w:rPr>
        <w:t xml:space="preserve">de los beneficios económicos </w:t>
      </w:r>
      <w:r w:rsidRPr="004639E8">
        <w:rPr>
          <w:rFonts w:ascii="Times New Roman" w:hAnsi="Times New Roman" w:cs="Times New Roman"/>
          <w:i/>
          <w:color w:val="auto"/>
          <w:sz w:val="22"/>
        </w:rPr>
        <w:t>cuantificados</w:t>
      </w:r>
      <w:bookmarkEnd w:id="54"/>
    </w:p>
    <w:p w:rsidR="00865187" w:rsidRDefault="00865187" w:rsidP="00E3574C">
      <w:pPr>
        <w:spacing w:before="120"/>
        <w:rPr>
          <w:rFonts w:ascii="Times New Roman" w:hAnsi="Times New Roman" w:cs="Times New Roman"/>
        </w:rPr>
      </w:pPr>
    </w:p>
    <w:p w:rsidR="002A6EE5" w:rsidRPr="00A6124D" w:rsidRDefault="002A6EE5" w:rsidP="00865187">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Al final del presente documento se ajunta el Anexo II de Libro de Hipótesis del ACB, donde se detalla las hipótesis contempladas así como las fuentes de información </w:t>
      </w:r>
      <w:r w:rsidR="001E2260">
        <w:rPr>
          <w:rFonts w:ascii="Times New Roman" w:hAnsi="Times New Roman" w:cs="Times New Roman"/>
        </w:rPr>
        <w:t xml:space="preserve">y documentación </w:t>
      </w:r>
      <w:r>
        <w:rPr>
          <w:rFonts w:ascii="Times New Roman" w:hAnsi="Times New Roman" w:cs="Times New Roman"/>
        </w:rPr>
        <w:t>utilizadas en la determinación de las mismas.</w:t>
      </w:r>
    </w:p>
    <w:p w:rsidR="002A6EE5" w:rsidRPr="00A6124D" w:rsidRDefault="002A6EE5" w:rsidP="00A6124D">
      <w:pPr>
        <w:pStyle w:val="ListParagraph"/>
        <w:jc w:val="both"/>
        <w:rPr>
          <w:rFonts w:ascii="Times New Roman" w:hAnsi="Times New Roman" w:cs="Times New Roman"/>
          <w:i/>
        </w:rPr>
      </w:pPr>
    </w:p>
    <w:p w:rsidR="001F346E" w:rsidRPr="001F346E" w:rsidRDefault="001F346E" w:rsidP="00865187">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Para la estimación de todos los beneficios del ACB, se ha considerado un ritmo </w:t>
      </w:r>
      <w:r w:rsidR="00187233">
        <w:rPr>
          <w:rFonts w:ascii="Times New Roman" w:hAnsi="Times New Roman" w:cs="Times New Roman"/>
        </w:rPr>
        <w:t xml:space="preserve">progresivo </w:t>
      </w:r>
      <w:r>
        <w:rPr>
          <w:rFonts w:ascii="Times New Roman" w:hAnsi="Times New Roman" w:cs="Times New Roman"/>
        </w:rPr>
        <w:t>de consecución de los objetivos de disminución</w:t>
      </w:r>
      <w:r w:rsidR="00187233">
        <w:rPr>
          <w:rFonts w:ascii="Times New Roman" w:hAnsi="Times New Roman" w:cs="Times New Roman"/>
        </w:rPr>
        <w:t>,</w:t>
      </w:r>
      <w:r>
        <w:rPr>
          <w:rFonts w:ascii="Times New Roman" w:hAnsi="Times New Roman" w:cs="Times New Roman"/>
        </w:rPr>
        <w:t xml:space="preserve"> </w:t>
      </w:r>
      <w:r w:rsidR="00F82572">
        <w:rPr>
          <w:rFonts w:ascii="Times New Roman" w:hAnsi="Times New Roman" w:cs="Times New Roman"/>
        </w:rPr>
        <w:t xml:space="preserve">tanto </w:t>
      </w:r>
      <w:r>
        <w:rPr>
          <w:rFonts w:ascii="Times New Roman" w:hAnsi="Times New Roman" w:cs="Times New Roman"/>
        </w:rPr>
        <w:t xml:space="preserve">de </w:t>
      </w:r>
      <w:r w:rsidR="00F82572">
        <w:rPr>
          <w:rFonts w:ascii="Times New Roman" w:hAnsi="Times New Roman" w:cs="Times New Roman"/>
        </w:rPr>
        <w:t xml:space="preserve">las </w:t>
      </w:r>
      <w:r>
        <w:rPr>
          <w:rFonts w:ascii="Times New Roman" w:hAnsi="Times New Roman" w:cs="Times New Roman"/>
        </w:rPr>
        <w:t xml:space="preserve">pérdidas </w:t>
      </w:r>
      <w:r w:rsidR="00187233">
        <w:rPr>
          <w:rFonts w:ascii="Times New Roman" w:hAnsi="Times New Roman" w:cs="Times New Roman"/>
        </w:rPr>
        <w:t xml:space="preserve">de producción </w:t>
      </w:r>
      <w:r w:rsidR="00F82572">
        <w:rPr>
          <w:rFonts w:ascii="Times New Roman" w:hAnsi="Times New Roman" w:cs="Times New Roman"/>
        </w:rPr>
        <w:t xml:space="preserve">como de los </w:t>
      </w:r>
      <w:r w:rsidR="00004110">
        <w:rPr>
          <w:rFonts w:ascii="Times New Roman" w:hAnsi="Times New Roman" w:cs="Times New Roman"/>
        </w:rPr>
        <w:t xml:space="preserve">rechazos para la exportación, </w:t>
      </w:r>
      <w:r w:rsidR="00F82572">
        <w:rPr>
          <w:rFonts w:ascii="Times New Roman" w:hAnsi="Times New Roman" w:cs="Times New Roman"/>
        </w:rPr>
        <w:t xml:space="preserve">de acuerdo con </w:t>
      </w:r>
      <w:r w:rsidR="00E55A24">
        <w:rPr>
          <w:rFonts w:ascii="Times New Roman" w:hAnsi="Times New Roman" w:cs="Times New Roman"/>
        </w:rPr>
        <w:t>el grado de avance en la</w:t>
      </w:r>
      <w:r w:rsidR="00F82572">
        <w:rPr>
          <w:rFonts w:ascii="Times New Roman" w:hAnsi="Times New Roman" w:cs="Times New Roman"/>
        </w:rPr>
        <w:t xml:space="preserve"> ejecución del Programa, </w:t>
      </w:r>
      <w:r>
        <w:rPr>
          <w:rFonts w:ascii="Times New Roman" w:hAnsi="Times New Roman" w:cs="Times New Roman"/>
        </w:rPr>
        <w:t>tal y como muestra el cuadro a continuación.</w:t>
      </w:r>
    </w:p>
    <w:p w:rsidR="00187233" w:rsidRDefault="00187233" w:rsidP="001F346E">
      <w:pPr>
        <w:pStyle w:val="ListParagraph"/>
        <w:rPr>
          <w:rFonts w:ascii="Times New Roman" w:hAnsi="Times New Roman" w:cs="Times New Roman"/>
          <w:i/>
        </w:rPr>
      </w:pPr>
    </w:p>
    <w:p w:rsidR="001F346E" w:rsidRDefault="001F346E" w:rsidP="001F346E">
      <w:pPr>
        <w:pStyle w:val="ListParagraph"/>
        <w:jc w:val="center"/>
        <w:rPr>
          <w:rFonts w:ascii="Times New Roman" w:eastAsia="Times New Roman" w:hAnsi="Times New Roman" w:cs="Times New Roman"/>
          <w:b/>
          <w:bCs/>
          <w:sz w:val="20"/>
          <w:szCs w:val="20"/>
          <w:lang w:eastAsia="es-ES_tradnl"/>
        </w:rPr>
      </w:pPr>
      <w:r w:rsidRPr="00DF5711">
        <w:rPr>
          <w:rFonts w:ascii="Times New Roman" w:eastAsia="Times New Roman" w:hAnsi="Times New Roman" w:cs="Times New Roman"/>
          <w:b/>
          <w:bCs/>
          <w:sz w:val="20"/>
          <w:szCs w:val="20"/>
          <w:lang w:eastAsia="es-ES_tradnl"/>
        </w:rPr>
        <w:t xml:space="preserve">Cuadro </w:t>
      </w:r>
      <w:r w:rsidRPr="00DF5711">
        <w:rPr>
          <w:rFonts w:ascii="Times New Roman" w:eastAsia="Times New Roman" w:hAnsi="Times New Roman" w:cs="Times New Roman"/>
          <w:b/>
          <w:bCs/>
          <w:sz w:val="20"/>
          <w:szCs w:val="20"/>
          <w:lang w:eastAsia="es-ES_tradnl"/>
        </w:rPr>
        <w:fldChar w:fldCharType="begin"/>
      </w:r>
      <w:r w:rsidRPr="00DF5711">
        <w:rPr>
          <w:rFonts w:ascii="Times New Roman" w:eastAsia="Times New Roman" w:hAnsi="Times New Roman" w:cs="Times New Roman"/>
          <w:b/>
          <w:bCs/>
          <w:sz w:val="20"/>
          <w:szCs w:val="20"/>
          <w:lang w:eastAsia="es-ES_tradnl"/>
        </w:rPr>
        <w:instrText xml:space="preserve"> SEQ Tableau \* ARABIC </w:instrText>
      </w:r>
      <w:r w:rsidRPr="00DF5711">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w:t>
      </w:r>
      <w:r w:rsidRPr="00DF5711">
        <w:rPr>
          <w:rFonts w:ascii="Times New Roman" w:eastAsia="Times New Roman" w:hAnsi="Times New Roman" w:cs="Times New Roman"/>
          <w:b/>
          <w:bCs/>
          <w:sz w:val="20"/>
          <w:szCs w:val="20"/>
          <w:lang w:eastAsia="es-ES_tradnl"/>
        </w:rPr>
        <w:fldChar w:fldCharType="end"/>
      </w:r>
      <w:r>
        <w:rPr>
          <w:rFonts w:ascii="Times New Roman" w:eastAsia="Times New Roman" w:hAnsi="Times New Roman" w:cs="Times New Roman"/>
          <w:b/>
          <w:bCs/>
          <w:sz w:val="20"/>
          <w:szCs w:val="20"/>
          <w:lang w:eastAsia="es-ES_tradnl"/>
        </w:rPr>
        <w:t xml:space="preserve">. </w:t>
      </w:r>
      <w:r w:rsidR="00004110">
        <w:rPr>
          <w:rFonts w:ascii="Times New Roman" w:eastAsia="Times New Roman" w:hAnsi="Times New Roman" w:cs="Times New Roman"/>
          <w:b/>
          <w:bCs/>
          <w:sz w:val="20"/>
          <w:szCs w:val="20"/>
          <w:lang w:eastAsia="es-ES_tradnl"/>
        </w:rPr>
        <w:t>Ritmo de Consecución de Objetivos</w:t>
      </w:r>
    </w:p>
    <w:p w:rsidR="00FD259D" w:rsidRPr="001F346E" w:rsidRDefault="00FD259D" w:rsidP="001F346E">
      <w:pPr>
        <w:pStyle w:val="ListParagraph"/>
        <w:jc w:val="center"/>
        <w:rPr>
          <w:rFonts w:ascii="Times New Roman" w:hAnsi="Times New Roman" w:cs="Times New Roman"/>
          <w:i/>
        </w:rPr>
      </w:pPr>
      <w:r w:rsidRPr="00FD259D">
        <w:rPr>
          <w:noProof/>
          <w:lang w:val="en-US"/>
        </w:rPr>
        <w:drawing>
          <wp:inline distT="0" distB="0" distL="0" distR="0" wp14:anchorId="5DCA0F98" wp14:editId="2BC52A63">
            <wp:extent cx="5176299" cy="1178693"/>
            <wp:effectExtent l="0" t="0" r="5715"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4924" cy="1178380"/>
                    </a:xfrm>
                    <a:prstGeom prst="rect">
                      <a:avLst/>
                    </a:prstGeom>
                    <a:noFill/>
                    <a:ln>
                      <a:noFill/>
                    </a:ln>
                  </pic:spPr>
                </pic:pic>
              </a:graphicData>
            </a:graphic>
          </wp:inline>
        </w:drawing>
      </w:r>
    </w:p>
    <w:p w:rsidR="002A6EE5" w:rsidRPr="00AE3AF3" w:rsidRDefault="002A6EE5" w:rsidP="00A6124D">
      <w:pPr>
        <w:pStyle w:val="ListParagraph"/>
        <w:jc w:val="both"/>
        <w:rPr>
          <w:rFonts w:ascii="Times New Roman" w:hAnsi="Times New Roman" w:cs="Times New Roman"/>
          <w:i/>
        </w:rPr>
      </w:pPr>
    </w:p>
    <w:p w:rsidR="00F40F63" w:rsidRPr="001F346E" w:rsidRDefault="00F40F63" w:rsidP="00F40F63">
      <w:pPr>
        <w:pStyle w:val="ListParagraph"/>
        <w:numPr>
          <w:ilvl w:val="1"/>
          <w:numId w:val="30"/>
        </w:numPr>
        <w:ind w:hanging="578"/>
        <w:jc w:val="both"/>
        <w:rPr>
          <w:rFonts w:ascii="Times New Roman" w:hAnsi="Times New Roman" w:cs="Times New Roman"/>
          <w:i/>
        </w:rPr>
      </w:pPr>
      <w:r>
        <w:rPr>
          <w:rFonts w:ascii="Times New Roman" w:hAnsi="Times New Roman" w:cs="Times New Roman"/>
        </w:rPr>
        <w:t>A continuación se describen las hipótesis específicas contempladas en la estimación de cada uno de los beneficios económicos cuantificados, así como los resultados obtenidos.</w:t>
      </w:r>
    </w:p>
    <w:p w:rsidR="00F40F63" w:rsidRPr="001F346E" w:rsidRDefault="00F40F63" w:rsidP="001F346E">
      <w:pPr>
        <w:jc w:val="both"/>
        <w:rPr>
          <w:rFonts w:ascii="Times New Roman" w:hAnsi="Times New Roman" w:cs="Times New Roman"/>
          <w:i/>
        </w:rPr>
      </w:pPr>
    </w:p>
    <w:p w:rsidR="00E3574C" w:rsidRPr="00E01B1E" w:rsidRDefault="00E3574C" w:rsidP="00E3574C">
      <w:pPr>
        <w:spacing w:before="120"/>
        <w:rPr>
          <w:rFonts w:ascii="Times New Roman" w:hAnsi="Times New Roman" w:cs="Times New Roman"/>
          <w:i/>
        </w:rPr>
      </w:pPr>
      <w:r>
        <w:rPr>
          <w:rFonts w:ascii="Times New Roman" w:hAnsi="Times New Roman" w:cs="Times New Roman"/>
          <w:i/>
        </w:rPr>
        <w:lastRenderedPageBreak/>
        <w:t>Disminución de pérdidas en la producción porcina provocadas por la PPC y el Teschen</w:t>
      </w:r>
    </w:p>
    <w:p w:rsidR="00E3574C" w:rsidRDefault="00E3574C" w:rsidP="00E3574C">
      <w:pPr>
        <w:spacing w:before="120"/>
        <w:rPr>
          <w:rFonts w:ascii="Times New Roman" w:hAnsi="Times New Roman" w:cs="Times New Roman"/>
          <w:i/>
        </w:rPr>
      </w:pPr>
    </w:p>
    <w:p w:rsidR="00220BA4" w:rsidRPr="004639E8" w:rsidRDefault="00220BA4" w:rsidP="0025281D">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Tanto la PPC </w:t>
      </w:r>
      <w:r w:rsidR="00073365">
        <w:rPr>
          <w:rFonts w:ascii="Times New Roman" w:hAnsi="Times New Roman" w:cs="Times New Roman"/>
        </w:rPr>
        <w:t>como</w:t>
      </w:r>
      <w:r>
        <w:rPr>
          <w:rFonts w:ascii="Times New Roman" w:hAnsi="Times New Roman" w:cs="Times New Roman"/>
        </w:rPr>
        <w:t xml:space="preserve"> el Teschen son enfermedades que afectan al ganado porcino y que son contagiosas</w:t>
      </w:r>
      <w:r w:rsidR="00073365">
        <w:rPr>
          <w:rFonts w:ascii="Times New Roman" w:hAnsi="Times New Roman" w:cs="Times New Roman"/>
        </w:rPr>
        <w:t>,</w:t>
      </w:r>
      <w:r>
        <w:rPr>
          <w:rFonts w:ascii="Times New Roman" w:hAnsi="Times New Roman" w:cs="Times New Roman"/>
        </w:rPr>
        <w:t xml:space="preserve"> y por tanto tienden a expandirse si no se </w:t>
      </w:r>
      <w:r w:rsidR="00073365">
        <w:rPr>
          <w:rFonts w:ascii="Times New Roman" w:hAnsi="Times New Roman" w:cs="Times New Roman"/>
        </w:rPr>
        <w:t xml:space="preserve">controlan y </w:t>
      </w:r>
      <w:r>
        <w:rPr>
          <w:rFonts w:ascii="Times New Roman" w:hAnsi="Times New Roman" w:cs="Times New Roman"/>
        </w:rPr>
        <w:t>combaten. La co-circulación de ambos virus en Haití</w:t>
      </w:r>
      <w:r w:rsidR="007C1C3A">
        <w:rPr>
          <w:rFonts w:ascii="Times New Roman" w:hAnsi="Times New Roman" w:cs="Times New Roman"/>
        </w:rPr>
        <w:t xml:space="preserve"> provocan efectos muy negativos que se retroalimentan</w:t>
      </w:r>
      <w:r w:rsidR="00187233">
        <w:rPr>
          <w:rFonts w:ascii="Times New Roman" w:hAnsi="Times New Roman" w:cs="Times New Roman"/>
        </w:rPr>
        <w:t xml:space="preserve"> entre sí</w:t>
      </w:r>
      <w:r w:rsidR="007C1C3A">
        <w:rPr>
          <w:rFonts w:ascii="Times New Roman" w:hAnsi="Times New Roman" w:cs="Times New Roman"/>
        </w:rPr>
        <w:t xml:space="preserve">: (i) por una parte, los cerdos con el virus de la PPC son más propensos a contraer el Teschen debido a un </w:t>
      </w:r>
      <w:r w:rsidR="00187233">
        <w:rPr>
          <w:rFonts w:ascii="Times New Roman" w:hAnsi="Times New Roman" w:cs="Times New Roman"/>
        </w:rPr>
        <w:t xml:space="preserve">debilitamiento de su </w:t>
      </w:r>
      <w:r w:rsidR="007C1C3A">
        <w:rPr>
          <w:rFonts w:ascii="Times New Roman" w:hAnsi="Times New Roman" w:cs="Times New Roman"/>
        </w:rPr>
        <w:t>sistema inmun</w:t>
      </w:r>
      <w:r w:rsidR="00073365">
        <w:rPr>
          <w:rFonts w:ascii="Times New Roman" w:hAnsi="Times New Roman" w:cs="Times New Roman"/>
        </w:rPr>
        <w:t>ológico</w:t>
      </w:r>
      <w:r w:rsidR="007C1C3A">
        <w:rPr>
          <w:rFonts w:ascii="Times New Roman" w:hAnsi="Times New Roman" w:cs="Times New Roman"/>
        </w:rPr>
        <w:t xml:space="preserve">; (ii) por otra parte, </w:t>
      </w:r>
      <w:r w:rsidR="00B65777">
        <w:rPr>
          <w:rFonts w:ascii="Times New Roman" w:hAnsi="Times New Roman" w:cs="Times New Roman"/>
        </w:rPr>
        <w:t xml:space="preserve">el Teschen hace complicada </w:t>
      </w:r>
      <w:r w:rsidR="007C1C3A">
        <w:rPr>
          <w:rFonts w:ascii="Times New Roman" w:hAnsi="Times New Roman" w:cs="Times New Roman"/>
        </w:rPr>
        <w:t xml:space="preserve">la sensibilización para la </w:t>
      </w:r>
      <w:r w:rsidR="00B65777">
        <w:rPr>
          <w:rFonts w:ascii="Times New Roman" w:hAnsi="Times New Roman" w:cs="Times New Roman"/>
        </w:rPr>
        <w:t xml:space="preserve">vacunación de la PPC, </w:t>
      </w:r>
      <w:r w:rsidR="007C1C3A">
        <w:rPr>
          <w:rFonts w:ascii="Times New Roman" w:hAnsi="Times New Roman" w:cs="Times New Roman"/>
        </w:rPr>
        <w:t>dado que los ganaderos piensan que la</w:t>
      </w:r>
      <w:r w:rsidR="00B65777">
        <w:rPr>
          <w:rFonts w:ascii="Times New Roman" w:hAnsi="Times New Roman" w:cs="Times New Roman"/>
        </w:rPr>
        <w:t xml:space="preserve"> vacuna de la PPC no funciona o </w:t>
      </w:r>
      <w:r w:rsidR="007C1C3A">
        <w:rPr>
          <w:rFonts w:ascii="Times New Roman" w:hAnsi="Times New Roman" w:cs="Times New Roman"/>
        </w:rPr>
        <w:t>incluso es la causante de la muerte de</w:t>
      </w:r>
      <w:r w:rsidR="005821E4">
        <w:rPr>
          <w:rFonts w:ascii="Times New Roman" w:hAnsi="Times New Roman" w:cs="Times New Roman"/>
        </w:rPr>
        <w:t xml:space="preserve"> su</w:t>
      </w:r>
      <w:r w:rsidR="007C1C3A">
        <w:rPr>
          <w:rFonts w:ascii="Times New Roman" w:hAnsi="Times New Roman" w:cs="Times New Roman"/>
        </w:rPr>
        <w:t>s cerdos, cuando en realidad</w:t>
      </w:r>
      <w:r w:rsidR="00187233">
        <w:rPr>
          <w:rFonts w:ascii="Times New Roman" w:hAnsi="Times New Roman" w:cs="Times New Roman"/>
        </w:rPr>
        <w:t xml:space="preserve"> esta </w:t>
      </w:r>
      <w:r w:rsidR="00403219">
        <w:rPr>
          <w:rFonts w:ascii="Times New Roman" w:hAnsi="Times New Roman" w:cs="Times New Roman"/>
        </w:rPr>
        <w:t xml:space="preserve">se </w:t>
      </w:r>
      <w:r w:rsidR="00187233">
        <w:rPr>
          <w:rFonts w:ascii="Times New Roman" w:hAnsi="Times New Roman" w:cs="Times New Roman"/>
        </w:rPr>
        <w:t xml:space="preserve">debió </w:t>
      </w:r>
      <w:r w:rsidR="00403219">
        <w:rPr>
          <w:rFonts w:ascii="Times New Roman" w:hAnsi="Times New Roman" w:cs="Times New Roman"/>
        </w:rPr>
        <w:t>a</w:t>
      </w:r>
      <w:r w:rsidR="007C1C3A">
        <w:rPr>
          <w:rFonts w:ascii="Times New Roman" w:hAnsi="Times New Roman" w:cs="Times New Roman"/>
        </w:rPr>
        <w:t>l Teschen.</w:t>
      </w:r>
    </w:p>
    <w:p w:rsidR="00220BA4" w:rsidRPr="004639E8" w:rsidRDefault="00220BA4" w:rsidP="004639E8">
      <w:pPr>
        <w:pStyle w:val="ListParagraph"/>
        <w:jc w:val="both"/>
        <w:rPr>
          <w:rFonts w:ascii="Times New Roman" w:hAnsi="Times New Roman" w:cs="Times New Roman"/>
          <w:i/>
        </w:rPr>
      </w:pPr>
    </w:p>
    <w:p w:rsidR="0087741B" w:rsidRPr="004639E8" w:rsidRDefault="0087741B" w:rsidP="0025281D">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Cabe señalar que, como referencia de </w:t>
      </w:r>
      <w:r w:rsidR="00187233">
        <w:rPr>
          <w:rFonts w:ascii="Times New Roman" w:hAnsi="Times New Roman" w:cs="Times New Roman"/>
        </w:rPr>
        <w:t xml:space="preserve">la potencialidad de </w:t>
      </w:r>
      <w:r>
        <w:rPr>
          <w:rFonts w:ascii="Times New Roman" w:hAnsi="Times New Roman" w:cs="Times New Roman"/>
        </w:rPr>
        <w:t xml:space="preserve">las pérdidas </w:t>
      </w:r>
      <w:r w:rsidR="00187233">
        <w:rPr>
          <w:rFonts w:ascii="Times New Roman" w:hAnsi="Times New Roman" w:cs="Times New Roman"/>
        </w:rPr>
        <w:t xml:space="preserve">causadas por </w:t>
      </w:r>
      <w:r>
        <w:rPr>
          <w:rFonts w:ascii="Times New Roman" w:hAnsi="Times New Roman" w:cs="Times New Roman"/>
        </w:rPr>
        <w:t>la PPC en la producción porcina, una epidemia surgida durante el periodo 1997-1998</w:t>
      </w:r>
      <w:r w:rsidR="00073365">
        <w:rPr>
          <w:rFonts w:ascii="Times New Roman" w:hAnsi="Times New Roman" w:cs="Times New Roman"/>
        </w:rPr>
        <w:t>,</w:t>
      </w:r>
      <w:r w:rsidR="00187233">
        <w:rPr>
          <w:rFonts w:ascii="Times New Roman" w:hAnsi="Times New Roman" w:cs="Times New Roman"/>
        </w:rPr>
        <w:t xml:space="preserve"> que fue mal gestionada por parte de las autoridades, </w:t>
      </w:r>
      <w:r>
        <w:rPr>
          <w:rFonts w:ascii="Times New Roman" w:hAnsi="Times New Roman" w:cs="Times New Roman"/>
        </w:rPr>
        <w:t>provocó unos daños estimados en 8 millones de USD.</w:t>
      </w:r>
    </w:p>
    <w:p w:rsidR="0087741B" w:rsidRPr="004639E8" w:rsidRDefault="0087741B" w:rsidP="004639E8">
      <w:pPr>
        <w:pStyle w:val="ListParagraph"/>
        <w:jc w:val="both"/>
        <w:rPr>
          <w:rFonts w:ascii="Times New Roman" w:hAnsi="Times New Roman" w:cs="Times New Roman"/>
          <w:i/>
        </w:rPr>
      </w:pPr>
    </w:p>
    <w:p w:rsidR="0025281D" w:rsidRPr="00DF5711" w:rsidRDefault="0087741B" w:rsidP="0025281D">
      <w:pPr>
        <w:pStyle w:val="ListParagraph"/>
        <w:numPr>
          <w:ilvl w:val="1"/>
          <w:numId w:val="30"/>
        </w:numPr>
        <w:ind w:hanging="578"/>
        <w:jc w:val="both"/>
        <w:rPr>
          <w:rFonts w:ascii="Times New Roman" w:hAnsi="Times New Roman" w:cs="Times New Roman"/>
          <w:i/>
        </w:rPr>
      </w:pPr>
      <w:r>
        <w:rPr>
          <w:rFonts w:ascii="Times New Roman" w:hAnsi="Times New Roman" w:cs="Times New Roman"/>
        </w:rPr>
        <w:t>No obstante</w:t>
      </w:r>
      <w:r w:rsidR="00710216">
        <w:rPr>
          <w:rFonts w:ascii="Times New Roman" w:hAnsi="Times New Roman" w:cs="Times New Roman"/>
        </w:rPr>
        <w:t xml:space="preserve"> lo anterior, y como supuesto conservador para los objetivos de la evaluación</w:t>
      </w:r>
      <w:r>
        <w:rPr>
          <w:rFonts w:ascii="Times New Roman" w:hAnsi="Times New Roman" w:cs="Times New Roman"/>
        </w:rPr>
        <w:t xml:space="preserve">, </w:t>
      </w:r>
      <w:r w:rsidR="006542FB">
        <w:rPr>
          <w:rFonts w:ascii="Times New Roman" w:hAnsi="Times New Roman" w:cs="Times New Roman"/>
        </w:rPr>
        <w:t>en</w:t>
      </w:r>
      <w:r w:rsidR="00DF5711">
        <w:rPr>
          <w:rFonts w:ascii="Times New Roman" w:hAnsi="Times New Roman" w:cs="Times New Roman"/>
        </w:rPr>
        <w:t xml:space="preserve"> la cuantificación de las pérdidas en la producción porcina se ha</w:t>
      </w:r>
      <w:r w:rsidR="00710216">
        <w:rPr>
          <w:rFonts w:ascii="Times New Roman" w:hAnsi="Times New Roman" w:cs="Times New Roman"/>
        </w:rPr>
        <w:t>n</w:t>
      </w:r>
      <w:r w:rsidR="00DF5711">
        <w:rPr>
          <w:rFonts w:ascii="Times New Roman" w:hAnsi="Times New Roman" w:cs="Times New Roman"/>
        </w:rPr>
        <w:t xml:space="preserve"> </w:t>
      </w:r>
      <w:r>
        <w:rPr>
          <w:rFonts w:ascii="Times New Roman" w:hAnsi="Times New Roman" w:cs="Times New Roman"/>
        </w:rPr>
        <w:t xml:space="preserve">considerado las tasas de morbilidad (prevalencia) y mortalidad actuales, con respecto al </w:t>
      </w:r>
      <w:r w:rsidR="00DF5711">
        <w:rPr>
          <w:rFonts w:ascii="Times New Roman" w:hAnsi="Times New Roman" w:cs="Times New Roman"/>
        </w:rPr>
        <w:t>valor total de la producción en Haití</w:t>
      </w:r>
      <w:r w:rsidR="006542FB">
        <w:rPr>
          <w:rFonts w:ascii="Times New Roman" w:hAnsi="Times New Roman" w:cs="Times New Roman"/>
        </w:rPr>
        <w:t xml:space="preserve"> para obtener las pérdidas en la producción</w:t>
      </w:r>
      <w:r w:rsidR="00073365">
        <w:rPr>
          <w:rFonts w:ascii="Times New Roman" w:hAnsi="Times New Roman" w:cs="Times New Roman"/>
        </w:rPr>
        <w:t xml:space="preserve"> actuales</w:t>
      </w:r>
      <w:r w:rsidR="00DF5711">
        <w:rPr>
          <w:rFonts w:ascii="Times New Roman" w:hAnsi="Times New Roman" w:cs="Times New Roman"/>
        </w:rPr>
        <w:t>. El cuadro a continuación expone el detalle de</w:t>
      </w:r>
      <w:r w:rsidR="00187233">
        <w:rPr>
          <w:rFonts w:ascii="Times New Roman" w:hAnsi="Times New Roman" w:cs="Times New Roman"/>
        </w:rPr>
        <w:t>l cálculo del</w:t>
      </w:r>
      <w:r w:rsidR="00DF5711">
        <w:rPr>
          <w:rFonts w:ascii="Times New Roman" w:hAnsi="Times New Roman" w:cs="Times New Roman"/>
        </w:rPr>
        <w:t xml:space="preserve"> </w:t>
      </w:r>
      <w:r w:rsidR="00073365">
        <w:rPr>
          <w:rFonts w:ascii="Times New Roman" w:hAnsi="Times New Roman" w:cs="Times New Roman"/>
        </w:rPr>
        <w:t>valor</w:t>
      </w:r>
      <w:r w:rsidR="00DF5711">
        <w:rPr>
          <w:rFonts w:ascii="Times New Roman" w:hAnsi="Times New Roman" w:cs="Times New Roman"/>
        </w:rPr>
        <w:t xml:space="preserve"> de la producción</w:t>
      </w:r>
      <w:r w:rsidR="00A81346">
        <w:rPr>
          <w:rFonts w:ascii="Times New Roman" w:hAnsi="Times New Roman" w:cs="Times New Roman"/>
        </w:rPr>
        <w:t>, utilizando los p</w:t>
      </w:r>
      <w:r w:rsidR="006542FB">
        <w:rPr>
          <w:rFonts w:ascii="Times New Roman" w:hAnsi="Times New Roman" w:cs="Times New Roman"/>
        </w:rPr>
        <w:t xml:space="preserve">recios pagados al productor en </w:t>
      </w:r>
      <w:r w:rsidR="00A81346">
        <w:rPr>
          <w:rFonts w:ascii="Times New Roman" w:hAnsi="Times New Roman" w:cs="Times New Roman"/>
        </w:rPr>
        <w:t>finca o granja.</w:t>
      </w:r>
    </w:p>
    <w:p w:rsidR="00DF5711" w:rsidRDefault="00DF5711" w:rsidP="00DF5711">
      <w:pPr>
        <w:jc w:val="both"/>
        <w:rPr>
          <w:rFonts w:ascii="Times New Roman" w:hAnsi="Times New Roman" w:cs="Times New Roman"/>
          <w:i/>
        </w:rPr>
      </w:pPr>
    </w:p>
    <w:p w:rsidR="00DF5711" w:rsidRDefault="001E2260" w:rsidP="00DF5711">
      <w:pPr>
        <w:jc w:val="center"/>
        <w:rPr>
          <w:rFonts w:ascii="Times New Roman" w:eastAsia="Times New Roman" w:hAnsi="Times New Roman" w:cs="Times New Roman"/>
          <w:b/>
          <w:bCs/>
          <w:sz w:val="20"/>
          <w:szCs w:val="20"/>
          <w:lang w:eastAsia="es-ES_tradnl"/>
        </w:rPr>
      </w:pPr>
      <w:r w:rsidRPr="001E2260">
        <w:rPr>
          <w:noProof/>
          <w:lang w:val="en-US"/>
        </w:rPr>
        <w:drawing>
          <wp:anchor distT="0" distB="0" distL="114300" distR="114300" simplePos="0" relativeHeight="251695104" behindDoc="0" locked="0" layoutInCell="1" allowOverlap="1" wp14:anchorId="45F7EE95" wp14:editId="5388A311">
            <wp:simplePos x="0" y="0"/>
            <wp:positionH relativeFrom="column">
              <wp:posOffset>561340</wp:posOffset>
            </wp:positionH>
            <wp:positionV relativeFrom="paragraph">
              <wp:posOffset>173990</wp:posOffset>
            </wp:positionV>
            <wp:extent cx="4974590" cy="1638300"/>
            <wp:effectExtent l="0" t="0" r="0" b="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459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711" w:rsidRPr="00DF5711">
        <w:rPr>
          <w:rFonts w:ascii="Times New Roman" w:eastAsia="Times New Roman" w:hAnsi="Times New Roman" w:cs="Times New Roman"/>
          <w:b/>
          <w:bCs/>
          <w:sz w:val="20"/>
          <w:szCs w:val="20"/>
          <w:lang w:eastAsia="es-ES_tradnl"/>
        </w:rPr>
        <w:t xml:space="preserve">Cuadro </w:t>
      </w:r>
      <w:r w:rsidR="00DF5711" w:rsidRPr="00DF5711">
        <w:rPr>
          <w:rFonts w:ascii="Times New Roman" w:eastAsia="Times New Roman" w:hAnsi="Times New Roman" w:cs="Times New Roman"/>
          <w:b/>
          <w:bCs/>
          <w:sz w:val="20"/>
          <w:szCs w:val="20"/>
          <w:lang w:eastAsia="es-ES_tradnl"/>
        </w:rPr>
        <w:fldChar w:fldCharType="begin"/>
      </w:r>
      <w:r w:rsidR="00DF5711" w:rsidRPr="00DF5711">
        <w:rPr>
          <w:rFonts w:ascii="Times New Roman" w:eastAsia="Times New Roman" w:hAnsi="Times New Roman" w:cs="Times New Roman"/>
          <w:b/>
          <w:bCs/>
          <w:sz w:val="20"/>
          <w:szCs w:val="20"/>
          <w:lang w:eastAsia="es-ES_tradnl"/>
        </w:rPr>
        <w:instrText xml:space="preserve"> SEQ Tableau \* ARABIC </w:instrText>
      </w:r>
      <w:r w:rsidR="00DF5711" w:rsidRPr="00DF5711">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2</w:t>
      </w:r>
      <w:r w:rsidR="00DF5711" w:rsidRPr="00DF5711">
        <w:rPr>
          <w:rFonts w:ascii="Times New Roman" w:eastAsia="Times New Roman" w:hAnsi="Times New Roman" w:cs="Times New Roman"/>
          <w:b/>
          <w:bCs/>
          <w:sz w:val="20"/>
          <w:szCs w:val="20"/>
          <w:lang w:eastAsia="es-ES_tradnl"/>
        </w:rPr>
        <w:fldChar w:fldCharType="end"/>
      </w:r>
      <w:r w:rsidR="00DF5711">
        <w:rPr>
          <w:rFonts w:ascii="Times New Roman" w:eastAsia="Times New Roman" w:hAnsi="Times New Roman" w:cs="Times New Roman"/>
          <w:b/>
          <w:bCs/>
          <w:sz w:val="20"/>
          <w:szCs w:val="20"/>
          <w:lang w:eastAsia="es-ES_tradnl"/>
        </w:rPr>
        <w:t xml:space="preserve">. Valor de la </w:t>
      </w:r>
      <w:r w:rsidR="00004110">
        <w:rPr>
          <w:rFonts w:ascii="Times New Roman" w:eastAsia="Times New Roman" w:hAnsi="Times New Roman" w:cs="Times New Roman"/>
          <w:b/>
          <w:bCs/>
          <w:sz w:val="20"/>
          <w:szCs w:val="20"/>
          <w:lang w:eastAsia="es-ES_tradnl"/>
        </w:rPr>
        <w:t>P</w:t>
      </w:r>
      <w:r w:rsidR="00DF5711">
        <w:rPr>
          <w:rFonts w:ascii="Times New Roman" w:eastAsia="Times New Roman" w:hAnsi="Times New Roman" w:cs="Times New Roman"/>
          <w:b/>
          <w:bCs/>
          <w:sz w:val="20"/>
          <w:szCs w:val="20"/>
          <w:lang w:eastAsia="es-ES_tradnl"/>
        </w:rPr>
        <w:t xml:space="preserve">roducción </w:t>
      </w:r>
      <w:r w:rsidR="00004110">
        <w:rPr>
          <w:rFonts w:ascii="Times New Roman" w:eastAsia="Times New Roman" w:hAnsi="Times New Roman" w:cs="Times New Roman"/>
          <w:b/>
          <w:bCs/>
          <w:sz w:val="20"/>
          <w:szCs w:val="20"/>
          <w:lang w:eastAsia="es-ES_tradnl"/>
        </w:rPr>
        <w:t>P</w:t>
      </w:r>
      <w:r w:rsidR="00DF5711">
        <w:rPr>
          <w:rFonts w:ascii="Times New Roman" w:eastAsia="Times New Roman" w:hAnsi="Times New Roman" w:cs="Times New Roman"/>
          <w:b/>
          <w:bCs/>
          <w:sz w:val="20"/>
          <w:szCs w:val="20"/>
          <w:lang w:eastAsia="es-ES_tradnl"/>
        </w:rPr>
        <w:t>orcina en Haití</w:t>
      </w:r>
    </w:p>
    <w:p w:rsidR="00DF5711" w:rsidRPr="00DF5711" w:rsidRDefault="00DF5711" w:rsidP="00DF5711">
      <w:pPr>
        <w:jc w:val="center"/>
        <w:rPr>
          <w:rFonts w:ascii="Times New Roman" w:eastAsia="Times New Roman" w:hAnsi="Times New Roman" w:cs="Times New Roman"/>
          <w:b/>
          <w:bCs/>
          <w:sz w:val="20"/>
          <w:szCs w:val="20"/>
          <w:lang w:eastAsia="es-ES_tradnl"/>
        </w:rPr>
      </w:pPr>
    </w:p>
    <w:p w:rsidR="00472716" w:rsidRPr="00A6124D" w:rsidRDefault="00E541FF" w:rsidP="00A6124D">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Para </w:t>
      </w:r>
      <w:r w:rsidR="00DB223D">
        <w:rPr>
          <w:rFonts w:ascii="Times New Roman" w:hAnsi="Times New Roman" w:cs="Times New Roman"/>
        </w:rPr>
        <w:t xml:space="preserve">estimar </w:t>
      </w:r>
      <w:r>
        <w:rPr>
          <w:rFonts w:ascii="Times New Roman" w:hAnsi="Times New Roman" w:cs="Times New Roman"/>
        </w:rPr>
        <w:t xml:space="preserve">la incidencia </w:t>
      </w:r>
      <w:r w:rsidR="00073365">
        <w:rPr>
          <w:rFonts w:ascii="Times New Roman" w:hAnsi="Times New Roman" w:cs="Times New Roman"/>
        </w:rPr>
        <w:t xml:space="preserve">sobre la producción </w:t>
      </w:r>
      <w:r>
        <w:rPr>
          <w:rFonts w:ascii="Times New Roman" w:hAnsi="Times New Roman" w:cs="Times New Roman"/>
        </w:rPr>
        <w:t xml:space="preserve">de </w:t>
      </w:r>
      <w:r w:rsidR="001C779D">
        <w:rPr>
          <w:rFonts w:ascii="Times New Roman" w:hAnsi="Times New Roman" w:cs="Times New Roman"/>
        </w:rPr>
        <w:t xml:space="preserve">cada una de </w:t>
      </w:r>
      <w:r>
        <w:rPr>
          <w:rFonts w:ascii="Times New Roman" w:hAnsi="Times New Roman" w:cs="Times New Roman"/>
        </w:rPr>
        <w:t>las 2 enfermedades</w:t>
      </w:r>
      <w:r w:rsidR="00DB223D">
        <w:rPr>
          <w:rFonts w:ascii="Times New Roman" w:hAnsi="Times New Roman" w:cs="Times New Roman"/>
        </w:rPr>
        <w:t xml:space="preserve"> porcinas</w:t>
      </w:r>
      <w:r>
        <w:rPr>
          <w:rFonts w:ascii="Times New Roman" w:hAnsi="Times New Roman" w:cs="Times New Roman"/>
        </w:rPr>
        <w:t xml:space="preserve">, se han utilizado los </w:t>
      </w:r>
      <w:r w:rsidR="001C779D">
        <w:rPr>
          <w:rFonts w:ascii="Times New Roman" w:hAnsi="Times New Roman" w:cs="Times New Roman"/>
        </w:rPr>
        <w:t xml:space="preserve">componentes </w:t>
      </w:r>
      <w:r>
        <w:rPr>
          <w:rFonts w:ascii="Times New Roman" w:hAnsi="Times New Roman" w:cs="Times New Roman"/>
        </w:rPr>
        <w:t>de cálculo</w:t>
      </w:r>
      <w:r w:rsidR="00306742">
        <w:rPr>
          <w:rFonts w:ascii="Times New Roman" w:hAnsi="Times New Roman" w:cs="Times New Roman"/>
        </w:rPr>
        <w:t xml:space="preserve"> de</w:t>
      </w:r>
      <w:r>
        <w:rPr>
          <w:rFonts w:ascii="Times New Roman" w:hAnsi="Times New Roman" w:cs="Times New Roman"/>
        </w:rPr>
        <w:t xml:space="preserve"> las pérdidas en los escenarios Sin Programa y Con Programa</w:t>
      </w:r>
      <w:r w:rsidR="00306742">
        <w:rPr>
          <w:rFonts w:ascii="Times New Roman" w:hAnsi="Times New Roman" w:cs="Times New Roman"/>
        </w:rPr>
        <w:t>,</w:t>
      </w:r>
      <w:r w:rsidR="001C779D">
        <w:rPr>
          <w:rFonts w:ascii="Times New Roman" w:hAnsi="Times New Roman" w:cs="Times New Roman"/>
        </w:rPr>
        <w:t xml:space="preserve"> que contiene el siguiente cuadro</w:t>
      </w:r>
      <w:r>
        <w:rPr>
          <w:rFonts w:ascii="Times New Roman" w:hAnsi="Times New Roman" w:cs="Times New Roman"/>
        </w:rPr>
        <w:t>.</w:t>
      </w:r>
      <w:r w:rsidR="00472716" w:rsidRPr="00472716">
        <w:rPr>
          <w:rFonts w:ascii="Times New Roman" w:hAnsi="Times New Roman" w:cs="Times New Roman"/>
        </w:rPr>
        <w:t xml:space="preserve"> </w:t>
      </w:r>
      <w:r w:rsidR="00472716">
        <w:rPr>
          <w:rFonts w:ascii="Times New Roman" w:hAnsi="Times New Roman" w:cs="Times New Roman"/>
        </w:rPr>
        <w:t xml:space="preserve">Las pérdidas económicas anuales de cada escenario se han </w:t>
      </w:r>
      <w:r w:rsidR="004575ED">
        <w:rPr>
          <w:rFonts w:ascii="Times New Roman" w:hAnsi="Times New Roman" w:cs="Times New Roman"/>
        </w:rPr>
        <w:t>determinado</w:t>
      </w:r>
      <w:r w:rsidR="00472716">
        <w:rPr>
          <w:rFonts w:ascii="Times New Roman" w:hAnsi="Times New Roman" w:cs="Times New Roman"/>
        </w:rPr>
        <w:t xml:space="preserve"> multiplicando el valor de la producción total por la tasa de prevalencia o morbilidad, con lo que se obt</w:t>
      </w:r>
      <w:r w:rsidR="004575ED">
        <w:rPr>
          <w:rFonts w:ascii="Times New Roman" w:hAnsi="Times New Roman" w:cs="Times New Roman"/>
        </w:rPr>
        <w:t>uvo</w:t>
      </w:r>
      <w:r w:rsidR="00472716">
        <w:rPr>
          <w:rFonts w:ascii="Times New Roman" w:hAnsi="Times New Roman" w:cs="Times New Roman"/>
        </w:rPr>
        <w:t xml:space="preserve"> el valor del ganado porcino infectado, multiplicado a su vez por las tasas de mortalidad y disminución de nacimientos, en su caso.</w:t>
      </w:r>
    </w:p>
    <w:p w:rsidR="001E2260" w:rsidRDefault="001E2260" w:rsidP="00A6124D">
      <w:pPr>
        <w:pStyle w:val="ListParagraph"/>
        <w:jc w:val="both"/>
        <w:rPr>
          <w:rFonts w:ascii="Times New Roman" w:hAnsi="Times New Roman" w:cs="Times New Roman"/>
        </w:rPr>
      </w:pPr>
    </w:p>
    <w:p w:rsidR="001E2260" w:rsidRPr="00A6124D" w:rsidRDefault="001E2260" w:rsidP="00A6124D">
      <w:pPr>
        <w:pStyle w:val="ListParagraph"/>
        <w:numPr>
          <w:ilvl w:val="1"/>
          <w:numId w:val="30"/>
        </w:numPr>
        <w:ind w:hanging="578"/>
        <w:jc w:val="both"/>
        <w:rPr>
          <w:rFonts w:ascii="Times New Roman" w:hAnsi="Times New Roman" w:cs="Times New Roman"/>
        </w:rPr>
      </w:pPr>
      <w:r>
        <w:rPr>
          <w:rFonts w:ascii="Times New Roman" w:hAnsi="Times New Roman" w:cs="Times New Roman"/>
        </w:rPr>
        <w:lastRenderedPageBreak/>
        <w:t>Tal y como se muestra en el Anexo II de Libro de Hipótesis del ACB, cabe señalar que las tasas de mortalidad y de disminución de nacimientos se han extraído de un análisis realizado en República Dominicana, dado que no se ha dispuesto de información suficiente para determinar estas tasas en Haití. Dado que la patología es la misma, y que la situación sanitaria del ganado es significativamente más precaria en Haití que en República Dominicana, cabe afirmar que estas son hipótesis conservadoras para los objetivos de la evaluación.</w:t>
      </w:r>
    </w:p>
    <w:p w:rsidR="009C44CA" w:rsidRPr="001A2D6D" w:rsidRDefault="001E2260" w:rsidP="001A2D6D">
      <w:pPr>
        <w:jc w:val="both"/>
        <w:rPr>
          <w:rFonts w:ascii="Times New Roman" w:hAnsi="Times New Roman" w:cs="Times New Roman"/>
          <w:i/>
        </w:rPr>
      </w:pPr>
      <w:r w:rsidRPr="001E2260">
        <w:rPr>
          <w:noProof/>
          <w:lang w:val="en-US"/>
        </w:rPr>
        <w:drawing>
          <wp:anchor distT="0" distB="0" distL="114300" distR="114300" simplePos="0" relativeHeight="251696128" behindDoc="0" locked="0" layoutInCell="1" allowOverlap="1" wp14:anchorId="66118742" wp14:editId="497EDF25">
            <wp:simplePos x="0" y="0"/>
            <wp:positionH relativeFrom="column">
              <wp:posOffset>521335</wp:posOffset>
            </wp:positionH>
            <wp:positionV relativeFrom="paragraph">
              <wp:posOffset>360045</wp:posOffset>
            </wp:positionV>
            <wp:extent cx="4571365" cy="3371850"/>
            <wp:effectExtent l="0" t="0" r="635" b="0"/>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1365" cy="3371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41FF" w:rsidRDefault="00E541FF" w:rsidP="00E541FF">
      <w:pPr>
        <w:jc w:val="center"/>
        <w:rPr>
          <w:rFonts w:ascii="Times New Roman" w:eastAsia="Times New Roman" w:hAnsi="Times New Roman" w:cs="Times New Roman"/>
          <w:b/>
          <w:bCs/>
          <w:sz w:val="20"/>
          <w:szCs w:val="20"/>
          <w:lang w:eastAsia="es-ES_tradnl"/>
        </w:rPr>
      </w:pPr>
      <w:r w:rsidRPr="00E541FF">
        <w:rPr>
          <w:rFonts w:ascii="Times New Roman" w:eastAsia="Times New Roman" w:hAnsi="Times New Roman" w:cs="Times New Roman"/>
          <w:b/>
          <w:bCs/>
          <w:sz w:val="20"/>
          <w:szCs w:val="20"/>
          <w:lang w:eastAsia="es-ES_tradnl"/>
        </w:rPr>
        <w:t xml:space="preserve">Cuadro </w:t>
      </w:r>
      <w:r w:rsidRPr="00E541FF">
        <w:rPr>
          <w:rFonts w:ascii="Times New Roman" w:eastAsia="Times New Roman" w:hAnsi="Times New Roman" w:cs="Times New Roman"/>
          <w:b/>
          <w:bCs/>
          <w:sz w:val="20"/>
          <w:szCs w:val="20"/>
          <w:lang w:eastAsia="es-ES_tradnl"/>
        </w:rPr>
        <w:fldChar w:fldCharType="begin"/>
      </w:r>
      <w:r w:rsidRPr="00E541FF">
        <w:rPr>
          <w:rFonts w:ascii="Times New Roman" w:eastAsia="Times New Roman" w:hAnsi="Times New Roman" w:cs="Times New Roman"/>
          <w:b/>
          <w:bCs/>
          <w:sz w:val="20"/>
          <w:szCs w:val="20"/>
          <w:lang w:eastAsia="es-ES_tradnl"/>
        </w:rPr>
        <w:instrText xml:space="preserve"> SEQ Tableau \* ARABIC </w:instrText>
      </w:r>
      <w:r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3</w:t>
      </w:r>
      <w:r w:rsidRPr="00E541FF">
        <w:rPr>
          <w:rFonts w:ascii="Times New Roman" w:eastAsia="Times New Roman" w:hAnsi="Times New Roman" w:cs="Times New Roman"/>
          <w:b/>
          <w:bCs/>
          <w:sz w:val="20"/>
          <w:szCs w:val="20"/>
          <w:lang w:eastAsia="es-ES_tradnl"/>
        </w:rPr>
        <w:fldChar w:fldCharType="end"/>
      </w:r>
      <w:r w:rsidRPr="00E541FF">
        <w:rPr>
          <w:rFonts w:ascii="Times New Roman" w:eastAsia="Times New Roman" w:hAnsi="Times New Roman" w:cs="Times New Roman"/>
          <w:b/>
          <w:bCs/>
          <w:sz w:val="20"/>
          <w:szCs w:val="20"/>
          <w:lang w:eastAsia="es-ES_tradnl"/>
        </w:rPr>
        <w:t xml:space="preserve">. </w:t>
      </w:r>
      <w:r w:rsidR="00797D49">
        <w:rPr>
          <w:rFonts w:ascii="Times New Roman" w:eastAsia="Times New Roman" w:hAnsi="Times New Roman" w:cs="Times New Roman"/>
          <w:b/>
          <w:bCs/>
          <w:sz w:val="20"/>
          <w:szCs w:val="20"/>
          <w:lang w:eastAsia="es-ES_tradnl"/>
        </w:rPr>
        <w:t xml:space="preserve">Elementos de Cálculo de las </w:t>
      </w:r>
      <w:r w:rsidR="009B500C">
        <w:rPr>
          <w:rFonts w:ascii="Times New Roman" w:eastAsia="Times New Roman" w:hAnsi="Times New Roman" w:cs="Times New Roman"/>
          <w:b/>
          <w:bCs/>
          <w:sz w:val="20"/>
          <w:szCs w:val="20"/>
          <w:lang w:eastAsia="es-ES_tradnl"/>
        </w:rPr>
        <w:t>Pérdidas en la Producción Porcina</w:t>
      </w:r>
    </w:p>
    <w:p w:rsidR="001343D3" w:rsidRPr="004639E8" w:rsidRDefault="001343D3" w:rsidP="004639E8">
      <w:pPr>
        <w:pStyle w:val="ListParagraph"/>
        <w:jc w:val="both"/>
        <w:rPr>
          <w:rFonts w:ascii="Times New Roman" w:hAnsi="Times New Roman" w:cs="Times New Roman"/>
          <w:i/>
        </w:rPr>
      </w:pPr>
    </w:p>
    <w:p w:rsidR="00F82572" w:rsidRPr="004639E8" w:rsidRDefault="001343D3" w:rsidP="00FE0C5F">
      <w:pPr>
        <w:pStyle w:val="ListParagraph"/>
        <w:numPr>
          <w:ilvl w:val="1"/>
          <w:numId w:val="30"/>
        </w:numPr>
        <w:ind w:hanging="578"/>
        <w:jc w:val="both"/>
        <w:rPr>
          <w:rFonts w:ascii="Times New Roman" w:hAnsi="Times New Roman" w:cs="Times New Roman"/>
          <w:i/>
        </w:rPr>
      </w:pPr>
      <w:r>
        <w:rPr>
          <w:rFonts w:ascii="Times New Roman" w:hAnsi="Times New Roman" w:cs="Times New Roman"/>
        </w:rPr>
        <w:t xml:space="preserve">Asimismo, </w:t>
      </w:r>
      <w:r w:rsidR="00F82572">
        <w:rPr>
          <w:rFonts w:ascii="Times New Roman" w:hAnsi="Times New Roman" w:cs="Times New Roman"/>
        </w:rPr>
        <w:t xml:space="preserve">debido a la </w:t>
      </w:r>
      <w:r>
        <w:rPr>
          <w:rFonts w:ascii="Times New Roman" w:hAnsi="Times New Roman" w:cs="Times New Roman"/>
        </w:rPr>
        <w:t xml:space="preserve">carencia de </w:t>
      </w:r>
      <w:r w:rsidR="00F82572">
        <w:rPr>
          <w:rFonts w:ascii="Times New Roman" w:hAnsi="Times New Roman" w:cs="Times New Roman"/>
        </w:rPr>
        <w:t>información al respecto,</w:t>
      </w:r>
      <w:r>
        <w:rPr>
          <w:rFonts w:ascii="Times New Roman" w:hAnsi="Times New Roman" w:cs="Times New Roman"/>
        </w:rPr>
        <w:t xml:space="preserve"> no se tuvo</w:t>
      </w:r>
      <w:r w:rsidR="00F82572">
        <w:rPr>
          <w:rFonts w:ascii="Times New Roman" w:hAnsi="Times New Roman" w:cs="Times New Roman"/>
        </w:rPr>
        <w:t xml:space="preserve"> en cuenta </w:t>
      </w:r>
      <w:r>
        <w:rPr>
          <w:rFonts w:ascii="Times New Roman" w:hAnsi="Times New Roman" w:cs="Times New Roman"/>
        </w:rPr>
        <w:t xml:space="preserve">para la cuantificación de las pérdidas </w:t>
      </w:r>
      <w:r w:rsidR="001C779D">
        <w:rPr>
          <w:rFonts w:ascii="Times New Roman" w:hAnsi="Times New Roman" w:cs="Times New Roman"/>
        </w:rPr>
        <w:t xml:space="preserve">en el ganado porcino </w:t>
      </w:r>
      <w:r w:rsidR="00F82572">
        <w:rPr>
          <w:rFonts w:ascii="Times New Roman" w:hAnsi="Times New Roman" w:cs="Times New Roman"/>
        </w:rPr>
        <w:t xml:space="preserve">la </w:t>
      </w:r>
      <w:r>
        <w:rPr>
          <w:rFonts w:ascii="Times New Roman" w:hAnsi="Times New Roman" w:cs="Times New Roman"/>
        </w:rPr>
        <w:t xml:space="preserve">disminución </w:t>
      </w:r>
      <w:r w:rsidR="00F82572">
        <w:rPr>
          <w:rFonts w:ascii="Times New Roman" w:hAnsi="Times New Roman" w:cs="Times New Roman"/>
        </w:rPr>
        <w:t>de</w:t>
      </w:r>
      <w:r>
        <w:rPr>
          <w:rFonts w:ascii="Times New Roman" w:hAnsi="Times New Roman" w:cs="Times New Roman"/>
        </w:rPr>
        <w:t>l</w:t>
      </w:r>
      <w:r w:rsidR="00F82572">
        <w:rPr>
          <w:rFonts w:ascii="Times New Roman" w:hAnsi="Times New Roman" w:cs="Times New Roman"/>
        </w:rPr>
        <w:t xml:space="preserve"> peso de los animales que provoca la PPC</w:t>
      </w:r>
      <w:r w:rsidR="00306742">
        <w:rPr>
          <w:rFonts w:ascii="Times New Roman" w:hAnsi="Times New Roman" w:cs="Times New Roman"/>
        </w:rPr>
        <w:t>;</w:t>
      </w:r>
      <w:r w:rsidR="00F82572">
        <w:rPr>
          <w:rFonts w:ascii="Times New Roman" w:hAnsi="Times New Roman" w:cs="Times New Roman"/>
        </w:rPr>
        <w:t xml:space="preserve"> </w:t>
      </w:r>
      <w:r>
        <w:rPr>
          <w:rFonts w:ascii="Times New Roman" w:hAnsi="Times New Roman" w:cs="Times New Roman"/>
        </w:rPr>
        <w:t xml:space="preserve">pudiendo </w:t>
      </w:r>
      <w:r w:rsidR="00446419">
        <w:rPr>
          <w:rFonts w:ascii="Times New Roman" w:hAnsi="Times New Roman" w:cs="Times New Roman"/>
        </w:rPr>
        <w:t xml:space="preserve">según fuentes del MARNDR </w:t>
      </w:r>
      <w:r>
        <w:rPr>
          <w:rFonts w:ascii="Times New Roman" w:hAnsi="Times New Roman" w:cs="Times New Roman"/>
        </w:rPr>
        <w:t>disminuir</w:t>
      </w:r>
      <w:r w:rsidR="00306742">
        <w:rPr>
          <w:rFonts w:ascii="Times New Roman" w:hAnsi="Times New Roman" w:cs="Times New Roman"/>
        </w:rPr>
        <w:t xml:space="preserve"> el precio de venta de un</w:t>
      </w:r>
      <w:r w:rsidR="00F82572">
        <w:rPr>
          <w:rFonts w:ascii="Times New Roman" w:hAnsi="Times New Roman" w:cs="Times New Roman"/>
        </w:rPr>
        <w:t xml:space="preserve"> animal enfermo de 20 a 40%</w:t>
      </w:r>
      <w:r w:rsidR="00F82572">
        <w:rPr>
          <w:rStyle w:val="FootnoteReference"/>
          <w:rFonts w:ascii="Times New Roman" w:hAnsi="Times New Roman" w:cs="Times New Roman"/>
        </w:rPr>
        <w:footnoteReference w:id="4"/>
      </w:r>
      <w:r w:rsidR="00C424D8">
        <w:rPr>
          <w:rFonts w:ascii="Times New Roman" w:hAnsi="Times New Roman" w:cs="Times New Roman"/>
        </w:rPr>
        <w:t xml:space="preserve"> en los mercados</w:t>
      </w:r>
      <w:r w:rsidR="00F82572">
        <w:rPr>
          <w:rFonts w:ascii="Times New Roman" w:hAnsi="Times New Roman" w:cs="Times New Roman"/>
        </w:rPr>
        <w:t>.</w:t>
      </w:r>
    </w:p>
    <w:p w:rsidR="00F82572" w:rsidRPr="00DE01CB" w:rsidRDefault="00F82572" w:rsidP="004639E8">
      <w:pPr>
        <w:pStyle w:val="ListParagraph"/>
        <w:jc w:val="both"/>
        <w:rPr>
          <w:rFonts w:ascii="Times New Roman" w:hAnsi="Times New Roman" w:cs="Times New Roman"/>
        </w:rPr>
      </w:pPr>
    </w:p>
    <w:p w:rsidR="00527F5B" w:rsidRPr="004639E8" w:rsidRDefault="001F346E" w:rsidP="00FE0C5F">
      <w:pPr>
        <w:pStyle w:val="ListParagraph"/>
        <w:numPr>
          <w:ilvl w:val="1"/>
          <w:numId w:val="30"/>
        </w:numPr>
        <w:ind w:hanging="578"/>
        <w:jc w:val="both"/>
        <w:rPr>
          <w:rFonts w:ascii="Times New Roman" w:hAnsi="Times New Roman" w:cs="Times New Roman"/>
          <w:i/>
        </w:rPr>
      </w:pPr>
      <w:r>
        <w:rPr>
          <w:rFonts w:ascii="Times New Roman" w:hAnsi="Times New Roman" w:cs="Times New Roman"/>
        </w:rPr>
        <w:t>Con base en las hipótesis anteriores</w:t>
      </w:r>
      <w:r w:rsidR="00FE5F06">
        <w:rPr>
          <w:rFonts w:ascii="Times New Roman" w:hAnsi="Times New Roman" w:cs="Times New Roman"/>
        </w:rPr>
        <w:t>,</w:t>
      </w:r>
      <w:r>
        <w:rPr>
          <w:rFonts w:ascii="Times New Roman" w:hAnsi="Times New Roman" w:cs="Times New Roman"/>
        </w:rPr>
        <w:t xml:space="preserve"> el beneficio asociado a la disminución de pérdidas en la producción porcina, causadas por la PPC </w:t>
      </w:r>
      <w:r w:rsidR="00AF4119">
        <w:rPr>
          <w:rFonts w:ascii="Times New Roman" w:hAnsi="Times New Roman" w:cs="Times New Roman"/>
        </w:rPr>
        <w:t xml:space="preserve">y </w:t>
      </w:r>
      <w:r>
        <w:rPr>
          <w:rFonts w:ascii="Times New Roman" w:hAnsi="Times New Roman" w:cs="Times New Roman"/>
        </w:rPr>
        <w:t xml:space="preserve">por el Teschen, asciende a </w:t>
      </w:r>
      <w:r w:rsidR="007A366D">
        <w:rPr>
          <w:rFonts w:ascii="Times New Roman" w:hAnsi="Times New Roman" w:cs="Times New Roman"/>
        </w:rPr>
        <w:t>445</w:t>
      </w:r>
      <w:r w:rsidR="00FE5F06">
        <w:rPr>
          <w:rFonts w:ascii="Times New Roman" w:hAnsi="Times New Roman" w:cs="Times New Roman"/>
        </w:rPr>
        <w:t>.</w:t>
      </w:r>
      <w:r w:rsidR="007A366D">
        <w:rPr>
          <w:rFonts w:ascii="Times New Roman" w:hAnsi="Times New Roman" w:cs="Times New Roman"/>
        </w:rPr>
        <w:t xml:space="preserve">264 </w:t>
      </w:r>
      <w:r w:rsidR="00FE5F06">
        <w:rPr>
          <w:rFonts w:ascii="Times New Roman" w:hAnsi="Times New Roman" w:cs="Times New Roman"/>
        </w:rPr>
        <w:t xml:space="preserve">USD y </w:t>
      </w:r>
      <w:r w:rsidR="007A366D">
        <w:rPr>
          <w:rFonts w:ascii="Times New Roman" w:hAnsi="Times New Roman" w:cs="Times New Roman"/>
        </w:rPr>
        <w:t>337</w:t>
      </w:r>
      <w:r w:rsidR="00FE5F06">
        <w:rPr>
          <w:rFonts w:ascii="Times New Roman" w:hAnsi="Times New Roman" w:cs="Times New Roman"/>
        </w:rPr>
        <w:t>.</w:t>
      </w:r>
      <w:r w:rsidR="007A366D">
        <w:rPr>
          <w:rFonts w:ascii="Times New Roman" w:hAnsi="Times New Roman" w:cs="Times New Roman"/>
        </w:rPr>
        <w:t xml:space="preserve">066 </w:t>
      </w:r>
      <w:r w:rsidR="00FE5F06">
        <w:rPr>
          <w:rFonts w:ascii="Times New Roman" w:hAnsi="Times New Roman" w:cs="Times New Roman"/>
        </w:rPr>
        <w:t xml:space="preserve">USD anuales respectivamente, y a un total para todo el periodo de análisis de </w:t>
      </w:r>
      <w:r w:rsidR="00731565">
        <w:rPr>
          <w:rFonts w:ascii="Times New Roman" w:hAnsi="Times New Roman" w:cs="Times New Roman"/>
          <w:b/>
        </w:rPr>
        <w:t>3</w:t>
      </w:r>
      <w:r w:rsidRPr="001F346E">
        <w:rPr>
          <w:rFonts w:ascii="Times New Roman" w:hAnsi="Times New Roman" w:cs="Times New Roman"/>
          <w:b/>
        </w:rPr>
        <w:t>.</w:t>
      </w:r>
      <w:r w:rsidR="00731565">
        <w:rPr>
          <w:rFonts w:ascii="Times New Roman" w:hAnsi="Times New Roman" w:cs="Times New Roman"/>
          <w:b/>
        </w:rPr>
        <w:t>866</w:t>
      </w:r>
      <w:r w:rsidRPr="001F346E">
        <w:rPr>
          <w:rFonts w:ascii="Times New Roman" w:hAnsi="Times New Roman" w:cs="Times New Roman"/>
          <w:b/>
        </w:rPr>
        <w:t>.</w:t>
      </w:r>
      <w:r w:rsidR="00731565">
        <w:rPr>
          <w:rFonts w:ascii="Times New Roman" w:hAnsi="Times New Roman" w:cs="Times New Roman"/>
          <w:b/>
        </w:rPr>
        <w:t>922</w:t>
      </w:r>
      <w:r w:rsidR="00731565" w:rsidRPr="001F346E">
        <w:rPr>
          <w:rFonts w:ascii="Times New Roman" w:hAnsi="Times New Roman" w:cs="Times New Roman"/>
          <w:b/>
        </w:rPr>
        <w:t xml:space="preserve"> </w:t>
      </w:r>
      <w:r w:rsidRPr="001F346E">
        <w:rPr>
          <w:rFonts w:ascii="Times New Roman" w:hAnsi="Times New Roman" w:cs="Times New Roman"/>
          <w:b/>
        </w:rPr>
        <w:t>USD en valor actual</w:t>
      </w:r>
      <w:r w:rsidR="00527F5B">
        <w:rPr>
          <w:rFonts w:ascii="Times New Roman" w:hAnsi="Times New Roman" w:cs="Times New Roman"/>
        </w:rPr>
        <w:t xml:space="preserve">. </w:t>
      </w:r>
    </w:p>
    <w:p w:rsidR="008809B6" w:rsidRPr="004639E8" w:rsidRDefault="008809B6" w:rsidP="004639E8">
      <w:pPr>
        <w:pStyle w:val="ListParagraph"/>
        <w:rPr>
          <w:rFonts w:ascii="Times New Roman" w:hAnsi="Times New Roman" w:cs="Times New Roman"/>
          <w:i/>
        </w:rPr>
      </w:pPr>
    </w:p>
    <w:p w:rsidR="008809B6" w:rsidRPr="004639E8" w:rsidRDefault="008809B6" w:rsidP="00FE0C5F">
      <w:pPr>
        <w:pStyle w:val="ListParagraph"/>
        <w:numPr>
          <w:ilvl w:val="1"/>
          <w:numId w:val="30"/>
        </w:numPr>
        <w:ind w:hanging="578"/>
        <w:jc w:val="both"/>
        <w:rPr>
          <w:rFonts w:ascii="Times New Roman" w:hAnsi="Times New Roman" w:cs="Times New Roman"/>
          <w:i/>
        </w:rPr>
      </w:pPr>
      <w:r>
        <w:rPr>
          <w:rFonts w:ascii="Times New Roman" w:eastAsia="Times New Roman" w:hAnsi="Times New Roman" w:cs="Times New Roman"/>
          <w:szCs w:val="20"/>
        </w:rPr>
        <w:lastRenderedPageBreak/>
        <w:t>El detalle del reparto de los beneficios a lo largo del periodo de análisis se recoge más adelante en el Anexo I</w:t>
      </w:r>
      <w:r w:rsidR="00210B17">
        <w:rPr>
          <w:rFonts w:ascii="Times New Roman" w:eastAsia="Times New Roman" w:hAnsi="Times New Roman" w:cs="Times New Roman"/>
          <w:szCs w:val="20"/>
        </w:rPr>
        <w:t>I</w:t>
      </w:r>
      <w:r>
        <w:rPr>
          <w:rFonts w:ascii="Times New Roman" w:eastAsia="Times New Roman" w:hAnsi="Times New Roman" w:cs="Times New Roman"/>
          <w:szCs w:val="20"/>
        </w:rPr>
        <w:t>I de Resumen de Flujos Económicos del ACB.</w:t>
      </w:r>
    </w:p>
    <w:p w:rsidR="00B45229" w:rsidRDefault="00B45229" w:rsidP="00E3574C">
      <w:pPr>
        <w:spacing w:before="120"/>
        <w:rPr>
          <w:rFonts w:ascii="Times New Roman" w:hAnsi="Times New Roman" w:cs="Times New Roman"/>
          <w:i/>
        </w:rPr>
      </w:pPr>
    </w:p>
    <w:p w:rsidR="004D2CB4" w:rsidRPr="00E01B1E" w:rsidRDefault="00E01B1E" w:rsidP="00E3574C">
      <w:pPr>
        <w:spacing w:before="120"/>
        <w:rPr>
          <w:rFonts w:ascii="Times New Roman" w:hAnsi="Times New Roman" w:cs="Times New Roman"/>
          <w:i/>
        </w:rPr>
      </w:pPr>
      <w:r w:rsidRPr="005D6844">
        <w:rPr>
          <w:rFonts w:ascii="Times New Roman" w:hAnsi="Times New Roman" w:cs="Times New Roman"/>
          <w:i/>
        </w:rPr>
        <w:t xml:space="preserve">Prevención de </w:t>
      </w:r>
      <w:r w:rsidR="0055653D" w:rsidRPr="005D6844">
        <w:rPr>
          <w:rFonts w:ascii="Times New Roman" w:hAnsi="Times New Roman" w:cs="Times New Roman"/>
          <w:i/>
        </w:rPr>
        <w:t xml:space="preserve">los rechazos </w:t>
      </w:r>
      <w:r w:rsidRPr="005D6844">
        <w:rPr>
          <w:rFonts w:ascii="Times New Roman" w:hAnsi="Times New Roman" w:cs="Times New Roman"/>
          <w:i/>
        </w:rPr>
        <w:t>de mango para la exportación</w:t>
      </w:r>
    </w:p>
    <w:p w:rsidR="00E01B1E" w:rsidRDefault="00E01B1E" w:rsidP="00E3574C">
      <w:pPr>
        <w:rPr>
          <w:rFonts w:ascii="Times New Roman" w:hAnsi="Times New Roman" w:cs="Times New Roman"/>
          <w:b/>
          <w:i/>
        </w:rPr>
      </w:pPr>
    </w:p>
    <w:p w:rsidR="004C183F" w:rsidRDefault="00306742"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El principal producto agropecuario exportado de Haití es el mango</w:t>
      </w:r>
      <w:r w:rsidR="00CD213E">
        <w:rPr>
          <w:rFonts w:ascii="Times New Roman" w:hAnsi="Times New Roman" w:cs="Times New Roman"/>
        </w:rPr>
        <w:t>, concretamente el mango Francis</w:t>
      </w:r>
      <w:r>
        <w:rPr>
          <w:rFonts w:ascii="Times New Roman" w:hAnsi="Times New Roman" w:cs="Times New Roman"/>
        </w:rPr>
        <w:t xml:space="preserve"> </w:t>
      </w:r>
      <w:r w:rsidR="004C183F">
        <w:rPr>
          <w:rFonts w:ascii="Times New Roman" w:hAnsi="Times New Roman" w:cs="Times New Roman"/>
        </w:rPr>
        <w:t>En el año 2007 se cerró el mercado de exportación del mango</w:t>
      </w:r>
      <w:r w:rsidR="00993B3D">
        <w:rPr>
          <w:rFonts w:ascii="Times New Roman" w:hAnsi="Times New Roman" w:cs="Times New Roman"/>
        </w:rPr>
        <w:t xml:space="preserve"> a</w:t>
      </w:r>
      <w:r w:rsidR="005D6844">
        <w:rPr>
          <w:rFonts w:ascii="Times New Roman" w:hAnsi="Times New Roman" w:cs="Times New Roman"/>
        </w:rPr>
        <w:t>l cabo de</w:t>
      </w:r>
      <w:r w:rsidR="00993B3D">
        <w:rPr>
          <w:rFonts w:ascii="Times New Roman" w:hAnsi="Times New Roman" w:cs="Times New Roman"/>
        </w:rPr>
        <w:t xml:space="preserve"> los 3 </w:t>
      </w:r>
      <w:r w:rsidR="005D6844">
        <w:rPr>
          <w:rFonts w:ascii="Times New Roman" w:hAnsi="Times New Roman" w:cs="Times New Roman"/>
        </w:rPr>
        <w:t xml:space="preserve">primeros </w:t>
      </w:r>
      <w:r w:rsidR="00993B3D">
        <w:rPr>
          <w:rFonts w:ascii="Times New Roman" w:hAnsi="Times New Roman" w:cs="Times New Roman"/>
        </w:rPr>
        <w:t>meses de campaña</w:t>
      </w:r>
      <w:r w:rsidR="004C183F">
        <w:rPr>
          <w:rFonts w:ascii="Times New Roman" w:hAnsi="Times New Roman" w:cs="Times New Roman"/>
        </w:rPr>
        <w:t xml:space="preserve"> </w:t>
      </w:r>
      <w:r w:rsidR="00993B3D">
        <w:rPr>
          <w:rFonts w:ascii="Times New Roman" w:hAnsi="Times New Roman" w:cs="Times New Roman"/>
        </w:rPr>
        <w:t xml:space="preserve">(la campaña </w:t>
      </w:r>
      <w:r w:rsidR="005D6844">
        <w:rPr>
          <w:rFonts w:ascii="Times New Roman" w:hAnsi="Times New Roman" w:cs="Times New Roman"/>
        </w:rPr>
        <w:t xml:space="preserve">anual </w:t>
      </w:r>
      <w:r w:rsidR="00993B3D">
        <w:rPr>
          <w:rFonts w:ascii="Times New Roman" w:hAnsi="Times New Roman" w:cs="Times New Roman"/>
        </w:rPr>
        <w:t xml:space="preserve">suele durar 5 meses) </w:t>
      </w:r>
      <w:r w:rsidR="004C183F">
        <w:rPr>
          <w:rFonts w:ascii="Times New Roman" w:hAnsi="Times New Roman" w:cs="Times New Roman"/>
        </w:rPr>
        <w:t>debido a que varios envíos resultaron contaminados con la larva de la mosca de la fruta</w:t>
      </w:r>
      <w:r>
        <w:rPr>
          <w:rFonts w:ascii="Times New Roman" w:hAnsi="Times New Roman" w:cs="Times New Roman"/>
        </w:rPr>
        <w:t>, por lo que l</w:t>
      </w:r>
      <w:r w:rsidR="005D6844">
        <w:rPr>
          <w:rFonts w:ascii="Times New Roman" w:hAnsi="Times New Roman" w:cs="Times New Roman"/>
        </w:rPr>
        <w:t>os importadores decidiero</w:t>
      </w:r>
      <w:r>
        <w:rPr>
          <w:rFonts w:ascii="Times New Roman" w:hAnsi="Times New Roman" w:cs="Times New Roman"/>
        </w:rPr>
        <w:t>n</w:t>
      </w:r>
      <w:r w:rsidR="005D6844">
        <w:rPr>
          <w:rFonts w:ascii="Times New Roman" w:hAnsi="Times New Roman" w:cs="Times New Roman"/>
        </w:rPr>
        <w:t xml:space="preserve"> </w:t>
      </w:r>
      <w:r>
        <w:rPr>
          <w:rFonts w:ascii="Times New Roman" w:hAnsi="Times New Roman" w:cs="Times New Roman"/>
        </w:rPr>
        <w:t xml:space="preserve">cancelar </w:t>
      </w:r>
      <w:r w:rsidR="005D6844">
        <w:rPr>
          <w:rFonts w:ascii="Times New Roman" w:hAnsi="Times New Roman" w:cs="Times New Roman"/>
        </w:rPr>
        <w:t>todos sus pedidos</w:t>
      </w:r>
      <w:r w:rsidR="004C183F">
        <w:rPr>
          <w:rFonts w:ascii="Times New Roman" w:hAnsi="Times New Roman" w:cs="Times New Roman"/>
        </w:rPr>
        <w:t xml:space="preserve">. Siendo el importe total de </w:t>
      </w:r>
      <w:r>
        <w:rPr>
          <w:rFonts w:ascii="Times New Roman" w:hAnsi="Times New Roman" w:cs="Times New Roman"/>
        </w:rPr>
        <w:t xml:space="preserve">las </w:t>
      </w:r>
      <w:r w:rsidR="004C183F">
        <w:rPr>
          <w:rFonts w:ascii="Times New Roman" w:hAnsi="Times New Roman" w:cs="Times New Roman"/>
        </w:rPr>
        <w:t>exportaciones, a precio</w:t>
      </w:r>
      <w:r>
        <w:rPr>
          <w:rFonts w:ascii="Times New Roman" w:hAnsi="Times New Roman" w:cs="Times New Roman"/>
        </w:rPr>
        <w:t>s</w:t>
      </w:r>
      <w:r w:rsidR="004C183F">
        <w:rPr>
          <w:rFonts w:ascii="Times New Roman" w:hAnsi="Times New Roman" w:cs="Times New Roman"/>
        </w:rPr>
        <w:t xml:space="preserve"> de salida de la planta de tratamiento, de aproximadamente 10 millones de USD anuales, </w:t>
      </w:r>
      <w:r w:rsidR="005D6844">
        <w:rPr>
          <w:rFonts w:ascii="Times New Roman" w:hAnsi="Times New Roman" w:cs="Times New Roman"/>
        </w:rPr>
        <w:t xml:space="preserve">este evento </w:t>
      </w:r>
      <w:r w:rsidR="004C183F">
        <w:rPr>
          <w:rFonts w:ascii="Times New Roman" w:hAnsi="Times New Roman" w:cs="Times New Roman"/>
        </w:rPr>
        <w:t xml:space="preserve">supuso unas pérdidas sustanciales para el sector. Si bien este </w:t>
      </w:r>
      <w:r w:rsidR="005D6844">
        <w:rPr>
          <w:rFonts w:ascii="Times New Roman" w:hAnsi="Times New Roman" w:cs="Times New Roman"/>
        </w:rPr>
        <w:t xml:space="preserve">es </w:t>
      </w:r>
      <w:r w:rsidR="004C183F">
        <w:rPr>
          <w:rFonts w:ascii="Times New Roman" w:hAnsi="Times New Roman" w:cs="Times New Roman"/>
        </w:rPr>
        <w:t xml:space="preserve">un caso </w:t>
      </w:r>
      <w:r w:rsidR="005D6844">
        <w:rPr>
          <w:rFonts w:ascii="Times New Roman" w:hAnsi="Times New Roman" w:cs="Times New Roman"/>
        </w:rPr>
        <w:t xml:space="preserve">que ocurrió </w:t>
      </w:r>
      <w:r w:rsidR="004C183F">
        <w:rPr>
          <w:rFonts w:ascii="Times New Roman" w:hAnsi="Times New Roman" w:cs="Times New Roman"/>
        </w:rPr>
        <w:t xml:space="preserve">efectivamente debido a la falta de control </w:t>
      </w:r>
      <w:r w:rsidR="005D6844">
        <w:rPr>
          <w:rFonts w:ascii="Times New Roman" w:hAnsi="Times New Roman" w:cs="Times New Roman"/>
        </w:rPr>
        <w:t xml:space="preserve">sobre </w:t>
      </w:r>
      <w:r w:rsidR="004C183F">
        <w:rPr>
          <w:rFonts w:ascii="Times New Roman" w:hAnsi="Times New Roman" w:cs="Times New Roman"/>
        </w:rPr>
        <w:t>la infestación de la mosca de la fruta</w:t>
      </w:r>
      <w:r w:rsidR="005D6844">
        <w:rPr>
          <w:rFonts w:ascii="Times New Roman" w:hAnsi="Times New Roman" w:cs="Times New Roman"/>
        </w:rPr>
        <w:t xml:space="preserve"> y supone una pérdida potencial evitada gracias a las actuaciones del sector público en este sentido</w:t>
      </w:r>
      <w:r w:rsidR="004C183F">
        <w:rPr>
          <w:rFonts w:ascii="Times New Roman" w:hAnsi="Times New Roman" w:cs="Times New Roman"/>
        </w:rPr>
        <w:t xml:space="preserve">, </w:t>
      </w:r>
      <w:r w:rsidR="005D6844">
        <w:rPr>
          <w:rFonts w:ascii="Times New Roman" w:hAnsi="Times New Roman" w:cs="Times New Roman"/>
        </w:rPr>
        <w:t xml:space="preserve">en relación a la presente evaluación económica, este suceso </w:t>
      </w:r>
      <w:r w:rsidR="004C183F">
        <w:rPr>
          <w:rFonts w:ascii="Times New Roman" w:hAnsi="Times New Roman" w:cs="Times New Roman"/>
        </w:rPr>
        <w:t xml:space="preserve">se ha contemplado como un caso extremo, considerando </w:t>
      </w:r>
      <w:r w:rsidR="005D6844">
        <w:rPr>
          <w:rFonts w:ascii="Times New Roman" w:hAnsi="Times New Roman" w:cs="Times New Roman"/>
        </w:rPr>
        <w:t xml:space="preserve">para la cuantificación del beneficio económico </w:t>
      </w:r>
      <w:r w:rsidR="004C183F">
        <w:rPr>
          <w:rFonts w:ascii="Times New Roman" w:hAnsi="Times New Roman" w:cs="Times New Roman"/>
        </w:rPr>
        <w:t>un supuesto más conservador tal y como se detalla a continuación.</w:t>
      </w:r>
    </w:p>
    <w:p w:rsidR="004C183F" w:rsidRDefault="004C183F" w:rsidP="004639E8">
      <w:pPr>
        <w:pStyle w:val="ListParagraph"/>
        <w:jc w:val="both"/>
        <w:rPr>
          <w:rFonts w:ascii="Times New Roman" w:hAnsi="Times New Roman" w:cs="Times New Roman"/>
        </w:rPr>
      </w:pPr>
    </w:p>
    <w:p w:rsidR="000E28CA" w:rsidRDefault="00CF7EB5"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E</w:t>
      </w:r>
      <w:r w:rsidR="000E28CA">
        <w:rPr>
          <w:rFonts w:ascii="Times New Roman" w:hAnsi="Times New Roman" w:cs="Times New Roman"/>
        </w:rPr>
        <w:t xml:space="preserve">l mango que se rechaza </w:t>
      </w:r>
      <w:r>
        <w:rPr>
          <w:rFonts w:ascii="Times New Roman" w:hAnsi="Times New Roman" w:cs="Times New Roman"/>
        </w:rPr>
        <w:t xml:space="preserve">para la exportación </w:t>
      </w:r>
      <w:r w:rsidR="000E28CA">
        <w:rPr>
          <w:rFonts w:ascii="Times New Roman" w:hAnsi="Times New Roman" w:cs="Times New Roman"/>
        </w:rPr>
        <w:t xml:space="preserve">acaba comercializado en el mercado local haitiano. Desde el punto de vista del análisis, el mango exportable y el mango destinado al mercado local </w:t>
      </w:r>
      <w:r w:rsidR="00731565">
        <w:rPr>
          <w:rFonts w:ascii="Times New Roman" w:hAnsi="Times New Roman" w:cs="Times New Roman"/>
        </w:rPr>
        <w:t xml:space="preserve">se han considerado como </w:t>
      </w:r>
      <w:r w:rsidR="000E28CA">
        <w:rPr>
          <w:rFonts w:ascii="Times New Roman" w:hAnsi="Times New Roman" w:cs="Times New Roman"/>
        </w:rPr>
        <w:t>2 productos diferentes. Por esta razón, en la determinación del valor de</w:t>
      </w:r>
      <w:r w:rsidR="001C56F4">
        <w:rPr>
          <w:rFonts w:ascii="Times New Roman" w:hAnsi="Times New Roman" w:cs="Times New Roman"/>
        </w:rPr>
        <w:t xml:space="preserve">l beneficio generado por </w:t>
      </w:r>
      <w:r w:rsidR="000E28CA">
        <w:rPr>
          <w:rFonts w:ascii="Times New Roman" w:hAnsi="Times New Roman" w:cs="Times New Roman"/>
        </w:rPr>
        <w:t xml:space="preserve">el Programa, se ha utilizado el diferencial </w:t>
      </w:r>
      <w:r w:rsidR="00306742">
        <w:rPr>
          <w:rFonts w:ascii="Times New Roman" w:hAnsi="Times New Roman" w:cs="Times New Roman"/>
        </w:rPr>
        <w:t xml:space="preserve">que existe </w:t>
      </w:r>
      <w:r w:rsidR="000E28CA">
        <w:rPr>
          <w:rFonts w:ascii="Times New Roman" w:hAnsi="Times New Roman" w:cs="Times New Roman"/>
        </w:rPr>
        <w:t xml:space="preserve">entre el precio del mango exportable </w:t>
      </w:r>
      <w:r w:rsidR="00DA4599">
        <w:rPr>
          <w:rFonts w:ascii="Times New Roman" w:hAnsi="Times New Roman" w:cs="Times New Roman"/>
        </w:rPr>
        <w:t xml:space="preserve">FOB en su puerto de salida en Puerto Príncipe </w:t>
      </w:r>
      <w:r w:rsidR="000E28CA">
        <w:rPr>
          <w:rFonts w:ascii="Times New Roman" w:hAnsi="Times New Roman" w:cs="Times New Roman"/>
        </w:rPr>
        <w:t xml:space="preserve">y el precio </w:t>
      </w:r>
      <w:r w:rsidR="00DA4599">
        <w:rPr>
          <w:rFonts w:ascii="Times New Roman" w:hAnsi="Times New Roman" w:cs="Times New Roman"/>
        </w:rPr>
        <w:t xml:space="preserve">en finca </w:t>
      </w:r>
      <w:r w:rsidR="000E28CA">
        <w:rPr>
          <w:rFonts w:ascii="Times New Roman" w:hAnsi="Times New Roman" w:cs="Times New Roman"/>
        </w:rPr>
        <w:t>del mango vendido en el mercado local</w:t>
      </w:r>
      <w:r w:rsidR="00753859">
        <w:rPr>
          <w:rStyle w:val="FootnoteReference"/>
          <w:rFonts w:ascii="Times New Roman" w:hAnsi="Times New Roman" w:cs="Times New Roman"/>
        </w:rPr>
        <w:footnoteReference w:id="5"/>
      </w:r>
      <w:r w:rsidR="000E28CA">
        <w:rPr>
          <w:rFonts w:ascii="Times New Roman" w:hAnsi="Times New Roman" w:cs="Times New Roman"/>
        </w:rPr>
        <w:t>.</w:t>
      </w:r>
      <w:r w:rsidR="00FE0452">
        <w:rPr>
          <w:rFonts w:ascii="Times New Roman" w:hAnsi="Times New Roman" w:cs="Times New Roman"/>
        </w:rPr>
        <w:t xml:space="preserve"> Esta consideración permite contemplar los beneficios que genera la propia actividad de exportación en cuanto a la creación de valor añadido y en definitiva de recursos para la economía haitiana (empleo, impuestos para la arcas pública</w:t>
      </w:r>
      <w:r w:rsidR="00306742">
        <w:rPr>
          <w:rFonts w:ascii="Times New Roman" w:hAnsi="Times New Roman" w:cs="Times New Roman"/>
        </w:rPr>
        <w:t>s</w:t>
      </w:r>
      <w:r w:rsidR="00FE0452">
        <w:rPr>
          <w:rFonts w:ascii="Times New Roman" w:hAnsi="Times New Roman" w:cs="Times New Roman"/>
        </w:rPr>
        <w:t xml:space="preserve">, utilidades) hasta la salida del mango hacia </w:t>
      </w:r>
      <w:r w:rsidR="00306742">
        <w:rPr>
          <w:rFonts w:ascii="Times New Roman" w:hAnsi="Times New Roman" w:cs="Times New Roman"/>
        </w:rPr>
        <w:t>el país importador</w:t>
      </w:r>
      <w:r w:rsidR="00FE0452">
        <w:rPr>
          <w:rFonts w:ascii="Times New Roman" w:hAnsi="Times New Roman" w:cs="Times New Roman"/>
        </w:rPr>
        <w:t>.</w:t>
      </w:r>
    </w:p>
    <w:p w:rsidR="00887FD8" w:rsidRPr="006D314E" w:rsidRDefault="00887FD8" w:rsidP="006D314E">
      <w:pPr>
        <w:pStyle w:val="ListParagraph"/>
        <w:rPr>
          <w:rFonts w:ascii="Times New Roman" w:hAnsi="Times New Roman" w:cs="Times New Roman"/>
        </w:rPr>
      </w:pPr>
    </w:p>
    <w:p w:rsidR="00887FD8" w:rsidRPr="006D314E" w:rsidRDefault="00CF7EB5"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Cabe señalar que e</w:t>
      </w:r>
      <w:r w:rsidR="001E2260">
        <w:rPr>
          <w:rFonts w:ascii="Times New Roman" w:hAnsi="Times New Roman" w:cs="Times New Roman"/>
        </w:rPr>
        <w:t>ste</w:t>
      </w:r>
      <w:r w:rsidR="00887FD8">
        <w:rPr>
          <w:rFonts w:ascii="Times New Roman" w:hAnsi="Times New Roman" w:cs="Times New Roman"/>
        </w:rPr>
        <w:t xml:space="preserve"> precio FOB </w:t>
      </w:r>
      <w:r>
        <w:rPr>
          <w:rFonts w:ascii="Times New Roman" w:hAnsi="Times New Roman" w:cs="Times New Roman"/>
        </w:rPr>
        <w:t>contemplado en el ACB asciende a</w:t>
      </w:r>
      <w:r w:rsidR="00887FD8">
        <w:rPr>
          <w:rFonts w:ascii="Times New Roman" w:hAnsi="Times New Roman" w:cs="Times New Roman"/>
        </w:rPr>
        <w:t xml:space="preserve"> 186 HTG por docena</w:t>
      </w:r>
      <w:r w:rsidR="00887FD8">
        <w:rPr>
          <w:rStyle w:val="FootnoteReference"/>
          <w:rFonts w:ascii="Times New Roman" w:hAnsi="Times New Roman" w:cs="Times New Roman"/>
        </w:rPr>
        <w:footnoteReference w:id="6"/>
      </w:r>
      <w:r w:rsidR="00887FD8">
        <w:rPr>
          <w:rFonts w:ascii="Times New Roman" w:hAnsi="Times New Roman" w:cs="Times New Roman"/>
        </w:rPr>
        <w:t xml:space="preserve"> (equivalente a 0,71 USD/Kg)</w:t>
      </w:r>
      <w:r>
        <w:rPr>
          <w:rFonts w:ascii="Times New Roman" w:hAnsi="Times New Roman" w:cs="Times New Roman"/>
        </w:rPr>
        <w:t xml:space="preserve">, </w:t>
      </w:r>
      <w:r w:rsidR="001C56F4">
        <w:rPr>
          <w:rFonts w:ascii="Times New Roman" w:hAnsi="Times New Roman" w:cs="Times New Roman"/>
        </w:rPr>
        <w:t>cifra</w:t>
      </w:r>
      <w:r>
        <w:rPr>
          <w:rFonts w:ascii="Times New Roman" w:hAnsi="Times New Roman" w:cs="Times New Roman"/>
        </w:rPr>
        <w:t xml:space="preserve"> </w:t>
      </w:r>
      <w:r w:rsidR="00887FD8">
        <w:rPr>
          <w:rFonts w:ascii="Times New Roman" w:hAnsi="Times New Roman" w:cs="Times New Roman"/>
        </w:rPr>
        <w:t>notablemente inferior a</w:t>
      </w:r>
      <w:r w:rsidR="001C56F4">
        <w:rPr>
          <w:rFonts w:ascii="Times New Roman" w:hAnsi="Times New Roman" w:cs="Times New Roman"/>
        </w:rPr>
        <w:t>l precio</w:t>
      </w:r>
      <w:r w:rsidR="00887FD8">
        <w:rPr>
          <w:rFonts w:ascii="Times New Roman" w:hAnsi="Times New Roman" w:cs="Times New Roman"/>
        </w:rPr>
        <w:t xml:space="preserve"> paga</w:t>
      </w:r>
      <w:r w:rsidR="001C56F4">
        <w:rPr>
          <w:rFonts w:ascii="Times New Roman" w:hAnsi="Times New Roman" w:cs="Times New Roman"/>
        </w:rPr>
        <w:t>do</w:t>
      </w:r>
      <w:r w:rsidR="00887FD8">
        <w:rPr>
          <w:rFonts w:ascii="Times New Roman" w:hAnsi="Times New Roman" w:cs="Times New Roman"/>
        </w:rPr>
        <w:t xml:space="preserve"> CIF en puertos de los Estados Unidos como el de Miami, donde la caja de 4,5 kg suele </w:t>
      </w:r>
      <w:r w:rsidR="001C56F4">
        <w:rPr>
          <w:rFonts w:ascii="Times New Roman" w:hAnsi="Times New Roman" w:cs="Times New Roman"/>
        </w:rPr>
        <w:t>costar</w:t>
      </w:r>
      <w:r w:rsidR="00887FD8">
        <w:rPr>
          <w:rFonts w:ascii="Times New Roman" w:hAnsi="Times New Roman" w:cs="Times New Roman"/>
        </w:rPr>
        <w:t xml:space="preserve"> </w:t>
      </w:r>
      <w:r w:rsidR="001C56F4">
        <w:rPr>
          <w:rFonts w:ascii="Times New Roman" w:hAnsi="Times New Roman" w:cs="Times New Roman"/>
        </w:rPr>
        <w:t>10 USD por unidad,</w:t>
      </w:r>
      <w:r w:rsidR="00887FD8">
        <w:rPr>
          <w:rFonts w:ascii="Times New Roman" w:hAnsi="Times New Roman" w:cs="Times New Roman"/>
        </w:rPr>
        <w:t xml:space="preserve"> equivalente a 2,22 USD/Kg.</w:t>
      </w:r>
    </w:p>
    <w:p w:rsidR="00EE5309" w:rsidRPr="00EE5309" w:rsidRDefault="00EE5309" w:rsidP="00EE5309">
      <w:pPr>
        <w:pStyle w:val="ListParagraph"/>
        <w:rPr>
          <w:rFonts w:ascii="Times New Roman" w:hAnsi="Times New Roman" w:cs="Times New Roman"/>
        </w:rPr>
      </w:pPr>
    </w:p>
    <w:p w:rsidR="00887FD8" w:rsidRPr="00CD213E" w:rsidRDefault="00847F4D" w:rsidP="00FE0C5F">
      <w:pPr>
        <w:pStyle w:val="ListParagraph"/>
        <w:numPr>
          <w:ilvl w:val="1"/>
          <w:numId w:val="30"/>
        </w:numPr>
        <w:ind w:hanging="578"/>
        <w:jc w:val="both"/>
        <w:rPr>
          <w:rFonts w:ascii="Times New Roman" w:hAnsi="Times New Roman" w:cs="Times New Roman"/>
        </w:rPr>
      </w:pPr>
      <w:r w:rsidRPr="00CD213E">
        <w:rPr>
          <w:rFonts w:ascii="Times New Roman" w:hAnsi="Times New Roman" w:cs="Times New Roman"/>
        </w:rPr>
        <w:t xml:space="preserve">La superficie del área piloto prevista en el Programa </w:t>
      </w:r>
      <w:r w:rsidR="00887FD8" w:rsidRPr="00CD213E">
        <w:rPr>
          <w:rFonts w:ascii="Times New Roman" w:hAnsi="Times New Roman" w:cs="Times New Roman"/>
        </w:rPr>
        <w:t>abarca</w:t>
      </w:r>
      <w:r w:rsidRPr="00CD213E">
        <w:rPr>
          <w:rFonts w:ascii="Times New Roman" w:hAnsi="Times New Roman" w:cs="Times New Roman"/>
        </w:rPr>
        <w:t xml:space="preserve"> 392 km2</w:t>
      </w:r>
      <w:r w:rsidR="00887FD8" w:rsidRPr="00D35E4D">
        <w:rPr>
          <w:rFonts w:ascii="Times New Roman" w:hAnsi="Times New Roman" w:cs="Times New Roman"/>
        </w:rPr>
        <w:t xml:space="preserve"> </w:t>
      </w:r>
      <w:r w:rsidRPr="006E2FE2">
        <w:rPr>
          <w:rFonts w:ascii="Times New Roman" w:hAnsi="Times New Roman" w:cs="Times New Roman"/>
        </w:rPr>
        <w:t xml:space="preserve">de los 3.700 km2 que están siendo actualmente monitoreados </w:t>
      </w:r>
      <w:r w:rsidR="001C56F4">
        <w:rPr>
          <w:rFonts w:ascii="Times New Roman" w:hAnsi="Times New Roman" w:cs="Times New Roman"/>
        </w:rPr>
        <w:t xml:space="preserve">en colaboración con el USDA </w:t>
      </w:r>
      <w:r w:rsidRPr="006E2FE2">
        <w:rPr>
          <w:rFonts w:ascii="Times New Roman" w:hAnsi="Times New Roman" w:cs="Times New Roman"/>
        </w:rPr>
        <w:t xml:space="preserve">para la exportación </w:t>
      </w:r>
      <w:r w:rsidRPr="006E2FE2">
        <w:rPr>
          <w:rFonts w:ascii="Times New Roman" w:hAnsi="Times New Roman" w:cs="Times New Roman"/>
        </w:rPr>
        <w:lastRenderedPageBreak/>
        <w:t>de la producción de mango</w:t>
      </w:r>
      <w:r w:rsidRPr="00AF46AE">
        <w:rPr>
          <w:rFonts w:ascii="Times New Roman" w:hAnsi="Times New Roman" w:cs="Times New Roman"/>
        </w:rPr>
        <w:t xml:space="preserve">. En particular, las zonas elegidas </w:t>
      </w:r>
      <w:r w:rsidR="00887FD8" w:rsidRPr="00AF46AE">
        <w:rPr>
          <w:rFonts w:ascii="Times New Roman" w:hAnsi="Times New Roman" w:cs="Times New Roman"/>
        </w:rPr>
        <w:t>(Gros-</w:t>
      </w:r>
      <w:r w:rsidR="00887FD8" w:rsidRPr="00436D21">
        <w:rPr>
          <w:rFonts w:ascii="Times New Roman" w:hAnsi="Times New Roman" w:cs="Times New Roman"/>
        </w:rPr>
        <w:t>Morne y Terre</w:t>
      </w:r>
      <w:r w:rsidR="00887FD8" w:rsidRPr="00887FD8">
        <w:rPr>
          <w:rFonts w:ascii="Times New Roman" w:hAnsi="Times New Roman" w:cs="Times New Roman"/>
        </w:rPr>
        <w:t>-</w:t>
      </w:r>
      <w:r w:rsidR="005B382F" w:rsidRPr="00887FD8">
        <w:rPr>
          <w:rFonts w:ascii="Times New Roman" w:hAnsi="Times New Roman" w:cs="Times New Roman"/>
        </w:rPr>
        <w:t xml:space="preserve">Neuve) </w:t>
      </w:r>
      <w:r w:rsidR="00887FD8">
        <w:rPr>
          <w:rFonts w:ascii="Times New Roman" w:hAnsi="Times New Roman" w:cs="Times New Roman"/>
        </w:rPr>
        <w:t xml:space="preserve">se sitúan </w:t>
      </w:r>
      <w:r w:rsidR="00887FD8" w:rsidRPr="00CD213E">
        <w:rPr>
          <w:rFonts w:ascii="Times New Roman" w:hAnsi="Times New Roman" w:cs="Times New Roman"/>
        </w:rPr>
        <w:t xml:space="preserve">donde se </w:t>
      </w:r>
      <w:r w:rsidR="001C56F4">
        <w:rPr>
          <w:rFonts w:ascii="Times New Roman" w:hAnsi="Times New Roman" w:cs="Times New Roman"/>
        </w:rPr>
        <w:t xml:space="preserve">producen </w:t>
      </w:r>
      <w:r w:rsidR="00887FD8" w:rsidRPr="00CD213E">
        <w:rPr>
          <w:rFonts w:ascii="Times New Roman" w:hAnsi="Times New Roman" w:cs="Times New Roman"/>
        </w:rPr>
        <w:t xml:space="preserve">las </w:t>
      </w:r>
      <w:r w:rsidR="001C56F4">
        <w:rPr>
          <w:rFonts w:ascii="Times New Roman" w:hAnsi="Times New Roman" w:cs="Times New Roman"/>
        </w:rPr>
        <w:t xml:space="preserve">recogidas </w:t>
      </w:r>
      <w:r w:rsidR="00887FD8" w:rsidRPr="00CD213E">
        <w:rPr>
          <w:rFonts w:ascii="Times New Roman" w:hAnsi="Times New Roman" w:cs="Times New Roman"/>
        </w:rPr>
        <w:t>más tardías dentro de la campaña anual</w:t>
      </w:r>
      <w:r w:rsidR="005B382F" w:rsidRPr="00CD213E">
        <w:rPr>
          <w:rFonts w:ascii="Times New Roman" w:hAnsi="Times New Roman" w:cs="Times New Roman"/>
        </w:rPr>
        <w:t xml:space="preserve">. </w:t>
      </w:r>
      <w:r w:rsidR="00887FD8" w:rsidRPr="00CD213E">
        <w:rPr>
          <w:rFonts w:ascii="Times New Roman" w:hAnsi="Times New Roman" w:cs="Times New Roman"/>
        </w:rPr>
        <w:t>Por e</w:t>
      </w:r>
      <w:r w:rsidR="001C56F4">
        <w:rPr>
          <w:rFonts w:ascii="Times New Roman" w:hAnsi="Times New Roman" w:cs="Times New Roman"/>
        </w:rPr>
        <w:t>llo,</w:t>
      </w:r>
      <w:r w:rsidR="00887FD8" w:rsidRPr="00CD213E">
        <w:rPr>
          <w:rFonts w:ascii="Times New Roman" w:hAnsi="Times New Roman" w:cs="Times New Roman"/>
        </w:rPr>
        <w:t xml:space="preserve"> buena parte del mango cosechado en es</w:t>
      </w:r>
      <w:r w:rsidR="001C56F4">
        <w:rPr>
          <w:rFonts w:ascii="Times New Roman" w:hAnsi="Times New Roman" w:cs="Times New Roman"/>
        </w:rPr>
        <w:t>t</w:t>
      </w:r>
      <w:r w:rsidR="00887FD8" w:rsidRPr="00CD213E">
        <w:rPr>
          <w:rFonts w:ascii="Times New Roman" w:hAnsi="Times New Roman" w:cs="Times New Roman"/>
        </w:rPr>
        <w:t xml:space="preserve">as zonas </w:t>
      </w:r>
      <w:r w:rsidR="00887FD8">
        <w:rPr>
          <w:rFonts w:ascii="Times New Roman" w:hAnsi="Times New Roman" w:cs="Times New Roman"/>
        </w:rPr>
        <w:t xml:space="preserve">suele </w:t>
      </w:r>
      <w:r w:rsidR="00887FD8" w:rsidRPr="00CD213E">
        <w:rPr>
          <w:rFonts w:ascii="Times New Roman" w:hAnsi="Times New Roman" w:cs="Times New Roman"/>
        </w:rPr>
        <w:t>ve</w:t>
      </w:r>
      <w:r w:rsidR="00887FD8">
        <w:rPr>
          <w:rFonts w:ascii="Times New Roman" w:hAnsi="Times New Roman" w:cs="Times New Roman"/>
        </w:rPr>
        <w:t>r</w:t>
      </w:r>
      <w:r w:rsidR="00887FD8" w:rsidRPr="00CD213E">
        <w:rPr>
          <w:rFonts w:ascii="Times New Roman" w:hAnsi="Times New Roman" w:cs="Times New Roman"/>
        </w:rPr>
        <w:t xml:space="preserve"> limitado su acceso a las plantas de tratamiento para su exportación, </w:t>
      </w:r>
      <w:r w:rsidR="001C56F4">
        <w:rPr>
          <w:rFonts w:ascii="Times New Roman" w:hAnsi="Times New Roman" w:cs="Times New Roman"/>
        </w:rPr>
        <w:t>debido a la aparición</w:t>
      </w:r>
      <w:r w:rsidRPr="006E2FE2">
        <w:rPr>
          <w:rFonts w:ascii="Times New Roman" w:hAnsi="Times New Roman" w:cs="Times New Roman"/>
        </w:rPr>
        <w:t xml:space="preserve"> de la mosca </w:t>
      </w:r>
      <w:r w:rsidR="005B382F" w:rsidRPr="00AF46AE">
        <w:rPr>
          <w:rFonts w:ascii="Times New Roman" w:hAnsi="Times New Roman" w:cs="Times New Roman"/>
        </w:rPr>
        <w:t xml:space="preserve">de </w:t>
      </w:r>
      <w:r w:rsidR="008F28BD" w:rsidRPr="00AF46AE">
        <w:rPr>
          <w:rFonts w:ascii="Times New Roman" w:hAnsi="Times New Roman" w:cs="Times New Roman"/>
        </w:rPr>
        <w:t>la fruta al final de</w:t>
      </w:r>
      <w:r w:rsidR="00887FD8" w:rsidRPr="00AF46AE">
        <w:rPr>
          <w:rFonts w:ascii="Times New Roman" w:hAnsi="Times New Roman" w:cs="Times New Roman"/>
        </w:rPr>
        <w:t xml:space="preserve">l periodo de </w:t>
      </w:r>
      <w:r w:rsidR="00887FD8">
        <w:rPr>
          <w:rFonts w:ascii="Times New Roman" w:hAnsi="Times New Roman" w:cs="Times New Roman"/>
        </w:rPr>
        <w:t xml:space="preserve">la </w:t>
      </w:r>
      <w:r w:rsidR="008F28BD" w:rsidRPr="00CD213E">
        <w:rPr>
          <w:rFonts w:ascii="Times New Roman" w:hAnsi="Times New Roman" w:cs="Times New Roman"/>
        </w:rPr>
        <w:t>campaña</w:t>
      </w:r>
      <w:r w:rsidR="00887FD8">
        <w:rPr>
          <w:rFonts w:ascii="Times New Roman" w:hAnsi="Times New Roman" w:cs="Times New Roman"/>
        </w:rPr>
        <w:t xml:space="preserve"> anual</w:t>
      </w:r>
      <w:r w:rsidR="00887FD8" w:rsidRPr="00CD213E">
        <w:rPr>
          <w:rFonts w:ascii="Times New Roman" w:hAnsi="Times New Roman" w:cs="Times New Roman"/>
        </w:rPr>
        <w:t>.</w:t>
      </w:r>
    </w:p>
    <w:p w:rsidR="00887FD8" w:rsidRPr="006D314E" w:rsidRDefault="00887FD8" w:rsidP="006D314E">
      <w:pPr>
        <w:pStyle w:val="ListParagraph"/>
        <w:rPr>
          <w:rFonts w:ascii="Times New Roman" w:hAnsi="Times New Roman" w:cs="Times New Roman"/>
        </w:rPr>
      </w:pPr>
    </w:p>
    <w:p w:rsidR="00847F4D" w:rsidRDefault="00887FD8" w:rsidP="00FE0C5F">
      <w:pPr>
        <w:pStyle w:val="ListParagraph"/>
        <w:numPr>
          <w:ilvl w:val="1"/>
          <w:numId w:val="30"/>
        </w:numPr>
        <w:ind w:hanging="578"/>
        <w:jc w:val="both"/>
        <w:rPr>
          <w:rFonts w:ascii="Times New Roman" w:hAnsi="Times New Roman" w:cs="Times New Roman"/>
        </w:rPr>
      </w:pPr>
      <w:r w:rsidRPr="00CD213E">
        <w:rPr>
          <w:rFonts w:ascii="Times New Roman" w:hAnsi="Times New Roman" w:cs="Times New Roman"/>
        </w:rPr>
        <w:t>En el área piloto, la cosecha</w:t>
      </w:r>
      <w:r>
        <w:rPr>
          <w:rFonts w:ascii="Times New Roman" w:hAnsi="Times New Roman" w:cs="Times New Roman"/>
        </w:rPr>
        <w:t xml:space="preserve"> se estima poder aumentarse de los 2,5 meses actuales a 4,5 meses gracias al control realizado para la disminución de la población de la mosca</w:t>
      </w:r>
      <w:r w:rsidR="00847F4D">
        <w:rPr>
          <w:rFonts w:ascii="Times New Roman" w:hAnsi="Times New Roman" w:cs="Times New Roman"/>
        </w:rPr>
        <w:t xml:space="preserve">. </w:t>
      </w:r>
    </w:p>
    <w:p w:rsidR="000E28CA" w:rsidRDefault="000E28CA" w:rsidP="004639E8">
      <w:pPr>
        <w:pStyle w:val="ListParagraph"/>
        <w:ind w:left="288"/>
        <w:jc w:val="both"/>
        <w:rPr>
          <w:rFonts w:ascii="Times New Roman" w:hAnsi="Times New Roman" w:cs="Times New Roman"/>
        </w:rPr>
      </w:pPr>
    </w:p>
    <w:p w:rsidR="009B500C" w:rsidRDefault="009B500C"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El cuadro </w:t>
      </w:r>
      <w:r w:rsidR="005D6844">
        <w:rPr>
          <w:rFonts w:ascii="Times New Roman" w:hAnsi="Times New Roman" w:cs="Times New Roman"/>
        </w:rPr>
        <w:t>siguiente</w:t>
      </w:r>
      <w:r>
        <w:rPr>
          <w:rFonts w:ascii="Times New Roman" w:hAnsi="Times New Roman" w:cs="Times New Roman"/>
        </w:rPr>
        <w:t xml:space="preserve"> expone </w:t>
      </w:r>
      <w:r w:rsidR="00285EFE">
        <w:rPr>
          <w:rFonts w:ascii="Times New Roman" w:hAnsi="Times New Roman" w:cs="Times New Roman"/>
        </w:rPr>
        <w:t xml:space="preserve">las variables </w:t>
      </w:r>
      <w:r w:rsidR="00B12D7D">
        <w:rPr>
          <w:rFonts w:ascii="Times New Roman" w:hAnsi="Times New Roman" w:cs="Times New Roman"/>
        </w:rPr>
        <w:t xml:space="preserve">que se han tenido </w:t>
      </w:r>
      <w:r w:rsidR="00285EFE">
        <w:rPr>
          <w:rFonts w:ascii="Times New Roman" w:hAnsi="Times New Roman" w:cs="Times New Roman"/>
        </w:rPr>
        <w:t>en cuenta para la cuantificación de</w:t>
      </w:r>
      <w:r w:rsidR="008E4C2F">
        <w:rPr>
          <w:rFonts w:ascii="Times New Roman" w:hAnsi="Times New Roman" w:cs="Times New Roman"/>
        </w:rPr>
        <w:t xml:space="preserve">l aumento del volumen </w:t>
      </w:r>
      <w:r>
        <w:rPr>
          <w:rFonts w:ascii="Times New Roman" w:hAnsi="Times New Roman" w:cs="Times New Roman"/>
        </w:rPr>
        <w:t xml:space="preserve">de mango </w:t>
      </w:r>
      <w:r w:rsidR="008E4C2F">
        <w:rPr>
          <w:rFonts w:ascii="Times New Roman" w:hAnsi="Times New Roman" w:cs="Times New Roman"/>
        </w:rPr>
        <w:t>exportado</w:t>
      </w:r>
      <w:r w:rsidR="00B065B6">
        <w:rPr>
          <w:rFonts w:ascii="Times New Roman" w:hAnsi="Times New Roman" w:cs="Times New Roman"/>
        </w:rPr>
        <w:t>, generado</w:t>
      </w:r>
      <w:r w:rsidR="008E4C2F">
        <w:rPr>
          <w:rFonts w:ascii="Times New Roman" w:hAnsi="Times New Roman" w:cs="Times New Roman"/>
        </w:rPr>
        <w:t xml:space="preserve"> </w:t>
      </w:r>
      <w:r w:rsidR="00B065B6">
        <w:rPr>
          <w:rFonts w:ascii="Times New Roman" w:hAnsi="Times New Roman" w:cs="Times New Roman"/>
        </w:rPr>
        <w:t xml:space="preserve">con </w:t>
      </w:r>
      <w:r w:rsidR="00285EFE">
        <w:rPr>
          <w:rFonts w:ascii="Times New Roman" w:hAnsi="Times New Roman" w:cs="Times New Roman"/>
        </w:rPr>
        <w:t xml:space="preserve">la </w:t>
      </w:r>
      <w:r w:rsidR="008E4C2F">
        <w:rPr>
          <w:rFonts w:ascii="Times New Roman" w:hAnsi="Times New Roman" w:cs="Times New Roman"/>
        </w:rPr>
        <w:t>ejecución del Programa</w:t>
      </w:r>
      <w:r>
        <w:rPr>
          <w:rFonts w:ascii="Times New Roman" w:hAnsi="Times New Roman" w:cs="Times New Roman"/>
        </w:rPr>
        <w:t>.</w:t>
      </w:r>
      <w:r w:rsidR="00B12D7D">
        <w:rPr>
          <w:rFonts w:ascii="Times New Roman" w:hAnsi="Times New Roman" w:cs="Times New Roman"/>
        </w:rPr>
        <w:t xml:space="preserve"> </w:t>
      </w:r>
    </w:p>
    <w:p w:rsidR="002971E9" w:rsidRPr="002971E9" w:rsidRDefault="002971E9" w:rsidP="002971E9">
      <w:pPr>
        <w:jc w:val="both"/>
        <w:rPr>
          <w:rFonts w:ascii="Times New Roman" w:hAnsi="Times New Roman" w:cs="Times New Roman"/>
        </w:rPr>
      </w:pPr>
    </w:p>
    <w:p w:rsidR="007C1D28" w:rsidRDefault="009B500C" w:rsidP="00CD213E">
      <w:pPr>
        <w:pStyle w:val="ListParagraph"/>
        <w:jc w:val="center"/>
        <w:rPr>
          <w:rFonts w:ascii="Times New Roman" w:eastAsia="Times New Roman" w:hAnsi="Times New Roman" w:cs="Times New Roman"/>
          <w:b/>
          <w:bCs/>
          <w:sz w:val="20"/>
          <w:szCs w:val="20"/>
          <w:lang w:eastAsia="es-ES_tradnl"/>
        </w:rPr>
      </w:pPr>
      <w:r w:rsidRPr="00E541FF">
        <w:rPr>
          <w:rFonts w:ascii="Times New Roman" w:eastAsia="Times New Roman" w:hAnsi="Times New Roman" w:cs="Times New Roman"/>
          <w:b/>
          <w:bCs/>
          <w:sz w:val="20"/>
          <w:szCs w:val="20"/>
          <w:lang w:eastAsia="es-ES_tradnl"/>
        </w:rPr>
        <w:t xml:space="preserve">Cuadro </w:t>
      </w:r>
      <w:r w:rsidRPr="00E541FF">
        <w:rPr>
          <w:rFonts w:ascii="Times New Roman" w:eastAsia="Times New Roman" w:hAnsi="Times New Roman" w:cs="Times New Roman"/>
          <w:b/>
          <w:bCs/>
          <w:sz w:val="20"/>
          <w:szCs w:val="20"/>
          <w:lang w:eastAsia="es-ES_tradnl"/>
        </w:rPr>
        <w:fldChar w:fldCharType="begin"/>
      </w:r>
      <w:r w:rsidRPr="00E541FF">
        <w:rPr>
          <w:rFonts w:ascii="Times New Roman" w:eastAsia="Times New Roman" w:hAnsi="Times New Roman" w:cs="Times New Roman"/>
          <w:b/>
          <w:bCs/>
          <w:sz w:val="20"/>
          <w:szCs w:val="20"/>
          <w:lang w:eastAsia="es-ES_tradnl"/>
        </w:rPr>
        <w:instrText xml:space="preserve"> SEQ Tableau \* ARABIC </w:instrText>
      </w:r>
      <w:r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4</w:t>
      </w:r>
      <w:r w:rsidRPr="00E541FF">
        <w:rPr>
          <w:rFonts w:ascii="Times New Roman" w:eastAsia="Times New Roman" w:hAnsi="Times New Roman" w:cs="Times New Roman"/>
          <w:b/>
          <w:bCs/>
          <w:sz w:val="20"/>
          <w:szCs w:val="20"/>
          <w:lang w:eastAsia="es-ES_tradnl"/>
        </w:rPr>
        <w:fldChar w:fldCharType="end"/>
      </w:r>
      <w:r w:rsidRPr="00E541FF">
        <w:rPr>
          <w:rFonts w:ascii="Times New Roman" w:eastAsia="Times New Roman" w:hAnsi="Times New Roman" w:cs="Times New Roman"/>
          <w:b/>
          <w:bCs/>
          <w:sz w:val="20"/>
          <w:szCs w:val="20"/>
          <w:lang w:eastAsia="es-ES_tradnl"/>
        </w:rPr>
        <w:t xml:space="preserve">. </w:t>
      </w:r>
      <w:r w:rsidR="00691CCD">
        <w:rPr>
          <w:rFonts w:ascii="Times New Roman" w:eastAsia="Times New Roman" w:hAnsi="Times New Roman" w:cs="Times New Roman"/>
          <w:b/>
          <w:bCs/>
          <w:sz w:val="20"/>
          <w:szCs w:val="20"/>
          <w:lang w:eastAsia="es-ES_tradnl"/>
        </w:rPr>
        <w:t xml:space="preserve">Hipótesis </w:t>
      </w:r>
      <w:r w:rsidR="00D35E4D">
        <w:rPr>
          <w:rFonts w:ascii="Times New Roman" w:eastAsia="Times New Roman" w:hAnsi="Times New Roman" w:cs="Times New Roman"/>
          <w:b/>
          <w:bCs/>
          <w:sz w:val="20"/>
          <w:szCs w:val="20"/>
          <w:lang w:eastAsia="es-ES_tradnl"/>
        </w:rPr>
        <w:t xml:space="preserve">del aumento </w:t>
      </w:r>
      <w:r w:rsidR="00CD213E">
        <w:rPr>
          <w:rFonts w:ascii="Times New Roman" w:eastAsia="Times New Roman" w:hAnsi="Times New Roman" w:cs="Times New Roman"/>
          <w:b/>
          <w:bCs/>
          <w:sz w:val="20"/>
          <w:szCs w:val="20"/>
          <w:lang w:eastAsia="es-ES_tradnl"/>
        </w:rPr>
        <w:t xml:space="preserve">del volumen de </w:t>
      </w:r>
      <w:r w:rsidR="002971E9">
        <w:rPr>
          <w:rFonts w:ascii="Times New Roman" w:eastAsia="Times New Roman" w:hAnsi="Times New Roman" w:cs="Times New Roman"/>
          <w:b/>
          <w:bCs/>
          <w:sz w:val="20"/>
          <w:szCs w:val="20"/>
          <w:lang w:eastAsia="es-ES_tradnl"/>
        </w:rPr>
        <w:t xml:space="preserve">mango </w:t>
      </w:r>
      <w:r w:rsidR="00CD213E">
        <w:rPr>
          <w:rFonts w:ascii="Times New Roman" w:eastAsia="Times New Roman" w:hAnsi="Times New Roman" w:cs="Times New Roman"/>
          <w:b/>
          <w:bCs/>
          <w:sz w:val="20"/>
          <w:szCs w:val="20"/>
          <w:lang w:eastAsia="es-ES_tradnl"/>
        </w:rPr>
        <w:t xml:space="preserve">exportado </w:t>
      </w:r>
    </w:p>
    <w:tbl>
      <w:tblPr>
        <w:tblW w:w="8936" w:type="dxa"/>
        <w:jc w:val="center"/>
        <w:tblInd w:w="65" w:type="dxa"/>
        <w:tblCellMar>
          <w:left w:w="70" w:type="dxa"/>
          <w:right w:w="70" w:type="dxa"/>
        </w:tblCellMar>
        <w:tblLook w:val="04A0" w:firstRow="1" w:lastRow="0" w:firstColumn="1" w:lastColumn="0" w:noHBand="0" w:noVBand="1"/>
      </w:tblPr>
      <w:tblGrid>
        <w:gridCol w:w="5959"/>
        <w:gridCol w:w="1221"/>
        <w:gridCol w:w="1756"/>
      </w:tblGrid>
      <w:tr w:rsidR="00A4597A" w:rsidRPr="00A4597A" w:rsidTr="00A4597A">
        <w:trPr>
          <w:trHeight w:val="630"/>
          <w:jc w:val="center"/>
        </w:trPr>
        <w:tc>
          <w:tcPr>
            <w:tcW w:w="8936"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Hipótesis del aumento de las exportaciones de mango</w:t>
            </w:r>
          </w:p>
        </w:tc>
      </w:tr>
      <w:tr w:rsidR="00A4597A" w:rsidRPr="00A4597A" w:rsidTr="00A4597A">
        <w:trPr>
          <w:trHeight w:val="450"/>
          <w:jc w:val="center"/>
        </w:trPr>
        <w:tc>
          <w:tcPr>
            <w:tcW w:w="5959" w:type="dxa"/>
            <w:tcBorders>
              <w:top w:val="nil"/>
              <w:left w:val="single" w:sz="4" w:space="0" w:color="auto"/>
              <w:bottom w:val="single" w:sz="4" w:space="0" w:color="auto"/>
              <w:right w:val="single" w:sz="4" w:space="0" w:color="auto"/>
            </w:tcBorders>
            <w:shd w:val="clear" w:color="000000" w:fill="D9D9D9"/>
            <w:noWrap/>
            <w:vAlign w:val="center"/>
            <w:hideMark/>
          </w:tcPr>
          <w:p w:rsidR="00A4597A" w:rsidRPr="00A4597A" w:rsidRDefault="00A4597A" w:rsidP="00A4597A">
            <w:pPr>
              <w:spacing w:line="240" w:lineRule="auto"/>
              <w:ind w:firstLineChars="100" w:firstLine="181"/>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Concepto</w:t>
            </w:r>
          </w:p>
        </w:tc>
        <w:tc>
          <w:tcPr>
            <w:tcW w:w="1221" w:type="dxa"/>
            <w:tcBorders>
              <w:top w:val="nil"/>
              <w:left w:val="nil"/>
              <w:bottom w:val="single" w:sz="4" w:space="0" w:color="auto"/>
              <w:right w:val="single" w:sz="4" w:space="0" w:color="auto"/>
            </w:tcBorders>
            <w:shd w:val="clear" w:color="000000" w:fill="D9D9D9"/>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 xml:space="preserve">Importe </w:t>
            </w:r>
          </w:p>
        </w:tc>
        <w:tc>
          <w:tcPr>
            <w:tcW w:w="1756" w:type="dxa"/>
            <w:tcBorders>
              <w:top w:val="nil"/>
              <w:left w:val="nil"/>
              <w:bottom w:val="single" w:sz="4" w:space="0" w:color="auto"/>
              <w:right w:val="single" w:sz="4" w:space="0" w:color="auto"/>
            </w:tcBorders>
            <w:shd w:val="clear" w:color="000000" w:fill="D9D9D9"/>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Unidad</w:t>
            </w:r>
          </w:p>
        </w:tc>
      </w:tr>
      <w:tr w:rsidR="00A4597A" w:rsidRPr="00A4597A" w:rsidTr="00A4597A">
        <w:trPr>
          <w:trHeight w:val="105"/>
          <w:jc w:val="center"/>
        </w:trPr>
        <w:tc>
          <w:tcPr>
            <w:tcW w:w="5959" w:type="dxa"/>
            <w:tcBorders>
              <w:top w:val="nil"/>
              <w:left w:val="nil"/>
              <w:bottom w:val="nil"/>
              <w:right w:val="nil"/>
            </w:tcBorders>
            <w:shd w:val="clear" w:color="auto" w:fill="auto"/>
            <w:noWrap/>
            <w:vAlign w:val="bottom"/>
            <w:hideMark/>
          </w:tcPr>
          <w:p w:rsidR="00A4597A" w:rsidRPr="00A4597A" w:rsidRDefault="00A4597A" w:rsidP="00A4597A">
            <w:pPr>
              <w:spacing w:line="240" w:lineRule="auto"/>
              <w:rPr>
                <w:rFonts w:ascii="Times New Roman" w:eastAsia="Times New Roman" w:hAnsi="Times New Roman" w:cs="Times New Roman"/>
                <w:color w:val="000000"/>
                <w:sz w:val="18"/>
                <w:szCs w:val="18"/>
                <w:lang w:eastAsia="es-ES"/>
              </w:rPr>
            </w:pPr>
          </w:p>
        </w:tc>
        <w:tc>
          <w:tcPr>
            <w:tcW w:w="1221" w:type="dxa"/>
            <w:tcBorders>
              <w:top w:val="nil"/>
              <w:left w:val="nil"/>
              <w:bottom w:val="nil"/>
              <w:right w:val="nil"/>
            </w:tcBorders>
            <w:shd w:val="clear" w:color="auto" w:fill="auto"/>
            <w:noWrap/>
            <w:vAlign w:val="bottom"/>
            <w:hideMark/>
          </w:tcPr>
          <w:p w:rsidR="00A4597A" w:rsidRPr="00A4597A" w:rsidRDefault="00A4597A" w:rsidP="00A4597A">
            <w:pPr>
              <w:spacing w:line="240" w:lineRule="auto"/>
              <w:rPr>
                <w:rFonts w:ascii="Times New Roman" w:eastAsia="Times New Roman" w:hAnsi="Times New Roman" w:cs="Times New Roman"/>
                <w:color w:val="000000"/>
                <w:sz w:val="18"/>
                <w:szCs w:val="18"/>
                <w:lang w:eastAsia="es-ES"/>
              </w:rPr>
            </w:pPr>
          </w:p>
        </w:tc>
        <w:tc>
          <w:tcPr>
            <w:tcW w:w="1756" w:type="dxa"/>
            <w:tcBorders>
              <w:top w:val="nil"/>
              <w:left w:val="nil"/>
              <w:bottom w:val="nil"/>
              <w:right w:val="nil"/>
            </w:tcBorders>
            <w:shd w:val="clear" w:color="auto" w:fill="auto"/>
            <w:noWrap/>
            <w:vAlign w:val="bottom"/>
            <w:hideMark/>
          </w:tcPr>
          <w:p w:rsidR="00A4597A" w:rsidRPr="00A4597A" w:rsidRDefault="00A4597A" w:rsidP="00A4597A">
            <w:pPr>
              <w:spacing w:line="240" w:lineRule="auto"/>
              <w:rPr>
                <w:rFonts w:ascii="Times New Roman" w:eastAsia="Times New Roman" w:hAnsi="Times New Roman" w:cs="Times New Roman"/>
                <w:color w:val="000000"/>
                <w:sz w:val="18"/>
                <w:szCs w:val="18"/>
                <w:lang w:eastAsia="es-ES"/>
              </w:rPr>
            </w:pPr>
          </w:p>
        </w:tc>
      </w:tr>
      <w:tr w:rsidR="00A4597A" w:rsidRPr="00A4597A" w:rsidTr="00A4597A">
        <w:trPr>
          <w:trHeight w:val="435"/>
          <w:jc w:val="center"/>
        </w:trPr>
        <w:tc>
          <w:tcPr>
            <w:tcW w:w="59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597A" w:rsidRPr="00A4597A" w:rsidRDefault="00A4597A"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Total Mango Exportado durante la campaña 2012-2013</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2.356.779</w:t>
            </w:r>
          </w:p>
        </w:tc>
        <w:tc>
          <w:tcPr>
            <w:tcW w:w="1756"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cajas de 4,5 Kg</w:t>
            </w:r>
          </w:p>
        </w:tc>
      </w:tr>
      <w:tr w:rsidR="00A4597A" w:rsidRPr="00A4597A" w:rsidTr="00A4597A">
        <w:trPr>
          <w:trHeight w:val="435"/>
          <w:jc w:val="center"/>
        </w:trPr>
        <w:tc>
          <w:tcPr>
            <w:tcW w:w="5959" w:type="dxa"/>
            <w:vMerge/>
            <w:tcBorders>
              <w:top w:val="single" w:sz="4" w:space="0" w:color="auto"/>
              <w:left w:val="single" w:sz="4" w:space="0" w:color="auto"/>
              <w:bottom w:val="single" w:sz="4" w:space="0" w:color="000000"/>
              <w:right w:val="single" w:sz="4" w:space="0" w:color="auto"/>
            </w:tcBorders>
            <w:vAlign w:val="center"/>
            <w:hideMark/>
          </w:tcPr>
          <w:p w:rsidR="00A4597A" w:rsidRPr="00A4597A" w:rsidRDefault="00A4597A" w:rsidP="00A4597A">
            <w:pPr>
              <w:spacing w:line="240" w:lineRule="auto"/>
              <w:rPr>
                <w:rFonts w:ascii="Times New Roman" w:eastAsia="Times New Roman" w:hAnsi="Times New Roman" w:cs="Times New Roman"/>
                <w:color w:val="000000"/>
                <w:sz w:val="18"/>
                <w:szCs w:val="18"/>
                <w:lang w:eastAsia="es-ES"/>
              </w:rPr>
            </w:pPr>
          </w:p>
        </w:tc>
        <w:tc>
          <w:tcPr>
            <w:tcW w:w="1221" w:type="dxa"/>
            <w:tcBorders>
              <w:top w:val="nil"/>
              <w:left w:val="single" w:sz="4" w:space="0" w:color="auto"/>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10.606</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xml:space="preserve"> Tn / año</w:t>
            </w:r>
          </w:p>
        </w:tc>
      </w:tr>
      <w:tr w:rsidR="00A4597A" w:rsidRPr="00A4597A" w:rsidTr="00A4597A">
        <w:trPr>
          <w:trHeight w:val="60"/>
          <w:jc w:val="center"/>
        </w:trPr>
        <w:tc>
          <w:tcPr>
            <w:tcW w:w="5959" w:type="dxa"/>
            <w:tcBorders>
              <w:top w:val="nil"/>
              <w:left w:val="nil"/>
              <w:bottom w:val="nil"/>
              <w:right w:val="nil"/>
            </w:tcBorders>
            <w:shd w:val="clear" w:color="auto" w:fill="auto"/>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p>
        </w:tc>
        <w:tc>
          <w:tcPr>
            <w:tcW w:w="1221" w:type="dxa"/>
            <w:tcBorders>
              <w:top w:val="single" w:sz="4" w:space="0" w:color="auto"/>
              <w:left w:val="nil"/>
              <w:bottom w:val="nil"/>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c>
          <w:tcPr>
            <w:tcW w:w="1756" w:type="dxa"/>
            <w:tcBorders>
              <w:top w:val="single" w:sz="4" w:space="0" w:color="auto"/>
              <w:left w:val="nil"/>
              <w:bottom w:val="single" w:sz="4" w:space="0" w:color="auto"/>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r>
      <w:tr w:rsidR="00A4597A" w:rsidRPr="00A4597A" w:rsidTr="00A4597A">
        <w:trPr>
          <w:trHeight w:val="467"/>
          <w:jc w:val="center"/>
        </w:trPr>
        <w:tc>
          <w:tcPr>
            <w:tcW w:w="5959" w:type="dxa"/>
            <w:tcBorders>
              <w:top w:val="single" w:sz="4" w:space="0" w:color="auto"/>
              <w:left w:val="single" w:sz="4" w:space="0" w:color="auto"/>
              <w:bottom w:val="nil"/>
              <w:right w:val="single" w:sz="4" w:space="0" w:color="auto"/>
            </w:tcBorders>
            <w:shd w:val="clear" w:color="auto" w:fill="auto"/>
            <w:vAlign w:val="center"/>
            <w:hideMark/>
          </w:tcPr>
          <w:p w:rsidR="00A4597A" w:rsidRPr="00A4597A" w:rsidRDefault="00A4597A" w:rsidP="00A4597A">
            <w:pPr>
              <w:spacing w:line="240" w:lineRule="auto"/>
              <w:ind w:leftChars="99" w:left="218"/>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Precio de la docena para el Mercado Local pagado al productor (en finca)</w:t>
            </w:r>
          </w:p>
        </w:tc>
        <w:tc>
          <w:tcPr>
            <w:tcW w:w="1221" w:type="dxa"/>
            <w:tcBorders>
              <w:top w:val="single" w:sz="4" w:space="0" w:color="auto"/>
              <w:left w:val="nil"/>
              <w:bottom w:val="nil"/>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20</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HTG</w:t>
            </w:r>
          </w:p>
        </w:tc>
      </w:tr>
      <w:tr w:rsidR="00A4597A" w:rsidRPr="00A4597A" w:rsidTr="00A4597A">
        <w:trPr>
          <w:trHeight w:val="417"/>
          <w:jc w:val="center"/>
        </w:trPr>
        <w:tc>
          <w:tcPr>
            <w:tcW w:w="5959" w:type="dxa"/>
            <w:tcBorders>
              <w:top w:val="single" w:sz="4" w:space="0" w:color="auto"/>
              <w:left w:val="single" w:sz="4" w:space="0" w:color="auto"/>
              <w:bottom w:val="nil"/>
              <w:right w:val="single" w:sz="4" w:space="0" w:color="auto"/>
            </w:tcBorders>
            <w:shd w:val="clear" w:color="auto" w:fill="auto"/>
            <w:vAlign w:val="center"/>
            <w:hideMark/>
          </w:tcPr>
          <w:p w:rsidR="00A4597A" w:rsidRPr="00A4597A" w:rsidRDefault="00A4597A"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Precio de la docena para la Exportación (FOB en Puerto Príncipe)</w:t>
            </w:r>
          </w:p>
        </w:tc>
        <w:tc>
          <w:tcPr>
            <w:tcW w:w="1221" w:type="dxa"/>
            <w:tcBorders>
              <w:top w:val="single" w:sz="4" w:space="0" w:color="auto"/>
              <w:left w:val="nil"/>
              <w:bottom w:val="nil"/>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186</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HTG</w:t>
            </w:r>
          </w:p>
        </w:tc>
      </w:tr>
      <w:tr w:rsidR="00A4597A" w:rsidRPr="00A4597A" w:rsidTr="00A4597A">
        <w:trPr>
          <w:trHeight w:val="435"/>
          <w:jc w:val="center"/>
        </w:trPr>
        <w:tc>
          <w:tcPr>
            <w:tcW w:w="5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597A" w:rsidRPr="00A4597A" w:rsidRDefault="00A4597A" w:rsidP="00A4597A">
            <w:pPr>
              <w:spacing w:line="240" w:lineRule="auto"/>
              <w:ind w:firstLineChars="100" w:firstLine="181"/>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Diferencial del precio del mango exportado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166</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HTG por docena</w:t>
            </w:r>
          </w:p>
        </w:tc>
      </w:tr>
      <w:tr w:rsidR="00A4597A" w:rsidRPr="00A4597A" w:rsidTr="00A4597A">
        <w:trPr>
          <w:trHeight w:val="387"/>
          <w:jc w:val="center"/>
        </w:trPr>
        <w:tc>
          <w:tcPr>
            <w:tcW w:w="5959" w:type="dxa"/>
            <w:vMerge/>
            <w:tcBorders>
              <w:top w:val="single" w:sz="4" w:space="0" w:color="auto"/>
              <w:left w:val="single" w:sz="4" w:space="0" w:color="auto"/>
              <w:bottom w:val="single" w:sz="4" w:space="0" w:color="auto"/>
              <w:right w:val="single" w:sz="4" w:space="0" w:color="auto"/>
            </w:tcBorders>
            <w:vAlign w:val="center"/>
            <w:hideMark/>
          </w:tcPr>
          <w:p w:rsidR="00A4597A" w:rsidRPr="00A4597A" w:rsidRDefault="00A4597A" w:rsidP="00A4597A">
            <w:pPr>
              <w:spacing w:line="240" w:lineRule="auto"/>
              <w:rPr>
                <w:rFonts w:ascii="Times New Roman" w:eastAsia="Times New Roman" w:hAnsi="Times New Roman" w:cs="Times New Roman"/>
                <w:b/>
                <w:bCs/>
                <w:color w:val="000000"/>
                <w:sz w:val="18"/>
                <w:szCs w:val="18"/>
                <w:lang w:eastAsia="es-ES"/>
              </w:rPr>
            </w:pP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3,72</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USD por docena</w:t>
            </w:r>
          </w:p>
        </w:tc>
      </w:tr>
      <w:tr w:rsidR="00A4597A" w:rsidRPr="00A4597A" w:rsidTr="00A4597A">
        <w:trPr>
          <w:trHeight w:val="435"/>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A4597A" w:rsidRPr="00A4597A" w:rsidRDefault="00A4597A" w:rsidP="00A4597A">
            <w:pPr>
              <w:spacing w:line="240" w:lineRule="auto"/>
              <w:ind w:firstLineChars="100" w:firstLine="180"/>
              <w:rPr>
                <w:rFonts w:ascii="Times New Roman" w:eastAsia="Times New Roman" w:hAnsi="Times New Roman" w:cs="Times New Roman"/>
                <w:bCs/>
                <w:color w:val="000000"/>
                <w:sz w:val="18"/>
                <w:szCs w:val="18"/>
                <w:lang w:eastAsia="es-ES"/>
              </w:rPr>
            </w:pPr>
            <w:r w:rsidRPr="00A4597A">
              <w:rPr>
                <w:rFonts w:ascii="Times New Roman" w:eastAsia="Times New Roman" w:hAnsi="Times New Roman" w:cs="Times New Roman"/>
                <w:bCs/>
                <w:color w:val="000000"/>
                <w:sz w:val="18"/>
                <w:szCs w:val="18"/>
                <w:lang w:eastAsia="es-ES"/>
              </w:rPr>
              <w:t>Peso de la Docena Haitiana</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Cs/>
                <w:color w:val="000000"/>
                <w:sz w:val="18"/>
                <w:szCs w:val="18"/>
                <w:lang w:eastAsia="es-ES"/>
              </w:rPr>
            </w:pPr>
            <w:r w:rsidRPr="00A4597A">
              <w:rPr>
                <w:rFonts w:ascii="Times New Roman" w:eastAsia="Times New Roman" w:hAnsi="Times New Roman" w:cs="Times New Roman"/>
                <w:bCs/>
                <w:color w:val="000000"/>
                <w:sz w:val="18"/>
                <w:szCs w:val="18"/>
                <w:lang w:eastAsia="es-ES"/>
              </w:rPr>
              <w:t>5,85</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Cs/>
                <w:color w:val="000000"/>
                <w:sz w:val="18"/>
                <w:szCs w:val="18"/>
                <w:lang w:eastAsia="es-ES"/>
              </w:rPr>
            </w:pPr>
            <w:r w:rsidRPr="00A4597A">
              <w:rPr>
                <w:rFonts w:ascii="Times New Roman" w:eastAsia="Times New Roman" w:hAnsi="Times New Roman" w:cs="Times New Roman"/>
                <w:bCs/>
                <w:color w:val="000000"/>
                <w:sz w:val="18"/>
                <w:szCs w:val="18"/>
                <w:lang w:eastAsia="es-ES"/>
              </w:rPr>
              <w:t>Kg</w:t>
            </w:r>
          </w:p>
        </w:tc>
      </w:tr>
      <w:tr w:rsidR="00A4597A" w:rsidRPr="00A4597A" w:rsidTr="00A4597A">
        <w:trPr>
          <w:trHeight w:val="435"/>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A4597A" w:rsidRPr="00A4597A" w:rsidRDefault="00A4597A" w:rsidP="00A4597A">
            <w:pPr>
              <w:spacing w:line="240" w:lineRule="auto"/>
              <w:ind w:firstLineChars="100" w:firstLine="181"/>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Diferencial del precio del mango exportado por Kg</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0,64</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USD / Kg</w:t>
            </w:r>
          </w:p>
        </w:tc>
      </w:tr>
      <w:tr w:rsidR="00A4597A" w:rsidRPr="00A4597A" w:rsidTr="00A4597A">
        <w:trPr>
          <w:trHeight w:val="91"/>
          <w:jc w:val="center"/>
        </w:trPr>
        <w:tc>
          <w:tcPr>
            <w:tcW w:w="5959" w:type="dxa"/>
            <w:tcBorders>
              <w:top w:val="nil"/>
              <w:left w:val="nil"/>
              <w:bottom w:val="nil"/>
              <w:right w:val="nil"/>
            </w:tcBorders>
            <w:shd w:val="clear" w:color="auto" w:fill="auto"/>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p>
        </w:tc>
        <w:tc>
          <w:tcPr>
            <w:tcW w:w="1221" w:type="dxa"/>
            <w:tcBorders>
              <w:top w:val="single" w:sz="4" w:space="0" w:color="auto"/>
              <w:left w:val="nil"/>
              <w:bottom w:val="nil"/>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c>
          <w:tcPr>
            <w:tcW w:w="1756" w:type="dxa"/>
            <w:tcBorders>
              <w:top w:val="single" w:sz="4" w:space="0" w:color="auto"/>
              <w:left w:val="nil"/>
              <w:bottom w:val="single" w:sz="4" w:space="0" w:color="auto"/>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r>
      <w:tr w:rsidR="00A4597A" w:rsidRPr="00A4597A" w:rsidTr="00A4597A">
        <w:trPr>
          <w:trHeight w:val="600"/>
          <w:jc w:val="center"/>
        </w:trPr>
        <w:tc>
          <w:tcPr>
            <w:tcW w:w="5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97A" w:rsidRPr="00A4597A" w:rsidRDefault="00632DBD"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Área</w:t>
            </w:r>
            <w:r w:rsidR="00A4597A" w:rsidRPr="00A4597A">
              <w:rPr>
                <w:rFonts w:ascii="Times New Roman" w:eastAsia="Times New Roman" w:hAnsi="Times New Roman" w:cs="Times New Roman"/>
                <w:color w:val="000000"/>
                <w:sz w:val="18"/>
                <w:szCs w:val="18"/>
                <w:lang w:eastAsia="es-ES"/>
              </w:rPr>
              <w:t xml:space="preserve"> total de producción de mango para exportación</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3.200</w:t>
            </w:r>
          </w:p>
        </w:tc>
        <w:tc>
          <w:tcPr>
            <w:tcW w:w="1756"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km2</w:t>
            </w:r>
          </w:p>
        </w:tc>
      </w:tr>
      <w:tr w:rsidR="00A4597A" w:rsidRPr="00A4597A" w:rsidTr="00A4597A">
        <w:trPr>
          <w:trHeight w:val="600"/>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A4597A" w:rsidRPr="00A4597A" w:rsidRDefault="00632DBD" w:rsidP="00942459">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Área</w:t>
            </w:r>
            <w:r w:rsidR="00A4597A" w:rsidRPr="00A4597A">
              <w:rPr>
                <w:rFonts w:ascii="Times New Roman" w:eastAsia="Times New Roman" w:hAnsi="Times New Roman" w:cs="Times New Roman"/>
                <w:color w:val="000000"/>
                <w:sz w:val="18"/>
                <w:szCs w:val="18"/>
                <w:lang w:eastAsia="es-ES"/>
              </w:rPr>
              <w:t xml:space="preserve"> del </w:t>
            </w:r>
            <w:r>
              <w:rPr>
                <w:rFonts w:ascii="Times New Roman" w:eastAsia="Times New Roman" w:hAnsi="Times New Roman" w:cs="Times New Roman"/>
                <w:color w:val="000000"/>
                <w:sz w:val="18"/>
                <w:szCs w:val="18"/>
                <w:lang w:eastAsia="es-ES"/>
              </w:rPr>
              <w:t>p</w:t>
            </w:r>
            <w:r w:rsidR="00A4597A" w:rsidRPr="00A4597A">
              <w:rPr>
                <w:rFonts w:ascii="Times New Roman" w:eastAsia="Times New Roman" w:hAnsi="Times New Roman" w:cs="Times New Roman"/>
                <w:color w:val="000000"/>
                <w:sz w:val="18"/>
                <w:szCs w:val="18"/>
                <w:lang w:eastAsia="es-ES"/>
              </w:rPr>
              <w:t xml:space="preserve">royecto </w:t>
            </w:r>
            <w:r>
              <w:rPr>
                <w:rFonts w:ascii="Times New Roman" w:eastAsia="Times New Roman" w:hAnsi="Times New Roman" w:cs="Times New Roman"/>
                <w:color w:val="000000"/>
                <w:sz w:val="18"/>
                <w:szCs w:val="18"/>
                <w:lang w:eastAsia="es-ES"/>
              </w:rPr>
              <w:t>p</w:t>
            </w:r>
            <w:r w:rsidR="00A4597A" w:rsidRPr="00A4597A">
              <w:rPr>
                <w:rFonts w:ascii="Times New Roman" w:eastAsia="Times New Roman" w:hAnsi="Times New Roman" w:cs="Times New Roman"/>
                <w:color w:val="000000"/>
                <w:sz w:val="18"/>
                <w:szCs w:val="18"/>
                <w:lang w:eastAsia="es-ES"/>
              </w:rPr>
              <w:t xml:space="preserve">iloto </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392</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km2</w:t>
            </w:r>
          </w:p>
        </w:tc>
      </w:tr>
      <w:tr w:rsidR="00A4597A" w:rsidRPr="00A4597A" w:rsidTr="00A4597A">
        <w:trPr>
          <w:trHeight w:val="600"/>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A4597A" w:rsidRPr="00A4597A" w:rsidRDefault="00A4597A" w:rsidP="00942459">
            <w:pPr>
              <w:spacing w:line="240" w:lineRule="auto"/>
              <w:ind w:firstLineChars="100" w:firstLine="181"/>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 xml:space="preserve">Exportación </w:t>
            </w:r>
            <w:r w:rsidR="00942459">
              <w:rPr>
                <w:rFonts w:ascii="Times New Roman" w:eastAsia="Times New Roman" w:hAnsi="Times New Roman" w:cs="Times New Roman"/>
                <w:b/>
                <w:bCs/>
                <w:color w:val="000000"/>
                <w:sz w:val="18"/>
                <w:szCs w:val="18"/>
                <w:lang w:eastAsia="es-ES"/>
              </w:rPr>
              <w:t>t</w:t>
            </w:r>
            <w:r w:rsidRPr="00A4597A">
              <w:rPr>
                <w:rFonts w:ascii="Times New Roman" w:eastAsia="Times New Roman" w:hAnsi="Times New Roman" w:cs="Times New Roman"/>
                <w:b/>
                <w:bCs/>
                <w:color w:val="000000"/>
                <w:sz w:val="18"/>
                <w:szCs w:val="18"/>
                <w:lang w:eastAsia="es-ES"/>
              </w:rPr>
              <w:t xml:space="preserve">otal </w:t>
            </w:r>
            <w:r w:rsidR="00942459">
              <w:rPr>
                <w:rFonts w:ascii="Times New Roman" w:eastAsia="Times New Roman" w:hAnsi="Times New Roman" w:cs="Times New Roman"/>
                <w:b/>
                <w:bCs/>
                <w:color w:val="000000"/>
                <w:sz w:val="18"/>
                <w:szCs w:val="18"/>
                <w:lang w:eastAsia="es-ES"/>
              </w:rPr>
              <w:t>a</w:t>
            </w:r>
            <w:r w:rsidRPr="00A4597A">
              <w:rPr>
                <w:rFonts w:ascii="Times New Roman" w:eastAsia="Times New Roman" w:hAnsi="Times New Roman" w:cs="Times New Roman"/>
                <w:b/>
                <w:bCs/>
                <w:color w:val="000000"/>
                <w:sz w:val="18"/>
                <w:szCs w:val="18"/>
                <w:lang w:eastAsia="es-ES"/>
              </w:rPr>
              <w:t xml:space="preserve">nual </w:t>
            </w:r>
            <w:r w:rsidR="00942459">
              <w:rPr>
                <w:rFonts w:ascii="Times New Roman" w:eastAsia="Times New Roman" w:hAnsi="Times New Roman" w:cs="Times New Roman"/>
                <w:b/>
                <w:bCs/>
                <w:color w:val="000000"/>
                <w:sz w:val="18"/>
                <w:szCs w:val="18"/>
                <w:lang w:eastAsia="es-ES"/>
              </w:rPr>
              <w:t>p</w:t>
            </w:r>
            <w:r w:rsidRPr="00A4597A">
              <w:rPr>
                <w:rFonts w:ascii="Times New Roman" w:eastAsia="Times New Roman" w:hAnsi="Times New Roman" w:cs="Times New Roman"/>
                <w:b/>
                <w:bCs/>
                <w:color w:val="000000"/>
                <w:sz w:val="18"/>
                <w:szCs w:val="18"/>
                <w:lang w:eastAsia="es-ES"/>
              </w:rPr>
              <w:t xml:space="preserve">otencial </w:t>
            </w:r>
            <w:r w:rsidR="00942459">
              <w:rPr>
                <w:rFonts w:ascii="Times New Roman" w:eastAsia="Times New Roman" w:hAnsi="Times New Roman" w:cs="Times New Roman"/>
                <w:b/>
                <w:bCs/>
                <w:color w:val="000000"/>
                <w:sz w:val="18"/>
                <w:szCs w:val="18"/>
                <w:lang w:eastAsia="es-ES"/>
              </w:rPr>
              <w:t>e</w:t>
            </w:r>
            <w:r w:rsidRPr="00A4597A">
              <w:rPr>
                <w:rFonts w:ascii="Times New Roman" w:eastAsia="Times New Roman" w:hAnsi="Times New Roman" w:cs="Times New Roman"/>
                <w:b/>
                <w:bCs/>
                <w:color w:val="000000"/>
                <w:sz w:val="18"/>
                <w:szCs w:val="18"/>
                <w:lang w:eastAsia="es-ES"/>
              </w:rPr>
              <w:t xml:space="preserve">quivalente en </w:t>
            </w:r>
            <w:r w:rsidR="00942459">
              <w:rPr>
                <w:rFonts w:ascii="Times New Roman" w:eastAsia="Times New Roman" w:hAnsi="Times New Roman" w:cs="Times New Roman"/>
                <w:b/>
                <w:bCs/>
                <w:color w:val="000000"/>
                <w:sz w:val="18"/>
                <w:szCs w:val="18"/>
                <w:lang w:eastAsia="es-ES"/>
              </w:rPr>
              <w:t>á</w:t>
            </w:r>
            <w:r w:rsidRPr="00A4597A">
              <w:rPr>
                <w:rFonts w:ascii="Times New Roman" w:eastAsia="Times New Roman" w:hAnsi="Times New Roman" w:cs="Times New Roman"/>
                <w:b/>
                <w:bCs/>
                <w:color w:val="000000"/>
                <w:sz w:val="18"/>
                <w:szCs w:val="18"/>
                <w:lang w:eastAsia="es-ES"/>
              </w:rPr>
              <w:t xml:space="preserve">rea </w:t>
            </w:r>
            <w:r w:rsidR="00942459">
              <w:rPr>
                <w:rFonts w:ascii="Times New Roman" w:eastAsia="Times New Roman" w:hAnsi="Times New Roman" w:cs="Times New Roman"/>
                <w:b/>
                <w:bCs/>
                <w:color w:val="000000"/>
                <w:sz w:val="18"/>
                <w:szCs w:val="18"/>
                <w:lang w:eastAsia="es-ES"/>
              </w:rPr>
              <w:t>p</w:t>
            </w:r>
            <w:r w:rsidRPr="00A4597A">
              <w:rPr>
                <w:rFonts w:ascii="Times New Roman" w:eastAsia="Times New Roman" w:hAnsi="Times New Roman" w:cs="Times New Roman"/>
                <w:b/>
                <w:bCs/>
                <w:color w:val="000000"/>
                <w:sz w:val="18"/>
                <w:szCs w:val="18"/>
                <w:lang w:eastAsia="es-ES"/>
              </w:rPr>
              <w:t>iloto</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1.299</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 xml:space="preserve"> Tn / año</w:t>
            </w:r>
          </w:p>
        </w:tc>
      </w:tr>
      <w:tr w:rsidR="00A4597A" w:rsidRPr="00A4597A" w:rsidTr="00A4597A">
        <w:trPr>
          <w:trHeight w:val="70"/>
          <w:jc w:val="center"/>
        </w:trPr>
        <w:tc>
          <w:tcPr>
            <w:tcW w:w="5959" w:type="dxa"/>
            <w:tcBorders>
              <w:top w:val="nil"/>
              <w:left w:val="nil"/>
              <w:bottom w:val="nil"/>
              <w:right w:val="nil"/>
            </w:tcBorders>
            <w:shd w:val="clear" w:color="auto" w:fill="auto"/>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p>
        </w:tc>
        <w:tc>
          <w:tcPr>
            <w:tcW w:w="1221" w:type="dxa"/>
            <w:tcBorders>
              <w:top w:val="single" w:sz="4" w:space="0" w:color="auto"/>
              <w:left w:val="nil"/>
              <w:bottom w:val="nil"/>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c>
          <w:tcPr>
            <w:tcW w:w="1756" w:type="dxa"/>
            <w:tcBorders>
              <w:top w:val="single" w:sz="4" w:space="0" w:color="auto"/>
              <w:left w:val="nil"/>
              <w:bottom w:val="single" w:sz="4" w:space="0" w:color="auto"/>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r>
      <w:tr w:rsidR="00A4597A" w:rsidRPr="00A4597A" w:rsidTr="00A4597A">
        <w:trPr>
          <w:trHeight w:val="519"/>
          <w:jc w:val="center"/>
        </w:trPr>
        <w:tc>
          <w:tcPr>
            <w:tcW w:w="5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97A" w:rsidRPr="00A4597A" w:rsidRDefault="00A4597A"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Duración actual de la campaña de exportación</w:t>
            </w:r>
            <w:r w:rsidR="00942459">
              <w:rPr>
                <w:rFonts w:ascii="Times New Roman" w:eastAsia="Times New Roman" w:hAnsi="Times New Roman" w:cs="Times New Roman"/>
                <w:color w:val="000000"/>
                <w:sz w:val="18"/>
                <w:szCs w:val="18"/>
                <w:lang w:eastAsia="es-ES"/>
              </w:rPr>
              <w:t xml:space="preserve"> en el área piloto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2,5</w:t>
            </w:r>
          </w:p>
        </w:tc>
        <w:tc>
          <w:tcPr>
            <w:tcW w:w="1756" w:type="dxa"/>
            <w:tcBorders>
              <w:top w:val="single" w:sz="4" w:space="0" w:color="auto"/>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meses</w:t>
            </w:r>
          </w:p>
        </w:tc>
      </w:tr>
      <w:tr w:rsidR="00A4597A" w:rsidRPr="00A4597A" w:rsidTr="00A4597A">
        <w:trPr>
          <w:trHeight w:val="471"/>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942459" w:rsidRDefault="00A4597A"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Potencial de duración adicional de la campaña de exportación</w:t>
            </w:r>
            <w:r w:rsidR="00942459">
              <w:rPr>
                <w:rFonts w:ascii="Times New Roman" w:eastAsia="Times New Roman" w:hAnsi="Times New Roman" w:cs="Times New Roman"/>
                <w:color w:val="000000"/>
                <w:sz w:val="18"/>
                <w:szCs w:val="18"/>
                <w:lang w:eastAsia="es-ES"/>
              </w:rPr>
              <w:t xml:space="preserve"> </w:t>
            </w:r>
          </w:p>
          <w:p w:rsidR="00A4597A" w:rsidRPr="00A4597A" w:rsidRDefault="00942459" w:rsidP="00A4597A">
            <w:pPr>
              <w:spacing w:line="240" w:lineRule="auto"/>
              <w:ind w:firstLineChars="100" w:firstLine="180"/>
              <w:rPr>
                <w:rFonts w:ascii="Times New Roman" w:eastAsia="Times New Roman" w:hAnsi="Times New Roman" w:cs="Times New Roman"/>
                <w:color w:val="000000"/>
                <w:sz w:val="18"/>
                <w:szCs w:val="18"/>
                <w:lang w:eastAsia="es-ES"/>
              </w:rPr>
            </w:pPr>
            <w:r>
              <w:rPr>
                <w:rFonts w:ascii="Times New Roman" w:eastAsia="Times New Roman" w:hAnsi="Times New Roman" w:cs="Times New Roman"/>
                <w:color w:val="000000"/>
                <w:sz w:val="18"/>
                <w:szCs w:val="18"/>
                <w:lang w:eastAsia="es-ES"/>
              </w:rPr>
              <w:t>en el área piloto</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2,0</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meses</w:t>
            </w:r>
          </w:p>
        </w:tc>
      </w:tr>
      <w:tr w:rsidR="00A4597A" w:rsidRPr="00A4597A" w:rsidTr="00A4597A">
        <w:trPr>
          <w:trHeight w:val="505"/>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942459" w:rsidRDefault="00A4597A" w:rsidP="00A4597A">
            <w:pPr>
              <w:spacing w:line="240" w:lineRule="auto"/>
              <w:ind w:firstLineChars="100" w:firstLine="180"/>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lastRenderedPageBreak/>
              <w:t>Aumento equivalente de la duración de la campaña de exportación</w:t>
            </w:r>
            <w:r w:rsidR="00942459">
              <w:rPr>
                <w:rFonts w:ascii="Times New Roman" w:eastAsia="Times New Roman" w:hAnsi="Times New Roman" w:cs="Times New Roman"/>
                <w:color w:val="000000"/>
                <w:sz w:val="18"/>
                <w:szCs w:val="18"/>
                <w:lang w:eastAsia="es-ES"/>
              </w:rPr>
              <w:t xml:space="preserve"> </w:t>
            </w:r>
          </w:p>
          <w:p w:rsidR="00A4597A" w:rsidRPr="00A4597A" w:rsidRDefault="00942459" w:rsidP="00A4597A">
            <w:pPr>
              <w:spacing w:line="240" w:lineRule="auto"/>
              <w:ind w:firstLineChars="100" w:firstLine="180"/>
              <w:rPr>
                <w:rFonts w:ascii="Times New Roman" w:eastAsia="Times New Roman" w:hAnsi="Times New Roman" w:cs="Times New Roman"/>
                <w:color w:val="000000"/>
                <w:sz w:val="18"/>
                <w:szCs w:val="18"/>
                <w:lang w:eastAsia="es-ES"/>
              </w:rPr>
            </w:pPr>
            <w:r>
              <w:rPr>
                <w:rFonts w:ascii="Times New Roman" w:eastAsia="Times New Roman" w:hAnsi="Times New Roman" w:cs="Times New Roman"/>
                <w:color w:val="000000"/>
                <w:sz w:val="18"/>
                <w:szCs w:val="18"/>
                <w:lang w:eastAsia="es-ES"/>
              </w:rPr>
              <w:t>en el área piloto</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80%</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porcentaje</w:t>
            </w:r>
          </w:p>
        </w:tc>
      </w:tr>
      <w:tr w:rsidR="00A4597A" w:rsidRPr="00A4597A" w:rsidTr="00A4597A">
        <w:trPr>
          <w:trHeight w:val="541"/>
          <w:jc w:val="center"/>
        </w:trPr>
        <w:tc>
          <w:tcPr>
            <w:tcW w:w="5959" w:type="dxa"/>
            <w:tcBorders>
              <w:top w:val="nil"/>
              <w:left w:val="single" w:sz="4" w:space="0" w:color="auto"/>
              <w:bottom w:val="single" w:sz="4" w:space="0" w:color="auto"/>
              <w:right w:val="single" w:sz="4" w:space="0" w:color="auto"/>
            </w:tcBorders>
            <w:shd w:val="clear" w:color="auto" w:fill="auto"/>
            <w:vAlign w:val="center"/>
            <w:hideMark/>
          </w:tcPr>
          <w:p w:rsidR="00A4597A" w:rsidRPr="00A4597A" w:rsidRDefault="00A4597A" w:rsidP="00A4597A">
            <w:pPr>
              <w:spacing w:line="240" w:lineRule="auto"/>
              <w:ind w:firstLineChars="100" w:firstLine="181"/>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Aumento equivalente de producción para exportación</w:t>
            </w:r>
          </w:p>
        </w:tc>
        <w:tc>
          <w:tcPr>
            <w:tcW w:w="1221"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1.039</w:t>
            </w:r>
          </w:p>
        </w:tc>
        <w:tc>
          <w:tcPr>
            <w:tcW w:w="1756" w:type="dxa"/>
            <w:tcBorders>
              <w:top w:val="nil"/>
              <w:left w:val="nil"/>
              <w:bottom w:val="single" w:sz="4" w:space="0" w:color="auto"/>
              <w:right w:val="single" w:sz="4" w:space="0" w:color="auto"/>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 xml:space="preserve"> Tn / año</w:t>
            </w:r>
          </w:p>
        </w:tc>
      </w:tr>
      <w:tr w:rsidR="00A4597A" w:rsidRPr="00A4597A" w:rsidTr="00A4597A">
        <w:trPr>
          <w:trHeight w:val="85"/>
          <w:jc w:val="center"/>
        </w:trPr>
        <w:tc>
          <w:tcPr>
            <w:tcW w:w="5959" w:type="dxa"/>
            <w:tcBorders>
              <w:top w:val="nil"/>
              <w:left w:val="nil"/>
              <w:bottom w:val="nil"/>
              <w:right w:val="nil"/>
            </w:tcBorders>
            <w:shd w:val="clear" w:color="auto" w:fill="auto"/>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p>
        </w:tc>
        <w:tc>
          <w:tcPr>
            <w:tcW w:w="1221" w:type="dxa"/>
            <w:tcBorders>
              <w:top w:val="nil"/>
              <w:left w:val="nil"/>
              <w:bottom w:val="nil"/>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p>
        </w:tc>
        <w:tc>
          <w:tcPr>
            <w:tcW w:w="1756" w:type="dxa"/>
            <w:tcBorders>
              <w:top w:val="nil"/>
              <w:left w:val="nil"/>
              <w:bottom w:val="single" w:sz="4" w:space="0" w:color="auto"/>
              <w:right w:val="nil"/>
            </w:tcBorders>
            <w:shd w:val="clear" w:color="auto" w:fill="auto"/>
            <w:noWrap/>
            <w:vAlign w:val="center"/>
            <w:hideMark/>
          </w:tcPr>
          <w:p w:rsidR="00A4597A" w:rsidRPr="00A4597A" w:rsidRDefault="00A4597A" w:rsidP="00A4597A">
            <w:pPr>
              <w:spacing w:line="240" w:lineRule="auto"/>
              <w:jc w:val="center"/>
              <w:rPr>
                <w:rFonts w:ascii="Times New Roman" w:eastAsia="Times New Roman" w:hAnsi="Times New Roman" w:cs="Times New Roman"/>
                <w:color w:val="000000"/>
                <w:sz w:val="18"/>
                <w:szCs w:val="18"/>
                <w:lang w:eastAsia="es-ES"/>
              </w:rPr>
            </w:pPr>
            <w:r w:rsidRPr="00A4597A">
              <w:rPr>
                <w:rFonts w:ascii="Times New Roman" w:eastAsia="Times New Roman" w:hAnsi="Times New Roman" w:cs="Times New Roman"/>
                <w:color w:val="000000"/>
                <w:sz w:val="18"/>
                <w:szCs w:val="18"/>
                <w:lang w:eastAsia="es-ES"/>
              </w:rPr>
              <w:t> </w:t>
            </w:r>
          </w:p>
        </w:tc>
      </w:tr>
      <w:tr w:rsidR="00A4597A" w:rsidRPr="00A4597A" w:rsidTr="00A4597A">
        <w:trPr>
          <w:trHeight w:val="481"/>
          <w:jc w:val="center"/>
        </w:trPr>
        <w:tc>
          <w:tcPr>
            <w:tcW w:w="595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4597A" w:rsidRPr="00A4597A" w:rsidRDefault="00A4597A" w:rsidP="00A4597A">
            <w:pPr>
              <w:spacing w:line="240" w:lineRule="auto"/>
              <w:ind w:left="219"/>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 xml:space="preserve">Valor del aumento de la producción para exportación en el </w:t>
            </w:r>
            <w:r w:rsidR="00942459" w:rsidRPr="00A4597A">
              <w:rPr>
                <w:rFonts w:ascii="Times New Roman" w:eastAsia="Times New Roman" w:hAnsi="Times New Roman" w:cs="Times New Roman"/>
                <w:b/>
                <w:bCs/>
                <w:color w:val="000000"/>
                <w:sz w:val="18"/>
                <w:szCs w:val="18"/>
                <w:lang w:eastAsia="es-ES"/>
              </w:rPr>
              <w:t>Área</w:t>
            </w:r>
            <w:r w:rsidRPr="00A4597A">
              <w:rPr>
                <w:rFonts w:ascii="Times New Roman" w:eastAsia="Times New Roman" w:hAnsi="Times New Roman" w:cs="Times New Roman"/>
                <w:b/>
                <w:bCs/>
                <w:color w:val="000000"/>
                <w:sz w:val="18"/>
                <w:szCs w:val="18"/>
                <w:lang w:eastAsia="es-ES"/>
              </w:rPr>
              <w:t xml:space="preserve"> Piloto</w:t>
            </w:r>
          </w:p>
        </w:tc>
        <w:tc>
          <w:tcPr>
            <w:tcW w:w="1221" w:type="dxa"/>
            <w:tcBorders>
              <w:top w:val="single" w:sz="4" w:space="0" w:color="auto"/>
              <w:left w:val="nil"/>
              <w:bottom w:val="single" w:sz="4" w:space="0" w:color="auto"/>
              <w:right w:val="single" w:sz="4" w:space="0" w:color="auto"/>
            </w:tcBorders>
            <w:shd w:val="clear" w:color="000000" w:fill="F2F2F2"/>
            <w:noWrap/>
            <w:vAlign w:val="center"/>
            <w:hideMark/>
          </w:tcPr>
          <w:p w:rsidR="00A4597A" w:rsidRPr="00A4597A" w:rsidRDefault="00A4597A" w:rsidP="003D59B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660.9</w:t>
            </w:r>
            <w:r w:rsidR="003D59BA">
              <w:rPr>
                <w:rFonts w:ascii="Times New Roman" w:eastAsia="Times New Roman" w:hAnsi="Times New Roman" w:cs="Times New Roman"/>
                <w:b/>
                <w:bCs/>
                <w:color w:val="000000"/>
                <w:sz w:val="18"/>
                <w:szCs w:val="18"/>
                <w:lang w:eastAsia="es-ES"/>
              </w:rPr>
              <w:t>50</w:t>
            </w:r>
          </w:p>
        </w:tc>
        <w:tc>
          <w:tcPr>
            <w:tcW w:w="1756" w:type="dxa"/>
            <w:tcBorders>
              <w:top w:val="nil"/>
              <w:left w:val="nil"/>
              <w:bottom w:val="single" w:sz="4" w:space="0" w:color="auto"/>
              <w:right w:val="single" w:sz="4" w:space="0" w:color="auto"/>
            </w:tcBorders>
            <w:shd w:val="clear" w:color="000000" w:fill="F2F2F2"/>
            <w:noWrap/>
            <w:vAlign w:val="center"/>
            <w:hideMark/>
          </w:tcPr>
          <w:p w:rsidR="00A4597A" w:rsidRPr="00A4597A" w:rsidRDefault="00A4597A" w:rsidP="00A4597A">
            <w:pPr>
              <w:spacing w:line="240" w:lineRule="auto"/>
              <w:jc w:val="center"/>
              <w:rPr>
                <w:rFonts w:ascii="Times New Roman" w:eastAsia="Times New Roman" w:hAnsi="Times New Roman" w:cs="Times New Roman"/>
                <w:b/>
                <w:bCs/>
                <w:color w:val="000000"/>
                <w:sz w:val="18"/>
                <w:szCs w:val="18"/>
                <w:lang w:eastAsia="es-ES"/>
              </w:rPr>
            </w:pPr>
            <w:r w:rsidRPr="00A4597A">
              <w:rPr>
                <w:rFonts w:ascii="Times New Roman" w:eastAsia="Times New Roman" w:hAnsi="Times New Roman" w:cs="Times New Roman"/>
                <w:b/>
                <w:bCs/>
                <w:color w:val="000000"/>
                <w:sz w:val="18"/>
                <w:szCs w:val="18"/>
                <w:lang w:eastAsia="es-ES"/>
              </w:rPr>
              <w:t>USD / año</w:t>
            </w:r>
          </w:p>
        </w:tc>
      </w:tr>
      <w:tr w:rsidR="00A4597A" w:rsidRPr="00A4597A" w:rsidTr="00A4597A">
        <w:trPr>
          <w:trHeight w:val="225"/>
          <w:jc w:val="center"/>
        </w:trPr>
        <w:tc>
          <w:tcPr>
            <w:tcW w:w="7180" w:type="dxa"/>
            <w:gridSpan w:val="2"/>
            <w:tcBorders>
              <w:top w:val="nil"/>
              <w:left w:val="nil"/>
              <w:bottom w:val="nil"/>
              <w:right w:val="nil"/>
            </w:tcBorders>
            <w:shd w:val="clear" w:color="auto" w:fill="auto"/>
            <w:noWrap/>
            <w:vAlign w:val="bottom"/>
            <w:hideMark/>
          </w:tcPr>
          <w:p w:rsidR="00A4597A" w:rsidRPr="00A4597A" w:rsidRDefault="00A4597A" w:rsidP="00A4597A">
            <w:pPr>
              <w:spacing w:line="240" w:lineRule="auto"/>
              <w:rPr>
                <w:rFonts w:ascii="Times New Roman" w:eastAsia="Times New Roman" w:hAnsi="Times New Roman" w:cs="Times New Roman"/>
                <w:sz w:val="16"/>
                <w:szCs w:val="16"/>
                <w:lang w:eastAsia="es-ES"/>
              </w:rPr>
            </w:pPr>
            <w:r w:rsidRPr="00A4597A">
              <w:rPr>
                <w:rFonts w:ascii="Times New Roman" w:eastAsia="Times New Roman" w:hAnsi="Times New Roman" w:cs="Times New Roman"/>
                <w:sz w:val="16"/>
                <w:szCs w:val="16"/>
                <w:lang w:eastAsia="es-ES"/>
              </w:rPr>
              <w:t>Fuentes: MARNDR, USDA, consultas realizadas en las plantas de tratamiento.</w:t>
            </w:r>
          </w:p>
        </w:tc>
        <w:tc>
          <w:tcPr>
            <w:tcW w:w="1756" w:type="dxa"/>
            <w:tcBorders>
              <w:top w:val="nil"/>
              <w:left w:val="nil"/>
              <w:bottom w:val="nil"/>
              <w:right w:val="nil"/>
            </w:tcBorders>
            <w:shd w:val="clear" w:color="auto" w:fill="auto"/>
            <w:noWrap/>
            <w:vAlign w:val="bottom"/>
            <w:hideMark/>
          </w:tcPr>
          <w:p w:rsidR="00A4597A" w:rsidRPr="00A4597A" w:rsidRDefault="00A4597A" w:rsidP="00A4597A">
            <w:pPr>
              <w:spacing w:line="240" w:lineRule="auto"/>
              <w:rPr>
                <w:rFonts w:ascii="Times New Roman" w:eastAsia="Times New Roman" w:hAnsi="Times New Roman" w:cs="Times New Roman"/>
                <w:color w:val="000000"/>
                <w:sz w:val="20"/>
                <w:szCs w:val="20"/>
                <w:lang w:eastAsia="es-ES"/>
              </w:rPr>
            </w:pPr>
          </w:p>
        </w:tc>
      </w:tr>
    </w:tbl>
    <w:p w:rsidR="00D35E4D" w:rsidRDefault="00D35E4D" w:rsidP="00CD213E">
      <w:pPr>
        <w:pStyle w:val="ListParagraph"/>
        <w:jc w:val="center"/>
        <w:rPr>
          <w:rFonts w:ascii="Times New Roman" w:eastAsia="Times New Roman" w:hAnsi="Times New Roman" w:cs="Times New Roman"/>
          <w:b/>
          <w:bCs/>
          <w:sz w:val="20"/>
          <w:szCs w:val="20"/>
          <w:lang w:eastAsia="es-ES_tradnl"/>
        </w:rPr>
      </w:pPr>
    </w:p>
    <w:p w:rsidR="004D2CB4" w:rsidRPr="00E01B1E" w:rsidRDefault="00935B20" w:rsidP="00FE0C5F">
      <w:pPr>
        <w:pStyle w:val="ListParagraph"/>
        <w:numPr>
          <w:ilvl w:val="1"/>
          <w:numId w:val="30"/>
        </w:numPr>
        <w:ind w:hanging="578"/>
        <w:jc w:val="both"/>
        <w:rPr>
          <w:rFonts w:ascii="Times New Roman" w:hAnsi="Times New Roman" w:cs="Times New Roman"/>
          <w:b/>
          <w:i/>
        </w:rPr>
      </w:pPr>
      <w:r>
        <w:rPr>
          <w:rFonts w:ascii="Times New Roman" w:hAnsi="Times New Roman" w:cs="Times New Roman"/>
        </w:rPr>
        <w:t xml:space="preserve">Con base </w:t>
      </w:r>
      <w:r w:rsidR="00942459">
        <w:rPr>
          <w:rFonts w:ascii="Times New Roman" w:hAnsi="Times New Roman" w:cs="Times New Roman"/>
        </w:rPr>
        <w:t>en</w:t>
      </w:r>
      <w:r>
        <w:rPr>
          <w:rFonts w:ascii="Times New Roman" w:hAnsi="Times New Roman" w:cs="Times New Roman"/>
        </w:rPr>
        <w:t xml:space="preserve"> </w:t>
      </w:r>
      <w:r w:rsidR="005D42F4">
        <w:rPr>
          <w:rFonts w:ascii="Times New Roman" w:hAnsi="Times New Roman" w:cs="Times New Roman"/>
        </w:rPr>
        <w:t xml:space="preserve">las hipótesis descritas </w:t>
      </w:r>
      <w:r>
        <w:rPr>
          <w:rFonts w:ascii="Times New Roman" w:hAnsi="Times New Roman" w:cs="Times New Roman"/>
        </w:rPr>
        <w:t>anteriormente, el beneficio económico total derivado de</w:t>
      </w:r>
      <w:r w:rsidR="005D42F4">
        <w:rPr>
          <w:rFonts w:ascii="Times New Roman" w:hAnsi="Times New Roman" w:cs="Times New Roman"/>
        </w:rPr>
        <w:t xml:space="preserve"> </w:t>
      </w:r>
      <w:r>
        <w:rPr>
          <w:rFonts w:ascii="Times New Roman" w:hAnsi="Times New Roman" w:cs="Times New Roman"/>
        </w:rPr>
        <w:t>l</w:t>
      </w:r>
      <w:r w:rsidR="005D42F4">
        <w:rPr>
          <w:rFonts w:ascii="Times New Roman" w:hAnsi="Times New Roman" w:cs="Times New Roman"/>
        </w:rPr>
        <w:t>a</w:t>
      </w:r>
      <w:r>
        <w:rPr>
          <w:rFonts w:ascii="Times New Roman" w:hAnsi="Times New Roman" w:cs="Times New Roman"/>
        </w:rPr>
        <w:t xml:space="preserve"> </w:t>
      </w:r>
      <w:r w:rsidR="005D42F4">
        <w:rPr>
          <w:rFonts w:ascii="Times New Roman" w:hAnsi="Times New Roman" w:cs="Times New Roman"/>
        </w:rPr>
        <w:t xml:space="preserve">prevención de los rechazos a la exportación causados por la Mosca de la Fruta </w:t>
      </w:r>
      <w:r w:rsidR="00C437DB">
        <w:rPr>
          <w:rFonts w:ascii="Times New Roman" w:hAnsi="Times New Roman" w:cs="Times New Roman"/>
        </w:rPr>
        <w:t xml:space="preserve">asciende a </w:t>
      </w:r>
      <w:r w:rsidR="00A4597A">
        <w:rPr>
          <w:rFonts w:ascii="Times New Roman" w:hAnsi="Times New Roman" w:cs="Times New Roman"/>
        </w:rPr>
        <w:t>660</w:t>
      </w:r>
      <w:r w:rsidR="00C437DB">
        <w:rPr>
          <w:rFonts w:ascii="Times New Roman" w:hAnsi="Times New Roman" w:cs="Times New Roman"/>
        </w:rPr>
        <w:t>.</w:t>
      </w:r>
      <w:r w:rsidR="00A4597A">
        <w:rPr>
          <w:rFonts w:ascii="Times New Roman" w:hAnsi="Times New Roman" w:cs="Times New Roman"/>
        </w:rPr>
        <w:t>9</w:t>
      </w:r>
      <w:r w:rsidR="003D59BA">
        <w:rPr>
          <w:rFonts w:ascii="Times New Roman" w:hAnsi="Times New Roman" w:cs="Times New Roman"/>
        </w:rPr>
        <w:t>50</w:t>
      </w:r>
      <w:r w:rsidR="00C437DB">
        <w:rPr>
          <w:rFonts w:ascii="Times New Roman" w:hAnsi="Times New Roman" w:cs="Times New Roman"/>
        </w:rPr>
        <w:t xml:space="preserve"> USD anuales, que proyectados al periodo de análisis suman un total </w:t>
      </w:r>
      <w:r w:rsidR="005D42F4">
        <w:rPr>
          <w:rFonts w:ascii="Times New Roman" w:hAnsi="Times New Roman" w:cs="Times New Roman"/>
        </w:rPr>
        <w:t>de</w:t>
      </w:r>
      <w:r w:rsidRPr="009D786B">
        <w:rPr>
          <w:rFonts w:ascii="Times New Roman" w:hAnsi="Times New Roman" w:cs="Times New Roman"/>
        </w:rPr>
        <w:t xml:space="preserve"> </w:t>
      </w:r>
      <w:r w:rsidR="00A4597A">
        <w:rPr>
          <w:rFonts w:ascii="Times New Roman" w:hAnsi="Times New Roman" w:cs="Times New Roman"/>
          <w:b/>
        </w:rPr>
        <w:t>3</w:t>
      </w:r>
      <w:r>
        <w:rPr>
          <w:rFonts w:ascii="Times New Roman" w:hAnsi="Times New Roman" w:cs="Times New Roman"/>
          <w:b/>
        </w:rPr>
        <w:t>.</w:t>
      </w:r>
      <w:r w:rsidR="00A4597A">
        <w:rPr>
          <w:rFonts w:ascii="Times New Roman" w:hAnsi="Times New Roman" w:cs="Times New Roman"/>
          <w:b/>
        </w:rPr>
        <w:t>441</w:t>
      </w:r>
      <w:r>
        <w:rPr>
          <w:rFonts w:ascii="Times New Roman" w:hAnsi="Times New Roman" w:cs="Times New Roman"/>
          <w:b/>
        </w:rPr>
        <w:t>.</w:t>
      </w:r>
      <w:r w:rsidR="00A4597A">
        <w:rPr>
          <w:rFonts w:ascii="Times New Roman" w:hAnsi="Times New Roman" w:cs="Times New Roman"/>
          <w:b/>
        </w:rPr>
        <w:t>198</w:t>
      </w:r>
      <w:r w:rsidR="00C437DB" w:rsidRPr="00912B75">
        <w:rPr>
          <w:rFonts w:ascii="Times New Roman" w:hAnsi="Times New Roman" w:cs="Times New Roman"/>
          <w:b/>
        </w:rPr>
        <w:t xml:space="preserve"> </w:t>
      </w:r>
      <w:r w:rsidRPr="009D786B">
        <w:rPr>
          <w:rFonts w:ascii="Times New Roman" w:hAnsi="Times New Roman" w:cs="Times New Roman"/>
          <w:b/>
        </w:rPr>
        <w:t>USD en valor actual</w:t>
      </w:r>
      <w:r w:rsidRPr="009D786B">
        <w:rPr>
          <w:rFonts w:ascii="Times New Roman" w:hAnsi="Times New Roman" w:cs="Times New Roman"/>
        </w:rPr>
        <w:t>.</w:t>
      </w:r>
    </w:p>
    <w:p w:rsidR="00E01B1E" w:rsidRPr="00E01B1E" w:rsidRDefault="00E01B1E" w:rsidP="00E01B1E">
      <w:pPr>
        <w:pStyle w:val="ListParagraph"/>
        <w:rPr>
          <w:rFonts w:ascii="Times New Roman" w:hAnsi="Times New Roman" w:cs="Times New Roman"/>
          <w:b/>
          <w:i/>
        </w:rPr>
      </w:pPr>
    </w:p>
    <w:p w:rsidR="00E01B1E" w:rsidRPr="00D75188" w:rsidRDefault="00E01B1E" w:rsidP="00FE0C5F">
      <w:pPr>
        <w:pStyle w:val="ListParagraph"/>
        <w:numPr>
          <w:ilvl w:val="1"/>
          <w:numId w:val="30"/>
        </w:numPr>
        <w:ind w:hanging="578"/>
        <w:jc w:val="both"/>
        <w:rPr>
          <w:rFonts w:ascii="Times New Roman" w:hAnsi="Times New Roman" w:cs="Times New Roman"/>
          <w:i/>
        </w:rPr>
      </w:pPr>
      <w:r>
        <w:rPr>
          <w:rFonts w:ascii="Times New Roman" w:eastAsia="Times New Roman" w:hAnsi="Times New Roman" w:cs="Times New Roman"/>
          <w:szCs w:val="20"/>
        </w:rPr>
        <w:t xml:space="preserve">El detalle del reparto de los </w:t>
      </w:r>
      <w:r w:rsidR="00980827">
        <w:rPr>
          <w:rFonts w:ascii="Times New Roman" w:eastAsia="Times New Roman" w:hAnsi="Times New Roman" w:cs="Times New Roman"/>
          <w:szCs w:val="20"/>
        </w:rPr>
        <w:t>beneficio</w:t>
      </w:r>
      <w:r>
        <w:rPr>
          <w:rFonts w:ascii="Times New Roman" w:eastAsia="Times New Roman" w:hAnsi="Times New Roman" w:cs="Times New Roman"/>
          <w:szCs w:val="20"/>
        </w:rPr>
        <w:t xml:space="preserve">s a lo largo del periodo de análisis se recoge más adelante en el Anexo </w:t>
      </w:r>
      <w:r w:rsidR="00C55379">
        <w:rPr>
          <w:rFonts w:ascii="Times New Roman" w:eastAsia="Times New Roman" w:hAnsi="Times New Roman" w:cs="Times New Roman"/>
          <w:szCs w:val="20"/>
        </w:rPr>
        <w:t>II</w:t>
      </w:r>
      <w:r w:rsidR="00210B17">
        <w:rPr>
          <w:rFonts w:ascii="Times New Roman" w:eastAsia="Times New Roman" w:hAnsi="Times New Roman" w:cs="Times New Roman"/>
          <w:szCs w:val="20"/>
        </w:rPr>
        <w:t>I</w:t>
      </w:r>
      <w:r>
        <w:rPr>
          <w:rFonts w:ascii="Times New Roman" w:eastAsia="Times New Roman" w:hAnsi="Times New Roman" w:cs="Times New Roman"/>
          <w:szCs w:val="20"/>
        </w:rPr>
        <w:t xml:space="preserve"> de Resumen de Flujos Económicos del ACB.</w:t>
      </w:r>
    </w:p>
    <w:p w:rsidR="00DE01CB" w:rsidRPr="00E01B1E" w:rsidRDefault="00DE01CB" w:rsidP="00E01B1E">
      <w:pPr>
        <w:jc w:val="both"/>
        <w:rPr>
          <w:rFonts w:ascii="Times New Roman" w:hAnsi="Times New Roman" w:cs="Times New Roman"/>
          <w:b/>
          <w:i/>
        </w:rPr>
      </w:pPr>
    </w:p>
    <w:p w:rsidR="00F47CE6" w:rsidRDefault="00F47CE6" w:rsidP="00F47CE6">
      <w:pPr>
        <w:spacing w:before="120"/>
        <w:rPr>
          <w:rFonts w:ascii="Times New Roman" w:hAnsi="Times New Roman" w:cs="Times New Roman"/>
          <w:i/>
        </w:rPr>
      </w:pPr>
      <w:r>
        <w:rPr>
          <w:rFonts w:ascii="Times New Roman" w:hAnsi="Times New Roman" w:cs="Times New Roman"/>
          <w:i/>
        </w:rPr>
        <w:t xml:space="preserve">Disminución de las pérdidas causadas por la plaga de la </w:t>
      </w:r>
      <w:r w:rsidR="00BC0738">
        <w:rPr>
          <w:rFonts w:ascii="Times New Roman" w:hAnsi="Times New Roman" w:cs="Times New Roman"/>
          <w:i/>
        </w:rPr>
        <w:t>h</w:t>
      </w:r>
      <w:r>
        <w:rPr>
          <w:rFonts w:ascii="Times New Roman" w:hAnsi="Times New Roman" w:cs="Times New Roman"/>
          <w:i/>
        </w:rPr>
        <w:t xml:space="preserve">ormiga </w:t>
      </w:r>
      <w:r w:rsidR="00BC0738">
        <w:rPr>
          <w:rFonts w:ascii="Times New Roman" w:hAnsi="Times New Roman" w:cs="Times New Roman"/>
          <w:i/>
        </w:rPr>
        <w:t>l</w:t>
      </w:r>
      <w:r>
        <w:rPr>
          <w:rFonts w:ascii="Times New Roman" w:hAnsi="Times New Roman" w:cs="Times New Roman"/>
          <w:i/>
        </w:rPr>
        <w:t>oca</w:t>
      </w:r>
    </w:p>
    <w:p w:rsidR="00F47CE6" w:rsidRPr="00E01B1E" w:rsidRDefault="00F47CE6" w:rsidP="00F47CE6">
      <w:pPr>
        <w:spacing w:before="120"/>
        <w:rPr>
          <w:rFonts w:ascii="Times New Roman" w:hAnsi="Times New Roman" w:cs="Times New Roman"/>
          <w:i/>
        </w:rPr>
      </w:pPr>
    </w:p>
    <w:p w:rsidR="00F47CE6" w:rsidRDefault="00F210F3"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La pla</w:t>
      </w:r>
      <w:r w:rsidR="00D51AA5">
        <w:rPr>
          <w:rFonts w:ascii="Times New Roman" w:hAnsi="Times New Roman" w:cs="Times New Roman"/>
        </w:rPr>
        <w:t>g</w:t>
      </w:r>
      <w:r>
        <w:rPr>
          <w:rFonts w:ascii="Times New Roman" w:hAnsi="Times New Roman" w:cs="Times New Roman"/>
        </w:rPr>
        <w:t xml:space="preserve">a de la </w:t>
      </w:r>
      <w:r w:rsidR="00BC0738">
        <w:rPr>
          <w:rFonts w:ascii="Times New Roman" w:hAnsi="Times New Roman" w:cs="Times New Roman"/>
        </w:rPr>
        <w:t>h</w:t>
      </w:r>
      <w:r>
        <w:rPr>
          <w:rFonts w:ascii="Times New Roman" w:hAnsi="Times New Roman" w:cs="Times New Roman"/>
        </w:rPr>
        <w:t xml:space="preserve">ormiga </w:t>
      </w:r>
      <w:r w:rsidR="00BC0738">
        <w:rPr>
          <w:rFonts w:ascii="Times New Roman" w:hAnsi="Times New Roman" w:cs="Times New Roman"/>
        </w:rPr>
        <w:t>l</w:t>
      </w:r>
      <w:r>
        <w:rPr>
          <w:rFonts w:ascii="Times New Roman" w:hAnsi="Times New Roman" w:cs="Times New Roman"/>
        </w:rPr>
        <w:t xml:space="preserve">oca (“HL”) supone un fenómeno relativamente reciente, contra el que no se ha podido poner en marcha ninguna intervención </w:t>
      </w:r>
      <w:r w:rsidR="00BC0738">
        <w:rPr>
          <w:rFonts w:ascii="Times New Roman" w:hAnsi="Times New Roman" w:cs="Times New Roman"/>
        </w:rPr>
        <w:t xml:space="preserve">coordinada </w:t>
      </w:r>
      <w:r>
        <w:rPr>
          <w:rFonts w:ascii="Times New Roman" w:hAnsi="Times New Roman" w:cs="Times New Roman"/>
        </w:rPr>
        <w:t xml:space="preserve">para su control,  debido entre otros factores a la debilidad institucional y la falta de medios para dar </w:t>
      </w:r>
      <w:r w:rsidR="0051681B">
        <w:rPr>
          <w:rFonts w:ascii="Times New Roman" w:hAnsi="Times New Roman" w:cs="Times New Roman"/>
        </w:rPr>
        <w:t xml:space="preserve">una </w:t>
      </w:r>
      <w:r>
        <w:rPr>
          <w:rFonts w:ascii="Times New Roman" w:hAnsi="Times New Roman" w:cs="Times New Roman"/>
        </w:rPr>
        <w:t xml:space="preserve">respuesta </w:t>
      </w:r>
      <w:r w:rsidR="0051681B">
        <w:rPr>
          <w:rFonts w:ascii="Times New Roman" w:hAnsi="Times New Roman" w:cs="Times New Roman"/>
        </w:rPr>
        <w:t xml:space="preserve">eficaz </w:t>
      </w:r>
      <w:r>
        <w:rPr>
          <w:rFonts w:ascii="Times New Roman" w:hAnsi="Times New Roman" w:cs="Times New Roman"/>
        </w:rPr>
        <w:t>a esta problemática</w:t>
      </w:r>
      <w:r w:rsidR="00F47CE6" w:rsidRPr="00F17F89">
        <w:rPr>
          <w:rFonts w:ascii="Times New Roman" w:hAnsi="Times New Roman" w:cs="Times New Roman"/>
        </w:rPr>
        <w:t>.</w:t>
      </w:r>
    </w:p>
    <w:p w:rsidR="00F210F3" w:rsidRDefault="00F210F3" w:rsidP="004639E8">
      <w:pPr>
        <w:pStyle w:val="ListParagraph"/>
        <w:jc w:val="both"/>
        <w:rPr>
          <w:rFonts w:ascii="Times New Roman" w:hAnsi="Times New Roman" w:cs="Times New Roman"/>
        </w:rPr>
      </w:pPr>
    </w:p>
    <w:p w:rsidR="00F210F3" w:rsidRDefault="00F210F3"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La plaga afecta no solamente a los cultivos, sino también al ganado pequeño, dado que la HL penetra en las mucosas del ganado, </w:t>
      </w:r>
      <w:r w:rsidR="00BC0738">
        <w:rPr>
          <w:rFonts w:ascii="Times New Roman" w:hAnsi="Times New Roman" w:cs="Times New Roman"/>
        </w:rPr>
        <w:t xml:space="preserve">y a </w:t>
      </w:r>
      <w:r>
        <w:rPr>
          <w:rFonts w:ascii="Times New Roman" w:hAnsi="Times New Roman" w:cs="Times New Roman"/>
        </w:rPr>
        <w:t xml:space="preserve">los </w:t>
      </w:r>
      <w:r w:rsidR="00BC0738">
        <w:rPr>
          <w:rFonts w:ascii="Times New Roman" w:hAnsi="Times New Roman" w:cs="Times New Roman"/>
        </w:rPr>
        <w:t>bienes inmuebles. También supone</w:t>
      </w:r>
      <w:r>
        <w:rPr>
          <w:rFonts w:ascii="Times New Roman" w:hAnsi="Times New Roman" w:cs="Times New Roman"/>
        </w:rPr>
        <w:t xml:space="preserve"> </w:t>
      </w:r>
      <w:r w:rsidR="00BC0738">
        <w:rPr>
          <w:rFonts w:ascii="Times New Roman" w:hAnsi="Times New Roman" w:cs="Times New Roman"/>
        </w:rPr>
        <w:t xml:space="preserve">un impedimento para </w:t>
      </w:r>
      <w:r>
        <w:rPr>
          <w:rFonts w:ascii="Times New Roman" w:hAnsi="Times New Roman" w:cs="Times New Roman"/>
        </w:rPr>
        <w:t>el acceso de los productores agropecuarios a sus parcelas</w:t>
      </w:r>
      <w:r w:rsidR="0051681B">
        <w:rPr>
          <w:rFonts w:ascii="Times New Roman" w:hAnsi="Times New Roman" w:cs="Times New Roman"/>
        </w:rPr>
        <w:t>,</w:t>
      </w:r>
      <w:r>
        <w:rPr>
          <w:rFonts w:ascii="Times New Roman" w:hAnsi="Times New Roman" w:cs="Times New Roman"/>
        </w:rPr>
        <w:t xml:space="preserve"> además de </w:t>
      </w:r>
      <w:r w:rsidR="00BC0738">
        <w:rPr>
          <w:rFonts w:ascii="Times New Roman" w:hAnsi="Times New Roman" w:cs="Times New Roman"/>
        </w:rPr>
        <w:t xml:space="preserve">una merma en </w:t>
      </w:r>
      <w:r>
        <w:rPr>
          <w:rFonts w:ascii="Times New Roman" w:hAnsi="Times New Roman" w:cs="Times New Roman"/>
        </w:rPr>
        <w:t>la calidad de vida de la población</w:t>
      </w:r>
      <w:r w:rsidR="00BC0738">
        <w:rPr>
          <w:rFonts w:ascii="Times New Roman" w:hAnsi="Times New Roman" w:cs="Times New Roman"/>
        </w:rPr>
        <w:t xml:space="preserve"> de las áreas infestadas.</w:t>
      </w:r>
    </w:p>
    <w:p w:rsidR="00F210F3" w:rsidRPr="004639E8" w:rsidRDefault="00F210F3" w:rsidP="004639E8">
      <w:pPr>
        <w:pStyle w:val="ListParagraph"/>
        <w:rPr>
          <w:rFonts w:ascii="Times New Roman" w:hAnsi="Times New Roman" w:cs="Times New Roman"/>
        </w:rPr>
      </w:pPr>
    </w:p>
    <w:p w:rsidR="00F210F3" w:rsidRDefault="00F210F3"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La cuantificación </w:t>
      </w:r>
      <w:r w:rsidR="0051681B">
        <w:rPr>
          <w:rFonts w:ascii="Times New Roman" w:hAnsi="Times New Roman" w:cs="Times New Roman"/>
        </w:rPr>
        <w:t>del beneficio asociado a</w:t>
      </w:r>
      <w:r>
        <w:rPr>
          <w:rFonts w:ascii="Times New Roman" w:hAnsi="Times New Roman" w:cs="Times New Roman"/>
        </w:rPr>
        <w:t xml:space="preserve"> las pérdidas evitadas </w:t>
      </w:r>
      <w:r w:rsidR="0051681B">
        <w:rPr>
          <w:rFonts w:ascii="Times New Roman" w:hAnsi="Times New Roman" w:cs="Times New Roman"/>
        </w:rPr>
        <w:t xml:space="preserve">por el Programa </w:t>
      </w:r>
      <w:r>
        <w:rPr>
          <w:rFonts w:ascii="Times New Roman" w:hAnsi="Times New Roman" w:cs="Times New Roman"/>
        </w:rPr>
        <w:t xml:space="preserve">se ha </w:t>
      </w:r>
      <w:r w:rsidR="0051681B">
        <w:rPr>
          <w:rFonts w:ascii="Times New Roman" w:hAnsi="Times New Roman" w:cs="Times New Roman"/>
        </w:rPr>
        <w:t xml:space="preserve">limitado a </w:t>
      </w:r>
      <w:r w:rsidR="00BC0738">
        <w:rPr>
          <w:rFonts w:ascii="Times New Roman" w:hAnsi="Times New Roman" w:cs="Times New Roman"/>
        </w:rPr>
        <w:t xml:space="preserve">las pérdidas en </w:t>
      </w:r>
      <w:r>
        <w:rPr>
          <w:rFonts w:ascii="Times New Roman" w:hAnsi="Times New Roman" w:cs="Times New Roman"/>
        </w:rPr>
        <w:t>los cultivos</w:t>
      </w:r>
      <w:r w:rsidR="009D1A71">
        <w:rPr>
          <w:rFonts w:ascii="Times New Roman" w:hAnsi="Times New Roman" w:cs="Times New Roman"/>
        </w:rPr>
        <w:t xml:space="preserve">, que se ven prácticamente devastados </w:t>
      </w:r>
      <w:r w:rsidR="0051681B">
        <w:rPr>
          <w:rFonts w:ascii="Times New Roman" w:hAnsi="Times New Roman" w:cs="Times New Roman"/>
        </w:rPr>
        <w:t xml:space="preserve">o son imposibles de recolectar </w:t>
      </w:r>
      <w:r w:rsidR="00991A9A">
        <w:rPr>
          <w:rFonts w:ascii="Times New Roman" w:hAnsi="Times New Roman" w:cs="Times New Roman"/>
        </w:rPr>
        <w:t xml:space="preserve">a causa de </w:t>
      </w:r>
      <w:r w:rsidR="009D1A71">
        <w:rPr>
          <w:rFonts w:ascii="Times New Roman" w:hAnsi="Times New Roman" w:cs="Times New Roman"/>
        </w:rPr>
        <w:t>la plaga</w:t>
      </w:r>
      <w:r>
        <w:rPr>
          <w:rFonts w:ascii="Times New Roman" w:hAnsi="Times New Roman" w:cs="Times New Roman"/>
        </w:rPr>
        <w:t xml:space="preserve">. Por tanto no se han </w:t>
      </w:r>
      <w:r w:rsidR="00BC0738">
        <w:rPr>
          <w:rFonts w:ascii="Times New Roman" w:hAnsi="Times New Roman" w:cs="Times New Roman"/>
        </w:rPr>
        <w:t xml:space="preserve">considerado los perjuicios causados </w:t>
      </w:r>
      <w:r w:rsidR="0096121F">
        <w:rPr>
          <w:rFonts w:ascii="Times New Roman" w:hAnsi="Times New Roman" w:cs="Times New Roman"/>
        </w:rPr>
        <w:t xml:space="preserve">en los </w:t>
      </w:r>
      <w:r w:rsidR="00A430AE">
        <w:rPr>
          <w:rFonts w:ascii="Times New Roman" w:hAnsi="Times New Roman" w:cs="Times New Roman"/>
        </w:rPr>
        <w:t>stocks</w:t>
      </w:r>
      <w:r w:rsidR="0096121F">
        <w:rPr>
          <w:rFonts w:ascii="Times New Roman" w:hAnsi="Times New Roman" w:cs="Times New Roman"/>
        </w:rPr>
        <w:t xml:space="preserve"> de producción agrícola, ni tampoco en el ganado </w:t>
      </w:r>
      <w:r w:rsidR="00991A9A">
        <w:rPr>
          <w:rFonts w:ascii="Times New Roman" w:hAnsi="Times New Roman" w:cs="Times New Roman"/>
        </w:rPr>
        <w:t>o</w:t>
      </w:r>
      <w:r w:rsidR="0096121F">
        <w:rPr>
          <w:rFonts w:ascii="Times New Roman" w:hAnsi="Times New Roman" w:cs="Times New Roman"/>
        </w:rPr>
        <w:t xml:space="preserve"> en los bienes inmuebles</w:t>
      </w:r>
      <w:r w:rsidR="0035269B">
        <w:rPr>
          <w:rFonts w:ascii="Times New Roman" w:hAnsi="Times New Roman" w:cs="Times New Roman"/>
        </w:rPr>
        <w:t xml:space="preserve"> dada la falta de información confiable</w:t>
      </w:r>
      <w:r w:rsidR="0096121F">
        <w:rPr>
          <w:rFonts w:ascii="Times New Roman" w:hAnsi="Times New Roman" w:cs="Times New Roman"/>
        </w:rPr>
        <w:t>.</w:t>
      </w:r>
    </w:p>
    <w:p w:rsidR="0096121F" w:rsidRPr="004639E8" w:rsidRDefault="0096121F" w:rsidP="004639E8">
      <w:pPr>
        <w:pStyle w:val="ListParagraph"/>
        <w:rPr>
          <w:rFonts w:ascii="Times New Roman" w:hAnsi="Times New Roman" w:cs="Times New Roman"/>
        </w:rPr>
      </w:pPr>
    </w:p>
    <w:p w:rsidR="0096121F" w:rsidRDefault="0096121F"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La estimación de las pérdidas se ha realizado con base en los resultados de las encuestas de terreno</w:t>
      </w:r>
      <w:r w:rsidR="00991A9A">
        <w:rPr>
          <w:rFonts w:ascii="Times New Roman" w:hAnsi="Times New Roman" w:cs="Times New Roman"/>
        </w:rPr>
        <w:t>,</w:t>
      </w:r>
      <w:r>
        <w:rPr>
          <w:rFonts w:ascii="Times New Roman" w:hAnsi="Times New Roman" w:cs="Times New Roman"/>
        </w:rPr>
        <w:t xml:space="preserve"> realizadas</w:t>
      </w:r>
      <w:r w:rsidR="00991A9A" w:rsidRPr="00991A9A">
        <w:rPr>
          <w:rFonts w:ascii="Times New Roman" w:hAnsi="Times New Roman" w:cs="Times New Roman"/>
        </w:rPr>
        <w:t xml:space="preserve"> </w:t>
      </w:r>
      <w:r w:rsidR="00991A9A">
        <w:rPr>
          <w:rFonts w:ascii="Times New Roman" w:hAnsi="Times New Roman" w:cs="Times New Roman"/>
        </w:rPr>
        <w:t>durante el mes de marzo de 2014</w:t>
      </w:r>
      <w:r>
        <w:rPr>
          <w:rFonts w:ascii="Times New Roman" w:hAnsi="Times New Roman" w:cs="Times New Roman"/>
        </w:rPr>
        <w:t xml:space="preserve"> a 97 productores </w:t>
      </w:r>
      <w:r w:rsidR="00BC0738">
        <w:rPr>
          <w:rFonts w:ascii="Times New Roman" w:hAnsi="Times New Roman" w:cs="Times New Roman"/>
        </w:rPr>
        <w:t>en las zonas afectadas por la plaga</w:t>
      </w:r>
      <w:r w:rsidR="00991A9A">
        <w:rPr>
          <w:rFonts w:ascii="Times New Roman" w:hAnsi="Times New Roman" w:cs="Times New Roman"/>
        </w:rPr>
        <w:t xml:space="preserve"> en los últimos 12 meses</w:t>
      </w:r>
      <w:r>
        <w:rPr>
          <w:rFonts w:ascii="Times New Roman" w:hAnsi="Times New Roman" w:cs="Times New Roman"/>
        </w:rPr>
        <w:t xml:space="preserve">. En concreto, se han utilizado los resultados de las encuestas para la determinación de las siguientes hipótesis: (i) tipología de cultivos infestados </w:t>
      </w:r>
      <w:r w:rsidR="004F5A68">
        <w:rPr>
          <w:rFonts w:ascii="Times New Roman" w:hAnsi="Times New Roman" w:cs="Times New Roman"/>
        </w:rPr>
        <w:t xml:space="preserve">por la HL </w:t>
      </w:r>
      <w:r>
        <w:rPr>
          <w:rFonts w:ascii="Times New Roman" w:hAnsi="Times New Roman" w:cs="Times New Roman"/>
        </w:rPr>
        <w:t>y (ii) porcentaje de pérdidas en los cultivos.</w:t>
      </w:r>
    </w:p>
    <w:p w:rsidR="009D1A71" w:rsidRPr="004639E8" w:rsidRDefault="009D1A71" w:rsidP="004639E8">
      <w:pPr>
        <w:pStyle w:val="ListParagraph"/>
        <w:rPr>
          <w:rFonts w:ascii="Times New Roman" w:hAnsi="Times New Roman" w:cs="Times New Roman"/>
        </w:rPr>
      </w:pPr>
    </w:p>
    <w:p w:rsidR="009D1A71" w:rsidRDefault="00817783"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lastRenderedPageBreak/>
        <w:t>Los resultados de las encuestas pusieron de manifiesto que l</w:t>
      </w:r>
      <w:r w:rsidR="009D1A71">
        <w:rPr>
          <w:rFonts w:ascii="Times New Roman" w:hAnsi="Times New Roman" w:cs="Times New Roman"/>
        </w:rPr>
        <w:t xml:space="preserve">os principales cultivos afectados </w:t>
      </w:r>
      <w:r w:rsidR="003D59BA">
        <w:rPr>
          <w:rFonts w:ascii="Times New Roman" w:hAnsi="Times New Roman" w:cs="Times New Roman"/>
        </w:rPr>
        <w:t xml:space="preserve">por la plaga </w:t>
      </w:r>
      <w:r w:rsidR="009D1A71">
        <w:rPr>
          <w:rFonts w:ascii="Times New Roman" w:hAnsi="Times New Roman" w:cs="Times New Roman"/>
        </w:rPr>
        <w:t>son el frijol</w:t>
      </w:r>
      <w:r w:rsidR="00991A9A">
        <w:rPr>
          <w:rFonts w:ascii="Times New Roman" w:hAnsi="Times New Roman" w:cs="Times New Roman"/>
        </w:rPr>
        <w:t>,</w:t>
      </w:r>
      <w:r w:rsidR="009D1A71">
        <w:rPr>
          <w:rFonts w:ascii="Times New Roman" w:hAnsi="Times New Roman" w:cs="Times New Roman"/>
        </w:rPr>
        <w:t xml:space="preserve"> el maíz, el ñame y el </w:t>
      </w:r>
      <w:r w:rsidR="009D1A71" w:rsidRPr="0053326E">
        <w:rPr>
          <w:rFonts w:ascii="Times New Roman" w:hAnsi="Times New Roman" w:cs="Times New Roman"/>
          <w:i/>
        </w:rPr>
        <w:t>Pois Congo</w:t>
      </w:r>
      <w:r w:rsidR="009D1A71">
        <w:rPr>
          <w:rFonts w:ascii="Times New Roman" w:hAnsi="Times New Roman" w:cs="Times New Roman"/>
        </w:rPr>
        <w:t xml:space="preserve">. La superficie de estos cultivos representa el 70% de la superficie total de las explotaciones encuestadas. </w:t>
      </w:r>
    </w:p>
    <w:p w:rsidR="00DE0157" w:rsidRPr="004639E8" w:rsidRDefault="00DE0157" w:rsidP="004639E8">
      <w:pPr>
        <w:pStyle w:val="ListParagraph"/>
        <w:rPr>
          <w:rFonts w:ascii="Times New Roman" w:hAnsi="Times New Roman" w:cs="Times New Roman"/>
        </w:rPr>
      </w:pPr>
    </w:p>
    <w:p w:rsidR="00DE0157" w:rsidRDefault="00DE0157"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Por otra parte, se han extraído de los estudios de las cadenas productivas agrícolas y de la FAOSTAT los precios a pie de finca así como los rendimientos </w:t>
      </w:r>
      <w:r w:rsidR="00991A9A">
        <w:rPr>
          <w:rFonts w:ascii="Times New Roman" w:hAnsi="Times New Roman" w:cs="Times New Roman"/>
        </w:rPr>
        <w:t>promedio por hectárea</w:t>
      </w:r>
      <w:r>
        <w:rPr>
          <w:rFonts w:ascii="Times New Roman" w:hAnsi="Times New Roman" w:cs="Times New Roman"/>
        </w:rPr>
        <w:t>. Los valores contemplados se incluyen en el cuadro siguiente.</w:t>
      </w:r>
    </w:p>
    <w:p w:rsidR="009C44CA" w:rsidRPr="004639E8" w:rsidRDefault="009C44CA" w:rsidP="004639E8">
      <w:pPr>
        <w:pStyle w:val="ListParagraph"/>
        <w:rPr>
          <w:rFonts w:ascii="Times New Roman" w:hAnsi="Times New Roman" w:cs="Times New Roman"/>
        </w:rPr>
      </w:pPr>
    </w:p>
    <w:p w:rsidR="00DE0157" w:rsidRPr="004639E8" w:rsidRDefault="00991A9A" w:rsidP="004639E8">
      <w:pPr>
        <w:jc w:val="center"/>
        <w:rPr>
          <w:rFonts w:ascii="Times New Roman" w:hAnsi="Times New Roman" w:cs="Times New Roman"/>
        </w:rPr>
      </w:pPr>
      <w:r w:rsidRPr="00991A9A">
        <w:rPr>
          <w:noProof/>
          <w:lang w:val="en-US"/>
        </w:rPr>
        <w:drawing>
          <wp:anchor distT="0" distB="0" distL="114300" distR="114300" simplePos="0" relativeHeight="251683840" behindDoc="0" locked="0" layoutInCell="1" allowOverlap="1" wp14:anchorId="55C66D02" wp14:editId="3850DBBD">
            <wp:simplePos x="0" y="0"/>
            <wp:positionH relativeFrom="column">
              <wp:posOffset>150495</wp:posOffset>
            </wp:positionH>
            <wp:positionV relativeFrom="paragraph">
              <wp:posOffset>172085</wp:posOffset>
            </wp:positionV>
            <wp:extent cx="5612130" cy="1040130"/>
            <wp:effectExtent l="0" t="0" r="7620" b="7620"/>
            <wp:wrapTopAndBottom/>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10401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0157" w:rsidRPr="00E541FF">
        <w:rPr>
          <w:rFonts w:ascii="Times New Roman" w:eastAsia="Times New Roman" w:hAnsi="Times New Roman" w:cs="Times New Roman"/>
          <w:b/>
          <w:bCs/>
          <w:sz w:val="20"/>
          <w:szCs w:val="20"/>
          <w:lang w:eastAsia="es-ES_tradnl"/>
        </w:rPr>
        <w:t xml:space="preserve">Cuadro </w:t>
      </w:r>
      <w:r w:rsidR="00DE0157" w:rsidRPr="00E541FF">
        <w:rPr>
          <w:rFonts w:ascii="Times New Roman" w:eastAsia="Times New Roman" w:hAnsi="Times New Roman" w:cs="Times New Roman"/>
          <w:b/>
          <w:bCs/>
          <w:sz w:val="20"/>
          <w:szCs w:val="20"/>
          <w:lang w:eastAsia="es-ES_tradnl"/>
        </w:rPr>
        <w:fldChar w:fldCharType="begin"/>
      </w:r>
      <w:r w:rsidR="00DE0157" w:rsidRPr="00E541FF">
        <w:rPr>
          <w:rFonts w:ascii="Times New Roman" w:eastAsia="Times New Roman" w:hAnsi="Times New Roman" w:cs="Times New Roman"/>
          <w:b/>
          <w:bCs/>
          <w:sz w:val="20"/>
          <w:szCs w:val="20"/>
          <w:lang w:eastAsia="es-ES_tradnl"/>
        </w:rPr>
        <w:instrText xml:space="preserve"> SEQ Tableau \* ARABIC </w:instrText>
      </w:r>
      <w:r w:rsidR="00DE0157"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5</w:t>
      </w:r>
      <w:r w:rsidR="00DE0157" w:rsidRPr="00E541FF">
        <w:rPr>
          <w:rFonts w:ascii="Times New Roman" w:eastAsia="Times New Roman" w:hAnsi="Times New Roman" w:cs="Times New Roman"/>
          <w:b/>
          <w:bCs/>
          <w:sz w:val="20"/>
          <w:szCs w:val="20"/>
          <w:lang w:eastAsia="es-ES_tradnl"/>
        </w:rPr>
        <w:fldChar w:fldCharType="end"/>
      </w:r>
      <w:r w:rsidR="00DE0157" w:rsidRPr="00E541FF">
        <w:rPr>
          <w:rFonts w:ascii="Times New Roman" w:eastAsia="Times New Roman" w:hAnsi="Times New Roman" w:cs="Times New Roman"/>
          <w:b/>
          <w:bCs/>
          <w:sz w:val="20"/>
          <w:szCs w:val="20"/>
          <w:lang w:eastAsia="es-ES_tradnl"/>
        </w:rPr>
        <w:t xml:space="preserve">. </w:t>
      </w:r>
      <w:r w:rsidR="00DE0157">
        <w:rPr>
          <w:rFonts w:ascii="Times New Roman" w:eastAsia="Times New Roman" w:hAnsi="Times New Roman" w:cs="Times New Roman"/>
          <w:b/>
          <w:bCs/>
          <w:sz w:val="20"/>
          <w:szCs w:val="20"/>
          <w:lang w:eastAsia="es-ES_tradnl"/>
        </w:rPr>
        <w:t>Hipótesis de cálculo del valor de las pérdidas provocadas por la hormiga loca</w:t>
      </w:r>
    </w:p>
    <w:p w:rsidR="009D1A71" w:rsidRPr="004639E8" w:rsidRDefault="009D1A71" w:rsidP="004639E8">
      <w:pPr>
        <w:pStyle w:val="ListParagraph"/>
        <w:jc w:val="both"/>
        <w:rPr>
          <w:rFonts w:ascii="Times New Roman" w:hAnsi="Times New Roman" w:cs="Times New Roman"/>
          <w:i/>
        </w:rPr>
      </w:pPr>
    </w:p>
    <w:p w:rsidR="0096121F" w:rsidRPr="004639E8" w:rsidRDefault="009D1A71" w:rsidP="00FE0C5F">
      <w:pPr>
        <w:pStyle w:val="ListParagraph"/>
        <w:numPr>
          <w:ilvl w:val="1"/>
          <w:numId w:val="30"/>
        </w:numPr>
        <w:ind w:hanging="578"/>
        <w:jc w:val="both"/>
        <w:rPr>
          <w:rFonts w:ascii="Times New Roman" w:hAnsi="Times New Roman" w:cs="Times New Roman"/>
        </w:rPr>
      </w:pPr>
      <w:r w:rsidRPr="004639E8">
        <w:rPr>
          <w:rFonts w:ascii="Times New Roman" w:eastAsia="Times New Roman" w:hAnsi="Times New Roman" w:cs="Times New Roman"/>
          <w:szCs w:val="20"/>
        </w:rPr>
        <w:t>Por otra parte, c</w:t>
      </w:r>
      <w:r w:rsidRPr="004639E8">
        <w:rPr>
          <w:rFonts w:ascii="Times New Roman" w:hAnsi="Times New Roman" w:cs="Times New Roman"/>
        </w:rPr>
        <w:t xml:space="preserve">omo simplificación razonable para la evaluación, se ha contemplado un reparto </w:t>
      </w:r>
      <w:r w:rsidR="00991A9A">
        <w:rPr>
          <w:rFonts w:ascii="Times New Roman" w:hAnsi="Times New Roman" w:cs="Times New Roman"/>
        </w:rPr>
        <w:t xml:space="preserve">proporcional </w:t>
      </w:r>
      <w:r w:rsidRPr="004639E8">
        <w:rPr>
          <w:rFonts w:ascii="Times New Roman" w:hAnsi="Times New Roman" w:cs="Times New Roman"/>
        </w:rPr>
        <w:t xml:space="preserve">de </w:t>
      </w:r>
      <w:r w:rsidR="003D59BA">
        <w:rPr>
          <w:rFonts w:ascii="Times New Roman" w:hAnsi="Times New Roman" w:cs="Times New Roman"/>
        </w:rPr>
        <w:t>l</w:t>
      </w:r>
      <w:r w:rsidR="003D59BA" w:rsidRPr="004639E8">
        <w:rPr>
          <w:rFonts w:ascii="Times New Roman" w:hAnsi="Times New Roman" w:cs="Times New Roman"/>
        </w:rPr>
        <w:t xml:space="preserve">os </w:t>
      </w:r>
      <w:r w:rsidRPr="004639E8">
        <w:rPr>
          <w:rFonts w:ascii="Times New Roman" w:hAnsi="Times New Roman" w:cs="Times New Roman"/>
        </w:rPr>
        <w:t xml:space="preserve">4 cultivos </w:t>
      </w:r>
      <w:r w:rsidR="003D59BA">
        <w:rPr>
          <w:rFonts w:ascii="Times New Roman" w:hAnsi="Times New Roman" w:cs="Times New Roman"/>
        </w:rPr>
        <w:t xml:space="preserve">principales </w:t>
      </w:r>
      <w:r w:rsidRPr="004639E8">
        <w:rPr>
          <w:rFonts w:ascii="Times New Roman" w:hAnsi="Times New Roman" w:cs="Times New Roman"/>
        </w:rPr>
        <w:t xml:space="preserve">al conjunto del área piloto </w:t>
      </w:r>
      <w:r w:rsidR="00991A9A">
        <w:rPr>
          <w:rFonts w:ascii="Times New Roman" w:hAnsi="Times New Roman" w:cs="Times New Roman"/>
        </w:rPr>
        <w:t xml:space="preserve">que será </w:t>
      </w:r>
      <w:r w:rsidRPr="004639E8">
        <w:rPr>
          <w:rFonts w:ascii="Times New Roman" w:hAnsi="Times New Roman" w:cs="Times New Roman"/>
        </w:rPr>
        <w:t xml:space="preserve">intervenida por el Programa, cuya superficie total es de 291 km2. </w:t>
      </w:r>
      <w:r>
        <w:rPr>
          <w:rFonts w:ascii="Times New Roman" w:hAnsi="Times New Roman" w:cs="Times New Roman"/>
        </w:rPr>
        <w:t xml:space="preserve">El cuadro siguiente muestra las superficies por cultivo estimadas </w:t>
      </w:r>
      <w:r w:rsidR="00991A9A">
        <w:rPr>
          <w:rFonts w:ascii="Times New Roman" w:hAnsi="Times New Roman" w:cs="Times New Roman"/>
        </w:rPr>
        <w:t>para el</w:t>
      </w:r>
      <w:r>
        <w:rPr>
          <w:rFonts w:ascii="Times New Roman" w:hAnsi="Times New Roman" w:cs="Times New Roman"/>
        </w:rPr>
        <w:t xml:space="preserve"> proyecto piloto.</w:t>
      </w:r>
    </w:p>
    <w:p w:rsidR="00A430AE" w:rsidRDefault="00A430AE" w:rsidP="004639E8">
      <w:pPr>
        <w:pStyle w:val="ListParagraph"/>
        <w:rPr>
          <w:rFonts w:ascii="Times New Roman" w:hAnsi="Times New Roman" w:cs="Times New Roman"/>
        </w:rPr>
      </w:pPr>
    </w:p>
    <w:p w:rsidR="0096121F" w:rsidRDefault="00582126" w:rsidP="004639E8">
      <w:pPr>
        <w:ind w:left="720"/>
        <w:jc w:val="center"/>
        <w:rPr>
          <w:rFonts w:ascii="Times New Roman" w:eastAsia="Times New Roman" w:hAnsi="Times New Roman" w:cs="Times New Roman"/>
          <w:b/>
          <w:bCs/>
          <w:sz w:val="20"/>
          <w:szCs w:val="20"/>
          <w:lang w:eastAsia="es-ES_tradnl"/>
        </w:rPr>
      </w:pPr>
      <w:r w:rsidRPr="00582126">
        <w:rPr>
          <w:noProof/>
          <w:lang w:val="en-US"/>
        </w:rPr>
        <w:drawing>
          <wp:anchor distT="0" distB="0" distL="114300" distR="114300" simplePos="0" relativeHeight="251674624" behindDoc="0" locked="0" layoutInCell="1" allowOverlap="1" wp14:anchorId="110ABEB9" wp14:editId="6443899C">
            <wp:simplePos x="0" y="0"/>
            <wp:positionH relativeFrom="column">
              <wp:posOffset>554990</wp:posOffset>
            </wp:positionH>
            <wp:positionV relativeFrom="paragraph">
              <wp:posOffset>173355</wp:posOffset>
            </wp:positionV>
            <wp:extent cx="4794250" cy="1402080"/>
            <wp:effectExtent l="0" t="0" r="6350" b="0"/>
            <wp:wrapTopAndBottom/>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94250" cy="1402080"/>
                    </a:xfrm>
                    <a:prstGeom prst="rect">
                      <a:avLst/>
                    </a:prstGeom>
                    <a:noFill/>
                    <a:ln>
                      <a:noFill/>
                    </a:ln>
                  </pic:spPr>
                </pic:pic>
              </a:graphicData>
            </a:graphic>
            <wp14:sizeRelH relativeFrom="page">
              <wp14:pctWidth>0</wp14:pctWidth>
            </wp14:sizeRelH>
            <wp14:sizeRelV relativeFrom="page">
              <wp14:pctHeight>0</wp14:pctHeight>
            </wp14:sizeRelV>
          </wp:anchor>
        </w:drawing>
      </w:r>
      <w:r w:rsidR="00A430AE" w:rsidRPr="00E541FF">
        <w:rPr>
          <w:rFonts w:ascii="Times New Roman" w:eastAsia="Times New Roman" w:hAnsi="Times New Roman" w:cs="Times New Roman"/>
          <w:b/>
          <w:bCs/>
          <w:sz w:val="20"/>
          <w:szCs w:val="20"/>
          <w:lang w:eastAsia="es-ES_tradnl"/>
        </w:rPr>
        <w:t xml:space="preserve">Cuadro </w:t>
      </w:r>
      <w:r w:rsidR="00A430AE" w:rsidRPr="00E541FF">
        <w:rPr>
          <w:rFonts w:ascii="Times New Roman" w:eastAsia="Times New Roman" w:hAnsi="Times New Roman" w:cs="Times New Roman"/>
          <w:b/>
          <w:bCs/>
          <w:sz w:val="20"/>
          <w:szCs w:val="20"/>
          <w:lang w:eastAsia="es-ES_tradnl"/>
        </w:rPr>
        <w:fldChar w:fldCharType="begin"/>
      </w:r>
      <w:r w:rsidR="00A430AE" w:rsidRPr="00E541FF">
        <w:rPr>
          <w:rFonts w:ascii="Times New Roman" w:eastAsia="Times New Roman" w:hAnsi="Times New Roman" w:cs="Times New Roman"/>
          <w:b/>
          <w:bCs/>
          <w:sz w:val="20"/>
          <w:szCs w:val="20"/>
          <w:lang w:eastAsia="es-ES_tradnl"/>
        </w:rPr>
        <w:instrText xml:space="preserve"> SEQ Tableau \* ARABIC </w:instrText>
      </w:r>
      <w:r w:rsidR="00A430AE"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6</w:t>
      </w:r>
      <w:r w:rsidR="00A430AE" w:rsidRPr="00E541FF">
        <w:rPr>
          <w:rFonts w:ascii="Times New Roman" w:eastAsia="Times New Roman" w:hAnsi="Times New Roman" w:cs="Times New Roman"/>
          <w:b/>
          <w:bCs/>
          <w:sz w:val="20"/>
          <w:szCs w:val="20"/>
          <w:lang w:eastAsia="es-ES_tradnl"/>
        </w:rPr>
        <w:fldChar w:fldCharType="end"/>
      </w:r>
      <w:r w:rsidR="00A430AE" w:rsidRPr="00E541FF">
        <w:rPr>
          <w:rFonts w:ascii="Times New Roman" w:eastAsia="Times New Roman" w:hAnsi="Times New Roman" w:cs="Times New Roman"/>
          <w:b/>
          <w:bCs/>
          <w:sz w:val="20"/>
          <w:szCs w:val="20"/>
          <w:lang w:eastAsia="es-ES_tradnl"/>
        </w:rPr>
        <w:t xml:space="preserve">. </w:t>
      </w:r>
      <w:r w:rsidR="00A430AE">
        <w:rPr>
          <w:rFonts w:ascii="Times New Roman" w:eastAsia="Times New Roman" w:hAnsi="Times New Roman" w:cs="Times New Roman"/>
          <w:b/>
          <w:bCs/>
          <w:sz w:val="20"/>
          <w:szCs w:val="20"/>
          <w:lang w:eastAsia="es-ES_tradnl"/>
        </w:rPr>
        <w:t xml:space="preserve">Superficie de </w:t>
      </w:r>
      <w:r w:rsidR="004F5A68">
        <w:rPr>
          <w:rFonts w:ascii="Times New Roman" w:eastAsia="Times New Roman" w:hAnsi="Times New Roman" w:cs="Times New Roman"/>
          <w:b/>
          <w:bCs/>
          <w:sz w:val="20"/>
          <w:szCs w:val="20"/>
          <w:lang w:eastAsia="es-ES_tradnl"/>
        </w:rPr>
        <w:t>c</w:t>
      </w:r>
      <w:r w:rsidR="00A430AE">
        <w:rPr>
          <w:rFonts w:ascii="Times New Roman" w:eastAsia="Times New Roman" w:hAnsi="Times New Roman" w:cs="Times New Roman"/>
          <w:b/>
          <w:bCs/>
          <w:sz w:val="20"/>
          <w:szCs w:val="20"/>
          <w:lang w:eastAsia="es-ES_tradnl"/>
        </w:rPr>
        <w:t xml:space="preserve">ultivos </w:t>
      </w:r>
      <w:r w:rsidR="004F5A68">
        <w:rPr>
          <w:rFonts w:ascii="Times New Roman" w:eastAsia="Times New Roman" w:hAnsi="Times New Roman" w:cs="Times New Roman"/>
          <w:b/>
          <w:bCs/>
          <w:sz w:val="20"/>
          <w:szCs w:val="20"/>
          <w:lang w:eastAsia="es-ES_tradnl"/>
        </w:rPr>
        <w:t>a</w:t>
      </w:r>
      <w:r w:rsidR="00A430AE">
        <w:rPr>
          <w:rFonts w:ascii="Times New Roman" w:eastAsia="Times New Roman" w:hAnsi="Times New Roman" w:cs="Times New Roman"/>
          <w:b/>
          <w:bCs/>
          <w:sz w:val="20"/>
          <w:szCs w:val="20"/>
          <w:lang w:eastAsia="es-ES_tradnl"/>
        </w:rPr>
        <w:t xml:space="preserve">fectados por la HL </w:t>
      </w:r>
      <w:r w:rsidR="004F5A68">
        <w:rPr>
          <w:rFonts w:ascii="Times New Roman" w:eastAsia="Times New Roman" w:hAnsi="Times New Roman" w:cs="Times New Roman"/>
          <w:b/>
          <w:bCs/>
          <w:sz w:val="20"/>
          <w:szCs w:val="20"/>
          <w:lang w:eastAsia="es-ES_tradnl"/>
        </w:rPr>
        <w:t xml:space="preserve">intervenida por </w:t>
      </w:r>
      <w:r w:rsidR="00A430AE">
        <w:rPr>
          <w:rFonts w:ascii="Times New Roman" w:eastAsia="Times New Roman" w:hAnsi="Times New Roman" w:cs="Times New Roman"/>
          <w:b/>
          <w:bCs/>
          <w:sz w:val="20"/>
          <w:szCs w:val="20"/>
          <w:lang w:eastAsia="es-ES_tradnl"/>
        </w:rPr>
        <w:t>el proyecto piloto</w:t>
      </w:r>
    </w:p>
    <w:p w:rsidR="00582126" w:rsidRDefault="00582126" w:rsidP="004639E8">
      <w:pPr>
        <w:ind w:left="720"/>
        <w:jc w:val="both"/>
        <w:rPr>
          <w:rFonts w:ascii="Times New Roman" w:eastAsia="Times New Roman" w:hAnsi="Times New Roman" w:cs="Times New Roman"/>
          <w:b/>
          <w:bCs/>
          <w:sz w:val="20"/>
          <w:szCs w:val="20"/>
          <w:lang w:eastAsia="es-ES_tradnl"/>
        </w:rPr>
      </w:pPr>
    </w:p>
    <w:p w:rsidR="009D1A71" w:rsidRPr="004639E8" w:rsidRDefault="009D1A71" w:rsidP="00FE0C5F">
      <w:pPr>
        <w:pStyle w:val="ListParagraph"/>
        <w:numPr>
          <w:ilvl w:val="1"/>
          <w:numId w:val="30"/>
        </w:numPr>
        <w:ind w:hanging="578"/>
        <w:jc w:val="both"/>
        <w:rPr>
          <w:rFonts w:ascii="Times New Roman" w:hAnsi="Times New Roman" w:cs="Times New Roman"/>
          <w:b/>
        </w:rPr>
      </w:pPr>
      <w:r w:rsidRPr="004639E8">
        <w:rPr>
          <w:rFonts w:ascii="Times New Roman" w:hAnsi="Times New Roman" w:cs="Times New Roman"/>
        </w:rPr>
        <w:t>Como resultado, las pérdidas actuales en el área piloto son las que recoge el cuadro siguiente.</w:t>
      </w:r>
      <w:r>
        <w:rPr>
          <w:rFonts w:ascii="Times New Roman" w:hAnsi="Times New Roman" w:cs="Times New Roman"/>
        </w:rPr>
        <w:t xml:space="preserve"> A estas pérdidas se les ha aplicado como supuesto conservador, un porcentaje de eficacia de las campañas de erradicación y control del </w:t>
      </w:r>
      <w:r w:rsidR="00A4597A">
        <w:rPr>
          <w:rFonts w:ascii="Times New Roman" w:hAnsi="Times New Roman" w:cs="Times New Roman"/>
        </w:rPr>
        <w:t>25</w:t>
      </w:r>
      <w:r>
        <w:rPr>
          <w:rFonts w:ascii="Times New Roman" w:hAnsi="Times New Roman" w:cs="Times New Roman"/>
        </w:rPr>
        <w:t>%. Dicho de otra forma, se contempla que el</w:t>
      </w:r>
      <w:r w:rsidR="00A4597A">
        <w:rPr>
          <w:rFonts w:ascii="Times New Roman" w:hAnsi="Times New Roman" w:cs="Times New Roman"/>
        </w:rPr>
        <w:t xml:space="preserve"> proyecto piloto</w:t>
      </w:r>
      <w:r>
        <w:rPr>
          <w:rFonts w:ascii="Times New Roman" w:hAnsi="Times New Roman" w:cs="Times New Roman"/>
        </w:rPr>
        <w:t xml:space="preserve"> conseguirá alcanzar </w:t>
      </w:r>
      <w:r w:rsidR="00991A9A">
        <w:rPr>
          <w:rFonts w:ascii="Times New Roman" w:hAnsi="Times New Roman" w:cs="Times New Roman"/>
        </w:rPr>
        <w:t xml:space="preserve">una disminución del </w:t>
      </w:r>
      <w:r w:rsidR="00A4597A">
        <w:rPr>
          <w:rFonts w:ascii="Times New Roman" w:hAnsi="Times New Roman" w:cs="Times New Roman"/>
        </w:rPr>
        <w:t>25</w:t>
      </w:r>
      <w:r w:rsidR="00991A9A">
        <w:rPr>
          <w:rFonts w:ascii="Times New Roman" w:hAnsi="Times New Roman" w:cs="Times New Roman"/>
        </w:rPr>
        <w:t>% de</w:t>
      </w:r>
      <w:r>
        <w:rPr>
          <w:rFonts w:ascii="Times New Roman" w:hAnsi="Times New Roman" w:cs="Times New Roman"/>
        </w:rPr>
        <w:t xml:space="preserve"> las pérdidas actuales</w:t>
      </w:r>
      <w:r w:rsidR="00991A9A">
        <w:rPr>
          <w:rFonts w:ascii="Times New Roman" w:hAnsi="Times New Roman" w:cs="Times New Roman"/>
        </w:rPr>
        <w:t>.</w:t>
      </w:r>
    </w:p>
    <w:p w:rsidR="009D1A71" w:rsidRPr="004639E8" w:rsidRDefault="009D1A71" w:rsidP="004639E8">
      <w:pPr>
        <w:pStyle w:val="ListParagraph"/>
        <w:spacing w:before="200"/>
        <w:jc w:val="both"/>
        <w:rPr>
          <w:rFonts w:ascii="Times New Roman" w:hAnsi="Times New Roman" w:cs="Times New Roman"/>
          <w:b/>
        </w:rPr>
      </w:pPr>
    </w:p>
    <w:p w:rsidR="008809B6" w:rsidRDefault="00EB3E3A" w:rsidP="004639E8">
      <w:pPr>
        <w:pStyle w:val="ListParagraph"/>
        <w:spacing w:before="200"/>
        <w:jc w:val="center"/>
        <w:rPr>
          <w:rFonts w:ascii="Times New Roman" w:eastAsia="Times New Roman" w:hAnsi="Times New Roman" w:cs="Times New Roman"/>
          <w:b/>
          <w:bCs/>
          <w:sz w:val="20"/>
          <w:szCs w:val="20"/>
          <w:lang w:eastAsia="es-ES_tradnl"/>
        </w:rPr>
      </w:pPr>
      <w:r w:rsidRPr="00EB3E3A">
        <w:rPr>
          <w:noProof/>
          <w:lang w:val="en-US"/>
        </w:rPr>
        <w:drawing>
          <wp:anchor distT="0" distB="0" distL="114300" distR="114300" simplePos="0" relativeHeight="251693056" behindDoc="0" locked="0" layoutInCell="1" allowOverlap="1" wp14:anchorId="0E030DAD" wp14:editId="26305DD2">
            <wp:simplePos x="0" y="0"/>
            <wp:positionH relativeFrom="column">
              <wp:posOffset>139065</wp:posOffset>
            </wp:positionH>
            <wp:positionV relativeFrom="paragraph">
              <wp:posOffset>173990</wp:posOffset>
            </wp:positionV>
            <wp:extent cx="5612130" cy="1189990"/>
            <wp:effectExtent l="0" t="0" r="7620" b="0"/>
            <wp:wrapTopAndBottom/>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118999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A71" w:rsidRPr="00E541FF">
        <w:rPr>
          <w:rFonts w:ascii="Times New Roman" w:eastAsia="Times New Roman" w:hAnsi="Times New Roman" w:cs="Times New Roman"/>
          <w:b/>
          <w:bCs/>
          <w:sz w:val="20"/>
          <w:szCs w:val="20"/>
          <w:lang w:eastAsia="es-ES_tradnl"/>
        </w:rPr>
        <w:t xml:space="preserve">Cuadro </w:t>
      </w:r>
      <w:r w:rsidR="009D1A71" w:rsidRPr="00E541FF">
        <w:rPr>
          <w:rFonts w:ascii="Times New Roman" w:eastAsia="Times New Roman" w:hAnsi="Times New Roman" w:cs="Times New Roman"/>
          <w:b/>
          <w:bCs/>
          <w:sz w:val="20"/>
          <w:szCs w:val="20"/>
          <w:lang w:eastAsia="es-ES_tradnl"/>
        </w:rPr>
        <w:fldChar w:fldCharType="begin"/>
      </w:r>
      <w:r w:rsidR="009D1A71" w:rsidRPr="00E541FF">
        <w:rPr>
          <w:rFonts w:ascii="Times New Roman" w:eastAsia="Times New Roman" w:hAnsi="Times New Roman" w:cs="Times New Roman"/>
          <w:b/>
          <w:bCs/>
          <w:sz w:val="20"/>
          <w:szCs w:val="20"/>
          <w:lang w:eastAsia="es-ES_tradnl"/>
        </w:rPr>
        <w:instrText xml:space="preserve"> SEQ Tableau \* ARABIC </w:instrText>
      </w:r>
      <w:r w:rsidR="009D1A71"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7</w:t>
      </w:r>
      <w:r w:rsidR="009D1A71" w:rsidRPr="00E541FF">
        <w:rPr>
          <w:rFonts w:ascii="Times New Roman" w:eastAsia="Times New Roman" w:hAnsi="Times New Roman" w:cs="Times New Roman"/>
          <w:b/>
          <w:bCs/>
          <w:sz w:val="20"/>
          <w:szCs w:val="20"/>
          <w:lang w:eastAsia="es-ES_tradnl"/>
        </w:rPr>
        <w:fldChar w:fldCharType="end"/>
      </w:r>
      <w:r w:rsidR="009D1A71" w:rsidRPr="00E541FF">
        <w:rPr>
          <w:rFonts w:ascii="Times New Roman" w:eastAsia="Times New Roman" w:hAnsi="Times New Roman" w:cs="Times New Roman"/>
          <w:b/>
          <w:bCs/>
          <w:sz w:val="20"/>
          <w:szCs w:val="20"/>
          <w:lang w:eastAsia="es-ES_tradnl"/>
        </w:rPr>
        <w:t xml:space="preserve">. </w:t>
      </w:r>
      <w:r w:rsidR="009D1A71">
        <w:rPr>
          <w:rFonts w:ascii="Times New Roman" w:eastAsia="Times New Roman" w:hAnsi="Times New Roman" w:cs="Times New Roman"/>
          <w:b/>
          <w:bCs/>
          <w:sz w:val="20"/>
          <w:szCs w:val="20"/>
          <w:lang w:eastAsia="es-ES_tradnl"/>
        </w:rPr>
        <w:t>Pérdidas actuales en el área piloto y pérdidas evitadas</w:t>
      </w:r>
    </w:p>
    <w:p w:rsidR="009D1A71" w:rsidRDefault="009D1A71" w:rsidP="004639E8">
      <w:pPr>
        <w:pStyle w:val="ListParagraph"/>
        <w:spacing w:before="200"/>
        <w:jc w:val="center"/>
        <w:rPr>
          <w:rFonts w:ascii="Times New Roman" w:hAnsi="Times New Roman" w:cs="Times New Roman"/>
          <w:b/>
        </w:rPr>
      </w:pPr>
    </w:p>
    <w:p w:rsidR="005A5EE1" w:rsidRPr="004639E8" w:rsidRDefault="005A5EE1" w:rsidP="00FE0C5F">
      <w:pPr>
        <w:pStyle w:val="ListParagraph"/>
        <w:numPr>
          <w:ilvl w:val="1"/>
          <w:numId w:val="30"/>
        </w:numPr>
        <w:ind w:hanging="578"/>
        <w:jc w:val="both"/>
        <w:rPr>
          <w:rFonts w:ascii="Times New Roman" w:hAnsi="Times New Roman" w:cs="Times New Roman"/>
          <w:b/>
          <w:i/>
        </w:rPr>
      </w:pPr>
      <w:r>
        <w:rPr>
          <w:rFonts w:ascii="Times New Roman" w:hAnsi="Times New Roman" w:cs="Times New Roman"/>
        </w:rPr>
        <w:t xml:space="preserve">Con base a las hipótesis descritas anteriormente, el beneficio económico total derivado de </w:t>
      </w:r>
      <w:r w:rsidR="00991A9A">
        <w:rPr>
          <w:rFonts w:ascii="Times New Roman" w:hAnsi="Times New Roman" w:cs="Times New Roman"/>
        </w:rPr>
        <w:t xml:space="preserve">la erradicación y </w:t>
      </w:r>
      <w:r>
        <w:rPr>
          <w:rFonts w:ascii="Times New Roman" w:hAnsi="Times New Roman" w:cs="Times New Roman"/>
        </w:rPr>
        <w:t>control de la</w:t>
      </w:r>
      <w:r w:rsidR="00991A9A">
        <w:rPr>
          <w:rFonts w:ascii="Times New Roman" w:hAnsi="Times New Roman" w:cs="Times New Roman"/>
        </w:rPr>
        <w:t xml:space="preserve"> plaga de la</w:t>
      </w:r>
      <w:r>
        <w:rPr>
          <w:rFonts w:ascii="Times New Roman" w:hAnsi="Times New Roman" w:cs="Times New Roman"/>
        </w:rPr>
        <w:t xml:space="preserve"> hormiga loca asciende a </w:t>
      </w:r>
      <w:r w:rsidR="00B4645B">
        <w:rPr>
          <w:rFonts w:ascii="Times New Roman" w:hAnsi="Times New Roman" w:cs="Times New Roman"/>
        </w:rPr>
        <w:t>4</w:t>
      </w:r>
      <w:r>
        <w:rPr>
          <w:rFonts w:ascii="Times New Roman" w:hAnsi="Times New Roman" w:cs="Times New Roman"/>
        </w:rPr>
        <w:t>.</w:t>
      </w:r>
      <w:r w:rsidR="00B4645B">
        <w:rPr>
          <w:rFonts w:ascii="Times New Roman" w:hAnsi="Times New Roman" w:cs="Times New Roman"/>
        </w:rPr>
        <w:t>145</w:t>
      </w:r>
      <w:r>
        <w:rPr>
          <w:rFonts w:ascii="Times New Roman" w:hAnsi="Times New Roman" w:cs="Times New Roman"/>
        </w:rPr>
        <w:t>.</w:t>
      </w:r>
      <w:r w:rsidR="00B4645B">
        <w:rPr>
          <w:rFonts w:ascii="Times New Roman" w:hAnsi="Times New Roman" w:cs="Times New Roman"/>
        </w:rPr>
        <w:t>390</w:t>
      </w:r>
      <w:r>
        <w:rPr>
          <w:rFonts w:ascii="Times New Roman" w:hAnsi="Times New Roman" w:cs="Times New Roman"/>
        </w:rPr>
        <w:t xml:space="preserve"> USD anuales, que proyectados al periodo de análisis suman un total de</w:t>
      </w:r>
      <w:r w:rsidRPr="009D786B">
        <w:rPr>
          <w:rFonts w:ascii="Times New Roman" w:hAnsi="Times New Roman" w:cs="Times New Roman"/>
        </w:rPr>
        <w:t xml:space="preserve"> </w:t>
      </w:r>
      <w:r w:rsidR="00B4645B">
        <w:rPr>
          <w:rFonts w:ascii="Times New Roman" w:hAnsi="Times New Roman" w:cs="Times New Roman"/>
          <w:b/>
        </w:rPr>
        <w:t>21</w:t>
      </w:r>
      <w:r>
        <w:rPr>
          <w:rFonts w:ascii="Times New Roman" w:hAnsi="Times New Roman" w:cs="Times New Roman"/>
          <w:b/>
        </w:rPr>
        <w:t>.</w:t>
      </w:r>
      <w:r w:rsidR="00B4645B">
        <w:rPr>
          <w:rFonts w:ascii="Times New Roman" w:hAnsi="Times New Roman" w:cs="Times New Roman"/>
          <w:b/>
        </w:rPr>
        <w:t>520</w:t>
      </w:r>
      <w:r>
        <w:rPr>
          <w:rFonts w:ascii="Times New Roman" w:hAnsi="Times New Roman" w:cs="Times New Roman"/>
          <w:b/>
        </w:rPr>
        <w:t>.</w:t>
      </w:r>
      <w:r w:rsidR="00B4645B">
        <w:rPr>
          <w:rFonts w:ascii="Times New Roman" w:hAnsi="Times New Roman" w:cs="Times New Roman"/>
          <w:b/>
        </w:rPr>
        <w:t>246</w:t>
      </w:r>
      <w:r w:rsidRPr="00912B75">
        <w:rPr>
          <w:rFonts w:ascii="Times New Roman" w:hAnsi="Times New Roman" w:cs="Times New Roman"/>
          <w:b/>
        </w:rPr>
        <w:t xml:space="preserve"> </w:t>
      </w:r>
      <w:r w:rsidRPr="009D786B">
        <w:rPr>
          <w:rFonts w:ascii="Times New Roman" w:hAnsi="Times New Roman" w:cs="Times New Roman"/>
          <w:b/>
        </w:rPr>
        <w:t>USD en valor actual</w:t>
      </w:r>
      <w:r w:rsidRPr="009D786B">
        <w:rPr>
          <w:rFonts w:ascii="Times New Roman" w:hAnsi="Times New Roman" w:cs="Times New Roman"/>
        </w:rPr>
        <w:t>.</w:t>
      </w:r>
      <w:r w:rsidRPr="004639E8">
        <w:rPr>
          <w:rFonts w:ascii="Times New Roman" w:hAnsi="Times New Roman" w:cs="Times New Roman"/>
        </w:rPr>
        <w:t xml:space="preserve"> </w:t>
      </w:r>
    </w:p>
    <w:p w:rsidR="005A5EE1" w:rsidRPr="004639E8" w:rsidRDefault="005A5EE1" w:rsidP="004639E8">
      <w:pPr>
        <w:pStyle w:val="ListParagraph"/>
        <w:jc w:val="both"/>
        <w:rPr>
          <w:rFonts w:ascii="Times New Roman" w:hAnsi="Times New Roman" w:cs="Times New Roman"/>
          <w:i/>
        </w:rPr>
      </w:pPr>
    </w:p>
    <w:p w:rsidR="008809B6" w:rsidRPr="007000F5" w:rsidRDefault="008809B6" w:rsidP="00FE0C5F">
      <w:pPr>
        <w:pStyle w:val="ListParagraph"/>
        <w:numPr>
          <w:ilvl w:val="1"/>
          <w:numId w:val="30"/>
        </w:numPr>
        <w:ind w:hanging="578"/>
        <w:jc w:val="both"/>
        <w:rPr>
          <w:rFonts w:ascii="Times New Roman" w:hAnsi="Times New Roman" w:cs="Times New Roman"/>
          <w:i/>
        </w:rPr>
      </w:pPr>
      <w:r>
        <w:rPr>
          <w:rFonts w:ascii="Times New Roman" w:eastAsia="Times New Roman" w:hAnsi="Times New Roman" w:cs="Times New Roman"/>
          <w:szCs w:val="20"/>
        </w:rPr>
        <w:t>El detalle del reparto de los beneficios a lo largo del periodo de análisis se recoge más adelante en el Anexo II</w:t>
      </w:r>
      <w:r w:rsidR="00210B17">
        <w:rPr>
          <w:rFonts w:ascii="Times New Roman" w:eastAsia="Times New Roman" w:hAnsi="Times New Roman" w:cs="Times New Roman"/>
          <w:szCs w:val="20"/>
        </w:rPr>
        <w:t>I</w:t>
      </w:r>
      <w:r>
        <w:rPr>
          <w:rFonts w:ascii="Times New Roman" w:eastAsia="Times New Roman" w:hAnsi="Times New Roman" w:cs="Times New Roman"/>
          <w:szCs w:val="20"/>
        </w:rPr>
        <w:t xml:space="preserve"> de Resumen de Flujos Económicos del ACB.</w:t>
      </w:r>
    </w:p>
    <w:p w:rsidR="007000F5" w:rsidRPr="007000F5" w:rsidRDefault="007000F5" w:rsidP="007000F5">
      <w:pPr>
        <w:jc w:val="both"/>
        <w:rPr>
          <w:rFonts w:ascii="Times New Roman" w:hAnsi="Times New Roman" w:cs="Times New Roman"/>
          <w:i/>
        </w:rPr>
      </w:pPr>
    </w:p>
    <w:p w:rsidR="00B66668" w:rsidRPr="004639E8" w:rsidRDefault="00B66668" w:rsidP="004639E8">
      <w:pPr>
        <w:pStyle w:val="Heading2"/>
        <w:rPr>
          <w:rFonts w:ascii="Times New Roman" w:hAnsi="Times New Roman" w:cs="Times New Roman"/>
          <w:b w:val="0"/>
          <w:i/>
        </w:rPr>
      </w:pPr>
      <w:bookmarkStart w:id="55" w:name="_Toc386887952"/>
      <w:r w:rsidRPr="004639E8">
        <w:rPr>
          <w:rFonts w:ascii="Times New Roman" w:hAnsi="Times New Roman" w:cs="Times New Roman"/>
          <w:i/>
          <w:color w:val="auto"/>
          <w:sz w:val="22"/>
        </w:rPr>
        <w:t xml:space="preserve">Otros beneficios no cuantificados </w:t>
      </w:r>
      <w:bookmarkEnd w:id="55"/>
    </w:p>
    <w:p w:rsidR="00B66668" w:rsidRDefault="00B66668" w:rsidP="00B66668">
      <w:pPr>
        <w:ind w:left="360"/>
        <w:rPr>
          <w:rFonts w:ascii="Times New Roman" w:hAnsi="Times New Roman" w:cs="Times New Roman"/>
          <w:i/>
        </w:rPr>
      </w:pPr>
    </w:p>
    <w:p w:rsidR="00B66668" w:rsidRPr="00F17F89" w:rsidRDefault="00B66668"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Además de la disminución de pérdidas </w:t>
      </w:r>
      <w:r w:rsidR="00945214">
        <w:rPr>
          <w:rFonts w:ascii="Times New Roman" w:hAnsi="Times New Roman" w:cs="Times New Roman"/>
        </w:rPr>
        <w:t>y rechazos a la exportación</w:t>
      </w:r>
      <w:r>
        <w:rPr>
          <w:rFonts w:ascii="Times New Roman" w:hAnsi="Times New Roman" w:cs="Times New Roman"/>
        </w:rPr>
        <w:t>, el Pro</w:t>
      </w:r>
      <w:r w:rsidR="00945214">
        <w:rPr>
          <w:rFonts w:ascii="Times New Roman" w:hAnsi="Times New Roman" w:cs="Times New Roman"/>
        </w:rPr>
        <w:t>grama</w:t>
      </w:r>
      <w:r>
        <w:rPr>
          <w:rFonts w:ascii="Times New Roman" w:hAnsi="Times New Roman" w:cs="Times New Roman"/>
        </w:rPr>
        <w:t xml:space="preserve"> conlleva</w:t>
      </w:r>
      <w:r w:rsidR="00945214">
        <w:rPr>
          <w:rFonts w:ascii="Times New Roman" w:hAnsi="Times New Roman" w:cs="Times New Roman"/>
        </w:rPr>
        <w:t>rá</w:t>
      </w:r>
      <w:r>
        <w:rPr>
          <w:rFonts w:ascii="Times New Roman" w:hAnsi="Times New Roman" w:cs="Times New Roman"/>
        </w:rPr>
        <w:t xml:space="preserve"> otros beneficios económicos directos que, si bien no han sido cuantificados, suponen </w:t>
      </w:r>
      <w:r w:rsidRPr="00F17F89">
        <w:rPr>
          <w:rFonts w:ascii="Times New Roman" w:hAnsi="Times New Roman" w:cs="Times New Roman"/>
        </w:rPr>
        <w:t xml:space="preserve">elementos cualitativamente relevantes para el conjunto de la evaluación económica. Estos beneficios no han sido cuantificados o bien por la falta de datos disponibles al respecto, bien por la complejidad de realizar una estimación razonable de los mismos. </w:t>
      </w:r>
    </w:p>
    <w:p w:rsidR="00B66668" w:rsidRPr="00F17F89" w:rsidRDefault="00B66668" w:rsidP="00B66668">
      <w:pPr>
        <w:pStyle w:val="ListParagraph"/>
        <w:jc w:val="both"/>
        <w:rPr>
          <w:rFonts w:ascii="Times New Roman" w:hAnsi="Times New Roman" w:cs="Times New Roman"/>
        </w:rPr>
      </w:pPr>
    </w:p>
    <w:p w:rsidR="00B66668" w:rsidRDefault="00991A9A"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La puesta en marcha del </w:t>
      </w:r>
      <w:r w:rsidR="00B66668" w:rsidRPr="00F17F89">
        <w:rPr>
          <w:rFonts w:ascii="Times New Roman" w:hAnsi="Times New Roman" w:cs="Times New Roman"/>
        </w:rPr>
        <w:t xml:space="preserve">nuevo </w:t>
      </w:r>
      <w:r w:rsidR="00614170" w:rsidRPr="00F17F89">
        <w:rPr>
          <w:rFonts w:ascii="Times New Roman" w:hAnsi="Times New Roman" w:cs="Times New Roman"/>
        </w:rPr>
        <w:t xml:space="preserve">sistema </w:t>
      </w:r>
      <w:r>
        <w:rPr>
          <w:rFonts w:ascii="Times New Roman" w:hAnsi="Times New Roman" w:cs="Times New Roman"/>
        </w:rPr>
        <w:t xml:space="preserve">de salud zoo-fitosanitaria </w:t>
      </w:r>
      <w:r w:rsidR="00B66668" w:rsidRPr="00F17F89">
        <w:rPr>
          <w:rFonts w:ascii="Times New Roman" w:hAnsi="Times New Roman" w:cs="Times New Roman"/>
        </w:rPr>
        <w:t>permitirá que el Pro</w:t>
      </w:r>
      <w:r w:rsidR="00614170" w:rsidRPr="00F17F89">
        <w:rPr>
          <w:rFonts w:ascii="Times New Roman" w:hAnsi="Times New Roman" w:cs="Times New Roman"/>
        </w:rPr>
        <w:t>grama</w:t>
      </w:r>
      <w:r w:rsidR="00B66668" w:rsidRPr="00F17F89">
        <w:rPr>
          <w:rFonts w:ascii="Times New Roman" w:hAnsi="Times New Roman" w:cs="Times New Roman"/>
        </w:rPr>
        <w:t xml:space="preserve"> genere un beneficio económico directo </w:t>
      </w:r>
      <w:r>
        <w:rPr>
          <w:rFonts w:ascii="Times New Roman" w:hAnsi="Times New Roman" w:cs="Times New Roman"/>
        </w:rPr>
        <w:t>a través de</w:t>
      </w:r>
      <w:r w:rsidR="00B66668" w:rsidRPr="00F17F89">
        <w:rPr>
          <w:rFonts w:ascii="Times New Roman" w:hAnsi="Times New Roman" w:cs="Times New Roman"/>
        </w:rPr>
        <w:t xml:space="preserve"> la mejora de la eficiencia en el uso de </w:t>
      </w:r>
      <w:r w:rsidR="00945214" w:rsidRPr="00F17F89">
        <w:rPr>
          <w:rFonts w:ascii="Times New Roman" w:hAnsi="Times New Roman" w:cs="Times New Roman"/>
        </w:rPr>
        <w:t>l</w:t>
      </w:r>
      <w:r w:rsidR="00B66668" w:rsidRPr="00F17F89">
        <w:rPr>
          <w:rFonts w:ascii="Times New Roman" w:hAnsi="Times New Roman" w:cs="Times New Roman"/>
        </w:rPr>
        <w:t>os fondos presupuestarios públicos.</w:t>
      </w:r>
      <w:r w:rsidR="000D0F46">
        <w:rPr>
          <w:rFonts w:ascii="Times New Roman" w:hAnsi="Times New Roman" w:cs="Times New Roman"/>
        </w:rPr>
        <w:t xml:space="preserve"> Como ejemplo, se puede señalar las inversiones extra-tempranas que se realizaron para construir varios laboratorios regionales, que no </w:t>
      </w:r>
      <w:r>
        <w:rPr>
          <w:rFonts w:ascii="Times New Roman" w:hAnsi="Times New Roman" w:cs="Times New Roman"/>
        </w:rPr>
        <w:t xml:space="preserve">están </w:t>
      </w:r>
      <w:r w:rsidR="000D0F46">
        <w:rPr>
          <w:rFonts w:ascii="Times New Roman" w:hAnsi="Times New Roman" w:cs="Times New Roman"/>
        </w:rPr>
        <w:t>funcionan</w:t>
      </w:r>
      <w:r>
        <w:rPr>
          <w:rFonts w:ascii="Times New Roman" w:hAnsi="Times New Roman" w:cs="Times New Roman"/>
        </w:rPr>
        <w:t>do</w:t>
      </w:r>
      <w:r w:rsidR="000D0F46">
        <w:rPr>
          <w:rFonts w:ascii="Times New Roman" w:hAnsi="Times New Roman" w:cs="Times New Roman"/>
        </w:rPr>
        <w:t xml:space="preserve"> por falta de personal capacitado y </w:t>
      </w:r>
      <w:r>
        <w:rPr>
          <w:rFonts w:ascii="Times New Roman" w:hAnsi="Times New Roman" w:cs="Times New Roman"/>
        </w:rPr>
        <w:t xml:space="preserve">de </w:t>
      </w:r>
      <w:r w:rsidR="000D0F46">
        <w:rPr>
          <w:rFonts w:ascii="Times New Roman" w:hAnsi="Times New Roman" w:cs="Times New Roman"/>
        </w:rPr>
        <w:t xml:space="preserve">los equipos necesarios para el ejercicio de sus funciones. A esto se le </w:t>
      </w:r>
      <w:r>
        <w:rPr>
          <w:rFonts w:ascii="Times New Roman" w:hAnsi="Times New Roman" w:cs="Times New Roman"/>
        </w:rPr>
        <w:t>añade</w:t>
      </w:r>
      <w:r w:rsidR="000D0F46">
        <w:rPr>
          <w:rFonts w:ascii="Times New Roman" w:hAnsi="Times New Roman" w:cs="Times New Roman"/>
        </w:rPr>
        <w:t xml:space="preserve"> la dotación de un sistema de información y la elaboración de manuales de procedimientos</w:t>
      </w:r>
      <w:r w:rsidR="00F43ABE">
        <w:rPr>
          <w:rFonts w:ascii="Times New Roman" w:hAnsi="Times New Roman" w:cs="Times New Roman"/>
        </w:rPr>
        <w:t>,</w:t>
      </w:r>
      <w:r w:rsidR="000D0F46">
        <w:rPr>
          <w:rFonts w:ascii="Times New Roman" w:hAnsi="Times New Roman" w:cs="Times New Roman"/>
        </w:rPr>
        <w:t xml:space="preserve"> que permitirán </w:t>
      </w:r>
      <w:r w:rsidR="00F43ABE">
        <w:rPr>
          <w:rFonts w:ascii="Times New Roman" w:hAnsi="Times New Roman" w:cs="Times New Roman"/>
        </w:rPr>
        <w:t xml:space="preserve">ambos </w:t>
      </w:r>
      <w:r w:rsidR="000D0F46">
        <w:rPr>
          <w:rFonts w:ascii="Times New Roman" w:hAnsi="Times New Roman" w:cs="Times New Roman"/>
        </w:rPr>
        <w:t xml:space="preserve">mejorar la coordinación en las actuaciones y la </w:t>
      </w:r>
      <w:r w:rsidR="00A73A87">
        <w:rPr>
          <w:rFonts w:ascii="Times New Roman" w:hAnsi="Times New Roman" w:cs="Times New Roman"/>
        </w:rPr>
        <w:t xml:space="preserve">priorización </w:t>
      </w:r>
      <w:r w:rsidR="000D0F46">
        <w:rPr>
          <w:rFonts w:ascii="Times New Roman" w:hAnsi="Times New Roman" w:cs="Times New Roman"/>
        </w:rPr>
        <w:t xml:space="preserve">en la toma de decisiones, evitando malgastar </w:t>
      </w:r>
      <w:r>
        <w:rPr>
          <w:rFonts w:ascii="Times New Roman" w:hAnsi="Times New Roman" w:cs="Times New Roman"/>
        </w:rPr>
        <w:t xml:space="preserve">los futuros </w:t>
      </w:r>
      <w:r w:rsidR="000D0F46">
        <w:rPr>
          <w:rFonts w:ascii="Times New Roman" w:hAnsi="Times New Roman" w:cs="Times New Roman"/>
        </w:rPr>
        <w:t>recursos</w:t>
      </w:r>
      <w:r>
        <w:rPr>
          <w:rFonts w:ascii="Times New Roman" w:hAnsi="Times New Roman" w:cs="Times New Roman"/>
        </w:rPr>
        <w:t xml:space="preserve"> disponibles</w:t>
      </w:r>
      <w:r w:rsidR="000D0F46">
        <w:rPr>
          <w:rFonts w:ascii="Times New Roman" w:hAnsi="Times New Roman" w:cs="Times New Roman"/>
        </w:rPr>
        <w:t>.</w:t>
      </w:r>
    </w:p>
    <w:p w:rsidR="00285EFE" w:rsidRPr="004639E8" w:rsidRDefault="00285EFE" w:rsidP="004639E8">
      <w:pPr>
        <w:pStyle w:val="ListParagraph"/>
        <w:rPr>
          <w:rFonts w:ascii="Times New Roman" w:hAnsi="Times New Roman" w:cs="Times New Roman"/>
        </w:rPr>
      </w:pPr>
    </w:p>
    <w:p w:rsidR="00285EFE" w:rsidRDefault="00285EFE"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En este sentido, el Programa generará beneficios derivados de las intervenciones relacionadas con la epidemiología y la capacidad de los laboratorios</w:t>
      </w:r>
      <w:r w:rsidR="000D0F46">
        <w:rPr>
          <w:rFonts w:ascii="Times New Roman" w:hAnsi="Times New Roman" w:cs="Times New Roman"/>
        </w:rPr>
        <w:t>, en la efectividad y eficiencia de campañas futuras realizadas sobre otras patologías</w:t>
      </w:r>
      <w:r w:rsidR="008E1DC7">
        <w:rPr>
          <w:rFonts w:ascii="Times New Roman" w:hAnsi="Times New Roman" w:cs="Times New Roman"/>
        </w:rPr>
        <w:t xml:space="preserve"> </w:t>
      </w:r>
      <w:r w:rsidR="00991A9A">
        <w:rPr>
          <w:rFonts w:ascii="Times New Roman" w:hAnsi="Times New Roman" w:cs="Times New Roman"/>
        </w:rPr>
        <w:t>que</w:t>
      </w:r>
      <w:r w:rsidR="008E1DC7">
        <w:rPr>
          <w:rFonts w:ascii="Times New Roman" w:hAnsi="Times New Roman" w:cs="Times New Roman"/>
        </w:rPr>
        <w:t xml:space="preserve"> las directamente </w:t>
      </w:r>
      <w:r w:rsidR="00991A9A">
        <w:rPr>
          <w:rFonts w:ascii="Times New Roman" w:hAnsi="Times New Roman" w:cs="Times New Roman"/>
        </w:rPr>
        <w:t xml:space="preserve">atribuidas al </w:t>
      </w:r>
      <w:r w:rsidR="008E1DC7">
        <w:rPr>
          <w:rFonts w:ascii="Times New Roman" w:hAnsi="Times New Roman" w:cs="Times New Roman"/>
        </w:rPr>
        <w:t>Programa</w:t>
      </w:r>
      <w:r w:rsidR="000D0F46">
        <w:rPr>
          <w:rFonts w:ascii="Times New Roman" w:hAnsi="Times New Roman" w:cs="Times New Roman"/>
        </w:rPr>
        <w:t>, como</w:t>
      </w:r>
      <w:r w:rsidR="00991A9A">
        <w:rPr>
          <w:rFonts w:ascii="Times New Roman" w:hAnsi="Times New Roman" w:cs="Times New Roman"/>
        </w:rPr>
        <w:t xml:space="preserve"> son</w:t>
      </w:r>
      <w:r w:rsidR="000D0F46">
        <w:rPr>
          <w:rFonts w:ascii="Times New Roman" w:hAnsi="Times New Roman" w:cs="Times New Roman"/>
        </w:rPr>
        <w:t xml:space="preserve"> el Newcastle, la Cochinilla Blanca, y el Carbón Bacteriano.</w:t>
      </w:r>
    </w:p>
    <w:p w:rsidR="00710216" w:rsidRPr="004639E8" w:rsidRDefault="00710216" w:rsidP="004639E8">
      <w:pPr>
        <w:pStyle w:val="ListParagraph"/>
        <w:rPr>
          <w:rFonts w:ascii="Times New Roman" w:hAnsi="Times New Roman" w:cs="Times New Roman"/>
        </w:rPr>
      </w:pPr>
    </w:p>
    <w:p w:rsidR="00710216" w:rsidRDefault="00710216"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Por otra parte, el carácter piloto de las intervenciones relacionadas con el Teschen, la mosca de la fruta y la hormiga loca, junto con su evaluación y seguimiento rigurosos, permitir</w:t>
      </w:r>
      <w:r w:rsidR="00A411B8">
        <w:rPr>
          <w:rFonts w:ascii="Times New Roman" w:hAnsi="Times New Roman" w:cs="Times New Roman"/>
        </w:rPr>
        <w:t xml:space="preserve">á comprobar </w:t>
      </w:r>
      <w:r>
        <w:rPr>
          <w:rFonts w:ascii="Times New Roman" w:hAnsi="Times New Roman" w:cs="Times New Roman"/>
        </w:rPr>
        <w:t xml:space="preserve">la utilidad real de dichas actuaciones y evitará, en el caso de </w:t>
      </w:r>
      <w:r w:rsidR="00A411B8">
        <w:rPr>
          <w:rFonts w:ascii="Times New Roman" w:hAnsi="Times New Roman" w:cs="Times New Roman"/>
        </w:rPr>
        <w:t xml:space="preserve">evidenciarse ineficaces, </w:t>
      </w:r>
      <w:r>
        <w:rPr>
          <w:rFonts w:ascii="Times New Roman" w:hAnsi="Times New Roman" w:cs="Times New Roman"/>
        </w:rPr>
        <w:t xml:space="preserve">el uso de más recursos </w:t>
      </w:r>
      <w:r w:rsidR="00A411B8">
        <w:rPr>
          <w:rFonts w:ascii="Times New Roman" w:hAnsi="Times New Roman" w:cs="Times New Roman"/>
        </w:rPr>
        <w:t xml:space="preserve">para </w:t>
      </w:r>
      <w:r w:rsidR="0047270F">
        <w:rPr>
          <w:rFonts w:ascii="Times New Roman" w:hAnsi="Times New Roman" w:cs="Times New Roman"/>
        </w:rPr>
        <w:t>su continuidad en el futuro</w:t>
      </w:r>
      <w:r w:rsidR="00A411B8">
        <w:rPr>
          <w:rFonts w:ascii="Times New Roman" w:hAnsi="Times New Roman" w:cs="Times New Roman"/>
        </w:rPr>
        <w:t>.</w:t>
      </w:r>
      <w:r w:rsidR="00213D7D">
        <w:rPr>
          <w:rFonts w:ascii="Times New Roman" w:hAnsi="Times New Roman" w:cs="Times New Roman"/>
        </w:rPr>
        <w:t xml:space="preserve"> Por la otra parte, hará posible </w:t>
      </w:r>
      <w:r w:rsidR="009225DB">
        <w:rPr>
          <w:rFonts w:ascii="Times New Roman" w:hAnsi="Times New Roman" w:cs="Times New Roman"/>
        </w:rPr>
        <w:t>que se prioricen</w:t>
      </w:r>
      <w:r w:rsidR="00213D7D">
        <w:rPr>
          <w:rFonts w:ascii="Times New Roman" w:hAnsi="Times New Roman" w:cs="Times New Roman"/>
        </w:rPr>
        <w:t xml:space="preserve"> las </w:t>
      </w:r>
      <w:r w:rsidR="009225DB">
        <w:rPr>
          <w:rFonts w:ascii="Times New Roman" w:hAnsi="Times New Roman" w:cs="Times New Roman"/>
        </w:rPr>
        <w:t>acciones</w:t>
      </w:r>
      <w:r w:rsidR="00213D7D">
        <w:rPr>
          <w:rFonts w:ascii="Times New Roman" w:hAnsi="Times New Roman" w:cs="Times New Roman"/>
        </w:rPr>
        <w:t xml:space="preserve"> </w:t>
      </w:r>
      <w:r w:rsidR="009225DB">
        <w:rPr>
          <w:rFonts w:ascii="Times New Roman" w:hAnsi="Times New Roman" w:cs="Times New Roman"/>
        </w:rPr>
        <w:t xml:space="preserve">que generen los </w:t>
      </w:r>
      <w:r w:rsidR="00213D7D">
        <w:rPr>
          <w:rFonts w:ascii="Times New Roman" w:hAnsi="Times New Roman" w:cs="Times New Roman"/>
        </w:rPr>
        <w:t>mayores impactos.</w:t>
      </w:r>
    </w:p>
    <w:p w:rsidR="008E1DC7" w:rsidRPr="004639E8" w:rsidRDefault="008E1DC7" w:rsidP="004639E8">
      <w:pPr>
        <w:pStyle w:val="ListParagraph"/>
        <w:rPr>
          <w:rFonts w:ascii="Times New Roman" w:hAnsi="Times New Roman" w:cs="Times New Roman"/>
        </w:rPr>
      </w:pPr>
    </w:p>
    <w:p w:rsidR="008E1DC7" w:rsidRPr="00F17F89" w:rsidRDefault="008E1DC7"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 xml:space="preserve">Cabe señalar </w:t>
      </w:r>
      <w:r w:rsidR="0047270F">
        <w:rPr>
          <w:rFonts w:ascii="Times New Roman" w:hAnsi="Times New Roman" w:cs="Times New Roman"/>
        </w:rPr>
        <w:t>en particular</w:t>
      </w:r>
      <w:r>
        <w:rPr>
          <w:rFonts w:ascii="Times New Roman" w:hAnsi="Times New Roman" w:cs="Times New Roman"/>
        </w:rPr>
        <w:t xml:space="preserve"> la importancia del componente institucional </w:t>
      </w:r>
      <w:r w:rsidR="003E4C73">
        <w:rPr>
          <w:rFonts w:ascii="Times New Roman" w:hAnsi="Times New Roman" w:cs="Times New Roman"/>
        </w:rPr>
        <w:t xml:space="preserve">(edificaciones, equipos, capacitación del personal y planificación de procedimientos) </w:t>
      </w:r>
      <w:r>
        <w:rPr>
          <w:rFonts w:ascii="Times New Roman" w:hAnsi="Times New Roman" w:cs="Times New Roman"/>
        </w:rPr>
        <w:t xml:space="preserve">para la buena ejecución </w:t>
      </w:r>
      <w:r w:rsidR="00F057AE">
        <w:rPr>
          <w:rFonts w:ascii="Times New Roman" w:hAnsi="Times New Roman" w:cs="Times New Roman"/>
        </w:rPr>
        <w:t>del servicio público en la</w:t>
      </w:r>
      <w:r>
        <w:rPr>
          <w:rFonts w:ascii="Times New Roman" w:hAnsi="Times New Roman" w:cs="Times New Roman"/>
        </w:rPr>
        <w:t xml:space="preserve"> efectividad de las campañas de vacunación en cuanto al </w:t>
      </w:r>
      <w:r>
        <w:rPr>
          <w:rFonts w:ascii="Times New Roman" w:hAnsi="Times New Roman" w:cs="Times New Roman"/>
        </w:rPr>
        <w:lastRenderedPageBreak/>
        <w:t>almacenamiento y transporte de las vacunas. Sin un</w:t>
      </w:r>
      <w:r w:rsidR="0047270F">
        <w:rPr>
          <w:rFonts w:ascii="Times New Roman" w:hAnsi="Times New Roman" w:cs="Times New Roman"/>
        </w:rPr>
        <w:t>a utilización adecuada</w:t>
      </w:r>
      <w:r>
        <w:rPr>
          <w:rFonts w:ascii="Times New Roman" w:hAnsi="Times New Roman" w:cs="Times New Roman"/>
        </w:rPr>
        <w:t xml:space="preserve"> de las mismas, estas se vuelven de mala calidad y por tanto ineficaces.</w:t>
      </w:r>
    </w:p>
    <w:p w:rsidR="00B66668" w:rsidRPr="00F17F89" w:rsidRDefault="00B66668" w:rsidP="002902C7">
      <w:pPr>
        <w:pStyle w:val="ListParagraph"/>
        <w:ind w:hanging="578"/>
        <w:jc w:val="both"/>
        <w:rPr>
          <w:rFonts w:ascii="Times New Roman" w:hAnsi="Times New Roman" w:cs="Times New Roman"/>
        </w:rPr>
      </w:pPr>
    </w:p>
    <w:p w:rsidR="00B66668" w:rsidRPr="004639E8" w:rsidRDefault="00B66668" w:rsidP="004639E8">
      <w:pPr>
        <w:pStyle w:val="Heading2"/>
        <w:rPr>
          <w:rFonts w:ascii="Times New Roman" w:hAnsi="Times New Roman" w:cs="Times New Roman"/>
          <w:b w:val="0"/>
          <w:i/>
        </w:rPr>
      </w:pPr>
      <w:bookmarkStart w:id="56" w:name="_Toc386887953"/>
      <w:r w:rsidRPr="004639E8">
        <w:rPr>
          <w:rFonts w:ascii="Times New Roman" w:hAnsi="Times New Roman" w:cs="Times New Roman"/>
          <w:i/>
          <w:color w:val="auto"/>
          <w:sz w:val="22"/>
        </w:rPr>
        <w:t>Beneficios indirectos</w:t>
      </w:r>
      <w:bookmarkEnd w:id="56"/>
      <w:r w:rsidRPr="004639E8">
        <w:rPr>
          <w:rFonts w:ascii="Times New Roman" w:hAnsi="Times New Roman" w:cs="Times New Roman"/>
          <w:i/>
          <w:color w:val="auto"/>
          <w:sz w:val="22"/>
        </w:rPr>
        <w:t xml:space="preserve"> </w:t>
      </w:r>
    </w:p>
    <w:p w:rsidR="00B66668" w:rsidRDefault="00B66668" w:rsidP="00B66668">
      <w:pPr>
        <w:jc w:val="both"/>
        <w:rPr>
          <w:rFonts w:ascii="Times New Roman" w:hAnsi="Times New Roman" w:cs="Times New Roman"/>
          <w:b/>
          <w:highlight w:val="yellow"/>
        </w:rPr>
      </w:pPr>
    </w:p>
    <w:p w:rsidR="00B66668" w:rsidRDefault="00F17F89"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El Programa generará</w:t>
      </w:r>
      <w:r w:rsidR="00B66668">
        <w:rPr>
          <w:rFonts w:ascii="Times New Roman" w:hAnsi="Times New Roman" w:cs="Times New Roman"/>
        </w:rPr>
        <w:t xml:space="preserve"> asimismo </w:t>
      </w:r>
      <w:r w:rsidR="00B66668" w:rsidRPr="008409CB">
        <w:rPr>
          <w:rFonts w:ascii="Times New Roman" w:hAnsi="Times New Roman" w:cs="Times New Roman"/>
        </w:rPr>
        <w:t>beneficios diferenciales indirectos o de segunda ronda</w:t>
      </w:r>
      <w:r w:rsidR="00B66668">
        <w:rPr>
          <w:rFonts w:ascii="Times New Roman" w:hAnsi="Times New Roman" w:cs="Times New Roman"/>
        </w:rPr>
        <w:t xml:space="preserve"> </w:t>
      </w:r>
      <w:r>
        <w:rPr>
          <w:rFonts w:ascii="Times New Roman" w:hAnsi="Times New Roman" w:cs="Times New Roman"/>
        </w:rPr>
        <w:t>como los siguientes</w:t>
      </w:r>
      <w:r w:rsidR="00B66668">
        <w:rPr>
          <w:rFonts w:ascii="Times New Roman" w:hAnsi="Times New Roman" w:cs="Times New Roman"/>
        </w:rPr>
        <w:t>.</w:t>
      </w:r>
    </w:p>
    <w:p w:rsidR="00B66668" w:rsidRDefault="00B66668" w:rsidP="002902C7">
      <w:pPr>
        <w:pStyle w:val="ListParagraph"/>
        <w:ind w:hanging="578"/>
        <w:jc w:val="both"/>
        <w:rPr>
          <w:rFonts w:ascii="Times New Roman" w:hAnsi="Times New Roman" w:cs="Times New Roman"/>
        </w:rPr>
      </w:pPr>
    </w:p>
    <w:p w:rsidR="00B66668" w:rsidRDefault="00816F52"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S</w:t>
      </w:r>
      <w:r w:rsidR="00F17F89">
        <w:rPr>
          <w:rFonts w:ascii="Times New Roman" w:hAnsi="Times New Roman" w:cs="Times New Roman"/>
        </w:rPr>
        <w:t xml:space="preserve">e </w:t>
      </w:r>
      <w:r w:rsidR="00F74E64">
        <w:rPr>
          <w:rFonts w:ascii="Times New Roman" w:hAnsi="Times New Roman" w:cs="Times New Roman"/>
        </w:rPr>
        <w:t xml:space="preserve">producirá </w:t>
      </w:r>
      <w:r w:rsidR="00426FE2">
        <w:rPr>
          <w:rFonts w:ascii="Times New Roman" w:hAnsi="Times New Roman" w:cs="Times New Roman"/>
        </w:rPr>
        <w:t xml:space="preserve">un efecto de derrame </w:t>
      </w:r>
      <w:r>
        <w:rPr>
          <w:rFonts w:ascii="Times New Roman" w:hAnsi="Times New Roman" w:cs="Times New Roman"/>
        </w:rPr>
        <w:t xml:space="preserve">en </w:t>
      </w:r>
      <w:r w:rsidR="000A2FE5">
        <w:rPr>
          <w:rFonts w:ascii="Times New Roman" w:hAnsi="Times New Roman" w:cs="Times New Roman"/>
        </w:rPr>
        <w:t xml:space="preserve">las </w:t>
      </w:r>
      <w:r>
        <w:rPr>
          <w:rFonts w:ascii="Times New Roman" w:hAnsi="Times New Roman" w:cs="Times New Roman"/>
        </w:rPr>
        <w:t xml:space="preserve">áreas </w:t>
      </w:r>
      <w:r w:rsidR="000A2FE5">
        <w:rPr>
          <w:rFonts w:ascii="Times New Roman" w:hAnsi="Times New Roman" w:cs="Times New Roman"/>
        </w:rPr>
        <w:t xml:space="preserve">de </w:t>
      </w:r>
      <w:r>
        <w:rPr>
          <w:rFonts w:ascii="Times New Roman" w:hAnsi="Times New Roman" w:cs="Times New Roman"/>
        </w:rPr>
        <w:t xml:space="preserve">cultivo adyacentes a las incluidas en las áreas piloto del Programa </w:t>
      </w:r>
      <w:r w:rsidR="00426FE2">
        <w:rPr>
          <w:rFonts w:ascii="Times New Roman" w:hAnsi="Times New Roman" w:cs="Times New Roman"/>
        </w:rPr>
        <w:t>en cuanto a que</w:t>
      </w:r>
      <w:r>
        <w:rPr>
          <w:rFonts w:ascii="Times New Roman" w:hAnsi="Times New Roman" w:cs="Times New Roman"/>
        </w:rPr>
        <w:t xml:space="preserve">, de darse los resultados esperados, </w:t>
      </w:r>
      <w:r w:rsidR="006551F7">
        <w:rPr>
          <w:rFonts w:ascii="Times New Roman" w:hAnsi="Times New Roman" w:cs="Times New Roman"/>
        </w:rPr>
        <w:t xml:space="preserve">los impactos positivos constatados </w:t>
      </w:r>
      <w:r w:rsidR="00426FE2">
        <w:rPr>
          <w:rFonts w:ascii="Times New Roman" w:hAnsi="Times New Roman" w:cs="Times New Roman"/>
        </w:rPr>
        <w:t>supondrá</w:t>
      </w:r>
      <w:r w:rsidR="006551F7">
        <w:rPr>
          <w:rFonts w:ascii="Times New Roman" w:hAnsi="Times New Roman" w:cs="Times New Roman"/>
        </w:rPr>
        <w:t>n</w:t>
      </w:r>
      <w:r w:rsidR="00426FE2">
        <w:rPr>
          <w:rFonts w:ascii="Times New Roman" w:hAnsi="Times New Roman" w:cs="Times New Roman"/>
        </w:rPr>
        <w:t xml:space="preserve"> un incentivo para </w:t>
      </w:r>
      <w:r w:rsidR="009225DB">
        <w:rPr>
          <w:rFonts w:ascii="Times New Roman" w:hAnsi="Times New Roman" w:cs="Times New Roman"/>
        </w:rPr>
        <w:t>que los propios agricultores realicen</w:t>
      </w:r>
      <w:r>
        <w:rPr>
          <w:rFonts w:ascii="Times New Roman" w:hAnsi="Times New Roman" w:cs="Times New Roman"/>
        </w:rPr>
        <w:t xml:space="preserve"> labores de control </w:t>
      </w:r>
      <w:r w:rsidR="009225DB">
        <w:rPr>
          <w:rFonts w:ascii="Times New Roman" w:hAnsi="Times New Roman" w:cs="Times New Roman"/>
        </w:rPr>
        <w:t>de las plagas en sus cultivos</w:t>
      </w:r>
      <w:r w:rsidR="000A2FE5">
        <w:rPr>
          <w:rFonts w:ascii="Times New Roman" w:hAnsi="Times New Roman" w:cs="Times New Roman"/>
        </w:rPr>
        <w:t>.</w:t>
      </w:r>
    </w:p>
    <w:p w:rsidR="00B66668" w:rsidRPr="00D32E5D" w:rsidRDefault="00B66668" w:rsidP="002902C7">
      <w:pPr>
        <w:pStyle w:val="ListParagraph"/>
        <w:ind w:hanging="578"/>
        <w:rPr>
          <w:rFonts w:ascii="Times New Roman" w:hAnsi="Times New Roman" w:cs="Times New Roman"/>
        </w:rPr>
      </w:pPr>
    </w:p>
    <w:p w:rsidR="00B66668" w:rsidRDefault="00F17F89" w:rsidP="00FE0C5F">
      <w:pPr>
        <w:pStyle w:val="ListParagraph"/>
        <w:numPr>
          <w:ilvl w:val="1"/>
          <w:numId w:val="30"/>
        </w:numPr>
        <w:ind w:hanging="578"/>
        <w:jc w:val="both"/>
        <w:rPr>
          <w:rFonts w:ascii="Times New Roman" w:hAnsi="Times New Roman" w:cs="Times New Roman"/>
        </w:rPr>
      </w:pPr>
      <w:r>
        <w:rPr>
          <w:rFonts w:ascii="Times New Roman" w:hAnsi="Times New Roman" w:cs="Times New Roman"/>
        </w:rPr>
        <w:t>Asimismo</w:t>
      </w:r>
      <w:r w:rsidR="00B66668">
        <w:rPr>
          <w:rFonts w:ascii="Times New Roman" w:hAnsi="Times New Roman" w:cs="Times New Roman"/>
        </w:rPr>
        <w:t xml:space="preserve">, la creación del </w:t>
      </w:r>
      <w:r w:rsidR="00E21860">
        <w:rPr>
          <w:rFonts w:ascii="Times New Roman" w:hAnsi="Times New Roman" w:cs="Times New Roman"/>
        </w:rPr>
        <w:t>sistema de información</w:t>
      </w:r>
      <w:r w:rsidR="00B66668">
        <w:rPr>
          <w:rFonts w:ascii="Times New Roman" w:hAnsi="Times New Roman" w:cs="Times New Roman"/>
        </w:rPr>
        <w:t xml:space="preserve"> </w:t>
      </w:r>
      <w:r w:rsidR="00E21860">
        <w:rPr>
          <w:rFonts w:ascii="Times New Roman" w:hAnsi="Times New Roman" w:cs="Times New Roman"/>
        </w:rPr>
        <w:t xml:space="preserve">de la sanidad agropecuaria </w:t>
      </w:r>
      <w:r w:rsidR="00B66668">
        <w:rPr>
          <w:rFonts w:ascii="Times New Roman" w:hAnsi="Times New Roman" w:cs="Times New Roman"/>
        </w:rPr>
        <w:t>facilitará la supervisión y medición de los impactos de las acciones ejecutadas por parte de las instituciones o actores competentes en la materia, permitiendo que se tomen decisiones con más información y por tanto con base en una justificación más sólida. Esto generará a su vez una mayor eficiencia en el uso de los recursos públicos destinados a este fin.</w:t>
      </w:r>
    </w:p>
    <w:p w:rsidR="00B66668" w:rsidRPr="00B66668" w:rsidRDefault="00B66668" w:rsidP="002902C7">
      <w:pPr>
        <w:pStyle w:val="ListParagraph"/>
        <w:ind w:hanging="578"/>
        <w:rPr>
          <w:rFonts w:ascii="Times New Roman" w:hAnsi="Times New Roman" w:cs="Times New Roman"/>
        </w:rPr>
      </w:pPr>
    </w:p>
    <w:p w:rsidR="00B66668" w:rsidRDefault="00E21860" w:rsidP="00FE0C5F">
      <w:pPr>
        <w:pStyle w:val="ListParagraph"/>
        <w:numPr>
          <w:ilvl w:val="1"/>
          <w:numId w:val="3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Por otra parte, se generará un </w:t>
      </w:r>
      <w:r w:rsidR="00B66668">
        <w:rPr>
          <w:rFonts w:ascii="Times New Roman" w:eastAsia="Times New Roman" w:hAnsi="Times New Roman" w:cs="Times New Roman"/>
          <w:szCs w:val="20"/>
        </w:rPr>
        <w:t xml:space="preserve">beneficio indirecto </w:t>
      </w:r>
      <w:r>
        <w:rPr>
          <w:rFonts w:ascii="Times New Roman" w:eastAsia="Times New Roman" w:hAnsi="Times New Roman" w:cs="Times New Roman"/>
          <w:szCs w:val="20"/>
        </w:rPr>
        <w:t xml:space="preserve">a través de </w:t>
      </w:r>
      <w:r w:rsidR="00B66668">
        <w:rPr>
          <w:rFonts w:ascii="Times New Roman" w:eastAsia="Times New Roman" w:hAnsi="Times New Roman" w:cs="Times New Roman"/>
          <w:szCs w:val="20"/>
        </w:rPr>
        <w:t xml:space="preserve">la creación </w:t>
      </w:r>
      <w:r>
        <w:rPr>
          <w:rFonts w:ascii="Times New Roman" w:eastAsia="Times New Roman" w:hAnsi="Times New Roman" w:cs="Times New Roman"/>
          <w:szCs w:val="20"/>
        </w:rPr>
        <w:t xml:space="preserve">de </w:t>
      </w:r>
      <w:r w:rsidR="00B66668" w:rsidRPr="003D14CF">
        <w:rPr>
          <w:rFonts w:ascii="Times New Roman" w:eastAsia="Times New Roman" w:hAnsi="Times New Roman" w:cs="Times New Roman"/>
          <w:szCs w:val="20"/>
        </w:rPr>
        <w:t>empleo</w:t>
      </w:r>
      <w:r w:rsidR="00B66668">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debido al </w:t>
      </w:r>
      <w:r w:rsidR="00B66668" w:rsidRPr="003D14CF">
        <w:rPr>
          <w:rFonts w:ascii="Times New Roman" w:eastAsia="Times New Roman" w:hAnsi="Times New Roman" w:cs="Times New Roman"/>
          <w:szCs w:val="20"/>
        </w:rPr>
        <w:t xml:space="preserve">fomento de la actividad agrícola y </w:t>
      </w:r>
      <w:r>
        <w:rPr>
          <w:rFonts w:ascii="Times New Roman" w:eastAsia="Times New Roman" w:hAnsi="Times New Roman" w:cs="Times New Roman"/>
          <w:szCs w:val="20"/>
        </w:rPr>
        <w:t xml:space="preserve">de </w:t>
      </w:r>
      <w:r w:rsidR="00B66668" w:rsidRPr="003D14CF">
        <w:rPr>
          <w:rFonts w:ascii="Times New Roman" w:eastAsia="Times New Roman" w:hAnsi="Times New Roman" w:cs="Times New Roman"/>
          <w:szCs w:val="20"/>
        </w:rPr>
        <w:t xml:space="preserve">la mejora </w:t>
      </w:r>
      <w:r>
        <w:rPr>
          <w:rFonts w:ascii="Times New Roman" w:eastAsia="Times New Roman" w:hAnsi="Times New Roman" w:cs="Times New Roman"/>
          <w:szCs w:val="20"/>
        </w:rPr>
        <w:t>en</w:t>
      </w:r>
      <w:r w:rsidR="00B66668" w:rsidRPr="003D14CF">
        <w:rPr>
          <w:rFonts w:ascii="Times New Roman" w:eastAsia="Times New Roman" w:hAnsi="Times New Roman" w:cs="Times New Roman"/>
          <w:szCs w:val="20"/>
        </w:rPr>
        <w:t xml:space="preserve"> la gestión de los recursos para la producción. Según datos de la FAO, la población rural de Haití supone el 64,3% de la población total y la población activa rural representa el 61% de la población activa total. El empleo rural es esencialmente agrícola, formado en su mayor parte por trabajadores autónomos (auto-empleados)</w:t>
      </w:r>
      <w:r w:rsidR="00B66668" w:rsidRPr="003D14CF">
        <w:rPr>
          <w:rStyle w:val="FootnoteReference"/>
          <w:rFonts w:ascii="Times New Roman" w:hAnsi="Times New Roman" w:cs="Times New Roman"/>
        </w:rPr>
        <w:footnoteReference w:id="7"/>
      </w:r>
      <w:r w:rsidR="00B66668" w:rsidRPr="003D14CF">
        <w:rPr>
          <w:rFonts w:ascii="Times New Roman" w:eastAsia="Times New Roman" w:hAnsi="Times New Roman" w:cs="Times New Roman"/>
          <w:szCs w:val="20"/>
        </w:rPr>
        <w:t xml:space="preserve">. </w:t>
      </w:r>
      <w:r w:rsidR="00F74E64">
        <w:rPr>
          <w:rFonts w:ascii="Times New Roman" w:eastAsia="Times New Roman" w:hAnsi="Times New Roman" w:cs="Times New Roman"/>
          <w:szCs w:val="20"/>
        </w:rPr>
        <w:t>El aumento de la productividad agropecuaria y unos</w:t>
      </w:r>
      <w:r w:rsidR="00B66668" w:rsidRPr="003D14CF">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mayores </w:t>
      </w:r>
      <w:r w:rsidR="00B66668" w:rsidRPr="003D14CF">
        <w:rPr>
          <w:rFonts w:ascii="Times New Roman" w:eastAsia="Times New Roman" w:hAnsi="Times New Roman" w:cs="Times New Roman"/>
          <w:szCs w:val="20"/>
        </w:rPr>
        <w:t>márgenes de explotación permitirán</w:t>
      </w:r>
      <w:r>
        <w:rPr>
          <w:rFonts w:ascii="Times New Roman" w:eastAsia="Times New Roman" w:hAnsi="Times New Roman" w:cs="Times New Roman"/>
          <w:szCs w:val="20"/>
        </w:rPr>
        <w:t xml:space="preserve"> a los productores</w:t>
      </w:r>
      <w:r w:rsidR="00B66668">
        <w:rPr>
          <w:rFonts w:ascii="Times New Roman" w:eastAsia="Times New Roman" w:hAnsi="Times New Roman" w:cs="Times New Roman"/>
          <w:szCs w:val="20"/>
        </w:rPr>
        <w:t>,</w:t>
      </w:r>
      <w:r w:rsidR="00B66668" w:rsidRPr="00403723">
        <w:rPr>
          <w:rFonts w:ascii="Times New Roman" w:eastAsia="Times New Roman" w:hAnsi="Times New Roman" w:cs="Times New Roman"/>
          <w:szCs w:val="20"/>
        </w:rPr>
        <w:t xml:space="preserve"> </w:t>
      </w:r>
      <w:r w:rsidR="00B66668" w:rsidRPr="003D14CF">
        <w:rPr>
          <w:rFonts w:ascii="Times New Roman" w:eastAsia="Times New Roman" w:hAnsi="Times New Roman" w:cs="Times New Roman"/>
          <w:szCs w:val="20"/>
        </w:rPr>
        <w:t>gracias a la acumulación de rentas</w:t>
      </w:r>
      <w:r w:rsidR="00B66668">
        <w:rPr>
          <w:rFonts w:ascii="Times New Roman" w:eastAsia="Times New Roman" w:hAnsi="Times New Roman" w:cs="Times New Roman"/>
          <w:szCs w:val="20"/>
        </w:rPr>
        <w:t>,</w:t>
      </w:r>
      <w:r w:rsidR="00B66668" w:rsidRPr="003D14CF">
        <w:rPr>
          <w:rFonts w:ascii="Times New Roman" w:eastAsia="Times New Roman" w:hAnsi="Times New Roman" w:cs="Times New Roman"/>
          <w:szCs w:val="20"/>
        </w:rPr>
        <w:t xml:space="preserve"> el empleo de más asalariados</w:t>
      </w:r>
      <w:r>
        <w:rPr>
          <w:rFonts w:ascii="Times New Roman" w:eastAsia="Times New Roman" w:hAnsi="Times New Roman" w:cs="Times New Roman"/>
          <w:szCs w:val="20"/>
        </w:rPr>
        <w:t xml:space="preserve"> en el medio rural</w:t>
      </w:r>
      <w:r w:rsidR="00B66668" w:rsidRPr="003D14CF">
        <w:rPr>
          <w:rFonts w:ascii="Times New Roman" w:eastAsia="Times New Roman" w:hAnsi="Times New Roman" w:cs="Times New Roman"/>
          <w:szCs w:val="20"/>
        </w:rPr>
        <w:t>.</w:t>
      </w:r>
    </w:p>
    <w:p w:rsidR="00816F52" w:rsidRPr="00EF5A6E" w:rsidRDefault="00816F52" w:rsidP="00816F52">
      <w:pPr>
        <w:pStyle w:val="Heading1"/>
        <w:ind w:left="288"/>
        <w:jc w:val="both"/>
        <w:rPr>
          <w:rFonts w:ascii="Times New Roman" w:hAnsi="Times New Roman" w:cs="Times New Roman"/>
          <w:i/>
          <w:color w:val="auto"/>
          <w:sz w:val="24"/>
          <w:szCs w:val="24"/>
        </w:rPr>
      </w:pPr>
      <w:bookmarkStart w:id="57" w:name="_Toc386887954"/>
      <w:r>
        <w:rPr>
          <w:rFonts w:ascii="Times New Roman" w:hAnsi="Times New Roman" w:cs="Times New Roman"/>
          <w:i/>
          <w:color w:val="auto"/>
          <w:sz w:val="24"/>
          <w:szCs w:val="24"/>
        </w:rPr>
        <w:t>Supuestos conservadores o Upsides de los beneficios del ACB</w:t>
      </w:r>
      <w:bookmarkEnd w:id="57"/>
    </w:p>
    <w:p w:rsidR="00816F52" w:rsidRDefault="00816F52" w:rsidP="00816F52">
      <w:pPr>
        <w:rPr>
          <w:rFonts w:ascii="Times New Roman" w:eastAsiaTheme="majorEastAsia" w:hAnsi="Times New Roman" w:cs="Times New Roman"/>
          <w:b/>
          <w:bCs/>
          <w:sz w:val="24"/>
          <w:szCs w:val="24"/>
        </w:rPr>
      </w:pPr>
    </w:p>
    <w:p w:rsidR="0035269B" w:rsidRPr="0035269B" w:rsidRDefault="0035269B" w:rsidP="0035269B">
      <w:pPr>
        <w:pStyle w:val="ListParagraph"/>
        <w:numPr>
          <w:ilvl w:val="0"/>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35269B" w:rsidRPr="0035269B" w:rsidRDefault="0035269B" w:rsidP="0035269B">
      <w:pPr>
        <w:pStyle w:val="ListParagraph"/>
        <w:numPr>
          <w:ilvl w:val="1"/>
          <w:numId w:val="10"/>
        </w:numPr>
        <w:autoSpaceDE w:val="0"/>
        <w:autoSpaceDN w:val="0"/>
        <w:adjustRightInd w:val="0"/>
        <w:jc w:val="both"/>
        <w:rPr>
          <w:rFonts w:ascii="Times New Roman" w:eastAsia="Times New Roman" w:hAnsi="Times New Roman" w:cs="Times New Roman"/>
          <w:vanish/>
          <w:szCs w:val="20"/>
        </w:rPr>
      </w:pPr>
    </w:p>
    <w:p w:rsidR="00816F52" w:rsidRPr="00D82443" w:rsidRDefault="00816F52" w:rsidP="008E524F">
      <w:pPr>
        <w:pStyle w:val="ListParagraph"/>
        <w:numPr>
          <w:ilvl w:val="1"/>
          <w:numId w:val="10"/>
        </w:numPr>
        <w:autoSpaceDE w:val="0"/>
        <w:autoSpaceDN w:val="0"/>
        <w:adjustRightInd w:val="0"/>
        <w:ind w:hanging="578"/>
        <w:jc w:val="both"/>
        <w:rPr>
          <w:rFonts w:ascii="Times New Roman" w:eastAsiaTheme="majorEastAsia" w:hAnsi="Times New Roman" w:cs="Times New Roman"/>
          <w:b/>
          <w:bCs/>
          <w:sz w:val="24"/>
          <w:szCs w:val="24"/>
        </w:rPr>
      </w:pPr>
      <w:r w:rsidRPr="00436E67">
        <w:rPr>
          <w:rFonts w:ascii="Times New Roman" w:eastAsia="Times New Roman" w:hAnsi="Times New Roman" w:cs="Times New Roman"/>
          <w:szCs w:val="20"/>
        </w:rPr>
        <w:t xml:space="preserve">Tal y como se ha señalado a lo largo del presente </w:t>
      </w:r>
      <w:r w:rsidR="00545479">
        <w:rPr>
          <w:rFonts w:ascii="Times New Roman" w:eastAsia="Times New Roman" w:hAnsi="Times New Roman" w:cs="Times New Roman"/>
          <w:szCs w:val="20"/>
        </w:rPr>
        <w:t>i</w:t>
      </w:r>
      <w:r w:rsidRPr="00436E67">
        <w:rPr>
          <w:rFonts w:ascii="Times New Roman" w:eastAsia="Times New Roman" w:hAnsi="Times New Roman" w:cs="Times New Roman"/>
          <w:szCs w:val="20"/>
        </w:rPr>
        <w:t xml:space="preserve">nforme, se han considerado </w:t>
      </w:r>
      <w:r w:rsidR="00545479">
        <w:rPr>
          <w:rFonts w:ascii="Times New Roman" w:eastAsia="Times New Roman" w:hAnsi="Times New Roman" w:cs="Times New Roman"/>
          <w:szCs w:val="20"/>
        </w:rPr>
        <w:t xml:space="preserve">en el ACB varios </w:t>
      </w:r>
      <w:r w:rsidRPr="00436E67">
        <w:rPr>
          <w:rFonts w:ascii="Times New Roman" w:eastAsia="Times New Roman" w:hAnsi="Times New Roman" w:cs="Times New Roman"/>
          <w:szCs w:val="20"/>
        </w:rPr>
        <w:t xml:space="preserve">supuestos de </w:t>
      </w:r>
      <w:r w:rsidRPr="0065386A">
        <w:rPr>
          <w:rFonts w:ascii="Times New Roman" w:eastAsia="Times New Roman" w:hAnsi="Times New Roman" w:cs="Times New Roman"/>
          <w:szCs w:val="20"/>
        </w:rPr>
        <w:t>carácter conservador por las siguientes causas:</w:t>
      </w:r>
      <w:r>
        <w:rPr>
          <w:rFonts w:ascii="Times New Roman" w:eastAsia="Times New Roman" w:hAnsi="Times New Roman" w:cs="Times New Roman"/>
          <w:szCs w:val="20"/>
        </w:rPr>
        <w:t xml:space="preserve"> (i) la falta de información detallada o específica sobre algunos de los elementos analizados y (ii) la conveniencia de contemplar supuestos conservadores desde el punto de vista del ACB para evitar incurrir en proyecciones demasiado optimistas sobre los efectos </w:t>
      </w:r>
      <w:r w:rsidR="00A92315">
        <w:rPr>
          <w:rFonts w:ascii="Times New Roman" w:eastAsia="Times New Roman" w:hAnsi="Times New Roman" w:cs="Times New Roman"/>
          <w:szCs w:val="20"/>
        </w:rPr>
        <w:t xml:space="preserve">futuros </w:t>
      </w:r>
      <w:r>
        <w:rPr>
          <w:rFonts w:ascii="Times New Roman" w:eastAsia="Times New Roman" w:hAnsi="Times New Roman" w:cs="Times New Roman"/>
          <w:szCs w:val="20"/>
        </w:rPr>
        <w:t>del Programa.</w:t>
      </w:r>
    </w:p>
    <w:p w:rsidR="00816F52" w:rsidRPr="00D82443" w:rsidRDefault="00816F52" w:rsidP="00816F52">
      <w:pPr>
        <w:pStyle w:val="ListParagraph"/>
        <w:autoSpaceDE w:val="0"/>
        <w:autoSpaceDN w:val="0"/>
        <w:adjustRightInd w:val="0"/>
        <w:jc w:val="both"/>
        <w:rPr>
          <w:rFonts w:ascii="Times New Roman" w:eastAsiaTheme="majorEastAsia" w:hAnsi="Times New Roman" w:cs="Times New Roman"/>
          <w:b/>
          <w:bCs/>
          <w:sz w:val="24"/>
          <w:szCs w:val="24"/>
        </w:rPr>
      </w:pPr>
    </w:p>
    <w:p w:rsidR="00816F52" w:rsidRDefault="00816F52" w:rsidP="00816F52">
      <w:pPr>
        <w:pStyle w:val="ListParagraph"/>
        <w:numPr>
          <w:ilvl w:val="1"/>
          <w:numId w:val="10"/>
        </w:numPr>
        <w:autoSpaceDE w:val="0"/>
        <w:autoSpaceDN w:val="0"/>
        <w:adjustRightInd w:val="0"/>
        <w:ind w:hanging="578"/>
        <w:jc w:val="both"/>
        <w:rPr>
          <w:rFonts w:ascii="Times New Roman" w:eastAsiaTheme="majorEastAsia" w:hAnsi="Times New Roman" w:cs="Times New Roman"/>
          <w:bCs/>
        </w:rPr>
      </w:pPr>
      <w:r>
        <w:rPr>
          <w:rFonts w:ascii="Times New Roman" w:eastAsiaTheme="majorEastAsia" w:hAnsi="Times New Roman" w:cs="Times New Roman"/>
          <w:b/>
          <w:bCs/>
          <w:sz w:val="24"/>
          <w:szCs w:val="24"/>
        </w:rPr>
        <w:lastRenderedPageBreak/>
        <w:t xml:space="preserve"> </w:t>
      </w:r>
      <w:r w:rsidRPr="00436E67">
        <w:rPr>
          <w:rFonts w:ascii="Times New Roman" w:eastAsiaTheme="majorEastAsia" w:hAnsi="Times New Roman" w:cs="Times New Roman"/>
          <w:bCs/>
        </w:rPr>
        <w:t>A c</w:t>
      </w:r>
      <w:r w:rsidRPr="00D82443">
        <w:rPr>
          <w:rFonts w:ascii="Times New Roman" w:eastAsiaTheme="majorEastAsia" w:hAnsi="Times New Roman" w:cs="Times New Roman"/>
          <w:bCs/>
        </w:rPr>
        <w:t>ontinuación</w:t>
      </w:r>
      <w:r>
        <w:rPr>
          <w:rFonts w:ascii="Times New Roman" w:eastAsiaTheme="majorEastAsia" w:hAnsi="Times New Roman" w:cs="Times New Roman"/>
          <w:bCs/>
        </w:rPr>
        <w:t xml:space="preserve"> se muestra un cuadro que recoge los supuestos conservadores contemplados en la evaluación</w:t>
      </w:r>
      <w:r w:rsidR="00F93B47">
        <w:rPr>
          <w:rFonts w:ascii="Times New Roman" w:eastAsiaTheme="majorEastAsia" w:hAnsi="Times New Roman" w:cs="Times New Roman"/>
          <w:bCs/>
        </w:rPr>
        <w:t xml:space="preserve"> </w:t>
      </w:r>
      <w:r w:rsidR="00A92315">
        <w:rPr>
          <w:rFonts w:ascii="Times New Roman" w:eastAsiaTheme="majorEastAsia" w:hAnsi="Times New Roman" w:cs="Times New Roman"/>
          <w:bCs/>
        </w:rPr>
        <w:t>así como</w:t>
      </w:r>
      <w:r w:rsidR="00F93B47">
        <w:rPr>
          <w:rFonts w:ascii="Times New Roman" w:eastAsiaTheme="majorEastAsia" w:hAnsi="Times New Roman" w:cs="Times New Roman"/>
          <w:bCs/>
        </w:rPr>
        <w:t xml:space="preserve"> sus respectivos </w:t>
      </w:r>
      <w:r>
        <w:rPr>
          <w:rFonts w:ascii="Times New Roman" w:eastAsiaTheme="majorEastAsia" w:hAnsi="Times New Roman" w:cs="Times New Roman"/>
          <w:bCs/>
          <w:i/>
        </w:rPr>
        <w:t>upsides</w:t>
      </w:r>
      <w:r>
        <w:rPr>
          <w:rFonts w:ascii="Times New Roman" w:eastAsiaTheme="majorEastAsia" w:hAnsi="Times New Roman" w:cs="Times New Roman"/>
          <w:bCs/>
        </w:rPr>
        <w:t xml:space="preserve"> dado que, de </w:t>
      </w:r>
      <w:r w:rsidR="00A92315">
        <w:rPr>
          <w:rFonts w:ascii="Times New Roman" w:eastAsiaTheme="majorEastAsia" w:hAnsi="Times New Roman" w:cs="Times New Roman"/>
          <w:bCs/>
        </w:rPr>
        <w:t xml:space="preserve">no considerarse </w:t>
      </w:r>
      <w:r>
        <w:rPr>
          <w:rFonts w:ascii="Times New Roman" w:eastAsiaTheme="majorEastAsia" w:hAnsi="Times New Roman" w:cs="Times New Roman"/>
          <w:bCs/>
        </w:rPr>
        <w:t xml:space="preserve">estos </w:t>
      </w:r>
      <w:r w:rsidR="00A92315">
        <w:rPr>
          <w:rFonts w:ascii="Times New Roman" w:eastAsiaTheme="majorEastAsia" w:hAnsi="Times New Roman" w:cs="Times New Roman"/>
          <w:bCs/>
        </w:rPr>
        <w:t xml:space="preserve">supuestos </w:t>
      </w:r>
      <w:r>
        <w:rPr>
          <w:rFonts w:ascii="Times New Roman" w:eastAsiaTheme="majorEastAsia" w:hAnsi="Times New Roman" w:cs="Times New Roman"/>
          <w:bCs/>
        </w:rPr>
        <w:t xml:space="preserve">en el ACB, </w:t>
      </w:r>
      <w:r w:rsidR="00A92315">
        <w:rPr>
          <w:rFonts w:ascii="Times New Roman" w:eastAsiaTheme="majorEastAsia" w:hAnsi="Times New Roman" w:cs="Times New Roman"/>
          <w:bCs/>
        </w:rPr>
        <w:t>el importe de los beneficios cuantificados aumentaría</w:t>
      </w:r>
      <w:r>
        <w:rPr>
          <w:rFonts w:ascii="Times New Roman" w:eastAsiaTheme="majorEastAsia" w:hAnsi="Times New Roman" w:cs="Times New Roman"/>
          <w:bCs/>
        </w:rPr>
        <w:t>.</w:t>
      </w:r>
    </w:p>
    <w:p w:rsidR="00F93B47" w:rsidRPr="006D314E" w:rsidRDefault="00F93B47" w:rsidP="006D314E">
      <w:pPr>
        <w:autoSpaceDE w:val="0"/>
        <w:autoSpaceDN w:val="0"/>
        <w:adjustRightInd w:val="0"/>
        <w:jc w:val="both"/>
        <w:rPr>
          <w:rFonts w:ascii="Times New Roman" w:eastAsiaTheme="majorEastAsia" w:hAnsi="Times New Roman" w:cs="Times New Roman"/>
          <w:bCs/>
        </w:rPr>
      </w:pPr>
    </w:p>
    <w:p w:rsidR="00816F52" w:rsidRDefault="00422FCD" w:rsidP="007D349D">
      <w:pPr>
        <w:jc w:val="center"/>
        <w:rPr>
          <w:rFonts w:ascii="Times New Roman" w:eastAsia="Times New Roman" w:hAnsi="Times New Roman" w:cs="Times New Roman"/>
          <w:b/>
          <w:bCs/>
          <w:sz w:val="20"/>
          <w:szCs w:val="20"/>
          <w:lang w:eastAsia="es-ES_tradnl"/>
        </w:rPr>
      </w:pPr>
      <w:r w:rsidRPr="00422FCD">
        <w:rPr>
          <w:noProof/>
          <w:lang w:val="en-US"/>
        </w:rPr>
        <w:drawing>
          <wp:anchor distT="0" distB="0" distL="114300" distR="114300" simplePos="0" relativeHeight="251706368" behindDoc="0" locked="0" layoutInCell="1" allowOverlap="1" wp14:anchorId="288C0F11" wp14:editId="202AC77C">
            <wp:simplePos x="0" y="0"/>
            <wp:positionH relativeFrom="column">
              <wp:posOffset>84455</wp:posOffset>
            </wp:positionH>
            <wp:positionV relativeFrom="paragraph">
              <wp:posOffset>188595</wp:posOffset>
            </wp:positionV>
            <wp:extent cx="5612130" cy="3608070"/>
            <wp:effectExtent l="0" t="0" r="7620" b="0"/>
            <wp:wrapTopAndBottom/>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3608070"/>
                    </a:xfrm>
                    <a:prstGeom prst="rect">
                      <a:avLst/>
                    </a:prstGeom>
                    <a:noFill/>
                    <a:ln>
                      <a:noFill/>
                    </a:ln>
                  </pic:spPr>
                </pic:pic>
              </a:graphicData>
            </a:graphic>
            <wp14:sizeRelH relativeFrom="page">
              <wp14:pctWidth>0</wp14:pctWidth>
            </wp14:sizeRelH>
            <wp14:sizeRelV relativeFrom="page">
              <wp14:pctHeight>0</wp14:pctHeight>
            </wp14:sizeRelV>
          </wp:anchor>
        </w:drawing>
      </w:r>
      <w:r w:rsidR="00816F52" w:rsidRPr="006D314E">
        <w:rPr>
          <w:rFonts w:ascii="Times New Roman" w:eastAsia="Times New Roman" w:hAnsi="Times New Roman" w:cs="Times New Roman"/>
          <w:b/>
          <w:bCs/>
          <w:sz w:val="20"/>
          <w:szCs w:val="20"/>
          <w:lang w:eastAsia="es-ES_tradnl"/>
        </w:rPr>
        <w:t xml:space="preserve">Cuadro </w:t>
      </w:r>
      <w:r w:rsidR="00816F52" w:rsidRPr="006D314E">
        <w:rPr>
          <w:rFonts w:ascii="Times New Roman" w:eastAsia="Times New Roman" w:hAnsi="Times New Roman" w:cs="Times New Roman"/>
          <w:b/>
          <w:bCs/>
          <w:sz w:val="20"/>
          <w:szCs w:val="20"/>
          <w:lang w:eastAsia="es-ES_tradnl"/>
        </w:rPr>
        <w:fldChar w:fldCharType="begin"/>
      </w:r>
      <w:r w:rsidR="00816F52" w:rsidRPr="006D314E">
        <w:rPr>
          <w:rFonts w:ascii="Times New Roman" w:eastAsia="Times New Roman" w:hAnsi="Times New Roman" w:cs="Times New Roman"/>
          <w:b/>
          <w:bCs/>
          <w:sz w:val="20"/>
          <w:szCs w:val="20"/>
          <w:lang w:eastAsia="es-ES_tradnl"/>
        </w:rPr>
        <w:instrText xml:space="preserve"> SEQ Tableau \* ARABIC </w:instrText>
      </w:r>
      <w:r w:rsidR="00816F52" w:rsidRPr="006D314E">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8</w:t>
      </w:r>
      <w:r w:rsidR="00816F52" w:rsidRPr="006D314E">
        <w:rPr>
          <w:rFonts w:ascii="Times New Roman" w:eastAsia="Times New Roman" w:hAnsi="Times New Roman" w:cs="Times New Roman"/>
          <w:b/>
          <w:bCs/>
          <w:sz w:val="20"/>
          <w:szCs w:val="20"/>
          <w:lang w:eastAsia="es-ES_tradnl"/>
        </w:rPr>
        <w:fldChar w:fldCharType="end"/>
      </w:r>
      <w:r w:rsidR="00816F52" w:rsidRPr="006D314E">
        <w:rPr>
          <w:rFonts w:ascii="Times New Roman" w:eastAsia="Times New Roman" w:hAnsi="Times New Roman" w:cs="Times New Roman"/>
          <w:b/>
          <w:bCs/>
          <w:sz w:val="20"/>
          <w:szCs w:val="20"/>
          <w:lang w:eastAsia="es-ES_tradnl"/>
        </w:rPr>
        <w:t xml:space="preserve">. </w:t>
      </w:r>
      <w:r w:rsidR="00F93B47">
        <w:rPr>
          <w:rFonts w:ascii="Times New Roman" w:eastAsia="Times New Roman" w:hAnsi="Times New Roman" w:cs="Times New Roman"/>
          <w:b/>
          <w:bCs/>
          <w:sz w:val="20"/>
          <w:szCs w:val="20"/>
          <w:lang w:eastAsia="es-ES_tradnl"/>
        </w:rPr>
        <w:t>S</w:t>
      </w:r>
      <w:r w:rsidR="00816F52" w:rsidRPr="006D314E">
        <w:rPr>
          <w:rFonts w:ascii="Times New Roman" w:eastAsia="Times New Roman" w:hAnsi="Times New Roman" w:cs="Times New Roman"/>
          <w:b/>
          <w:bCs/>
          <w:sz w:val="20"/>
          <w:szCs w:val="20"/>
          <w:lang w:eastAsia="es-ES_tradnl"/>
        </w:rPr>
        <w:t>upuestos conservadores del ACB</w:t>
      </w:r>
    </w:p>
    <w:p w:rsidR="00F93B47" w:rsidRDefault="00F93B47" w:rsidP="00D57882">
      <w:pPr>
        <w:jc w:val="center"/>
        <w:rPr>
          <w:rFonts w:ascii="Times New Roman" w:eastAsiaTheme="majorEastAsia" w:hAnsi="Times New Roman" w:cs="Times New Roman"/>
          <w:b/>
          <w:bCs/>
          <w:sz w:val="24"/>
          <w:szCs w:val="24"/>
        </w:rPr>
      </w:pPr>
    </w:p>
    <w:p w:rsidR="00B66668" w:rsidRDefault="00B66668">
      <w:pPr>
        <w:rPr>
          <w:rFonts w:ascii="Times New Roman" w:eastAsiaTheme="majorEastAsia" w:hAnsi="Times New Roman" w:cs="Times New Roman"/>
          <w:b/>
          <w:bCs/>
          <w:sz w:val="24"/>
          <w:szCs w:val="24"/>
        </w:rPr>
      </w:pPr>
    </w:p>
    <w:p w:rsidR="00F93B47" w:rsidRDefault="00F93B47">
      <w:pPr>
        <w:rPr>
          <w:rFonts w:ascii="Times New Roman" w:eastAsiaTheme="majorEastAsia" w:hAnsi="Times New Roman" w:cs="Times New Roman"/>
          <w:b/>
          <w:bCs/>
          <w:sz w:val="24"/>
          <w:szCs w:val="24"/>
        </w:rPr>
      </w:pPr>
      <w:bookmarkStart w:id="58" w:name="_Ref351573019"/>
      <w:bookmarkStart w:id="59" w:name="_Toc352689744"/>
      <w:r>
        <w:rPr>
          <w:rFonts w:ascii="Times New Roman" w:hAnsi="Times New Roman" w:cs="Times New Roman"/>
          <w:sz w:val="24"/>
          <w:szCs w:val="24"/>
        </w:rPr>
        <w:br w:type="page"/>
      </w:r>
    </w:p>
    <w:p w:rsidR="00B66668" w:rsidRDefault="00B66668" w:rsidP="00FE0C5F">
      <w:pPr>
        <w:pStyle w:val="Heading1"/>
        <w:numPr>
          <w:ilvl w:val="0"/>
          <w:numId w:val="30"/>
        </w:numPr>
        <w:rPr>
          <w:rFonts w:ascii="Times New Roman" w:hAnsi="Times New Roman" w:cs="Times New Roman"/>
          <w:color w:val="auto"/>
          <w:sz w:val="24"/>
          <w:szCs w:val="24"/>
        </w:rPr>
      </w:pPr>
      <w:bookmarkStart w:id="60" w:name="_Toc386887955"/>
      <w:r w:rsidRPr="001F5A9D">
        <w:rPr>
          <w:rFonts w:ascii="Times New Roman" w:hAnsi="Times New Roman" w:cs="Times New Roman"/>
          <w:color w:val="auto"/>
          <w:sz w:val="24"/>
          <w:szCs w:val="24"/>
        </w:rPr>
        <w:lastRenderedPageBreak/>
        <w:t>COSTOS ECONÓMICOS</w:t>
      </w:r>
      <w:bookmarkEnd w:id="58"/>
      <w:bookmarkEnd w:id="59"/>
      <w:bookmarkEnd w:id="60"/>
    </w:p>
    <w:p w:rsidR="00B66668" w:rsidRDefault="00B66668" w:rsidP="00B66668"/>
    <w:p w:rsidR="00B66668" w:rsidRDefault="00B66668" w:rsidP="00FE0C5F">
      <w:pPr>
        <w:pStyle w:val="ListParagraph"/>
        <w:numPr>
          <w:ilvl w:val="1"/>
          <w:numId w:val="30"/>
        </w:numPr>
        <w:ind w:hanging="578"/>
        <w:jc w:val="both"/>
        <w:rPr>
          <w:rFonts w:ascii="Times New Roman" w:eastAsia="Times New Roman" w:hAnsi="Times New Roman" w:cs="Times New Roman"/>
          <w:szCs w:val="20"/>
        </w:rPr>
      </w:pPr>
      <w:r w:rsidRPr="00F3413D">
        <w:rPr>
          <w:rFonts w:ascii="Times New Roman" w:eastAsia="Times New Roman" w:hAnsi="Times New Roman" w:cs="Times New Roman"/>
          <w:szCs w:val="20"/>
        </w:rPr>
        <w:t>Tal y como se ha señalado anteriormente en la descripción del planteamiento metodológico de la evaluación, el alcance del análisis se ha delimitado a aquellos elementos cuyos efectos económicos son más medibles y directamente atribuibles a la ejecuc</w:t>
      </w:r>
      <w:r>
        <w:rPr>
          <w:rFonts w:ascii="Times New Roman" w:eastAsia="Times New Roman" w:hAnsi="Times New Roman" w:cs="Times New Roman"/>
          <w:szCs w:val="20"/>
        </w:rPr>
        <w:t xml:space="preserve">ión del Programa, </w:t>
      </w:r>
      <w:r w:rsidR="003B19B3">
        <w:rPr>
          <w:rFonts w:ascii="Times New Roman" w:eastAsia="Times New Roman" w:hAnsi="Times New Roman" w:cs="Times New Roman"/>
          <w:szCs w:val="20"/>
        </w:rPr>
        <w:t>y que serán necesario</w:t>
      </w:r>
      <w:r>
        <w:rPr>
          <w:rFonts w:ascii="Times New Roman" w:eastAsia="Times New Roman" w:hAnsi="Times New Roman" w:cs="Times New Roman"/>
          <w:szCs w:val="20"/>
        </w:rPr>
        <w:t>s para la consecución de sus objetivos.</w:t>
      </w:r>
    </w:p>
    <w:p w:rsidR="00B66668" w:rsidRDefault="00B66668" w:rsidP="002902C7">
      <w:pPr>
        <w:pStyle w:val="ListParagraph"/>
        <w:ind w:hanging="578"/>
        <w:jc w:val="both"/>
        <w:rPr>
          <w:rFonts w:ascii="Times New Roman" w:eastAsia="Times New Roman" w:hAnsi="Times New Roman" w:cs="Times New Roman"/>
          <w:szCs w:val="20"/>
        </w:rPr>
      </w:pPr>
    </w:p>
    <w:p w:rsidR="00B66668" w:rsidRDefault="00B66668" w:rsidP="00FE0C5F">
      <w:pPr>
        <w:pStyle w:val="ListParagraph"/>
        <w:numPr>
          <w:ilvl w:val="1"/>
          <w:numId w:val="30"/>
        </w:numPr>
        <w:ind w:hanging="578"/>
        <w:jc w:val="both"/>
        <w:rPr>
          <w:rFonts w:ascii="Times New Roman" w:eastAsia="Times New Roman" w:hAnsi="Times New Roman" w:cs="Times New Roman"/>
          <w:szCs w:val="20"/>
        </w:rPr>
      </w:pPr>
      <w:r w:rsidRPr="000346C6">
        <w:rPr>
          <w:rFonts w:ascii="Times New Roman" w:eastAsia="Times New Roman" w:hAnsi="Times New Roman" w:cs="Times New Roman"/>
          <w:szCs w:val="20"/>
        </w:rPr>
        <w:t xml:space="preserve">En la identificación de los costos del Proyecto, cabe señalar que han sido contemplados los de carácter incremental que, generados por </w:t>
      </w:r>
      <w:r w:rsidR="008D45EA">
        <w:rPr>
          <w:rFonts w:ascii="Times New Roman" w:eastAsia="Times New Roman" w:hAnsi="Times New Roman" w:cs="Times New Roman"/>
          <w:szCs w:val="20"/>
        </w:rPr>
        <w:t>la</w:t>
      </w:r>
      <w:r>
        <w:rPr>
          <w:rFonts w:ascii="Times New Roman" w:eastAsia="Times New Roman" w:hAnsi="Times New Roman" w:cs="Times New Roman"/>
          <w:szCs w:val="20"/>
        </w:rPr>
        <w:t xml:space="preserve"> </w:t>
      </w:r>
      <w:r w:rsidRPr="000346C6">
        <w:rPr>
          <w:rFonts w:ascii="Times New Roman" w:eastAsia="Times New Roman" w:hAnsi="Times New Roman" w:cs="Times New Roman"/>
          <w:szCs w:val="20"/>
        </w:rPr>
        <w:t>puest</w:t>
      </w:r>
      <w:r w:rsidR="003B19B3">
        <w:rPr>
          <w:rFonts w:ascii="Times New Roman" w:eastAsia="Times New Roman" w:hAnsi="Times New Roman" w:cs="Times New Roman"/>
          <w:szCs w:val="20"/>
        </w:rPr>
        <w:t>a en marcha</w:t>
      </w:r>
      <w:r w:rsidR="008D45EA">
        <w:rPr>
          <w:rFonts w:ascii="Times New Roman" w:eastAsia="Times New Roman" w:hAnsi="Times New Roman" w:cs="Times New Roman"/>
          <w:szCs w:val="20"/>
        </w:rPr>
        <w:t xml:space="preserve"> del Programa</w:t>
      </w:r>
      <w:r w:rsidR="003B19B3">
        <w:rPr>
          <w:rFonts w:ascii="Times New Roman" w:eastAsia="Times New Roman" w:hAnsi="Times New Roman" w:cs="Times New Roman"/>
          <w:szCs w:val="20"/>
        </w:rPr>
        <w:t>, son los que permitirá</w:t>
      </w:r>
      <w:r w:rsidRPr="000346C6">
        <w:rPr>
          <w:rFonts w:ascii="Times New Roman" w:eastAsia="Times New Roman" w:hAnsi="Times New Roman" w:cs="Times New Roman"/>
          <w:szCs w:val="20"/>
        </w:rPr>
        <w:t>n generar los beneficios esperados</w:t>
      </w:r>
      <w:r>
        <w:rPr>
          <w:rFonts w:ascii="Times New Roman" w:eastAsia="Times New Roman" w:hAnsi="Times New Roman" w:cs="Times New Roman"/>
          <w:szCs w:val="20"/>
        </w:rPr>
        <w:t xml:space="preserve">, </w:t>
      </w:r>
      <w:r w:rsidRPr="000346C6">
        <w:rPr>
          <w:rFonts w:ascii="Times New Roman" w:eastAsia="Times New Roman" w:hAnsi="Times New Roman" w:cs="Times New Roman"/>
          <w:szCs w:val="20"/>
        </w:rPr>
        <w:t xml:space="preserve">descritos el apartado </w:t>
      </w:r>
      <w:r>
        <w:rPr>
          <w:rFonts w:ascii="Times New Roman" w:eastAsia="Times New Roman" w:hAnsi="Times New Roman" w:cs="Times New Roman"/>
          <w:szCs w:val="20"/>
        </w:rPr>
        <w:t>III anterior.</w:t>
      </w:r>
    </w:p>
    <w:p w:rsidR="00B66668" w:rsidRPr="00A86E66" w:rsidRDefault="00B66668" w:rsidP="002902C7">
      <w:pPr>
        <w:pStyle w:val="ListParagraph"/>
        <w:ind w:hanging="578"/>
        <w:rPr>
          <w:rFonts w:ascii="Times New Roman" w:eastAsia="Times New Roman" w:hAnsi="Times New Roman" w:cs="Times New Roman"/>
          <w:szCs w:val="20"/>
        </w:rPr>
      </w:pPr>
    </w:p>
    <w:p w:rsidR="00A62283" w:rsidRDefault="00A62283" w:rsidP="00FE0C5F">
      <w:pPr>
        <w:pStyle w:val="ListParagraph"/>
        <w:numPr>
          <w:ilvl w:val="1"/>
          <w:numId w:val="3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La estimación de costos se ha realizado en términos de precios </w:t>
      </w:r>
      <w:r w:rsidR="00F06F52">
        <w:rPr>
          <w:rFonts w:ascii="Times New Roman" w:eastAsia="Times New Roman" w:hAnsi="Times New Roman" w:cs="Times New Roman"/>
          <w:szCs w:val="20"/>
        </w:rPr>
        <w:t xml:space="preserve">económicos o precios </w:t>
      </w:r>
      <w:r>
        <w:rPr>
          <w:rFonts w:ascii="Times New Roman" w:eastAsia="Times New Roman" w:hAnsi="Times New Roman" w:cs="Times New Roman"/>
          <w:szCs w:val="20"/>
        </w:rPr>
        <w:t>sombra, por tanto habiendo deducido los efectos distorsionadores en los precios de mercado de factores como los impuestos indirectos.</w:t>
      </w:r>
    </w:p>
    <w:p w:rsidR="00A62283" w:rsidRDefault="00A62283" w:rsidP="00A62283">
      <w:pPr>
        <w:pStyle w:val="ListParagraph"/>
        <w:jc w:val="both"/>
        <w:rPr>
          <w:rFonts w:ascii="Times New Roman" w:eastAsia="Times New Roman" w:hAnsi="Times New Roman" w:cs="Times New Roman"/>
          <w:szCs w:val="20"/>
        </w:rPr>
      </w:pPr>
    </w:p>
    <w:p w:rsidR="00B66668" w:rsidRPr="00B839A3" w:rsidRDefault="00B66668" w:rsidP="00FE0C5F">
      <w:pPr>
        <w:pStyle w:val="ListParagraph"/>
        <w:numPr>
          <w:ilvl w:val="1"/>
          <w:numId w:val="3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A continuación se describen las hipótesis consideradas en la evaluación de los costos del Proyecto.</w:t>
      </w:r>
    </w:p>
    <w:p w:rsidR="00B66668" w:rsidRDefault="00B66668" w:rsidP="002902C7">
      <w:pPr>
        <w:pStyle w:val="ListParagraph"/>
        <w:ind w:hanging="578"/>
        <w:rPr>
          <w:rFonts w:ascii="Times New Roman" w:eastAsia="Times New Roman" w:hAnsi="Times New Roman" w:cs="Times New Roman"/>
          <w:szCs w:val="20"/>
        </w:rPr>
      </w:pPr>
    </w:p>
    <w:p w:rsidR="00473CB2" w:rsidRPr="004639E8" w:rsidRDefault="00473CB2" w:rsidP="004639E8">
      <w:pPr>
        <w:pStyle w:val="Heading2"/>
        <w:rPr>
          <w:rFonts w:ascii="Times New Roman" w:hAnsi="Times New Roman" w:cs="Times New Roman"/>
          <w:b w:val="0"/>
          <w:i/>
        </w:rPr>
      </w:pPr>
      <w:bookmarkStart w:id="61" w:name="_Toc386887956"/>
      <w:r w:rsidRPr="004639E8">
        <w:rPr>
          <w:rFonts w:ascii="Times New Roman" w:hAnsi="Times New Roman" w:cs="Times New Roman"/>
          <w:i/>
          <w:color w:val="auto"/>
          <w:sz w:val="22"/>
        </w:rPr>
        <w:t xml:space="preserve">Costos </w:t>
      </w:r>
      <w:r w:rsidR="00A62283" w:rsidRPr="004639E8">
        <w:rPr>
          <w:rFonts w:ascii="Times New Roman" w:hAnsi="Times New Roman" w:cs="Times New Roman"/>
          <w:i/>
          <w:color w:val="auto"/>
          <w:sz w:val="22"/>
        </w:rPr>
        <w:t>No Recurrentes</w:t>
      </w:r>
      <w:bookmarkEnd w:id="61"/>
    </w:p>
    <w:p w:rsidR="00473CB2" w:rsidRDefault="00473CB2" w:rsidP="00473CB2">
      <w:pPr>
        <w:autoSpaceDE w:val="0"/>
        <w:autoSpaceDN w:val="0"/>
        <w:adjustRightInd w:val="0"/>
        <w:jc w:val="both"/>
        <w:rPr>
          <w:rFonts w:ascii="Times New Roman" w:eastAsia="Times New Roman" w:hAnsi="Times New Roman" w:cs="Times New Roman"/>
          <w:b/>
          <w:i/>
          <w:szCs w:val="20"/>
        </w:rPr>
      </w:pPr>
    </w:p>
    <w:p w:rsidR="00473CB2" w:rsidRPr="00B839A3" w:rsidRDefault="00473CB2" w:rsidP="00FE0C5F">
      <w:pPr>
        <w:pStyle w:val="ListParagraph"/>
        <w:numPr>
          <w:ilvl w:val="1"/>
          <w:numId w:val="30"/>
        </w:numPr>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costos </w:t>
      </w:r>
      <w:r w:rsidR="00A62283">
        <w:rPr>
          <w:rFonts w:ascii="Times New Roman" w:eastAsia="Times New Roman" w:hAnsi="Times New Roman" w:cs="Times New Roman"/>
          <w:szCs w:val="20"/>
        </w:rPr>
        <w:t xml:space="preserve">no recurrentes corresponden con los costos de inversión necesarios para la </w:t>
      </w:r>
      <w:r>
        <w:rPr>
          <w:rFonts w:ascii="Times New Roman" w:eastAsia="Times New Roman" w:hAnsi="Times New Roman" w:cs="Times New Roman"/>
          <w:szCs w:val="20"/>
        </w:rPr>
        <w:t>ejecución del Programa.</w:t>
      </w:r>
      <w:r w:rsidR="00A62283">
        <w:rPr>
          <w:rFonts w:ascii="Times New Roman" w:eastAsia="Times New Roman" w:hAnsi="Times New Roman" w:cs="Times New Roman"/>
          <w:szCs w:val="20"/>
        </w:rPr>
        <w:t xml:space="preserve"> El cuadro a continuación detalla las distintas partidas contempladas como costos no recurrentes.</w:t>
      </w:r>
    </w:p>
    <w:p w:rsidR="00473CB2" w:rsidRPr="00E74A87" w:rsidRDefault="005A5EE1" w:rsidP="00A62283">
      <w:pPr>
        <w:autoSpaceDE w:val="0"/>
        <w:autoSpaceDN w:val="0"/>
        <w:adjustRightInd w:val="0"/>
        <w:spacing w:before="200"/>
        <w:jc w:val="center"/>
        <w:rPr>
          <w:rFonts w:ascii="Times New Roman" w:eastAsia="Times New Roman" w:hAnsi="Times New Roman" w:cs="Times New Roman"/>
          <w:b/>
          <w:bCs/>
          <w:sz w:val="20"/>
          <w:szCs w:val="20"/>
          <w:lang w:val="pt-BR" w:eastAsia="es-ES_tradnl"/>
        </w:rPr>
      </w:pPr>
      <w:r w:rsidRPr="005A5EE1">
        <w:rPr>
          <w:noProof/>
          <w:lang w:val="en-US"/>
        </w:rPr>
        <w:drawing>
          <wp:anchor distT="0" distB="0" distL="114300" distR="114300" simplePos="0" relativeHeight="251677696" behindDoc="0" locked="0" layoutInCell="1" allowOverlap="1" wp14:anchorId="24339E64" wp14:editId="6B501A99">
            <wp:simplePos x="0" y="0"/>
            <wp:positionH relativeFrom="column">
              <wp:posOffset>1009015</wp:posOffset>
            </wp:positionH>
            <wp:positionV relativeFrom="paragraph">
              <wp:posOffset>295275</wp:posOffset>
            </wp:positionV>
            <wp:extent cx="3804920" cy="3529965"/>
            <wp:effectExtent l="0" t="0" r="5080" b="0"/>
            <wp:wrapTopAndBottom/>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4920" cy="3529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62283" w:rsidRPr="00E74A87">
        <w:rPr>
          <w:rFonts w:ascii="Times New Roman" w:eastAsia="Times New Roman" w:hAnsi="Times New Roman" w:cs="Times New Roman"/>
          <w:b/>
          <w:bCs/>
          <w:sz w:val="20"/>
          <w:szCs w:val="20"/>
          <w:lang w:val="pt-BR" w:eastAsia="es-ES_tradnl"/>
        </w:rPr>
        <w:t xml:space="preserve">Cuadro </w:t>
      </w:r>
      <w:r w:rsidR="00A62283" w:rsidRPr="00E541FF">
        <w:rPr>
          <w:rFonts w:ascii="Times New Roman" w:eastAsia="Times New Roman" w:hAnsi="Times New Roman" w:cs="Times New Roman"/>
          <w:b/>
          <w:bCs/>
          <w:sz w:val="20"/>
          <w:szCs w:val="20"/>
          <w:lang w:eastAsia="es-ES_tradnl"/>
        </w:rPr>
        <w:fldChar w:fldCharType="begin"/>
      </w:r>
      <w:r w:rsidR="00A62283" w:rsidRPr="00E74A87">
        <w:rPr>
          <w:rFonts w:ascii="Times New Roman" w:eastAsia="Times New Roman" w:hAnsi="Times New Roman" w:cs="Times New Roman"/>
          <w:b/>
          <w:bCs/>
          <w:sz w:val="20"/>
          <w:szCs w:val="20"/>
          <w:lang w:val="pt-BR" w:eastAsia="es-ES_tradnl"/>
        </w:rPr>
        <w:instrText xml:space="preserve"> SEQ Tableau \* ARABIC </w:instrText>
      </w:r>
      <w:r w:rsidR="00A62283" w:rsidRPr="00E541FF">
        <w:rPr>
          <w:rFonts w:ascii="Times New Roman" w:eastAsia="Times New Roman" w:hAnsi="Times New Roman" w:cs="Times New Roman"/>
          <w:b/>
          <w:bCs/>
          <w:sz w:val="20"/>
          <w:szCs w:val="20"/>
          <w:lang w:eastAsia="es-ES_tradnl"/>
        </w:rPr>
        <w:fldChar w:fldCharType="separate"/>
      </w:r>
      <w:r w:rsidR="00865F10" w:rsidRPr="00E74A87">
        <w:rPr>
          <w:rFonts w:ascii="Times New Roman" w:eastAsia="Times New Roman" w:hAnsi="Times New Roman" w:cs="Times New Roman"/>
          <w:b/>
          <w:bCs/>
          <w:noProof/>
          <w:sz w:val="20"/>
          <w:szCs w:val="20"/>
          <w:lang w:val="pt-BR" w:eastAsia="es-ES_tradnl"/>
        </w:rPr>
        <w:t>9</w:t>
      </w:r>
      <w:r w:rsidR="00A62283" w:rsidRPr="00E541FF">
        <w:rPr>
          <w:rFonts w:ascii="Times New Roman" w:eastAsia="Times New Roman" w:hAnsi="Times New Roman" w:cs="Times New Roman"/>
          <w:b/>
          <w:bCs/>
          <w:sz w:val="20"/>
          <w:szCs w:val="20"/>
          <w:lang w:eastAsia="es-ES_tradnl"/>
        </w:rPr>
        <w:fldChar w:fldCharType="end"/>
      </w:r>
      <w:r w:rsidR="00A62283" w:rsidRPr="00E74A87">
        <w:rPr>
          <w:rFonts w:ascii="Times New Roman" w:eastAsia="Times New Roman" w:hAnsi="Times New Roman" w:cs="Times New Roman"/>
          <w:b/>
          <w:bCs/>
          <w:sz w:val="20"/>
          <w:szCs w:val="20"/>
          <w:lang w:val="pt-BR" w:eastAsia="es-ES_tradnl"/>
        </w:rPr>
        <w:t xml:space="preserve">. Costos </w:t>
      </w:r>
      <w:r w:rsidR="002E5624" w:rsidRPr="00E74A87">
        <w:rPr>
          <w:rFonts w:ascii="Times New Roman" w:eastAsia="Times New Roman" w:hAnsi="Times New Roman" w:cs="Times New Roman"/>
          <w:b/>
          <w:bCs/>
          <w:sz w:val="20"/>
          <w:szCs w:val="20"/>
          <w:lang w:val="pt-BR" w:eastAsia="es-ES_tradnl"/>
        </w:rPr>
        <w:t>n</w:t>
      </w:r>
      <w:r w:rsidR="00A62283" w:rsidRPr="00E74A87">
        <w:rPr>
          <w:rFonts w:ascii="Times New Roman" w:eastAsia="Times New Roman" w:hAnsi="Times New Roman" w:cs="Times New Roman"/>
          <w:b/>
          <w:bCs/>
          <w:sz w:val="20"/>
          <w:szCs w:val="20"/>
          <w:lang w:val="pt-BR" w:eastAsia="es-ES_tradnl"/>
        </w:rPr>
        <w:t xml:space="preserve">o </w:t>
      </w:r>
      <w:r w:rsidR="002E5624" w:rsidRPr="00E74A87">
        <w:rPr>
          <w:rFonts w:ascii="Times New Roman" w:eastAsia="Times New Roman" w:hAnsi="Times New Roman" w:cs="Times New Roman"/>
          <w:b/>
          <w:bCs/>
          <w:sz w:val="20"/>
          <w:szCs w:val="20"/>
          <w:lang w:val="pt-BR" w:eastAsia="es-ES_tradnl"/>
        </w:rPr>
        <w:t>r</w:t>
      </w:r>
      <w:r w:rsidR="00A62283" w:rsidRPr="00E74A87">
        <w:rPr>
          <w:rFonts w:ascii="Times New Roman" w:eastAsia="Times New Roman" w:hAnsi="Times New Roman" w:cs="Times New Roman"/>
          <w:b/>
          <w:bCs/>
          <w:sz w:val="20"/>
          <w:szCs w:val="20"/>
          <w:lang w:val="pt-BR" w:eastAsia="es-ES_tradnl"/>
        </w:rPr>
        <w:t xml:space="preserve">ecurrentes del </w:t>
      </w:r>
      <w:r w:rsidR="002E5624" w:rsidRPr="00E74A87">
        <w:rPr>
          <w:rFonts w:ascii="Times New Roman" w:eastAsia="Times New Roman" w:hAnsi="Times New Roman" w:cs="Times New Roman"/>
          <w:b/>
          <w:bCs/>
          <w:sz w:val="20"/>
          <w:szCs w:val="20"/>
          <w:lang w:val="pt-BR" w:eastAsia="es-ES_tradnl"/>
        </w:rPr>
        <w:t>Programa</w:t>
      </w:r>
    </w:p>
    <w:p w:rsidR="00A62283" w:rsidRPr="00644110" w:rsidRDefault="00A62283" w:rsidP="00FE0C5F">
      <w:pPr>
        <w:pStyle w:val="ListParagraph"/>
        <w:numPr>
          <w:ilvl w:val="1"/>
          <w:numId w:val="30"/>
        </w:numPr>
        <w:ind w:hanging="578"/>
        <w:jc w:val="both"/>
        <w:rPr>
          <w:lang w:val="es-ES_tradnl" w:eastAsia="es-ES_tradnl"/>
        </w:rPr>
      </w:pPr>
      <w:r w:rsidRPr="00D97994">
        <w:rPr>
          <w:rFonts w:ascii="Times New Roman" w:eastAsia="Times New Roman" w:hAnsi="Times New Roman" w:cs="Times New Roman"/>
          <w:szCs w:val="20"/>
        </w:rPr>
        <w:lastRenderedPageBreak/>
        <w:t xml:space="preserve">Los costos no recurrentes del </w:t>
      </w:r>
      <w:r w:rsidR="00422FCD" w:rsidRPr="00D97994">
        <w:rPr>
          <w:rFonts w:ascii="Times New Roman" w:eastAsia="Times New Roman" w:hAnsi="Times New Roman" w:cs="Times New Roman"/>
          <w:szCs w:val="20"/>
        </w:rPr>
        <w:t>Pro</w:t>
      </w:r>
      <w:r w:rsidR="00422FCD">
        <w:rPr>
          <w:rFonts w:ascii="Times New Roman" w:eastAsia="Times New Roman" w:hAnsi="Times New Roman" w:cs="Times New Roman"/>
          <w:szCs w:val="20"/>
        </w:rPr>
        <w:t>grama</w:t>
      </w:r>
      <w:r w:rsidR="00422FCD" w:rsidRPr="00D97994">
        <w:rPr>
          <w:rFonts w:ascii="Times New Roman" w:eastAsia="Times New Roman" w:hAnsi="Times New Roman" w:cs="Times New Roman"/>
          <w:szCs w:val="20"/>
        </w:rPr>
        <w:t xml:space="preserve"> </w:t>
      </w:r>
      <w:r w:rsidRPr="00D97994">
        <w:rPr>
          <w:rFonts w:ascii="Times New Roman" w:eastAsia="Times New Roman" w:hAnsi="Times New Roman" w:cs="Times New Roman"/>
          <w:szCs w:val="20"/>
        </w:rPr>
        <w:t xml:space="preserve">se han considerado </w:t>
      </w:r>
      <w:r>
        <w:rPr>
          <w:rFonts w:ascii="Times New Roman" w:eastAsia="Times New Roman" w:hAnsi="Times New Roman" w:cs="Times New Roman"/>
          <w:szCs w:val="20"/>
        </w:rPr>
        <w:t xml:space="preserve">soportados de forma lineal </w:t>
      </w:r>
      <w:r w:rsidRPr="00D97994">
        <w:rPr>
          <w:rFonts w:ascii="Times New Roman" w:eastAsia="Times New Roman" w:hAnsi="Times New Roman" w:cs="Times New Roman"/>
          <w:szCs w:val="20"/>
        </w:rPr>
        <w:t>a lo largo de los</w:t>
      </w:r>
      <w:r w:rsidR="008D45EA">
        <w:rPr>
          <w:rFonts w:ascii="Times New Roman" w:eastAsia="Times New Roman" w:hAnsi="Times New Roman" w:cs="Times New Roman"/>
          <w:szCs w:val="20"/>
        </w:rPr>
        <w:t xml:space="preserve"> 5</w:t>
      </w:r>
      <w:r w:rsidRPr="00D97994">
        <w:rPr>
          <w:rFonts w:ascii="Times New Roman" w:eastAsia="Times New Roman" w:hAnsi="Times New Roman" w:cs="Times New Roman"/>
          <w:szCs w:val="20"/>
        </w:rPr>
        <w:t xml:space="preserve"> primeros años del periodo de análisis</w:t>
      </w:r>
      <w:r>
        <w:rPr>
          <w:rFonts w:ascii="Times New Roman" w:eastAsia="Times New Roman" w:hAnsi="Times New Roman" w:cs="Times New Roman"/>
          <w:szCs w:val="20"/>
        </w:rPr>
        <w:t>, durante la ejecución del Programa, de acuerdo con los porcentajes recogidos en el cuadro siguiente.</w:t>
      </w:r>
    </w:p>
    <w:p w:rsidR="00A62283" w:rsidRDefault="00346505" w:rsidP="00A62283">
      <w:pPr>
        <w:autoSpaceDE w:val="0"/>
        <w:autoSpaceDN w:val="0"/>
        <w:adjustRightInd w:val="0"/>
        <w:spacing w:before="200"/>
        <w:jc w:val="center"/>
        <w:rPr>
          <w:rFonts w:ascii="Times New Roman" w:eastAsia="Times New Roman" w:hAnsi="Times New Roman" w:cs="Times New Roman"/>
          <w:b/>
          <w:bCs/>
          <w:sz w:val="20"/>
          <w:szCs w:val="20"/>
          <w:lang w:eastAsia="es-ES_tradnl"/>
        </w:rPr>
      </w:pPr>
      <w:r w:rsidRPr="00346505">
        <w:rPr>
          <w:noProof/>
          <w:lang w:val="en-US"/>
        </w:rPr>
        <w:drawing>
          <wp:anchor distT="0" distB="0" distL="114300" distR="114300" simplePos="0" relativeHeight="251666432" behindDoc="0" locked="0" layoutInCell="1" allowOverlap="1" wp14:anchorId="7B19493A" wp14:editId="141B3A9F">
            <wp:simplePos x="0" y="0"/>
            <wp:positionH relativeFrom="column">
              <wp:posOffset>-70485</wp:posOffset>
            </wp:positionH>
            <wp:positionV relativeFrom="paragraph">
              <wp:posOffset>321310</wp:posOffset>
            </wp:positionV>
            <wp:extent cx="6094730" cy="809625"/>
            <wp:effectExtent l="0" t="0" r="1270" b="9525"/>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473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67E48" w:rsidRPr="00E541FF">
        <w:rPr>
          <w:rFonts w:ascii="Times New Roman" w:eastAsia="Times New Roman" w:hAnsi="Times New Roman" w:cs="Times New Roman"/>
          <w:b/>
          <w:bCs/>
          <w:sz w:val="20"/>
          <w:szCs w:val="20"/>
          <w:lang w:eastAsia="es-ES_tradnl"/>
        </w:rPr>
        <w:t xml:space="preserve">Cuadro </w:t>
      </w:r>
      <w:r w:rsidR="00567E48" w:rsidRPr="00E541FF">
        <w:rPr>
          <w:rFonts w:ascii="Times New Roman" w:eastAsia="Times New Roman" w:hAnsi="Times New Roman" w:cs="Times New Roman"/>
          <w:b/>
          <w:bCs/>
          <w:sz w:val="20"/>
          <w:szCs w:val="20"/>
          <w:lang w:eastAsia="es-ES_tradnl"/>
        </w:rPr>
        <w:fldChar w:fldCharType="begin"/>
      </w:r>
      <w:r w:rsidR="00567E48" w:rsidRPr="00E541FF">
        <w:rPr>
          <w:rFonts w:ascii="Times New Roman" w:eastAsia="Times New Roman" w:hAnsi="Times New Roman" w:cs="Times New Roman"/>
          <w:b/>
          <w:bCs/>
          <w:sz w:val="20"/>
          <w:szCs w:val="20"/>
          <w:lang w:eastAsia="es-ES_tradnl"/>
        </w:rPr>
        <w:instrText xml:space="preserve"> SEQ Tableau \* ARABIC </w:instrText>
      </w:r>
      <w:r w:rsidR="00567E48"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10</w:t>
      </w:r>
      <w:r w:rsidR="00567E48" w:rsidRPr="00E541FF">
        <w:rPr>
          <w:rFonts w:ascii="Times New Roman" w:eastAsia="Times New Roman" w:hAnsi="Times New Roman" w:cs="Times New Roman"/>
          <w:b/>
          <w:bCs/>
          <w:sz w:val="20"/>
          <w:szCs w:val="20"/>
          <w:lang w:eastAsia="es-ES_tradnl"/>
        </w:rPr>
        <w:fldChar w:fldCharType="end"/>
      </w:r>
      <w:r w:rsidR="00567E48" w:rsidRPr="00E541FF">
        <w:rPr>
          <w:rFonts w:ascii="Times New Roman" w:eastAsia="Times New Roman" w:hAnsi="Times New Roman" w:cs="Times New Roman"/>
          <w:b/>
          <w:bCs/>
          <w:sz w:val="20"/>
          <w:szCs w:val="20"/>
          <w:lang w:eastAsia="es-ES_tradnl"/>
        </w:rPr>
        <w:t xml:space="preserve">. </w:t>
      </w:r>
      <w:r w:rsidR="00567E48">
        <w:rPr>
          <w:rFonts w:ascii="Times New Roman" w:eastAsia="Times New Roman" w:hAnsi="Times New Roman" w:cs="Times New Roman"/>
          <w:b/>
          <w:bCs/>
          <w:sz w:val="20"/>
          <w:szCs w:val="20"/>
          <w:lang w:eastAsia="es-ES_tradnl"/>
        </w:rPr>
        <w:t xml:space="preserve">Porcentajes de </w:t>
      </w:r>
      <w:r w:rsidR="002E5624">
        <w:rPr>
          <w:rFonts w:ascii="Times New Roman" w:eastAsia="Times New Roman" w:hAnsi="Times New Roman" w:cs="Times New Roman"/>
          <w:b/>
          <w:bCs/>
          <w:sz w:val="20"/>
          <w:szCs w:val="20"/>
          <w:lang w:eastAsia="es-ES_tradnl"/>
        </w:rPr>
        <w:t>e</w:t>
      </w:r>
      <w:r w:rsidR="00567E48">
        <w:rPr>
          <w:rFonts w:ascii="Times New Roman" w:eastAsia="Times New Roman" w:hAnsi="Times New Roman" w:cs="Times New Roman"/>
          <w:b/>
          <w:bCs/>
          <w:sz w:val="20"/>
          <w:szCs w:val="20"/>
          <w:lang w:eastAsia="es-ES_tradnl"/>
        </w:rPr>
        <w:t xml:space="preserve">jecución del </w:t>
      </w:r>
      <w:r w:rsidR="002E5624">
        <w:rPr>
          <w:rFonts w:ascii="Times New Roman" w:eastAsia="Times New Roman" w:hAnsi="Times New Roman" w:cs="Times New Roman"/>
          <w:b/>
          <w:bCs/>
          <w:sz w:val="20"/>
          <w:szCs w:val="20"/>
          <w:lang w:eastAsia="es-ES_tradnl"/>
        </w:rPr>
        <w:t>Programa</w:t>
      </w:r>
    </w:p>
    <w:p w:rsidR="00346505" w:rsidRDefault="00346505" w:rsidP="00346505">
      <w:pPr>
        <w:pStyle w:val="ListParagraph"/>
        <w:jc w:val="both"/>
        <w:rPr>
          <w:rFonts w:ascii="Times New Roman" w:eastAsia="Times New Roman" w:hAnsi="Times New Roman" w:cs="Times New Roman"/>
          <w:b/>
          <w:i/>
          <w:szCs w:val="20"/>
          <w:lang w:val="es-ES_tradnl"/>
        </w:rPr>
      </w:pPr>
      <w:bookmarkStart w:id="62" w:name="_Toc353793948"/>
    </w:p>
    <w:p w:rsidR="00346505" w:rsidRPr="004639E8" w:rsidRDefault="00346505" w:rsidP="004639E8">
      <w:pPr>
        <w:pStyle w:val="Heading2"/>
        <w:rPr>
          <w:rFonts w:ascii="Times New Roman" w:hAnsi="Times New Roman" w:cs="Times New Roman"/>
          <w:b w:val="0"/>
          <w:i/>
        </w:rPr>
      </w:pPr>
      <w:bookmarkStart w:id="63" w:name="_Toc386887957"/>
      <w:r w:rsidRPr="004639E8">
        <w:rPr>
          <w:rFonts w:ascii="Times New Roman" w:hAnsi="Times New Roman" w:cs="Times New Roman"/>
          <w:i/>
          <w:color w:val="auto"/>
          <w:sz w:val="22"/>
        </w:rPr>
        <w:t>Costos Recurrentes</w:t>
      </w:r>
      <w:bookmarkEnd w:id="63"/>
    </w:p>
    <w:p w:rsidR="00346505" w:rsidRDefault="00346505" w:rsidP="00346505">
      <w:pPr>
        <w:autoSpaceDE w:val="0"/>
        <w:autoSpaceDN w:val="0"/>
        <w:adjustRightInd w:val="0"/>
        <w:jc w:val="both"/>
        <w:rPr>
          <w:rFonts w:ascii="Times New Roman" w:eastAsia="Times New Roman" w:hAnsi="Times New Roman" w:cs="Times New Roman"/>
          <w:b/>
          <w:i/>
          <w:szCs w:val="20"/>
        </w:rPr>
      </w:pPr>
    </w:p>
    <w:p w:rsidR="00346505" w:rsidRPr="00346505" w:rsidRDefault="00346505" w:rsidP="00CD5F87">
      <w:pPr>
        <w:pStyle w:val="ListParagraph"/>
        <w:numPr>
          <w:ilvl w:val="1"/>
          <w:numId w:val="30"/>
        </w:numPr>
        <w:ind w:hanging="578"/>
        <w:jc w:val="both"/>
        <w:rPr>
          <w:rFonts w:ascii="Times New Roman" w:hAnsi="Times New Roman" w:cs="Times New Roman"/>
          <w:i/>
        </w:rPr>
      </w:pPr>
      <w:r>
        <w:rPr>
          <w:rFonts w:ascii="Times New Roman" w:eastAsia="Times New Roman" w:hAnsi="Times New Roman" w:cs="Times New Roman"/>
          <w:szCs w:val="20"/>
        </w:rPr>
        <w:t xml:space="preserve">Asimismo, se han contemplado los costos que, más allá de la ejecución del Programa, e independientemente de la fuente </w:t>
      </w:r>
      <w:r w:rsidR="008E5C5F">
        <w:rPr>
          <w:rFonts w:ascii="Times New Roman" w:eastAsia="Times New Roman" w:hAnsi="Times New Roman" w:cs="Times New Roman"/>
          <w:szCs w:val="20"/>
        </w:rPr>
        <w:t>de los recursos que los financiarán</w:t>
      </w:r>
      <w:r>
        <w:rPr>
          <w:rFonts w:ascii="Times New Roman" w:eastAsia="Times New Roman" w:hAnsi="Times New Roman" w:cs="Times New Roman"/>
          <w:szCs w:val="20"/>
        </w:rPr>
        <w:t xml:space="preserve">, serán necesarios para mantener el funcionamiento del sistema y por ende hacer sostenibles en el tiempo los beneficios cuantificados. Estos costos </w:t>
      </w:r>
      <w:r w:rsidR="008D45EA">
        <w:rPr>
          <w:rFonts w:ascii="Times New Roman" w:eastAsia="Times New Roman" w:hAnsi="Times New Roman" w:cs="Times New Roman"/>
          <w:szCs w:val="20"/>
        </w:rPr>
        <w:t>incluyen</w:t>
      </w:r>
      <w:r>
        <w:rPr>
          <w:rFonts w:ascii="Times New Roman" w:eastAsia="Times New Roman" w:hAnsi="Times New Roman" w:cs="Times New Roman"/>
          <w:szCs w:val="20"/>
        </w:rPr>
        <w:t xml:space="preserve"> los siguientes conceptos:</w:t>
      </w:r>
    </w:p>
    <w:p w:rsidR="00346505" w:rsidRDefault="00346505" w:rsidP="00346505">
      <w:pPr>
        <w:pStyle w:val="ListParagraph"/>
        <w:ind w:left="288"/>
        <w:jc w:val="both"/>
        <w:rPr>
          <w:rFonts w:ascii="Times New Roman" w:eastAsia="Times New Roman" w:hAnsi="Times New Roman" w:cs="Times New Roman"/>
          <w:szCs w:val="20"/>
        </w:rPr>
      </w:pPr>
    </w:p>
    <w:p w:rsidR="00346505" w:rsidRPr="00346505" w:rsidRDefault="00346505" w:rsidP="00346505">
      <w:pPr>
        <w:pStyle w:val="ListParagraph"/>
        <w:numPr>
          <w:ilvl w:val="1"/>
          <w:numId w:val="23"/>
        </w:numPr>
        <w:jc w:val="both"/>
        <w:rPr>
          <w:rFonts w:ascii="Times New Roman" w:hAnsi="Times New Roman" w:cs="Times New Roman"/>
          <w:i/>
        </w:rPr>
      </w:pPr>
      <w:r>
        <w:rPr>
          <w:rFonts w:ascii="Times New Roman" w:eastAsia="Times New Roman" w:hAnsi="Times New Roman" w:cs="Times New Roman"/>
          <w:szCs w:val="20"/>
        </w:rPr>
        <w:t>Costos diferenciales de los recursos humanos.</w:t>
      </w:r>
    </w:p>
    <w:p w:rsidR="00346505" w:rsidRPr="00346505" w:rsidRDefault="00346505" w:rsidP="00346505">
      <w:pPr>
        <w:pStyle w:val="ListParagraph"/>
        <w:numPr>
          <w:ilvl w:val="1"/>
          <w:numId w:val="23"/>
        </w:numPr>
        <w:jc w:val="both"/>
        <w:rPr>
          <w:rFonts w:ascii="Times New Roman" w:hAnsi="Times New Roman" w:cs="Times New Roman"/>
          <w:i/>
        </w:rPr>
      </w:pPr>
      <w:r>
        <w:rPr>
          <w:rFonts w:ascii="Times New Roman" w:eastAsia="Times New Roman" w:hAnsi="Times New Roman" w:cs="Times New Roman"/>
          <w:szCs w:val="20"/>
        </w:rPr>
        <w:t xml:space="preserve">Costos </w:t>
      </w:r>
      <w:r w:rsidR="008E5C5F">
        <w:rPr>
          <w:rFonts w:ascii="Times New Roman" w:eastAsia="Times New Roman" w:hAnsi="Times New Roman" w:cs="Times New Roman"/>
          <w:szCs w:val="20"/>
        </w:rPr>
        <w:t xml:space="preserve">diferenciales </w:t>
      </w:r>
      <w:r>
        <w:rPr>
          <w:rFonts w:ascii="Times New Roman" w:eastAsia="Times New Roman" w:hAnsi="Times New Roman" w:cs="Times New Roman"/>
          <w:szCs w:val="20"/>
        </w:rPr>
        <w:t>de mantenimiento de equipos y otros activos.</w:t>
      </w:r>
    </w:p>
    <w:p w:rsidR="00346505" w:rsidRPr="00346505" w:rsidRDefault="00346505" w:rsidP="00346505">
      <w:pPr>
        <w:pStyle w:val="ListParagraph"/>
        <w:numPr>
          <w:ilvl w:val="1"/>
          <w:numId w:val="23"/>
        </w:numPr>
        <w:jc w:val="both"/>
        <w:rPr>
          <w:rFonts w:ascii="Times New Roman" w:hAnsi="Times New Roman" w:cs="Times New Roman"/>
          <w:i/>
        </w:rPr>
      </w:pPr>
      <w:r>
        <w:rPr>
          <w:rFonts w:ascii="Times New Roman" w:eastAsia="Times New Roman" w:hAnsi="Times New Roman" w:cs="Times New Roman"/>
          <w:szCs w:val="20"/>
        </w:rPr>
        <w:t>Costos</w:t>
      </w:r>
      <w:r w:rsidR="00234B31">
        <w:rPr>
          <w:rFonts w:ascii="Times New Roman" w:eastAsia="Times New Roman" w:hAnsi="Times New Roman" w:cs="Times New Roman"/>
          <w:szCs w:val="20"/>
        </w:rPr>
        <w:t xml:space="preserve"> </w:t>
      </w:r>
      <w:r w:rsidR="008E5C5F">
        <w:rPr>
          <w:rFonts w:ascii="Times New Roman" w:eastAsia="Times New Roman" w:hAnsi="Times New Roman" w:cs="Times New Roman"/>
          <w:szCs w:val="20"/>
        </w:rPr>
        <w:t xml:space="preserve">diferenciales </w:t>
      </w:r>
      <w:r>
        <w:rPr>
          <w:rFonts w:ascii="Times New Roman" w:eastAsia="Times New Roman" w:hAnsi="Times New Roman" w:cs="Times New Roman"/>
          <w:szCs w:val="20"/>
        </w:rPr>
        <w:t>de realización de las labores de control, prevención y seguimiento de plagas y enfermedades.</w:t>
      </w:r>
    </w:p>
    <w:p w:rsidR="00346505" w:rsidRPr="00346505" w:rsidRDefault="00346505" w:rsidP="00346505">
      <w:pPr>
        <w:pStyle w:val="ListParagraph"/>
        <w:jc w:val="both"/>
        <w:rPr>
          <w:rFonts w:ascii="Times New Roman" w:eastAsia="Times New Roman" w:hAnsi="Times New Roman" w:cs="Times New Roman"/>
          <w:b/>
          <w:i/>
          <w:szCs w:val="20"/>
        </w:rPr>
      </w:pPr>
    </w:p>
    <w:p w:rsidR="00EB6B78" w:rsidRPr="00EB6B78" w:rsidRDefault="00C8240C" w:rsidP="00CD5F87">
      <w:pPr>
        <w:pStyle w:val="ListParagraph"/>
        <w:numPr>
          <w:ilvl w:val="1"/>
          <w:numId w:val="30"/>
        </w:numPr>
        <w:ind w:hanging="578"/>
        <w:jc w:val="both"/>
        <w:rPr>
          <w:rFonts w:ascii="Times New Roman" w:hAnsi="Times New Roman" w:cs="Times New Roman"/>
          <w:i/>
        </w:rPr>
      </w:pPr>
      <w:r w:rsidRPr="00EB6B78">
        <w:rPr>
          <w:rFonts w:ascii="Times New Roman" w:hAnsi="Times New Roman" w:cs="Times New Roman"/>
        </w:rPr>
        <w:t>El</w:t>
      </w:r>
      <w:r w:rsidR="00C94CDE" w:rsidRPr="00EB6B78">
        <w:rPr>
          <w:rFonts w:ascii="Times New Roman" w:hAnsi="Times New Roman" w:cs="Times New Roman"/>
        </w:rPr>
        <w:t xml:space="preserve"> cuadro de desglose de los costos recurrentes, cuyos valores se </w:t>
      </w:r>
      <w:r w:rsidRPr="00EB6B78">
        <w:rPr>
          <w:rFonts w:ascii="Times New Roman" w:hAnsi="Times New Roman" w:cs="Times New Roman"/>
        </w:rPr>
        <w:t xml:space="preserve">han </w:t>
      </w:r>
      <w:r w:rsidR="00C94CDE" w:rsidRPr="00EB6B78">
        <w:rPr>
          <w:rFonts w:ascii="Times New Roman" w:hAnsi="Times New Roman" w:cs="Times New Roman"/>
        </w:rPr>
        <w:t>basa</w:t>
      </w:r>
      <w:r w:rsidRPr="00EB6B78">
        <w:rPr>
          <w:rFonts w:ascii="Times New Roman" w:hAnsi="Times New Roman" w:cs="Times New Roman"/>
        </w:rPr>
        <w:t>do</w:t>
      </w:r>
      <w:r w:rsidR="00C94CDE" w:rsidRPr="00EB6B78">
        <w:rPr>
          <w:rFonts w:ascii="Times New Roman" w:hAnsi="Times New Roman" w:cs="Times New Roman"/>
        </w:rPr>
        <w:t xml:space="preserve"> en los importes presupuestados para cada componente del Programa</w:t>
      </w:r>
      <w:r w:rsidRPr="00EB6B78">
        <w:rPr>
          <w:rFonts w:ascii="Times New Roman" w:hAnsi="Times New Roman" w:cs="Times New Roman"/>
        </w:rPr>
        <w:t>, se muestra a continuación. Estos costos</w:t>
      </w:r>
      <w:r w:rsidR="00DB3AFB" w:rsidRPr="00EB6B78">
        <w:rPr>
          <w:rFonts w:ascii="Times New Roman" w:hAnsi="Times New Roman" w:cs="Times New Roman"/>
        </w:rPr>
        <w:t xml:space="preserve">, expresado a precios sombra, </w:t>
      </w:r>
      <w:r w:rsidRPr="00EB6B78">
        <w:rPr>
          <w:rFonts w:ascii="Times New Roman" w:hAnsi="Times New Roman" w:cs="Times New Roman"/>
        </w:rPr>
        <w:t xml:space="preserve">se </w:t>
      </w:r>
      <w:r w:rsidR="00DB3AFB" w:rsidRPr="00EB6B78">
        <w:rPr>
          <w:rFonts w:ascii="Times New Roman" w:hAnsi="Times New Roman" w:cs="Times New Roman"/>
        </w:rPr>
        <w:t xml:space="preserve">han considerado </w:t>
      </w:r>
      <w:r w:rsidR="00EB6B78" w:rsidRPr="00EB6B78">
        <w:rPr>
          <w:rFonts w:ascii="Times New Roman" w:hAnsi="Times New Roman" w:cs="Times New Roman"/>
        </w:rPr>
        <w:t xml:space="preserve">activados </w:t>
      </w:r>
      <w:r w:rsidRPr="00EB6B78">
        <w:rPr>
          <w:rFonts w:ascii="Times New Roman" w:hAnsi="Times New Roman" w:cs="Times New Roman"/>
        </w:rPr>
        <w:t>a medida que se va ejecutando el Programa.</w:t>
      </w:r>
      <w:r w:rsidR="00EB6B78">
        <w:rPr>
          <w:rFonts w:ascii="Times New Roman" w:hAnsi="Times New Roman" w:cs="Times New Roman"/>
        </w:rPr>
        <w:t xml:space="preserve"> </w:t>
      </w:r>
      <w:r w:rsidR="00EB6B78" w:rsidRPr="00EB6B78">
        <w:rPr>
          <w:rFonts w:ascii="Times New Roman" w:hAnsi="Times New Roman" w:cs="Times New Roman"/>
        </w:rPr>
        <w:t xml:space="preserve">Así, a partir del año 5, </w:t>
      </w:r>
      <w:r w:rsidR="00EB6B78">
        <w:rPr>
          <w:rFonts w:ascii="Times New Roman" w:hAnsi="Times New Roman" w:cs="Times New Roman"/>
        </w:rPr>
        <w:t>estos costos se generan anualmente durante todo el periodo de análisis.</w:t>
      </w:r>
    </w:p>
    <w:p w:rsidR="00C94CDE" w:rsidRPr="004639E8" w:rsidRDefault="00C94CDE" w:rsidP="004639E8">
      <w:pPr>
        <w:pStyle w:val="ListParagraph"/>
        <w:jc w:val="both"/>
        <w:rPr>
          <w:rFonts w:ascii="Times New Roman" w:hAnsi="Times New Roman" w:cs="Times New Roman"/>
          <w:i/>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8D45EA" w:rsidRDefault="008D45EA" w:rsidP="00346505">
      <w:pPr>
        <w:jc w:val="center"/>
        <w:rPr>
          <w:rFonts w:ascii="Times New Roman" w:eastAsia="Times New Roman" w:hAnsi="Times New Roman" w:cs="Times New Roman"/>
          <w:b/>
          <w:bCs/>
          <w:sz w:val="20"/>
          <w:szCs w:val="20"/>
          <w:lang w:eastAsia="es-ES_tradnl"/>
        </w:rPr>
      </w:pPr>
    </w:p>
    <w:p w:rsidR="00346505" w:rsidRDefault="00346505" w:rsidP="00346505">
      <w:pPr>
        <w:jc w:val="center"/>
        <w:rPr>
          <w:rFonts w:ascii="Times New Roman" w:eastAsia="Times New Roman" w:hAnsi="Times New Roman" w:cs="Times New Roman"/>
          <w:b/>
          <w:bCs/>
          <w:sz w:val="20"/>
          <w:szCs w:val="20"/>
          <w:lang w:eastAsia="es-ES_tradnl"/>
        </w:rPr>
      </w:pPr>
      <w:r w:rsidRPr="004639E8">
        <w:rPr>
          <w:rFonts w:ascii="Times New Roman" w:eastAsia="Times New Roman" w:hAnsi="Times New Roman" w:cs="Times New Roman"/>
          <w:b/>
          <w:bCs/>
          <w:sz w:val="20"/>
          <w:szCs w:val="20"/>
          <w:lang w:eastAsia="es-ES_tradnl"/>
        </w:rPr>
        <w:t xml:space="preserve">Cuadro </w:t>
      </w:r>
      <w:r w:rsidRPr="004639E8">
        <w:rPr>
          <w:rFonts w:ascii="Times New Roman" w:eastAsia="Times New Roman" w:hAnsi="Times New Roman" w:cs="Times New Roman"/>
          <w:b/>
          <w:bCs/>
          <w:sz w:val="20"/>
          <w:szCs w:val="20"/>
          <w:lang w:eastAsia="es-ES_tradnl"/>
        </w:rPr>
        <w:fldChar w:fldCharType="begin"/>
      </w:r>
      <w:r w:rsidRPr="004639E8">
        <w:rPr>
          <w:rFonts w:ascii="Times New Roman" w:eastAsia="Times New Roman" w:hAnsi="Times New Roman" w:cs="Times New Roman"/>
          <w:b/>
          <w:bCs/>
          <w:sz w:val="20"/>
          <w:szCs w:val="20"/>
          <w:lang w:eastAsia="es-ES_tradnl"/>
        </w:rPr>
        <w:instrText xml:space="preserve"> SEQ Tableau \* ARABIC </w:instrText>
      </w:r>
      <w:r w:rsidRPr="004639E8">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11</w:t>
      </w:r>
      <w:r w:rsidRPr="004639E8">
        <w:rPr>
          <w:rFonts w:ascii="Times New Roman" w:eastAsia="Times New Roman" w:hAnsi="Times New Roman" w:cs="Times New Roman"/>
          <w:b/>
          <w:bCs/>
          <w:sz w:val="20"/>
          <w:szCs w:val="20"/>
          <w:lang w:eastAsia="es-ES_tradnl"/>
        </w:rPr>
        <w:fldChar w:fldCharType="end"/>
      </w:r>
      <w:r w:rsidRPr="004639E8">
        <w:rPr>
          <w:rFonts w:ascii="Times New Roman" w:eastAsia="Times New Roman" w:hAnsi="Times New Roman" w:cs="Times New Roman"/>
          <w:b/>
          <w:bCs/>
          <w:sz w:val="20"/>
          <w:szCs w:val="20"/>
          <w:lang w:eastAsia="es-ES_tradnl"/>
        </w:rPr>
        <w:t>. Costos Recurrentes</w:t>
      </w:r>
    </w:p>
    <w:p w:rsidR="00346505" w:rsidRDefault="008D45EA" w:rsidP="00346505">
      <w:pPr>
        <w:jc w:val="center"/>
        <w:rPr>
          <w:rFonts w:ascii="Times New Roman" w:hAnsi="Times New Roman" w:cs="Times New Roman"/>
          <w:i/>
        </w:rPr>
      </w:pPr>
      <w:r w:rsidRPr="008D45EA">
        <w:rPr>
          <w:noProof/>
          <w:lang w:val="en-US"/>
        </w:rPr>
        <w:drawing>
          <wp:inline distT="0" distB="0" distL="0" distR="0" wp14:anchorId="73A4A5AC" wp14:editId="0E74B55E">
            <wp:extent cx="4729710" cy="3921619"/>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29710" cy="3921619"/>
                    </a:xfrm>
                    <a:prstGeom prst="rect">
                      <a:avLst/>
                    </a:prstGeom>
                    <a:noFill/>
                    <a:ln>
                      <a:noFill/>
                    </a:ln>
                  </pic:spPr>
                </pic:pic>
              </a:graphicData>
            </a:graphic>
          </wp:inline>
        </w:drawing>
      </w:r>
    </w:p>
    <w:p w:rsidR="00346505" w:rsidRPr="00346505" w:rsidRDefault="00346505" w:rsidP="00346505">
      <w:pPr>
        <w:jc w:val="both"/>
        <w:rPr>
          <w:rFonts w:ascii="Times New Roman" w:hAnsi="Times New Roman" w:cs="Times New Roman"/>
          <w:i/>
        </w:rPr>
      </w:pPr>
    </w:p>
    <w:p w:rsidR="00980827" w:rsidRPr="00D75188" w:rsidRDefault="00980827" w:rsidP="00CD5F87">
      <w:pPr>
        <w:pStyle w:val="ListParagraph"/>
        <w:numPr>
          <w:ilvl w:val="1"/>
          <w:numId w:val="30"/>
        </w:numPr>
        <w:ind w:hanging="578"/>
        <w:jc w:val="both"/>
        <w:rPr>
          <w:rFonts w:ascii="Times New Roman" w:hAnsi="Times New Roman" w:cs="Times New Roman"/>
          <w:i/>
        </w:rPr>
      </w:pPr>
      <w:r>
        <w:rPr>
          <w:rFonts w:ascii="Times New Roman" w:eastAsia="Times New Roman" w:hAnsi="Times New Roman" w:cs="Times New Roman"/>
          <w:szCs w:val="20"/>
        </w:rPr>
        <w:t xml:space="preserve">El detalle del reparto de los costos a lo largo del periodo de análisis se recoge más adelante en el Anexo </w:t>
      </w:r>
      <w:r w:rsidR="00C55379">
        <w:rPr>
          <w:rFonts w:ascii="Times New Roman" w:eastAsia="Times New Roman" w:hAnsi="Times New Roman" w:cs="Times New Roman"/>
          <w:szCs w:val="20"/>
        </w:rPr>
        <w:t>I</w:t>
      </w:r>
      <w:r w:rsidR="00210B17">
        <w:rPr>
          <w:rFonts w:ascii="Times New Roman" w:eastAsia="Times New Roman" w:hAnsi="Times New Roman" w:cs="Times New Roman"/>
          <w:szCs w:val="20"/>
        </w:rPr>
        <w:t>I</w:t>
      </w:r>
      <w:r w:rsidR="00C55379">
        <w:rPr>
          <w:rFonts w:ascii="Times New Roman" w:eastAsia="Times New Roman" w:hAnsi="Times New Roman" w:cs="Times New Roman"/>
          <w:szCs w:val="20"/>
        </w:rPr>
        <w:t>I</w:t>
      </w:r>
      <w:r>
        <w:rPr>
          <w:rFonts w:ascii="Times New Roman" w:eastAsia="Times New Roman" w:hAnsi="Times New Roman" w:cs="Times New Roman"/>
          <w:szCs w:val="20"/>
        </w:rPr>
        <w:t xml:space="preserve"> de Resumen de Flujos Económicos del ACB.</w:t>
      </w:r>
    </w:p>
    <w:p w:rsidR="00801D09" w:rsidRDefault="00801D09">
      <w:pPr>
        <w:rPr>
          <w:rFonts w:ascii="Times New Roman" w:eastAsiaTheme="majorEastAsia" w:hAnsi="Times New Roman" w:cs="Times New Roman"/>
          <w:b/>
          <w:bCs/>
          <w:sz w:val="24"/>
          <w:szCs w:val="24"/>
          <w:highlight w:val="yellow"/>
        </w:rPr>
      </w:pPr>
      <w:r>
        <w:rPr>
          <w:rFonts w:ascii="Times New Roman" w:hAnsi="Times New Roman" w:cs="Times New Roman"/>
          <w:sz w:val="24"/>
          <w:szCs w:val="24"/>
          <w:highlight w:val="yellow"/>
        </w:rPr>
        <w:br w:type="page"/>
      </w:r>
    </w:p>
    <w:p w:rsidR="00B66668" w:rsidRPr="00CA5D11" w:rsidRDefault="00B66668" w:rsidP="00473CB2">
      <w:pPr>
        <w:pStyle w:val="Heading1"/>
        <w:numPr>
          <w:ilvl w:val="0"/>
          <w:numId w:val="37"/>
        </w:numPr>
        <w:rPr>
          <w:rFonts w:ascii="Times New Roman" w:hAnsi="Times New Roman" w:cs="Times New Roman"/>
          <w:color w:val="auto"/>
          <w:sz w:val="24"/>
          <w:szCs w:val="24"/>
          <w:lang w:val="en-US"/>
        </w:rPr>
      </w:pPr>
      <w:bookmarkStart w:id="64" w:name="_Toc386199751"/>
      <w:bookmarkStart w:id="65" w:name="_Toc386199752"/>
      <w:bookmarkStart w:id="66" w:name="_Toc386199753"/>
      <w:bookmarkStart w:id="67" w:name="_Toc386199754"/>
      <w:bookmarkStart w:id="68" w:name="_Toc386199755"/>
      <w:bookmarkStart w:id="69" w:name="_Toc386199756"/>
      <w:bookmarkStart w:id="70" w:name="_Toc386199757"/>
      <w:bookmarkStart w:id="71" w:name="_Toc386199758"/>
      <w:bookmarkStart w:id="72" w:name="_Toc386199759"/>
      <w:bookmarkStart w:id="73" w:name="_Toc386199760"/>
      <w:bookmarkStart w:id="74" w:name="_Toc386199761"/>
      <w:bookmarkStart w:id="75" w:name="_Toc386199762"/>
      <w:bookmarkStart w:id="76" w:name="_Toc386887958"/>
      <w:bookmarkEnd w:id="64"/>
      <w:bookmarkEnd w:id="65"/>
      <w:bookmarkEnd w:id="66"/>
      <w:bookmarkEnd w:id="67"/>
      <w:bookmarkEnd w:id="68"/>
      <w:bookmarkEnd w:id="69"/>
      <w:bookmarkEnd w:id="70"/>
      <w:bookmarkEnd w:id="71"/>
      <w:bookmarkEnd w:id="72"/>
      <w:bookmarkEnd w:id="73"/>
      <w:bookmarkEnd w:id="74"/>
      <w:bookmarkEnd w:id="75"/>
      <w:r w:rsidRPr="00CA5D11">
        <w:rPr>
          <w:rFonts w:ascii="Times New Roman" w:hAnsi="Times New Roman" w:cs="Times New Roman"/>
          <w:color w:val="auto"/>
          <w:sz w:val="24"/>
          <w:szCs w:val="24"/>
          <w:lang w:val="en-US"/>
        </w:rPr>
        <w:lastRenderedPageBreak/>
        <w:t>RENTABILIDAD ECONÓMICA DEL PRO</w:t>
      </w:r>
      <w:bookmarkEnd w:id="62"/>
      <w:r w:rsidR="00397F23">
        <w:rPr>
          <w:rFonts w:ascii="Times New Roman" w:hAnsi="Times New Roman" w:cs="Times New Roman"/>
          <w:color w:val="auto"/>
          <w:sz w:val="24"/>
          <w:szCs w:val="24"/>
          <w:lang w:val="en-US"/>
        </w:rPr>
        <w:t>GRAMA</w:t>
      </w:r>
      <w:bookmarkEnd w:id="76"/>
    </w:p>
    <w:p w:rsidR="00B66668" w:rsidRPr="00CA5D11" w:rsidRDefault="00B66668" w:rsidP="00B66668">
      <w:pPr>
        <w:jc w:val="both"/>
        <w:rPr>
          <w:lang w:val="en-US"/>
        </w:rPr>
      </w:pPr>
    </w:p>
    <w:p w:rsidR="0035269B" w:rsidRPr="0035269B" w:rsidRDefault="0035269B" w:rsidP="0035269B">
      <w:pPr>
        <w:pStyle w:val="ListParagraph"/>
        <w:numPr>
          <w:ilvl w:val="0"/>
          <w:numId w:val="10"/>
        </w:numPr>
        <w:autoSpaceDE w:val="0"/>
        <w:autoSpaceDN w:val="0"/>
        <w:adjustRightInd w:val="0"/>
        <w:jc w:val="both"/>
        <w:rPr>
          <w:rFonts w:ascii="Times New Roman" w:eastAsia="Times New Roman" w:hAnsi="Times New Roman" w:cs="Times New Roman"/>
          <w:vanish/>
          <w:szCs w:val="20"/>
        </w:rPr>
      </w:pPr>
      <w:bookmarkStart w:id="77" w:name="_Toc320196420"/>
      <w:bookmarkStart w:id="78" w:name="_Ref316943771"/>
      <w:bookmarkEnd w:id="77"/>
    </w:p>
    <w:p w:rsidR="0035269B" w:rsidRPr="0035269B" w:rsidRDefault="0035269B" w:rsidP="0035269B">
      <w:pPr>
        <w:pStyle w:val="ListParagraph"/>
        <w:numPr>
          <w:ilvl w:val="0"/>
          <w:numId w:val="10"/>
        </w:numPr>
        <w:autoSpaceDE w:val="0"/>
        <w:autoSpaceDN w:val="0"/>
        <w:adjustRightInd w:val="0"/>
        <w:jc w:val="both"/>
        <w:rPr>
          <w:rFonts w:ascii="Times New Roman" w:eastAsia="Times New Roman" w:hAnsi="Times New Roman" w:cs="Times New Roman"/>
          <w:vanish/>
          <w:szCs w:val="20"/>
        </w:rPr>
      </w:pPr>
    </w:p>
    <w:p w:rsidR="00473CB2" w:rsidRPr="007000F5" w:rsidRDefault="00473CB2" w:rsidP="00CD5F87">
      <w:pPr>
        <w:pStyle w:val="ListParagraph"/>
        <w:numPr>
          <w:ilvl w:val="1"/>
          <w:numId w:val="10"/>
        </w:numPr>
        <w:autoSpaceDE w:val="0"/>
        <w:autoSpaceDN w:val="0"/>
        <w:adjustRightInd w:val="0"/>
        <w:ind w:left="709" w:hanging="567"/>
        <w:jc w:val="both"/>
        <w:rPr>
          <w:rFonts w:ascii="Times New Roman" w:eastAsia="Times New Roman" w:hAnsi="Times New Roman" w:cs="Times New Roman"/>
          <w:szCs w:val="20"/>
        </w:rPr>
      </w:pPr>
      <w:r w:rsidRPr="007000F5">
        <w:rPr>
          <w:rFonts w:ascii="Times New Roman" w:eastAsia="Times New Roman" w:hAnsi="Times New Roman" w:cs="Times New Roman"/>
          <w:szCs w:val="20"/>
        </w:rPr>
        <w:t>La rentabilidad económica del Pro</w:t>
      </w:r>
      <w:r w:rsidR="00397F23" w:rsidRPr="007000F5">
        <w:rPr>
          <w:rFonts w:ascii="Times New Roman" w:eastAsia="Times New Roman" w:hAnsi="Times New Roman" w:cs="Times New Roman"/>
          <w:szCs w:val="20"/>
        </w:rPr>
        <w:t>grama</w:t>
      </w:r>
      <w:r w:rsidRPr="007000F5">
        <w:rPr>
          <w:rFonts w:ascii="Times New Roman" w:eastAsia="Times New Roman" w:hAnsi="Times New Roman" w:cs="Times New Roman"/>
          <w:szCs w:val="20"/>
        </w:rPr>
        <w:t xml:space="preserve"> se ha calculado con base en la metodología, las hipótesis así como los beneficios y costos descritos hasta ahora en el presente documento. Tal y como se ha señalado en la descripción del planteamiento metodológico, el Proyecto se considera rentable en términos económicos en la medida que su Tasa Interna de Retorno (“</w:t>
      </w:r>
      <w:r w:rsidRPr="007000F5">
        <w:rPr>
          <w:rFonts w:ascii="Times New Roman" w:eastAsia="Times New Roman" w:hAnsi="Times New Roman" w:cs="Times New Roman"/>
          <w:b/>
          <w:szCs w:val="20"/>
        </w:rPr>
        <w:t>TIR</w:t>
      </w:r>
      <w:r w:rsidRPr="007000F5">
        <w:rPr>
          <w:rFonts w:ascii="Times New Roman" w:eastAsia="Times New Roman" w:hAnsi="Times New Roman" w:cs="Times New Roman"/>
          <w:szCs w:val="20"/>
        </w:rPr>
        <w:t xml:space="preserve">”) sea superior a la tasa de descuento del 12% utilizada para la evaluación. Dicho de otro modo, el Programa es viable económicamente si </w:t>
      </w:r>
      <w:r w:rsidR="00397F23" w:rsidRPr="007000F5">
        <w:rPr>
          <w:rFonts w:ascii="Times New Roman" w:eastAsia="Times New Roman" w:hAnsi="Times New Roman" w:cs="Times New Roman"/>
          <w:szCs w:val="20"/>
        </w:rPr>
        <w:t>la</w:t>
      </w:r>
      <w:r w:rsidRPr="007000F5">
        <w:rPr>
          <w:rFonts w:ascii="Times New Roman" w:eastAsia="Times New Roman" w:hAnsi="Times New Roman" w:cs="Times New Roman"/>
          <w:szCs w:val="20"/>
        </w:rPr>
        <w:t xml:space="preserve"> TIR </w:t>
      </w:r>
      <w:r w:rsidR="00397F23" w:rsidRPr="007000F5">
        <w:rPr>
          <w:rFonts w:ascii="Times New Roman" w:eastAsia="Times New Roman" w:hAnsi="Times New Roman" w:cs="Times New Roman"/>
          <w:szCs w:val="20"/>
        </w:rPr>
        <w:t xml:space="preserve">del Proyecto </w:t>
      </w:r>
      <w:r w:rsidRPr="007000F5">
        <w:rPr>
          <w:rFonts w:ascii="Times New Roman" w:eastAsia="Times New Roman" w:hAnsi="Times New Roman" w:cs="Times New Roman"/>
          <w:szCs w:val="20"/>
        </w:rPr>
        <w:t>supera el costo de oportunidad del 12% de los recursos empleados para su realización.</w:t>
      </w:r>
    </w:p>
    <w:p w:rsidR="00397F23" w:rsidRDefault="00397F23" w:rsidP="00397F23">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Como resultado principal, el ACB arroja un importe del </w:t>
      </w:r>
      <w:r w:rsidRPr="0042009D">
        <w:rPr>
          <w:rFonts w:ascii="Times New Roman" w:eastAsia="Times New Roman" w:hAnsi="Times New Roman" w:cs="Times New Roman"/>
          <w:b/>
          <w:szCs w:val="20"/>
        </w:rPr>
        <w:t xml:space="preserve">VAN </w:t>
      </w:r>
      <w:r>
        <w:rPr>
          <w:rFonts w:ascii="Times New Roman" w:eastAsia="Times New Roman" w:hAnsi="Times New Roman" w:cs="Times New Roman"/>
          <w:szCs w:val="20"/>
        </w:rPr>
        <w:t xml:space="preserve">de todos los flujos económicos del Proyecto, de </w:t>
      </w:r>
      <w:r w:rsidR="006E2FE2">
        <w:rPr>
          <w:rFonts w:ascii="Times New Roman" w:eastAsia="Times New Roman" w:hAnsi="Times New Roman" w:cs="Times New Roman"/>
          <w:b/>
          <w:szCs w:val="20"/>
        </w:rPr>
        <w:t>3</w:t>
      </w:r>
      <w:r>
        <w:rPr>
          <w:rFonts w:ascii="Times New Roman" w:eastAsia="Times New Roman" w:hAnsi="Times New Roman" w:cs="Times New Roman"/>
          <w:b/>
          <w:szCs w:val="20"/>
        </w:rPr>
        <w:t>.</w:t>
      </w:r>
      <w:r w:rsidR="006E2FE2">
        <w:rPr>
          <w:rFonts w:ascii="Times New Roman" w:eastAsia="Times New Roman" w:hAnsi="Times New Roman" w:cs="Times New Roman"/>
          <w:b/>
          <w:szCs w:val="20"/>
        </w:rPr>
        <w:t>370</w:t>
      </w:r>
      <w:r>
        <w:rPr>
          <w:rFonts w:ascii="Times New Roman" w:eastAsia="Times New Roman" w:hAnsi="Times New Roman" w:cs="Times New Roman"/>
          <w:b/>
          <w:szCs w:val="20"/>
        </w:rPr>
        <w:t>.</w:t>
      </w:r>
      <w:r w:rsidR="00DF18BA">
        <w:rPr>
          <w:rFonts w:ascii="Times New Roman" w:eastAsia="Times New Roman" w:hAnsi="Times New Roman" w:cs="Times New Roman"/>
          <w:b/>
          <w:szCs w:val="20"/>
        </w:rPr>
        <w:t>6</w:t>
      </w:r>
      <w:r w:rsidR="006E2FE2">
        <w:rPr>
          <w:rFonts w:ascii="Times New Roman" w:eastAsia="Times New Roman" w:hAnsi="Times New Roman" w:cs="Times New Roman"/>
          <w:b/>
          <w:szCs w:val="20"/>
        </w:rPr>
        <w:t>29</w:t>
      </w:r>
      <w:r w:rsidRPr="0042009D">
        <w:rPr>
          <w:rFonts w:ascii="Times New Roman" w:eastAsia="Times New Roman" w:hAnsi="Times New Roman" w:cs="Times New Roman"/>
          <w:b/>
          <w:szCs w:val="20"/>
        </w:rPr>
        <w:t xml:space="preserve"> USD</w:t>
      </w:r>
      <w:r>
        <w:rPr>
          <w:rFonts w:ascii="Times New Roman" w:eastAsia="Times New Roman" w:hAnsi="Times New Roman" w:cs="Times New Roman"/>
          <w:szCs w:val="20"/>
        </w:rPr>
        <w:t>. Este importe total se compone de los elementos recogidos en el cuadro siguiente.</w:t>
      </w:r>
    </w:p>
    <w:p w:rsidR="00397F23" w:rsidRDefault="00397F23" w:rsidP="00397F23">
      <w:pPr>
        <w:pStyle w:val="ListParagraph"/>
        <w:rPr>
          <w:rFonts w:ascii="Times New Roman" w:eastAsia="Times New Roman" w:hAnsi="Times New Roman" w:cs="Times New Roman"/>
          <w:szCs w:val="20"/>
        </w:rPr>
      </w:pPr>
    </w:p>
    <w:p w:rsidR="00397F23" w:rsidRDefault="008944A5" w:rsidP="00397F23">
      <w:pPr>
        <w:jc w:val="center"/>
        <w:rPr>
          <w:rFonts w:ascii="Times New Roman" w:eastAsia="Times New Roman" w:hAnsi="Times New Roman" w:cs="Times New Roman"/>
          <w:b/>
          <w:bCs/>
          <w:sz w:val="20"/>
          <w:szCs w:val="20"/>
          <w:lang w:eastAsia="es-ES_tradnl"/>
        </w:rPr>
      </w:pPr>
      <w:r w:rsidRPr="008944A5">
        <w:rPr>
          <w:noProof/>
          <w:lang w:val="en-US"/>
        </w:rPr>
        <w:drawing>
          <wp:anchor distT="0" distB="0" distL="114300" distR="114300" simplePos="0" relativeHeight="251703296" behindDoc="0" locked="0" layoutInCell="1" allowOverlap="1" wp14:anchorId="2E5E909F" wp14:editId="7CDEE373">
            <wp:simplePos x="0" y="0"/>
            <wp:positionH relativeFrom="column">
              <wp:posOffset>171450</wp:posOffset>
            </wp:positionH>
            <wp:positionV relativeFrom="paragraph">
              <wp:posOffset>188595</wp:posOffset>
            </wp:positionV>
            <wp:extent cx="5612130" cy="1842770"/>
            <wp:effectExtent l="0" t="0" r="7620" b="5080"/>
            <wp:wrapTopAndBottom/>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1842770"/>
                    </a:xfrm>
                    <a:prstGeom prst="rect">
                      <a:avLst/>
                    </a:prstGeom>
                    <a:noFill/>
                    <a:ln>
                      <a:noFill/>
                    </a:ln>
                  </pic:spPr>
                </pic:pic>
              </a:graphicData>
            </a:graphic>
            <wp14:sizeRelH relativeFrom="page">
              <wp14:pctWidth>0</wp14:pctWidth>
            </wp14:sizeRelH>
            <wp14:sizeRelV relativeFrom="page">
              <wp14:pctHeight>0</wp14:pctHeight>
            </wp14:sizeRelV>
          </wp:anchor>
        </w:drawing>
      </w:r>
      <w:r w:rsidR="00397F23" w:rsidRPr="00E541FF">
        <w:rPr>
          <w:rFonts w:ascii="Times New Roman" w:eastAsia="Times New Roman" w:hAnsi="Times New Roman" w:cs="Times New Roman"/>
          <w:b/>
          <w:bCs/>
          <w:sz w:val="20"/>
          <w:szCs w:val="20"/>
          <w:lang w:eastAsia="es-ES_tradnl"/>
        </w:rPr>
        <w:t xml:space="preserve">Cuadro </w:t>
      </w:r>
      <w:r w:rsidR="00397F23" w:rsidRPr="00E541FF">
        <w:rPr>
          <w:rFonts w:ascii="Times New Roman" w:eastAsia="Times New Roman" w:hAnsi="Times New Roman" w:cs="Times New Roman"/>
          <w:b/>
          <w:bCs/>
          <w:sz w:val="20"/>
          <w:szCs w:val="20"/>
          <w:lang w:eastAsia="es-ES_tradnl"/>
        </w:rPr>
        <w:fldChar w:fldCharType="begin"/>
      </w:r>
      <w:r w:rsidR="00397F23" w:rsidRPr="00E541FF">
        <w:rPr>
          <w:rFonts w:ascii="Times New Roman" w:eastAsia="Times New Roman" w:hAnsi="Times New Roman" w:cs="Times New Roman"/>
          <w:b/>
          <w:bCs/>
          <w:sz w:val="20"/>
          <w:szCs w:val="20"/>
          <w:lang w:eastAsia="es-ES_tradnl"/>
        </w:rPr>
        <w:instrText xml:space="preserve"> SEQ Tableau \* ARABIC </w:instrText>
      </w:r>
      <w:r w:rsidR="00397F23" w:rsidRPr="00E541FF">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12</w:t>
      </w:r>
      <w:r w:rsidR="00397F23" w:rsidRPr="00E541FF">
        <w:rPr>
          <w:rFonts w:ascii="Times New Roman" w:eastAsia="Times New Roman" w:hAnsi="Times New Roman" w:cs="Times New Roman"/>
          <w:b/>
          <w:bCs/>
          <w:sz w:val="20"/>
          <w:szCs w:val="20"/>
          <w:lang w:eastAsia="es-ES_tradnl"/>
        </w:rPr>
        <w:fldChar w:fldCharType="end"/>
      </w:r>
      <w:r w:rsidR="00397F23" w:rsidRPr="00E541FF">
        <w:rPr>
          <w:rFonts w:ascii="Times New Roman" w:eastAsia="Times New Roman" w:hAnsi="Times New Roman" w:cs="Times New Roman"/>
          <w:b/>
          <w:bCs/>
          <w:sz w:val="20"/>
          <w:szCs w:val="20"/>
          <w:lang w:eastAsia="es-ES_tradnl"/>
        </w:rPr>
        <w:t xml:space="preserve">. </w:t>
      </w:r>
      <w:r w:rsidR="00397F23">
        <w:rPr>
          <w:rFonts w:ascii="Times New Roman" w:eastAsia="Times New Roman" w:hAnsi="Times New Roman" w:cs="Times New Roman"/>
          <w:b/>
          <w:bCs/>
          <w:sz w:val="20"/>
          <w:szCs w:val="20"/>
          <w:lang w:eastAsia="es-ES_tradnl"/>
        </w:rPr>
        <w:t>Resultados del ACB</w:t>
      </w:r>
    </w:p>
    <w:p w:rsidR="00397F23" w:rsidRDefault="008944A5" w:rsidP="00397F23">
      <w:pPr>
        <w:jc w:val="center"/>
        <w:rPr>
          <w:rFonts w:ascii="Times New Roman" w:eastAsia="Times New Roman" w:hAnsi="Times New Roman" w:cs="Times New Roman"/>
          <w:b/>
          <w:bCs/>
          <w:sz w:val="20"/>
          <w:szCs w:val="20"/>
          <w:lang w:eastAsia="es-ES_tradnl"/>
        </w:rPr>
      </w:pPr>
      <w:r w:rsidRPr="008944A5">
        <w:rPr>
          <w:rFonts w:ascii="Times New Roman" w:eastAsia="Times New Roman" w:hAnsi="Times New Roman" w:cs="Times New Roman"/>
          <w:b/>
          <w:bCs/>
          <w:sz w:val="20"/>
          <w:szCs w:val="20"/>
          <w:lang w:eastAsia="es-ES_tradnl"/>
        </w:rPr>
        <w:t xml:space="preserve"> </w:t>
      </w:r>
    </w:p>
    <w:p w:rsidR="00BC677C" w:rsidRDefault="00BC677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sidRPr="00B56957">
        <w:rPr>
          <w:rFonts w:ascii="Times New Roman" w:eastAsia="Times New Roman" w:hAnsi="Times New Roman" w:cs="Times New Roman"/>
          <w:szCs w:val="20"/>
        </w:rPr>
        <w:t xml:space="preserve">La </w:t>
      </w:r>
      <w:r w:rsidRPr="00B56957">
        <w:rPr>
          <w:rFonts w:ascii="Times New Roman" w:eastAsia="Times New Roman" w:hAnsi="Times New Roman" w:cs="Times New Roman"/>
          <w:b/>
          <w:szCs w:val="20"/>
        </w:rPr>
        <w:t>T</w:t>
      </w:r>
      <w:r>
        <w:rPr>
          <w:rFonts w:ascii="Times New Roman" w:eastAsia="Times New Roman" w:hAnsi="Times New Roman" w:cs="Times New Roman"/>
          <w:b/>
          <w:szCs w:val="20"/>
        </w:rPr>
        <w:t>I</w:t>
      </w:r>
      <w:r w:rsidRPr="00B56957">
        <w:rPr>
          <w:rFonts w:ascii="Times New Roman" w:eastAsia="Times New Roman" w:hAnsi="Times New Roman" w:cs="Times New Roman"/>
          <w:b/>
          <w:szCs w:val="20"/>
        </w:rPr>
        <w:t>R del Proyecto</w:t>
      </w:r>
      <w:r w:rsidRPr="00B56957">
        <w:rPr>
          <w:rFonts w:ascii="Times New Roman" w:eastAsia="Times New Roman" w:hAnsi="Times New Roman" w:cs="Times New Roman"/>
          <w:szCs w:val="20"/>
        </w:rPr>
        <w:t xml:space="preserve"> resultante es </w:t>
      </w:r>
      <w:r w:rsidR="006E2FE2" w:rsidRPr="006E2FE2">
        <w:rPr>
          <w:rFonts w:ascii="Times New Roman" w:eastAsia="Times New Roman" w:hAnsi="Times New Roman" w:cs="Times New Roman"/>
          <w:b/>
          <w:szCs w:val="20"/>
        </w:rPr>
        <w:t>20</w:t>
      </w:r>
      <w:r w:rsidRPr="006E2FE2">
        <w:rPr>
          <w:rFonts w:ascii="Times New Roman" w:eastAsia="Times New Roman" w:hAnsi="Times New Roman" w:cs="Times New Roman"/>
          <w:b/>
          <w:szCs w:val="20"/>
        </w:rPr>
        <w:t>,</w:t>
      </w:r>
      <w:r w:rsidR="006E2FE2" w:rsidRPr="006E2FE2">
        <w:rPr>
          <w:rFonts w:ascii="Times New Roman" w:eastAsia="Times New Roman" w:hAnsi="Times New Roman" w:cs="Times New Roman"/>
          <w:b/>
          <w:szCs w:val="20"/>
        </w:rPr>
        <w:t>69</w:t>
      </w:r>
      <w:r w:rsidRPr="00B56957">
        <w:rPr>
          <w:rFonts w:ascii="Times New Roman" w:eastAsia="Times New Roman" w:hAnsi="Times New Roman" w:cs="Times New Roman"/>
          <w:b/>
          <w:szCs w:val="20"/>
        </w:rPr>
        <w:t>%</w:t>
      </w:r>
      <w:r>
        <w:rPr>
          <w:rFonts w:ascii="Times New Roman" w:eastAsia="Times New Roman" w:hAnsi="Times New Roman" w:cs="Times New Roman"/>
          <w:szCs w:val="20"/>
        </w:rPr>
        <w:t>, por encima de la tasa del costo de oportunidad del 12%.</w:t>
      </w:r>
    </w:p>
    <w:p w:rsidR="00BC677C" w:rsidRDefault="00BC677C" w:rsidP="00BC677C">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Por tanto, se puede afirmar que </w:t>
      </w:r>
      <w:r w:rsidRPr="00D24D89">
        <w:rPr>
          <w:rFonts w:ascii="Times New Roman" w:eastAsia="Times New Roman" w:hAnsi="Times New Roman" w:cs="Times New Roman"/>
          <w:b/>
          <w:szCs w:val="20"/>
        </w:rPr>
        <w:t>el Pro</w:t>
      </w:r>
      <w:r w:rsidR="00200D0C">
        <w:rPr>
          <w:rFonts w:ascii="Times New Roman" w:eastAsia="Times New Roman" w:hAnsi="Times New Roman" w:cs="Times New Roman"/>
          <w:b/>
          <w:szCs w:val="20"/>
        </w:rPr>
        <w:t>grama</w:t>
      </w:r>
      <w:r w:rsidRPr="00D24D89">
        <w:rPr>
          <w:rFonts w:ascii="Times New Roman" w:eastAsia="Times New Roman" w:hAnsi="Times New Roman" w:cs="Times New Roman"/>
          <w:b/>
          <w:szCs w:val="20"/>
        </w:rPr>
        <w:t xml:space="preserve"> es viable desde un punto de vista económico</w:t>
      </w:r>
      <w:r>
        <w:rPr>
          <w:rFonts w:ascii="Times New Roman" w:eastAsia="Times New Roman" w:hAnsi="Times New Roman" w:cs="Times New Roman"/>
          <w:szCs w:val="20"/>
        </w:rPr>
        <w:t xml:space="preserve">, siendo su tasa de rentabilidad económica </w:t>
      </w:r>
      <w:r w:rsidR="00DF18BA">
        <w:rPr>
          <w:rFonts w:ascii="Times New Roman" w:eastAsia="Times New Roman" w:hAnsi="Times New Roman" w:cs="Times New Roman"/>
          <w:szCs w:val="20"/>
        </w:rPr>
        <w:t xml:space="preserve">sobre la inversión inicial de </w:t>
      </w:r>
      <w:r w:rsidR="006E2FE2">
        <w:rPr>
          <w:rFonts w:ascii="Times New Roman" w:eastAsia="Times New Roman" w:hAnsi="Times New Roman" w:cs="Times New Roman"/>
          <w:szCs w:val="20"/>
        </w:rPr>
        <w:t>20</w:t>
      </w:r>
      <w:r>
        <w:rPr>
          <w:rFonts w:ascii="Times New Roman" w:eastAsia="Times New Roman" w:hAnsi="Times New Roman" w:cs="Times New Roman"/>
          <w:szCs w:val="20"/>
        </w:rPr>
        <w:t>,</w:t>
      </w:r>
      <w:r w:rsidR="006E2FE2">
        <w:rPr>
          <w:rFonts w:ascii="Times New Roman" w:eastAsia="Times New Roman" w:hAnsi="Times New Roman" w:cs="Times New Roman"/>
          <w:szCs w:val="20"/>
        </w:rPr>
        <w:t>69</w:t>
      </w:r>
      <w:r w:rsidR="00DF18BA">
        <w:rPr>
          <w:rFonts w:ascii="Times New Roman" w:eastAsia="Times New Roman" w:hAnsi="Times New Roman" w:cs="Times New Roman"/>
          <w:szCs w:val="20"/>
        </w:rPr>
        <w:t xml:space="preserve">% anual, y su valor actual </w:t>
      </w:r>
      <w:r w:rsidR="006E2FE2">
        <w:rPr>
          <w:rFonts w:ascii="Times New Roman" w:eastAsia="Times New Roman" w:hAnsi="Times New Roman" w:cs="Times New Roman"/>
          <w:szCs w:val="20"/>
        </w:rPr>
        <w:t>3</w:t>
      </w:r>
      <w:r>
        <w:rPr>
          <w:rFonts w:ascii="Times New Roman" w:eastAsia="Times New Roman" w:hAnsi="Times New Roman" w:cs="Times New Roman"/>
          <w:szCs w:val="20"/>
        </w:rPr>
        <w:t>,</w:t>
      </w:r>
      <w:r w:rsidR="006E2FE2">
        <w:rPr>
          <w:rFonts w:ascii="Times New Roman" w:eastAsia="Times New Roman" w:hAnsi="Times New Roman" w:cs="Times New Roman"/>
          <w:szCs w:val="20"/>
        </w:rPr>
        <w:t>4</w:t>
      </w:r>
      <w:r>
        <w:rPr>
          <w:rFonts w:ascii="Times New Roman" w:eastAsia="Times New Roman" w:hAnsi="Times New Roman" w:cs="Times New Roman"/>
          <w:szCs w:val="20"/>
        </w:rPr>
        <w:t xml:space="preserve"> millones de Dólares Americanos.</w:t>
      </w:r>
    </w:p>
    <w:p w:rsidR="00BC677C" w:rsidRDefault="00BC677C" w:rsidP="00BC677C">
      <w:pPr>
        <w:pStyle w:val="ListParagraph"/>
        <w:autoSpaceDE w:val="0"/>
        <w:autoSpaceDN w:val="0"/>
        <w:adjustRightInd w:val="0"/>
        <w:jc w:val="both"/>
        <w:rPr>
          <w:rFonts w:ascii="Times New Roman" w:eastAsia="Times New Roman" w:hAnsi="Times New Roman" w:cs="Times New Roman"/>
          <w:szCs w:val="20"/>
        </w:rPr>
      </w:pPr>
    </w:p>
    <w:p w:rsidR="00BC677C" w:rsidRDefault="00BC677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Pr="00B56957">
        <w:rPr>
          <w:rFonts w:ascii="Times New Roman" w:eastAsia="Times New Roman" w:hAnsi="Times New Roman" w:cs="Times New Roman"/>
          <w:b/>
          <w:szCs w:val="20"/>
        </w:rPr>
        <w:t>ratio Beneficio/Costo</w:t>
      </w:r>
      <w:r>
        <w:rPr>
          <w:rFonts w:ascii="Times New Roman" w:eastAsia="Times New Roman" w:hAnsi="Times New Roman" w:cs="Times New Roman"/>
          <w:szCs w:val="20"/>
        </w:rPr>
        <w:t xml:space="preserve">, </w:t>
      </w:r>
      <w:r w:rsidRPr="00413644">
        <w:rPr>
          <w:rFonts w:ascii="Times New Roman" w:eastAsia="Times New Roman" w:hAnsi="Times New Roman" w:cs="Times New Roman"/>
          <w:szCs w:val="20"/>
        </w:rPr>
        <w:t>cociente de los valores actuales de beneficios y costos del Proyecto</w:t>
      </w:r>
      <w:r>
        <w:rPr>
          <w:rFonts w:ascii="Times New Roman" w:eastAsia="Times New Roman" w:hAnsi="Times New Roman" w:cs="Times New Roman"/>
          <w:szCs w:val="20"/>
        </w:rPr>
        <w:t xml:space="preserve">, es igual a </w:t>
      </w:r>
      <w:r>
        <w:rPr>
          <w:rFonts w:ascii="Times New Roman" w:eastAsia="Times New Roman" w:hAnsi="Times New Roman" w:cs="Times New Roman"/>
          <w:b/>
          <w:szCs w:val="20"/>
        </w:rPr>
        <w:t>1,</w:t>
      </w:r>
      <w:r w:rsidR="006E2FE2">
        <w:rPr>
          <w:rFonts w:ascii="Times New Roman" w:eastAsia="Times New Roman" w:hAnsi="Times New Roman" w:cs="Times New Roman"/>
          <w:b/>
          <w:szCs w:val="20"/>
        </w:rPr>
        <w:t>132</w:t>
      </w:r>
      <w:r w:rsidRPr="00B56957">
        <w:rPr>
          <w:rFonts w:ascii="Times New Roman" w:eastAsia="Times New Roman" w:hAnsi="Times New Roman" w:cs="Times New Roman"/>
          <w:b/>
          <w:szCs w:val="20"/>
        </w:rPr>
        <w:t>x</w:t>
      </w:r>
      <w:r>
        <w:rPr>
          <w:rFonts w:ascii="Times New Roman" w:eastAsia="Times New Roman" w:hAnsi="Times New Roman" w:cs="Times New Roman"/>
          <w:szCs w:val="20"/>
        </w:rPr>
        <w:t xml:space="preserve">. Este cociente representa el </w:t>
      </w:r>
      <w:r w:rsidR="00EB6B78">
        <w:rPr>
          <w:rFonts w:ascii="Times New Roman" w:eastAsia="Times New Roman" w:hAnsi="Times New Roman" w:cs="Times New Roman"/>
          <w:szCs w:val="20"/>
        </w:rPr>
        <w:t>ratio</w:t>
      </w:r>
      <w:r>
        <w:rPr>
          <w:rFonts w:ascii="Times New Roman" w:eastAsia="Times New Roman" w:hAnsi="Times New Roman" w:cs="Times New Roman"/>
          <w:szCs w:val="20"/>
        </w:rPr>
        <w:t xml:space="preserve"> de cobertura </w:t>
      </w:r>
      <w:r w:rsidR="00EB6B78">
        <w:rPr>
          <w:rFonts w:ascii="Times New Roman" w:eastAsia="Times New Roman" w:hAnsi="Times New Roman" w:cs="Times New Roman"/>
          <w:szCs w:val="20"/>
        </w:rPr>
        <w:t xml:space="preserve">de los beneficios </w:t>
      </w:r>
      <w:r w:rsidR="00200D0C">
        <w:rPr>
          <w:rFonts w:ascii="Times New Roman" w:eastAsia="Times New Roman" w:hAnsi="Times New Roman" w:cs="Times New Roman"/>
          <w:szCs w:val="20"/>
        </w:rPr>
        <w:t xml:space="preserve">en valor actual </w:t>
      </w:r>
      <w:r>
        <w:rPr>
          <w:rFonts w:ascii="Times New Roman" w:eastAsia="Times New Roman" w:hAnsi="Times New Roman" w:cs="Times New Roman"/>
          <w:szCs w:val="20"/>
        </w:rPr>
        <w:t xml:space="preserve">sobre de costos </w:t>
      </w:r>
      <w:r w:rsidR="00200D0C">
        <w:rPr>
          <w:rFonts w:ascii="Times New Roman" w:eastAsia="Times New Roman" w:hAnsi="Times New Roman" w:cs="Times New Roman"/>
          <w:szCs w:val="20"/>
        </w:rPr>
        <w:t xml:space="preserve">en valor actual, que posee el Programa para </w:t>
      </w:r>
      <w:r>
        <w:rPr>
          <w:rFonts w:ascii="Times New Roman" w:eastAsia="Times New Roman" w:hAnsi="Times New Roman" w:cs="Times New Roman"/>
          <w:szCs w:val="20"/>
        </w:rPr>
        <w:t xml:space="preserve">seguir siendo </w:t>
      </w:r>
      <w:r w:rsidR="00200D0C">
        <w:rPr>
          <w:rFonts w:ascii="Times New Roman" w:eastAsia="Times New Roman" w:hAnsi="Times New Roman" w:cs="Times New Roman"/>
          <w:szCs w:val="20"/>
        </w:rPr>
        <w:t>viable en términos económicos</w:t>
      </w:r>
      <w:r>
        <w:rPr>
          <w:rFonts w:ascii="Times New Roman" w:eastAsia="Times New Roman" w:hAnsi="Times New Roman" w:cs="Times New Roman"/>
          <w:szCs w:val="20"/>
        </w:rPr>
        <w:t>.</w:t>
      </w:r>
    </w:p>
    <w:p w:rsidR="00BC677C" w:rsidRPr="0042009D" w:rsidRDefault="00BC677C" w:rsidP="00BC677C">
      <w:pPr>
        <w:pStyle w:val="ListParagraph"/>
        <w:jc w:val="both"/>
        <w:rPr>
          <w:rFonts w:ascii="Times New Roman" w:eastAsia="Times New Roman" w:hAnsi="Times New Roman" w:cs="Times New Roman"/>
          <w:szCs w:val="20"/>
        </w:rPr>
      </w:pPr>
    </w:p>
    <w:p w:rsidR="00BC677C" w:rsidRDefault="00BC677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desglose de los flujos económicos año a año, así como sus valores totales actualizados se recoge al final del documento en el Anexo </w:t>
      </w:r>
      <w:r w:rsidR="007D3E25">
        <w:rPr>
          <w:rFonts w:ascii="Times New Roman" w:eastAsia="Times New Roman" w:hAnsi="Times New Roman" w:cs="Times New Roman"/>
          <w:szCs w:val="20"/>
        </w:rPr>
        <w:t>I</w:t>
      </w:r>
      <w:r w:rsidR="00210B17">
        <w:rPr>
          <w:rFonts w:ascii="Times New Roman" w:eastAsia="Times New Roman" w:hAnsi="Times New Roman" w:cs="Times New Roman"/>
          <w:szCs w:val="20"/>
        </w:rPr>
        <w:t>I</w:t>
      </w:r>
      <w:r w:rsidR="007D3E25">
        <w:rPr>
          <w:rFonts w:ascii="Times New Roman" w:eastAsia="Times New Roman" w:hAnsi="Times New Roman" w:cs="Times New Roman"/>
          <w:szCs w:val="20"/>
        </w:rPr>
        <w:t xml:space="preserve">I </w:t>
      </w:r>
      <w:r>
        <w:rPr>
          <w:rFonts w:ascii="Times New Roman" w:eastAsia="Times New Roman" w:hAnsi="Times New Roman" w:cs="Times New Roman"/>
          <w:szCs w:val="20"/>
        </w:rPr>
        <w:t xml:space="preserve">de </w:t>
      </w:r>
      <w:r w:rsidR="007D3E25">
        <w:rPr>
          <w:rFonts w:ascii="Times New Roman" w:eastAsia="Times New Roman" w:hAnsi="Times New Roman" w:cs="Times New Roman"/>
          <w:szCs w:val="20"/>
        </w:rPr>
        <w:t xml:space="preserve">Resumen de </w:t>
      </w:r>
      <w:r>
        <w:rPr>
          <w:rFonts w:ascii="Times New Roman" w:eastAsia="Times New Roman" w:hAnsi="Times New Roman" w:cs="Times New Roman"/>
          <w:szCs w:val="20"/>
        </w:rPr>
        <w:t>Flujos Económicos del ACB.</w:t>
      </w:r>
    </w:p>
    <w:p w:rsidR="00C8240C" w:rsidRDefault="00C8240C">
      <w:pPr>
        <w:rPr>
          <w:rFonts w:ascii="Times New Roman" w:eastAsia="Times New Roman" w:hAnsi="Times New Roman" w:cs="Times New Roman"/>
        </w:rPr>
      </w:pPr>
      <w:r>
        <w:rPr>
          <w:rFonts w:ascii="Times New Roman" w:eastAsia="Times New Roman" w:hAnsi="Times New Roman" w:cs="Times New Roman"/>
        </w:rPr>
        <w:br w:type="page"/>
      </w:r>
    </w:p>
    <w:p w:rsidR="00C8240C" w:rsidRDefault="00C8240C" w:rsidP="004639E8">
      <w:pPr>
        <w:pStyle w:val="Heading1"/>
        <w:numPr>
          <w:ilvl w:val="0"/>
          <w:numId w:val="43"/>
        </w:numPr>
        <w:jc w:val="both"/>
        <w:rPr>
          <w:rFonts w:ascii="Times New Roman" w:hAnsi="Times New Roman" w:cs="Times New Roman"/>
          <w:color w:val="auto"/>
          <w:sz w:val="24"/>
          <w:szCs w:val="24"/>
          <w:lang w:val="en-US"/>
        </w:rPr>
      </w:pPr>
      <w:bookmarkStart w:id="79" w:name="_Toc353793949"/>
      <w:bookmarkStart w:id="80" w:name="_Toc386887959"/>
      <w:r w:rsidRPr="00781A4E">
        <w:rPr>
          <w:rFonts w:ascii="Times New Roman" w:hAnsi="Times New Roman" w:cs="Times New Roman"/>
          <w:color w:val="auto"/>
          <w:sz w:val="24"/>
          <w:szCs w:val="24"/>
          <w:lang w:val="en-US"/>
        </w:rPr>
        <w:lastRenderedPageBreak/>
        <w:t>ANÁLISIS DE SENSIBILIDAD</w:t>
      </w:r>
      <w:bookmarkEnd w:id="79"/>
      <w:bookmarkEnd w:id="80"/>
    </w:p>
    <w:p w:rsidR="00C8240C" w:rsidRDefault="00C8240C" w:rsidP="00C8240C">
      <w:pPr>
        <w:jc w:val="both"/>
        <w:rPr>
          <w:lang w:val="en-US"/>
        </w:rPr>
      </w:pPr>
    </w:p>
    <w:p w:rsidR="00C8240C" w:rsidRPr="00F8735C" w:rsidRDefault="00C8240C" w:rsidP="007000F5">
      <w:pPr>
        <w:pStyle w:val="ListParagraph"/>
        <w:numPr>
          <w:ilvl w:val="0"/>
          <w:numId w:val="10"/>
        </w:numPr>
        <w:autoSpaceDE w:val="0"/>
        <w:autoSpaceDN w:val="0"/>
        <w:adjustRightInd w:val="0"/>
        <w:jc w:val="both"/>
        <w:rPr>
          <w:rFonts w:ascii="Times New Roman" w:eastAsia="Times New Roman" w:hAnsi="Times New Roman" w:cs="Times New Roman"/>
          <w:vanish/>
          <w:szCs w:val="20"/>
        </w:rPr>
      </w:pPr>
    </w:p>
    <w:p w:rsidR="00C8240C" w:rsidRDefault="00C8240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El </w:t>
      </w:r>
      <w:r w:rsidRPr="00C519B3">
        <w:rPr>
          <w:rFonts w:ascii="Times New Roman" w:eastAsia="Times New Roman" w:hAnsi="Times New Roman" w:cs="Times New Roman"/>
          <w:szCs w:val="20"/>
        </w:rPr>
        <w:t>análisis se sensibilidad ha</w:t>
      </w:r>
      <w:r>
        <w:rPr>
          <w:rFonts w:ascii="Times New Roman" w:eastAsia="Times New Roman" w:hAnsi="Times New Roman" w:cs="Times New Roman"/>
          <w:szCs w:val="20"/>
        </w:rPr>
        <w:t xml:space="preserve"> consistido en realizar las proyecciones de los flujos económicos teniendo en cuenta alteraciones en algunas de las hipótesis del ACB. Asimismo, se ha realizado el cálculo de algunos puntos de ruptura o </w:t>
      </w:r>
      <w:r>
        <w:rPr>
          <w:rFonts w:ascii="Times New Roman" w:eastAsia="Times New Roman" w:hAnsi="Times New Roman" w:cs="Times New Roman"/>
          <w:i/>
          <w:szCs w:val="20"/>
        </w:rPr>
        <w:t>break-even points</w:t>
      </w:r>
      <w:r>
        <w:rPr>
          <w:rFonts w:ascii="Times New Roman" w:eastAsia="Times New Roman" w:hAnsi="Times New Roman" w:cs="Times New Roman"/>
          <w:szCs w:val="20"/>
        </w:rPr>
        <w:t>.</w:t>
      </w:r>
    </w:p>
    <w:p w:rsidR="00C8240C" w:rsidRDefault="00C8240C" w:rsidP="00C8240C">
      <w:pPr>
        <w:pStyle w:val="ListParagraph"/>
        <w:autoSpaceDE w:val="0"/>
        <w:autoSpaceDN w:val="0"/>
        <w:adjustRightInd w:val="0"/>
        <w:jc w:val="both"/>
        <w:rPr>
          <w:rFonts w:ascii="Times New Roman" w:eastAsia="Times New Roman" w:hAnsi="Times New Roman" w:cs="Times New Roman"/>
          <w:szCs w:val="20"/>
        </w:rPr>
      </w:pPr>
    </w:p>
    <w:p w:rsidR="00C8240C" w:rsidRPr="004639E8" w:rsidRDefault="00C8240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sidRPr="00BC308E">
        <w:rPr>
          <w:rFonts w:ascii="Times New Roman" w:eastAsia="Times New Roman" w:hAnsi="Times New Roman" w:cs="Times New Roman"/>
          <w:szCs w:val="20"/>
        </w:rPr>
        <w:t>Los puntos de ruptura expresan</w:t>
      </w:r>
      <w:r>
        <w:rPr>
          <w:rFonts w:ascii="Times New Roman" w:eastAsia="Times New Roman" w:hAnsi="Times New Roman" w:cs="Times New Roman"/>
          <w:szCs w:val="20"/>
        </w:rPr>
        <w:t xml:space="preserve"> los valores límite de una variable crítica dentro de los que el Programa seguirá siendo viable en términos económicos. En los cuadros a continuación se han resaltado estos puntos de ruptura</w:t>
      </w:r>
      <w:r w:rsidR="008F7EC1">
        <w:rPr>
          <w:rFonts w:ascii="Times New Roman" w:eastAsia="Times New Roman" w:hAnsi="Times New Roman" w:cs="Times New Roman"/>
          <w:szCs w:val="20"/>
        </w:rPr>
        <w:t xml:space="preserve"> así como</w:t>
      </w:r>
      <w:r>
        <w:rPr>
          <w:rFonts w:ascii="Times New Roman" w:eastAsia="Times New Roman" w:hAnsi="Times New Roman" w:cs="Times New Roman"/>
          <w:szCs w:val="20"/>
        </w:rPr>
        <w:t xml:space="preserve"> los valores y resultados del </w:t>
      </w:r>
      <w:r w:rsidRPr="004639E8">
        <w:rPr>
          <w:rFonts w:ascii="Times New Roman" w:eastAsia="Times New Roman" w:hAnsi="Times New Roman" w:cs="Times New Roman"/>
          <w:szCs w:val="20"/>
        </w:rPr>
        <w:t xml:space="preserve">escenario principal. </w:t>
      </w:r>
    </w:p>
    <w:p w:rsidR="009E0EC2" w:rsidRPr="004639E8" w:rsidRDefault="009E0EC2" w:rsidP="004639E8">
      <w:pPr>
        <w:pStyle w:val="ListParagraph"/>
        <w:rPr>
          <w:rFonts w:ascii="Times New Roman" w:eastAsia="Times New Roman" w:hAnsi="Times New Roman" w:cs="Times New Roman"/>
          <w:szCs w:val="20"/>
        </w:rPr>
      </w:pPr>
    </w:p>
    <w:p w:rsidR="00FF61A1" w:rsidRDefault="009E0EC2" w:rsidP="00BB4613">
      <w:pPr>
        <w:pStyle w:val="ListParagraph"/>
        <w:autoSpaceDE w:val="0"/>
        <w:autoSpaceDN w:val="0"/>
        <w:adjustRightInd w:val="0"/>
        <w:jc w:val="both"/>
        <w:rPr>
          <w:rFonts w:ascii="Times New Roman" w:eastAsia="Times New Roman" w:hAnsi="Times New Roman" w:cs="Times New Roman"/>
          <w:szCs w:val="20"/>
        </w:rPr>
      </w:pPr>
      <w:r w:rsidRPr="00BB4613">
        <w:rPr>
          <w:rFonts w:ascii="Times New Roman" w:eastAsia="Times New Roman" w:hAnsi="Times New Roman" w:cs="Times New Roman"/>
          <w:szCs w:val="20"/>
        </w:rPr>
        <w:t>Cabe destacar que, dada la</w:t>
      </w:r>
      <w:r w:rsidR="000F064E" w:rsidRPr="00BB4613">
        <w:rPr>
          <w:rFonts w:ascii="Times New Roman" w:eastAsia="Times New Roman" w:hAnsi="Times New Roman" w:cs="Times New Roman"/>
          <w:szCs w:val="20"/>
        </w:rPr>
        <w:t>s</w:t>
      </w:r>
      <w:r w:rsidRPr="00BB4613">
        <w:rPr>
          <w:rFonts w:ascii="Times New Roman" w:eastAsia="Times New Roman" w:hAnsi="Times New Roman" w:cs="Times New Roman"/>
          <w:szCs w:val="20"/>
        </w:rPr>
        <w:t xml:space="preserve"> característica</w:t>
      </w:r>
      <w:r w:rsidR="000F064E" w:rsidRPr="00BB4613">
        <w:rPr>
          <w:rFonts w:ascii="Times New Roman" w:eastAsia="Times New Roman" w:hAnsi="Times New Roman" w:cs="Times New Roman"/>
          <w:szCs w:val="20"/>
        </w:rPr>
        <w:t>s</w:t>
      </w:r>
      <w:r w:rsidRPr="00BB4613">
        <w:rPr>
          <w:rFonts w:ascii="Times New Roman" w:eastAsia="Times New Roman" w:hAnsi="Times New Roman" w:cs="Times New Roman"/>
          <w:szCs w:val="20"/>
        </w:rPr>
        <w:t xml:space="preserve"> del Programa, no ha sido posible realizar un análisis </w:t>
      </w:r>
      <w:r w:rsidR="007D3E25" w:rsidRPr="00BB4613">
        <w:rPr>
          <w:rFonts w:ascii="Times New Roman" w:eastAsia="Times New Roman" w:hAnsi="Times New Roman" w:cs="Times New Roman"/>
          <w:szCs w:val="20"/>
        </w:rPr>
        <w:t>de sensibilidad de cada uno de su</w:t>
      </w:r>
      <w:r w:rsidRPr="008C6E76">
        <w:rPr>
          <w:rFonts w:ascii="Times New Roman" w:eastAsia="Times New Roman" w:hAnsi="Times New Roman" w:cs="Times New Roman"/>
          <w:szCs w:val="20"/>
        </w:rPr>
        <w:t xml:space="preserve">s componentes. Esto se debe </w:t>
      </w:r>
      <w:r w:rsidR="000F064E" w:rsidRPr="008C6E76">
        <w:rPr>
          <w:rFonts w:ascii="Times New Roman" w:eastAsia="Times New Roman" w:hAnsi="Times New Roman" w:cs="Times New Roman"/>
          <w:szCs w:val="20"/>
        </w:rPr>
        <w:t xml:space="preserve">en </w:t>
      </w:r>
      <w:r w:rsidRPr="00DF1D94">
        <w:rPr>
          <w:rFonts w:ascii="Times New Roman" w:eastAsia="Times New Roman" w:hAnsi="Times New Roman" w:cs="Times New Roman"/>
          <w:szCs w:val="20"/>
        </w:rPr>
        <w:t>particul</w:t>
      </w:r>
      <w:r w:rsidRPr="00472716">
        <w:rPr>
          <w:rFonts w:ascii="Times New Roman" w:eastAsia="Times New Roman" w:hAnsi="Times New Roman" w:cs="Times New Roman"/>
          <w:szCs w:val="20"/>
        </w:rPr>
        <w:t>ar</w:t>
      </w:r>
      <w:r w:rsidR="000F064E" w:rsidRPr="004575ED">
        <w:rPr>
          <w:rFonts w:ascii="Times New Roman" w:eastAsia="Times New Roman" w:hAnsi="Times New Roman" w:cs="Times New Roman"/>
          <w:szCs w:val="20"/>
        </w:rPr>
        <w:t xml:space="preserve"> a</w:t>
      </w:r>
      <w:r w:rsidRPr="00D92EA7">
        <w:rPr>
          <w:rFonts w:ascii="Times New Roman" w:eastAsia="Times New Roman" w:hAnsi="Times New Roman" w:cs="Times New Roman"/>
          <w:szCs w:val="20"/>
        </w:rPr>
        <w:t xml:space="preserve"> </w:t>
      </w:r>
      <w:r w:rsidR="000F064E" w:rsidRPr="00D92EA7">
        <w:rPr>
          <w:rFonts w:ascii="Times New Roman" w:eastAsia="Times New Roman" w:hAnsi="Times New Roman" w:cs="Times New Roman"/>
          <w:szCs w:val="20"/>
        </w:rPr>
        <w:t>que</w:t>
      </w:r>
      <w:r w:rsidR="00FF61A1">
        <w:rPr>
          <w:rFonts w:ascii="Times New Roman" w:eastAsia="Times New Roman" w:hAnsi="Times New Roman" w:cs="Times New Roman"/>
          <w:szCs w:val="20"/>
        </w:rPr>
        <w:t>,</w:t>
      </w:r>
      <w:r w:rsidR="000F064E" w:rsidRPr="008C6E76">
        <w:rPr>
          <w:rFonts w:ascii="Times New Roman" w:eastAsia="Times New Roman" w:hAnsi="Times New Roman" w:cs="Times New Roman"/>
          <w:szCs w:val="20"/>
        </w:rPr>
        <w:t xml:space="preserve"> </w:t>
      </w:r>
      <w:r w:rsidR="00FF61A1">
        <w:rPr>
          <w:rFonts w:ascii="Times New Roman" w:eastAsia="Times New Roman" w:hAnsi="Times New Roman" w:cs="Times New Roman"/>
          <w:szCs w:val="20"/>
        </w:rPr>
        <w:t xml:space="preserve">por una parte, </w:t>
      </w:r>
      <w:r w:rsidRPr="008C6E76">
        <w:rPr>
          <w:rFonts w:ascii="Times New Roman" w:eastAsia="Times New Roman" w:hAnsi="Times New Roman" w:cs="Times New Roman"/>
          <w:szCs w:val="20"/>
        </w:rPr>
        <w:t xml:space="preserve">los costos asociados al </w:t>
      </w:r>
      <w:r w:rsidR="000F064E" w:rsidRPr="008C6E76">
        <w:rPr>
          <w:rFonts w:ascii="Times New Roman" w:eastAsia="Times New Roman" w:hAnsi="Times New Roman" w:cs="Times New Roman"/>
          <w:szCs w:val="20"/>
        </w:rPr>
        <w:t>C</w:t>
      </w:r>
      <w:r w:rsidRPr="00DF1D94">
        <w:rPr>
          <w:rFonts w:ascii="Times New Roman" w:eastAsia="Times New Roman" w:hAnsi="Times New Roman" w:cs="Times New Roman"/>
          <w:szCs w:val="20"/>
        </w:rPr>
        <w:t>omponente 1 de refuerzo institucional generarán b</w:t>
      </w:r>
      <w:r w:rsidR="000F064E" w:rsidRPr="00472716">
        <w:rPr>
          <w:rFonts w:ascii="Times New Roman" w:eastAsia="Times New Roman" w:hAnsi="Times New Roman" w:cs="Times New Roman"/>
          <w:szCs w:val="20"/>
        </w:rPr>
        <w:t xml:space="preserve">eneficios para el </w:t>
      </w:r>
      <w:r w:rsidR="000F064E" w:rsidRPr="004575ED">
        <w:rPr>
          <w:rFonts w:ascii="Times New Roman" w:eastAsia="Times New Roman" w:hAnsi="Times New Roman" w:cs="Times New Roman"/>
          <w:szCs w:val="20"/>
        </w:rPr>
        <w:t xml:space="preserve">conjunto </w:t>
      </w:r>
      <w:r w:rsidR="00BD4CD7">
        <w:rPr>
          <w:rFonts w:ascii="Times New Roman" w:eastAsia="Times New Roman" w:hAnsi="Times New Roman" w:cs="Times New Roman"/>
          <w:szCs w:val="20"/>
        </w:rPr>
        <w:t xml:space="preserve">del Programa y por tanto en todos </w:t>
      </w:r>
      <w:r w:rsidR="00422FCD">
        <w:rPr>
          <w:rFonts w:ascii="Times New Roman" w:eastAsia="Times New Roman" w:hAnsi="Times New Roman" w:cs="Times New Roman"/>
          <w:szCs w:val="20"/>
        </w:rPr>
        <w:t>lo</w:t>
      </w:r>
      <w:r w:rsidR="00422FCD" w:rsidRPr="00D92EA7">
        <w:rPr>
          <w:rFonts w:ascii="Times New Roman" w:eastAsia="Times New Roman" w:hAnsi="Times New Roman" w:cs="Times New Roman"/>
          <w:szCs w:val="20"/>
        </w:rPr>
        <w:t xml:space="preserve">s </w:t>
      </w:r>
      <w:r w:rsidR="000F064E" w:rsidRPr="00D92EA7">
        <w:rPr>
          <w:rFonts w:ascii="Times New Roman" w:eastAsia="Times New Roman" w:hAnsi="Times New Roman" w:cs="Times New Roman"/>
          <w:szCs w:val="20"/>
        </w:rPr>
        <w:t>componentes</w:t>
      </w:r>
      <w:r w:rsidR="007D3E25" w:rsidRPr="00D92EA7">
        <w:rPr>
          <w:rFonts w:ascii="Times New Roman" w:eastAsia="Times New Roman" w:hAnsi="Times New Roman" w:cs="Times New Roman"/>
          <w:szCs w:val="20"/>
        </w:rPr>
        <w:t xml:space="preserve"> </w:t>
      </w:r>
      <w:r w:rsidR="00BD4CD7">
        <w:rPr>
          <w:rFonts w:ascii="Times New Roman" w:eastAsia="Times New Roman" w:hAnsi="Times New Roman" w:cs="Times New Roman"/>
          <w:szCs w:val="20"/>
        </w:rPr>
        <w:t xml:space="preserve">cuyos beneficios se han cuantificado </w:t>
      </w:r>
      <w:r w:rsidR="007D3E25" w:rsidRPr="00D92EA7">
        <w:rPr>
          <w:rFonts w:ascii="Times New Roman" w:eastAsia="Times New Roman" w:hAnsi="Times New Roman" w:cs="Times New Roman"/>
          <w:szCs w:val="20"/>
        </w:rPr>
        <w:t>y</w:t>
      </w:r>
      <w:r w:rsidR="00FF61A1">
        <w:rPr>
          <w:rFonts w:ascii="Times New Roman" w:eastAsia="Times New Roman" w:hAnsi="Times New Roman" w:cs="Times New Roman"/>
          <w:szCs w:val="20"/>
        </w:rPr>
        <w:t>, por otra parte,</w:t>
      </w:r>
      <w:r w:rsidR="007D3E25" w:rsidRPr="008C6E76">
        <w:rPr>
          <w:rFonts w:ascii="Times New Roman" w:eastAsia="Times New Roman" w:hAnsi="Times New Roman" w:cs="Times New Roman"/>
          <w:szCs w:val="20"/>
        </w:rPr>
        <w:t xml:space="preserve"> a la dificultad de asignar las partidas de los costos recurrentes a cada componente del Programa</w:t>
      </w:r>
      <w:r w:rsidR="00BB4613">
        <w:rPr>
          <w:rStyle w:val="FootnoteReference"/>
          <w:rFonts w:ascii="Times New Roman" w:eastAsia="Times New Roman" w:hAnsi="Times New Roman" w:cs="Times New Roman"/>
          <w:szCs w:val="20"/>
        </w:rPr>
        <w:footnoteReference w:id="8"/>
      </w:r>
      <w:r w:rsidR="007D3E25" w:rsidRPr="00BB4613">
        <w:rPr>
          <w:rFonts w:ascii="Times New Roman" w:eastAsia="Times New Roman" w:hAnsi="Times New Roman" w:cs="Times New Roman"/>
          <w:szCs w:val="20"/>
        </w:rPr>
        <w:t>.</w:t>
      </w:r>
    </w:p>
    <w:p w:rsidR="00C8240C" w:rsidRPr="00BB4613" w:rsidRDefault="00BB4613" w:rsidP="00BB4613">
      <w:pPr>
        <w:pStyle w:val="ListParagraph"/>
        <w:autoSpaceDE w:val="0"/>
        <w:autoSpaceDN w:val="0"/>
        <w:adjustRightInd w:val="0"/>
        <w:jc w:val="both"/>
        <w:rPr>
          <w:rFonts w:ascii="Times New Roman" w:eastAsia="Times New Roman" w:hAnsi="Times New Roman" w:cs="Times New Roman"/>
          <w:szCs w:val="20"/>
        </w:rPr>
      </w:pPr>
      <w:r w:rsidRPr="00BB4613">
        <w:rPr>
          <w:rFonts w:ascii="Times New Roman" w:eastAsia="Times New Roman" w:hAnsi="Times New Roman" w:cs="Times New Roman"/>
          <w:szCs w:val="20"/>
        </w:rPr>
        <w:t xml:space="preserve"> </w:t>
      </w:r>
    </w:p>
    <w:p w:rsidR="00C8240C" w:rsidRDefault="00C8240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sidRPr="004639E8">
        <w:rPr>
          <w:rFonts w:ascii="Times New Roman" w:eastAsia="Times New Roman" w:hAnsi="Times New Roman" w:cs="Times New Roman"/>
          <w:szCs w:val="20"/>
        </w:rPr>
        <w:t>Las variables utilizadas en la realización del análisis</w:t>
      </w:r>
      <w:r>
        <w:rPr>
          <w:rFonts w:ascii="Times New Roman" w:eastAsia="Times New Roman" w:hAnsi="Times New Roman" w:cs="Times New Roman"/>
          <w:szCs w:val="20"/>
        </w:rPr>
        <w:t xml:space="preserve"> de sensibilidad han sido las siguientes: (i) </w:t>
      </w:r>
      <w:r w:rsidR="00E93456">
        <w:rPr>
          <w:rFonts w:ascii="Times New Roman" w:eastAsia="Times New Roman" w:hAnsi="Times New Roman" w:cs="Times New Roman"/>
          <w:szCs w:val="20"/>
        </w:rPr>
        <w:t xml:space="preserve">variación en la </w:t>
      </w:r>
      <w:r>
        <w:rPr>
          <w:rFonts w:ascii="Times New Roman" w:eastAsia="Times New Roman" w:hAnsi="Times New Roman" w:cs="Times New Roman"/>
          <w:szCs w:val="20"/>
        </w:rPr>
        <w:t xml:space="preserve">diminución </w:t>
      </w:r>
      <w:r w:rsidR="00E93456">
        <w:rPr>
          <w:rFonts w:ascii="Times New Roman" w:eastAsia="Times New Roman" w:hAnsi="Times New Roman" w:cs="Times New Roman"/>
          <w:szCs w:val="20"/>
        </w:rPr>
        <w:t xml:space="preserve">esperada </w:t>
      </w:r>
      <w:r>
        <w:rPr>
          <w:rFonts w:ascii="Times New Roman" w:eastAsia="Times New Roman" w:hAnsi="Times New Roman" w:cs="Times New Roman"/>
          <w:szCs w:val="20"/>
        </w:rPr>
        <w:t>del nivel de pérdidas en la producción</w:t>
      </w:r>
      <w:r w:rsidR="00E93456">
        <w:rPr>
          <w:rFonts w:ascii="Times New Roman" w:eastAsia="Times New Roman" w:hAnsi="Times New Roman" w:cs="Times New Roman"/>
          <w:szCs w:val="20"/>
        </w:rPr>
        <w:t xml:space="preserve"> porcina</w:t>
      </w:r>
      <w:r>
        <w:rPr>
          <w:rFonts w:ascii="Times New Roman" w:eastAsia="Times New Roman" w:hAnsi="Times New Roman" w:cs="Times New Roman"/>
          <w:szCs w:val="20"/>
        </w:rPr>
        <w:t xml:space="preserve">; (ii) </w:t>
      </w:r>
      <w:r w:rsidR="00E93456">
        <w:rPr>
          <w:rFonts w:ascii="Times New Roman" w:eastAsia="Times New Roman" w:hAnsi="Times New Roman" w:cs="Times New Roman"/>
          <w:szCs w:val="20"/>
        </w:rPr>
        <w:t xml:space="preserve">aumento de la producción de </w:t>
      </w:r>
      <w:r>
        <w:rPr>
          <w:rFonts w:ascii="Times New Roman" w:eastAsia="Times New Roman" w:hAnsi="Times New Roman" w:cs="Times New Roman"/>
          <w:szCs w:val="20"/>
        </w:rPr>
        <w:t xml:space="preserve">mango para la exportación; </w:t>
      </w:r>
      <w:r w:rsidR="00F0019B">
        <w:rPr>
          <w:rFonts w:ascii="Times New Roman" w:eastAsia="Times New Roman" w:hAnsi="Times New Roman" w:cs="Times New Roman"/>
          <w:szCs w:val="20"/>
        </w:rPr>
        <w:t>(iii) variación en la diminución esperada del nivel de pérdidas provocadas por la hormiga loca;</w:t>
      </w:r>
      <w:r>
        <w:rPr>
          <w:rFonts w:ascii="Times New Roman" w:eastAsia="Times New Roman" w:hAnsi="Times New Roman" w:cs="Times New Roman"/>
          <w:szCs w:val="20"/>
        </w:rPr>
        <w:t xml:space="preserve"> </w:t>
      </w:r>
      <w:r w:rsidR="00F0019B">
        <w:rPr>
          <w:rFonts w:ascii="Times New Roman" w:eastAsia="Times New Roman" w:hAnsi="Times New Roman" w:cs="Times New Roman"/>
          <w:szCs w:val="20"/>
        </w:rPr>
        <w:t xml:space="preserve">y </w:t>
      </w:r>
      <w:r>
        <w:rPr>
          <w:rFonts w:ascii="Times New Roman" w:eastAsia="Times New Roman" w:hAnsi="Times New Roman" w:cs="Times New Roman"/>
          <w:szCs w:val="20"/>
        </w:rPr>
        <w:t>(i</w:t>
      </w:r>
      <w:r w:rsidR="00F0019B">
        <w:rPr>
          <w:rFonts w:ascii="Times New Roman" w:eastAsia="Times New Roman" w:hAnsi="Times New Roman" w:cs="Times New Roman"/>
          <w:szCs w:val="20"/>
        </w:rPr>
        <w:t>v</w:t>
      </w:r>
      <w:r>
        <w:rPr>
          <w:rFonts w:ascii="Times New Roman" w:eastAsia="Times New Roman" w:hAnsi="Times New Roman" w:cs="Times New Roman"/>
          <w:szCs w:val="20"/>
        </w:rPr>
        <w:t xml:space="preserve">) </w:t>
      </w:r>
      <w:r w:rsidR="00F0019B">
        <w:rPr>
          <w:rFonts w:ascii="Times New Roman" w:eastAsia="Times New Roman" w:hAnsi="Times New Roman" w:cs="Times New Roman"/>
          <w:szCs w:val="20"/>
        </w:rPr>
        <w:t xml:space="preserve">aumento de los </w:t>
      </w:r>
      <w:r>
        <w:rPr>
          <w:rFonts w:ascii="Times New Roman" w:eastAsia="Times New Roman" w:hAnsi="Times New Roman" w:cs="Times New Roman"/>
          <w:szCs w:val="20"/>
        </w:rPr>
        <w:t>costos de ejecución y operación y mantenimiento previstos.</w:t>
      </w:r>
    </w:p>
    <w:p w:rsidR="00C8240C" w:rsidRPr="00DA358B" w:rsidRDefault="00C8240C" w:rsidP="00C8240C">
      <w:pPr>
        <w:pStyle w:val="ListParagraph"/>
        <w:jc w:val="both"/>
        <w:rPr>
          <w:rFonts w:ascii="Times New Roman" w:eastAsia="Times New Roman" w:hAnsi="Times New Roman" w:cs="Times New Roman"/>
          <w:szCs w:val="20"/>
        </w:rPr>
      </w:pPr>
    </w:p>
    <w:p w:rsidR="00C8240C" w:rsidRDefault="00C8240C"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resultados del análisis de sensibilidad ante variaciones en </w:t>
      </w:r>
      <w:r w:rsidR="00E93456">
        <w:rPr>
          <w:rFonts w:ascii="Times New Roman" w:eastAsia="Times New Roman" w:hAnsi="Times New Roman" w:cs="Times New Roman"/>
          <w:szCs w:val="20"/>
        </w:rPr>
        <w:t>disminución esperada de las pérdidas en la producción porcina</w:t>
      </w:r>
      <w:r>
        <w:rPr>
          <w:rFonts w:ascii="Times New Roman" w:eastAsia="Times New Roman" w:hAnsi="Times New Roman" w:cs="Times New Roman"/>
          <w:szCs w:val="20"/>
        </w:rPr>
        <w:t>, son los que se muestran en el cuadro siguiente.</w:t>
      </w:r>
    </w:p>
    <w:p w:rsidR="00C8240C" w:rsidRDefault="00C8240C"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415B96" w:rsidRDefault="00415B96" w:rsidP="00C8240C">
      <w:pPr>
        <w:autoSpaceDE w:val="0"/>
        <w:autoSpaceDN w:val="0"/>
        <w:adjustRightInd w:val="0"/>
        <w:jc w:val="both"/>
        <w:rPr>
          <w:rFonts w:ascii="Times New Roman" w:eastAsia="Times New Roman" w:hAnsi="Times New Roman" w:cs="Times New Roman"/>
          <w:szCs w:val="20"/>
        </w:rPr>
      </w:pPr>
    </w:p>
    <w:p w:rsidR="00C8240C" w:rsidRDefault="005A6729" w:rsidP="00C8240C">
      <w:pPr>
        <w:pStyle w:val="Caption"/>
        <w:ind w:left="288"/>
        <w:rPr>
          <w:lang w:val="es-ES"/>
        </w:rPr>
      </w:pPr>
      <w:r w:rsidRPr="00415B96">
        <w:rPr>
          <w:noProof/>
          <w:lang w:val="en-US" w:eastAsia="en-US"/>
        </w:rPr>
        <w:lastRenderedPageBreak/>
        <w:drawing>
          <wp:anchor distT="0" distB="0" distL="114300" distR="114300" simplePos="0" relativeHeight="251698176" behindDoc="0" locked="0" layoutInCell="1" allowOverlap="1" wp14:anchorId="0DC89BC1" wp14:editId="640C0105">
            <wp:simplePos x="0" y="0"/>
            <wp:positionH relativeFrom="column">
              <wp:posOffset>371475</wp:posOffset>
            </wp:positionH>
            <wp:positionV relativeFrom="paragraph">
              <wp:posOffset>302260</wp:posOffset>
            </wp:positionV>
            <wp:extent cx="5280025" cy="1280795"/>
            <wp:effectExtent l="0" t="0" r="0" b="0"/>
            <wp:wrapTopAndBottom/>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0025" cy="12807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240C" w:rsidRPr="00466474">
        <w:rPr>
          <w:lang w:val="es-ES"/>
        </w:rPr>
        <w:t xml:space="preserve">Cuadro </w:t>
      </w:r>
      <w:r w:rsidR="00C8240C">
        <w:rPr>
          <w:b w:val="0"/>
          <w:bCs w:val="0"/>
          <w:lang w:val="fr-FR"/>
        </w:rPr>
        <w:fldChar w:fldCharType="begin"/>
      </w:r>
      <w:r w:rsidR="00C8240C" w:rsidRPr="00466474">
        <w:rPr>
          <w:lang w:val="es-ES"/>
        </w:rPr>
        <w:instrText xml:space="preserve"> SEQ Tableau \* ARABIC </w:instrText>
      </w:r>
      <w:r w:rsidR="00C8240C">
        <w:rPr>
          <w:b w:val="0"/>
          <w:bCs w:val="0"/>
          <w:lang w:val="fr-FR"/>
        </w:rPr>
        <w:fldChar w:fldCharType="separate"/>
      </w:r>
      <w:r w:rsidR="00865F10">
        <w:rPr>
          <w:noProof/>
          <w:lang w:val="es-ES"/>
        </w:rPr>
        <w:t>13</w:t>
      </w:r>
      <w:r w:rsidR="00C8240C">
        <w:rPr>
          <w:b w:val="0"/>
          <w:bCs w:val="0"/>
          <w:lang w:val="fr-FR"/>
        </w:rPr>
        <w:fldChar w:fldCharType="end"/>
      </w:r>
      <w:r w:rsidR="00C8240C">
        <w:rPr>
          <w:lang w:val="es-ES"/>
        </w:rPr>
        <w:t xml:space="preserve">. Sensibilidad ante variaciones </w:t>
      </w:r>
      <w:r w:rsidR="00E93456">
        <w:rPr>
          <w:lang w:val="es-ES"/>
        </w:rPr>
        <w:t>en la disminución esperada del nivel de pérdidas en la producción porcina por PPC y Teschen</w:t>
      </w:r>
    </w:p>
    <w:p w:rsidR="00C8240C" w:rsidRDefault="00C8240C" w:rsidP="004639E8">
      <w:pPr>
        <w:jc w:val="center"/>
        <w:rPr>
          <w:lang w:eastAsia="es-ES_tradnl"/>
        </w:rPr>
      </w:pPr>
    </w:p>
    <w:p w:rsidR="00C8240C" w:rsidRDefault="00F0019B"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Una de las posibles consecuencias </w:t>
      </w:r>
      <w:r w:rsidR="005A6729">
        <w:rPr>
          <w:rFonts w:ascii="Times New Roman" w:eastAsia="Times New Roman" w:hAnsi="Times New Roman" w:cs="Times New Roman"/>
          <w:szCs w:val="20"/>
        </w:rPr>
        <w:t xml:space="preserve">indirectas </w:t>
      </w:r>
      <w:r>
        <w:rPr>
          <w:rFonts w:ascii="Times New Roman" w:eastAsia="Times New Roman" w:hAnsi="Times New Roman" w:cs="Times New Roman"/>
          <w:szCs w:val="20"/>
        </w:rPr>
        <w:t xml:space="preserve">de la ejecución del Programa en lo que respecta al sistema de control de la mosca de la fruta es el aumento de la producción </w:t>
      </w:r>
      <w:r w:rsidR="007D3E25">
        <w:rPr>
          <w:rFonts w:ascii="Times New Roman" w:eastAsia="Times New Roman" w:hAnsi="Times New Roman" w:cs="Times New Roman"/>
          <w:szCs w:val="20"/>
        </w:rPr>
        <w:t xml:space="preserve">de mango </w:t>
      </w:r>
      <w:r w:rsidR="005A6729">
        <w:rPr>
          <w:rFonts w:ascii="Times New Roman" w:eastAsia="Times New Roman" w:hAnsi="Times New Roman" w:cs="Times New Roman"/>
          <w:szCs w:val="20"/>
        </w:rPr>
        <w:t>exportable</w:t>
      </w:r>
      <w:r w:rsidR="00811F1B">
        <w:rPr>
          <w:rFonts w:ascii="Times New Roman" w:eastAsia="Times New Roman" w:hAnsi="Times New Roman" w:cs="Times New Roman"/>
          <w:szCs w:val="20"/>
        </w:rPr>
        <w:t xml:space="preserve">, más allá del incremento generado por el proyecto piloto, </w:t>
      </w:r>
      <w:r>
        <w:rPr>
          <w:rFonts w:ascii="Times New Roman" w:eastAsia="Times New Roman" w:hAnsi="Times New Roman" w:cs="Times New Roman"/>
          <w:szCs w:val="20"/>
        </w:rPr>
        <w:t xml:space="preserve">para </w:t>
      </w:r>
      <w:r w:rsidR="00811F1B">
        <w:rPr>
          <w:rFonts w:ascii="Times New Roman" w:eastAsia="Times New Roman" w:hAnsi="Times New Roman" w:cs="Times New Roman"/>
          <w:szCs w:val="20"/>
        </w:rPr>
        <w:t xml:space="preserve">así </w:t>
      </w:r>
      <w:r>
        <w:rPr>
          <w:rFonts w:ascii="Times New Roman" w:eastAsia="Times New Roman" w:hAnsi="Times New Roman" w:cs="Times New Roman"/>
          <w:szCs w:val="20"/>
        </w:rPr>
        <w:t>responder a una demanda creciente en los mercados internacionales. Por ello</w:t>
      </w:r>
      <w:r w:rsidR="00C8240C">
        <w:rPr>
          <w:rFonts w:ascii="Times New Roman" w:eastAsia="Times New Roman" w:hAnsi="Times New Roman" w:cs="Times New Roman"/>
          <w:szCs w:val="20"/>
        </w:rPr>
        <w:t xml:space="preserve">, se ha realizado un análisis de sensibilidad </w:t>
      </w:r>
      <w:r>
        <w:rPr>
          <w:rFonts w:ascii="Times New Roman" w:eastAsia="Times New Roman" w:hAnsi="Times New Roman" w:cs="Times New Roman"/>
          <w:szCs w:val="20"/>
        </w:rPr>
        <w:t xml:space="preserve">de la rentabilidad del Programa </w:t>
      </w:r>
      <w:r w:rsidR="00C8240C">
        <w:rPr>
          <w:rFonts w:ascii="Times New Roman" w:eastAsia="Times New Roman" w:hAnsi="Times New Roman" w:cs="Times New Roman"/>
          <w:szCs w:val="20"/>
        </w:rPr>
        <w:t xml:space="preserve">ante </w:t>
      </w:r>
      <w:r>
        <w:rPr>
          <w:rFonts w:ascii="Times New Roman" w:eastAsia="Times New Roman" w:hAnsi="Times New Roman" w:cs="Times New Roman"/>
          <w:szCs w:val="20"/>
        </w:rPr>
        <w:t xml:space="preserve">aumentos futuros </w:t>
      </w:r>
      <w:r w:rsidR="00C8240C">
        <w:rPr>
          <w:rFonts w:ascii="Times New Roman" w:eastAsia="Times New Roman" w:hAnsi="Times New Roman" w:cs="Times New Roman"/>
          <w:szCs w:val="20"/>
        </w:rPr>
        <w:t xml:space="preserve">en la </w:t>
      </w:r>
      <w:r>
        <w:rPr>
          <w:rFonts w:ascii="Times New Roman" w:eastAsia="Times New Roman" w:hAnsi="Times New Roman" w:cs="Times New Roman"/>
          <w:szCs w:val="20"/>
        </w:rPr>
        <w:t>producción de mango para la exportación</w:t>
      </w:r>
      <w:r w:rsidR="00C8240C">
        <w:rPr>
          <w:rFonts w:ascii="Times New Roman" w:eastAsia="Times New Roman" w:hAnsi="Times New Roman" w:cs="Times New Roman"/>
          <w:szCs w:val="20"/>
        </w:rPr>
        <w:t>. Los resultados se muestran en el cuadro siguiente.</w:t>
      </w:r>
    </w:p>
    <w:p w:rsidR="00F0019B" w:rsidRDefault="00F0019B" w:rsidP="004639E8">
      <w:pPr>
        <w:pStyle w:val="ListParagraph"/>
        <w:autoSpaceDE w:val="0"/>
        <w:autoSpaceDN w:val="0"/>
        <w:adjustRightInd w:val="0"/>
        <w:jc w:val="both"/>
        <w:rPr>
          <w:rFonts w:ascii="Times New Roman" w:eastAsia="Times New Roman" w:hAnsi="Times New Roman" w:cs="Times New Roman"/>
          <w:szCs w:val="20"/>
        </w:rPr>
      </w:pPr>
    </w:p>
    <w:p w:rsidR="00C8240C" w:rsidRDefault="005A6729"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r w:rsidRPr="005A6729">
        <w:rPr>
          <w:noProof/>
          <w:lang w:val="en-US"/>
        </w:rPr>
        <w:drawing>
          <wp:anchor distT="0" distB="0" distL="114300" distR="114300" simplePos="0" relativeHeight="251701248" behindDoc="0" locked="0" layoutInCell="1" allowOverlap="1" wp14:anchorId="3B9008B7" wp14:editId="1FAB1D8A">
            <wp:simplePos x="0" y="0"/>
            <wp:positionH relativeFrom="column">
              <wp:posOffset>407670</wp:posOffset>
            </wp:positionH>
            <wp:positionV relativeFrom="paragraph">
              <wp:posOffset>336550</wp:posOffset>
            </wp:positionV>
            <wp:extent cx="5220335" cy="1581150"/>
            <wp:effectExtent l="0" t="0" r="0" b="0"/>
            <wp:wrapTopAndBottom/>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2033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019B" w:rsidRPr="004639E8">
        <w:rPr>
          <w:rFonts w:ascii="Times New Roman" w:eastAsia="Times New Roman" w:hAnsi="Times New Roman" w:cs="Times New Roman"/>
          <w:b/>
          <w:bCs/>
          <w:sz w:val="20"/>
          <w:szCs w:val="20"/>
          <w:lang w:eastAsia="es-ES_tradnl"/>
        </w:rPr>
        <w:t xml:space="preserve">Cuadro </w:t>
      </w:r>
      <w:r w:rsidR="00F0019B" w:rsidRPr="004639E8">
        <w:rPr>
          <w:rFonts w:ascii="Times New Roman" w:eastAsia="Times New Roman" w:hAnsi="Times New Roman" w:cs="Times New Roman"/>
          <w:b/>
          <w:bCs/>
          <w:sz w:val="20"/>
          <w:szCs w:val="20"/>
          <w:lang w:eastAsia="es-ES_tradnl"/>
        </w:rPr>
        <w:fldChar w:fldCharType="begin"/>
      </w:r>
      <w:r w:rsidR="00F0019B" w:rsidRPr="004639E8">
        <w:rPr>
          <w:rFonts w:ascii="Times New Roman" w:eastAsia="Times New Roman" w:hAnsi="Times New Roman" w:cs="Times New Roman"/>
          <w:b/>
          <w:bCs/>
          <w:sz w:val="20"/>
          <w:szCs w:val="20"/>
          <w:lang w:eastAsia="es-ES_tradnl"/>
        </w:rPr>
        <w:instrText xml:space="preserve"> SEQ Tableau \* ARABIC </w:instrText>
      </w:r>
      <w:r w:rsidR="00F0019B" w:rsidRPr="004639E8">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14</w:t>
      </w:r>
      <w:r w:rsidR="00F0019B" w:rsidRPr="004639E8">
        <w:rPr>
          <w:rFonts w:ascii="Times New Roman" w:eastAsia="Times New Roman" w:hAnsi="Times New Roman" w:cs="Times New Roman"/>
          <w:b/>
          <w:bCs/>
          <w:sz w:val="20"/>
          <w:szCs w:val="20"/>
          <w:lang w:eastAsia="es-ES_tradnl"/>
        </w:rPr>
        <w:fldChar w:fldCharType="end"/>
      </w:r>
      <w:r w:rsidR="00F0019B" w:rsidRPr="004639E8">
        <w:rPr>
          <w:rFonts w:ascii="Times New Roman" w:eastAsia="Times New Roman" w:hAnsi="Times New Roman" w:cs="Times New Roman"/>
          <w:b/>
          <w:bCs/>
          <w:sz w:val="20"/>
          <w:szCs w:val="20"/>
          <w:lang w:eastAsia="es-ES_tradnl"/>
        </w:rPr>
        <w:t xml:space="preserve">. Sensibilidad ante </w:t>
      </w:r>
      <w:r w:rsidR="00F0019B">
        <w:rPr>
          <w:rFonts w:ascii="Times New Roman" w:eastAsia="Times New Roman" w:hAnsi="Times New Roman" w:cs="Times New Roman"/>
          <w:b/>
          <w:bCs/>
          <w:sz w:val="20"/>
          <w:szCs w:val="20"/>
          <w:lang w:eastAsia="es-ES_tradnl"/>
        </w:rPr>
        <w:t>aumentos en la producción de mango haitiano para la exportación</w:t>
      </w:r>
    </w:p>
    <w:p w:rsidR="00F0019B" w:rsidRPr="004639E8" w:rsidRDefault="00F0019B"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p>
    <w:p w:rsidR="00F0019B" w:rsidRDefault="00F0019B"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Asimismo, se ha realizado un análisis de sensibilidad ante variaciones en la diminución esperada de las pérdidas provocadas por la plaga de la hormiga loca. Los resultados son los que se muestran en el cuadro siguiente.</w:t>
      </w:r>
    </w:p>
    <w:p w:rsidR="00C8240C" w:rsidRDefault="00C8240C" w:rsidP="00C8240C">
      <w:pPr>
        <w:pStyle w:val="Caption"/>
        <w:ind w:left="288"/>
        <w:jc w:val="both"/>
        <w:rPr>
          <w:lang w:val="es-ES"/>
        </w:rPr>
      </w:pPr>
    </w:p>
    <w:p w:rsidR="005A6729" w:rsidRDefault="00C8240C">
      <w:pPr>
        <w:pStyle w:val="Caption"/>
        <w:ind w:left="288"/>
        <w:rPr>
          <w:lang w:val="es-ES"/>
        </w:rPr>
      </w:pPr>
      <w:r w:rsidRPr="00466474">
        <w:rPr>
          <w:lang w:val="es-ES"/>
        </w:rPr>
        <w:t xml:space="preserve">Cuadro </w:t>
      </w:r>
      <w:r>
        <w:rPr>
          <w:lang w:val="fr-FR"/>
        </w:rPr>
        <w:fldChar w:fldCharType="begin"/>
      </w:r>
      <w:r w:rsidRPr="00466474">
        <w:rPr>
          <w:lang w:val="es-ES"/>
        </w:rPr>
        <w:instrText xml:space="preserve"> SEQ Tableau \* ARABIC </w:instrText>
      </w:r>
      <w:r>
        <w:rPr>
          <w:lang w:val="fr-FR"/>
        </w:rPr>
        <w:fldChar w:fldCharType="separate"/>
      </w:r>
      <w:r w:rsidR="00865F10">
        <w:rPr>
          <w:noProof/>
          <w:lang w:val="es-ES"/>
        </w:rPr>
        <w:t>15</w:t>
      </w:r>
      <w:r>
        <w:rPr>
          <w:lang w:val="fr-FR"/>
        </w:rPr>
        <w:fldChar w:fldCharType="end"/>
      </w:r>
      <w:r>
        <w:rPr>
          <w:lang w:val="es-ES"/>
        </w:rPr>
        <w:t xml:space="preserve">. Sensibilidad ante variaciones </w:t>
      </w:r>
      <w:r w:rsidR="00F0019B">
        <w:rPr>
          <w:lang w:val="es-ES"/>
        </w:rPr>
        <w:t>en la</w:t>
      </w:r>
      <w:r w:rsidR="00241514">
        <w:rPr>
          <w:lang w:val="es-ES"/>
        </w:rPr>
        <w:t xml:space="preserve"> disminución </w:t>
      </w:r>
      <w:r w:rsidR="00E51990">
        <w:rPr>
          <w:lang w:val="es-ES"/>
        </w:rPr>
        <w:t xml:space="preserve">esperada </w:t>
      </w:r>
      <w:r w:rsidR="00241514">
        <w:rPr>
          <w:lang w:val="es-ES"/>
        </w:rPr>
        <w:t>de la</w:t>
      </w:r>
      <w:r w:rsidR="00F0019B">
        <w:rPr>
          <w:lang w:val="es-ES"/>
        </w:rPr>
        <w:t xml:space="preserve">s pérdidas </w:t>
      </w:r>
    </w:p>
    <w:p w:rsidR="00C8240C" w:rsidRDefault="00F0019B">
      <w:pPr>
        <w:pStyle w:val="Caption"/>
        <w:ind w:left="288"/>
        <w:rPr>
          <w:lang w:val="es-ES"/>
        </w:rPr>
      </w:pPr>
      <w:r>
        <w:rPr>
          <w:lang w:val="es-ES"/>
        </w:rPr>
        <w:t>causadas por la HL</w:t>
      </w:r>
    </w:p>
    <w:p w:rsidR="005A6729" w:rsidRDefault="005A6729" w:rsidP="004639E8">
      <w:pPr>
        <w:rPr>
          <w:lang w:eastAsia="es-ES_tradnl"/>
        </w:rPr>
      </w:pPr>
      <w:r w:rsidRPr="005A6729">
        <w:rPr>
          <w:noProof/>
          <w:lang w:val="en-US"/>
        </w:rPr>
        <w:drawing>
          <wp:anchor distT="0" distB="0" distL="114300" distR="114300" simplePos="0" relativeHeight="251700224" behindDoc="1" locked="0" layoutInCell="1" allowOverlap="1" wp14:anchorId="0298EE6F" wp14:editId="3FFFCDC0">
            <wp:simplePos x="0" y="0"/>
            <wp:positionH relativeFrom="column">
              <wp:posOffset>393700</wp:posOffset>
            </wp:positionH>
            <wp:positionV relativeFrom="paragraph">
              <wp:posOffset>43815</wp:posOffset>
            </wp:positionV>
            <wp:extent cx="5209953" cy="1763966"/>
            <wp:effectExtent l="0" t="0" r="0" b="8255"/>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9953" cy="176396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729" w:rsidRDefault="005A6729" w:rsidP="004639E8">
      <w:pPr>
        <w:rPr>
          <w:lang w:eastAsia="es-ES_tradnl"/>
        </w:rPr>
      </w:pPr>
    </w:p>
    <w:p w:rsidR="005A6729" w:rsidRDefault="005A6729" w:rsidP="004639E8">
      <w:pPr>
        <w:rPr>
          <w:lang w:eastAsia="es-ES_tradnl"/>
        </w:rPr>
      </w:pPr>
    </w:p>
    <w:p w:rsidR="005A6729" w:rsidRDefault="005A6729" w:rsidP="004639E8">
      <w:pPr>
        <w:rPr>
          <w:lang w:eastAsia="es-ES_tradnl"/>
        </w:rPr>
      </w:pPr>
    </w:p>
    <w:p w:rsidR="005A6729" w:rsidRDefault="005A6729" w:rsidP="004639E8">
      <w:pPr>
        <w:rPr>
          <w:lang w:eastAsia="es-ES_tradnl"/>
        </w:rPr>
      </w:pPr>
    </w:p>
    <w:p w:rsidR="005A6729" w:rsidRDefault="005A6729" w:rsidP="004639E8">
      <w:pPr>
        <w:rPr>
          <w:lang w:eastAsia="es-ES_tradnl"/>
        </w:rPr>
      </w:pPr>
    </w:p>
    <w:p w:rsidR="00F0019B" w:rsidRPr="004639E8" w:rsidRDefault="00F0019B" w:rsidP="004639E8">
      <w:pPr>
        <w:rPr>
          <w:lang w:eastAsia="es-ES_tradnl"/>
        </w:rPr>
      </w:pPr>
    </w:p>
    <w:p w:rsidR="0001158D" w:rsidRDefault="0001158D" w:rsidP="00AE3AF3">
      <w:pPr>
        <w:pStyle w:val="ListParagraph"/>
        <w:autoSpaceDE w:val="0"/>
        <w:autoSpaceDN w:val="0"/>
        <w:adjustRightInd w:val="0"/>
        <w:jc w:val="both"/>
        <w:rPr>
          <w:rFonts w:ascii="Times New Roman" w:eastAsia="Times New Roman" w:hAnsi="Times New Roman" w:cs="Times New Roman"/>
          <w:szCs w:val="20"/>
        </w:rPr>
      </w:pPr>
    </w:p>
    <w:p w:rsidR="00AE6950" w:rsidRDefault="00AE6950" w:rsidP="007000F5">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 xml:space="preserve">Finalmente, se ha realizado un análisis de sensibilidad ante aumentos de los costos </w:t>
      </w:r>
      <w:r w:rsidR="0001158D">
        <w:rPr>
          <w:rFonts w:ascii="Times New Roman" w:eastAsia="Times New Roman" w:hAnsi="Times New Roman" w:cs="Times New Roman"/>
          <w:szCs w:val="20"/>
        </w:rPr>
        <w:t xml:space="preserve">de </w:t>
      </w:r>
      <w:r>
        <w:rPr>
          <w:rFonts w:ascii="Times New Roman" w:eastAsia="Times New Roman" w:hAnsi="Times New Roman" w:cs="Times New Roman"/>
          <w:szCs w:val="20"/>
        </w:rPr>
        <w:t xml:space="preserve">ejecución </w:t>
      </w:r>
      <w:r w:rsidR="0001158D">
        <w:rPr>
          <w:rFonts w:ascii="Times New Roman" w:eastAsia="Times New Roman" w:hAnsi="Times New Roman" w:cs="Times New Roman"/>
          <w:szCs w:val="20"/>
        </w:rPr>
        <w:t xml:space="preserve">del Programa (costos no recurrentes) así como de los costos diferenciales de </w:t>
      </w:r>
      <w:r>
        <w:rPr>
          <w:rFonts w:ascii="Times New Roman" w:eastAsia="Times New Roman" w:hAnsi="Times New Roman" w:cs="Times New Roman"/>
          <w:szCs w:val="20"/>
        </w:rPr>
        <w:t xml:space="preserve">operación y mantenimiento </w:t>
      </w:r>
      <w:r w:rsidR="0001158D">
        <w:rPr>
          <w:rFonts w:ascii="Times New Roman" w:eastAsia="Times New Roman" w:hAnsi="Times New Roman" w:cs="Times New Roman"/>
          <w:szCs w:val="20"/>
        </w:rPr>
        <w:t xml:space="preserve">(costos recurrentes) </w:t>
      </w:r>
      <w:r>
        <w:rPr>
          <w:rFonts w:ascii="Times New Roman" w:eastAsia="Times New Roman" w:hAnsi="Times New Roman" w:cs="Times New Roman"/>
          <w:szCs w:val="20"/>
        </w:rPr>
        <w:t>previstos. Los</w:t>
      </w:r>
      <w:r w:rsidR="007D3E25">
        <w:rPr>
          <w:rFonts w:ascii="Times New Roman" w:eastAsia="Times New Roman" w:hAnsi="Times New Roman" w:cs="Times New Roman"/>
          <w:szCs w:val="20"/>
        </w:rPr>
        <w:t xml:space="preserve"> resultados son los que</w:t>
      </w:r>
      <w:r>
        <w:rPr>
          <w:rFonts w:ascii="Times New Roman" w:eastAsia="Times New Roman" w:hAnsi="Times New Roman" w:cs="Times New Roman"/>
          <w:szCs w:val="20"/>
        </w:rPr>
        <w:t xml:space="preserve"> </w:t>
      </w:r>
      <w:r w:rsidR="007D3E25">
        <w:rPr>
          <w:rFonts w:ascii="Times New Roman" w:eastAsia="Times New Roman" w:hAnsi="Times New Roman" w:cs="Times New Roman"/>
          <w:szCs w:val="20"/>
        </w:rPr>
        <w:t>recoge</w:t>
      </w:r>
      <w:r>
        <w:rPr>
          <w:rFonts w:ascii="Times New Roman" w:eastAsia="Times New Roman" w:hAnsi="Times New Roman" w:cs="Times New Roman"/>
          <w:szCs w:val="20"/>
        </w:rPr>
        <w:t xml:space="preserve"> el cuadro siguiente.</w:t>
      </w:r>
    </w:p>
    <w:p w:rsidR="00F0019B" w:rsidRPr="004639E8" w:rsidRDefault="00F0019B" w:rsidP="004639E8">
      <w:pPr>
        <w:rPr>
          <w:lang w:eastAsia="es-ES_tradnl"/>
        </w:rPr>
      </w:pPr>
    </w:p>
    <w:p w:rsidR="00B66668" w:rsidRDefault="005A6729"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r w:rsidRPr="005A6729">
        <w:rPr>
          <w:noProof/>
          <w:lang w:val="en-US"/>
        </w:rPr>
        <w:drawing>
          <wp:anchor distT="0" distB="0" distL="114300" distR="114300" simplePos="0" relativeHeight="251702272" behindDoc="0" locked="0" layoutInCell="1" allowOverlap="1" wp14:anchorId="538505C9" wp14:editId="313BC1FE">
            <wp:simplePos x="0" y="0"/>
            <wp:positionH relativeFrom="column">
              <wp:posOffset>321945</wp:posOffset>
            </wp:positionH>
            <wp:positionV relativeFrom="paragraph">
              <wp:posOffset>177800</wp:posOffset>
            </wp:positionV>
            <wp:extent cx="5377180" cy="1597025"/>
            <wp:effectExtent l="0" t="0" r="0" b="3175"/>
            <wp:wrapTopAndBottom/>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77180" cy="15970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50" w:rsidRPr="004639E8">
        <w:rPr>
          <w:rFonts w:ascii="Times New Roman" w:eastAsia="Times New Roman" w:hAnsi="Times New Roman" w:cs="Times New Roman"/>
          <w:b/>
          <w:bCs/>
          <w:sz w:val="20"/>
          <w:szCs w:val="20"/>
          <w:lang w:eastAsia="es-ES_tradnl"/>
        </w:rPr>
        <w:t xml:space="preserve">Cuadro </w:t>
      </w:r>
      <w:r w:rsidR="00AE6950" w:rsidRPr="004639E8">
        <w:rPr>
          <w:rFonts w:ascii="Times New Roman" w:eastAsia="Times New Roman" w:hAnsi="Times New Roman" w:cs="Times New Roman"/>
          <w:b/>
          <w:bCs/>
          <w:sz w:val="20"/>
          <w:szCs w:val="20"/>
          <w:lang w:eastAsia="es-ES_tradnl"/>
        </w:rPr>
        <w:fldChar w:fldCharType="begin"/>
      </w:r>
      <w:r w:rsidR="00AE6950" w:rsidRPr="004639E8">
        <w:rPr>
          <w:rFonts w:ascii="Times New Roman" w:eastAsia="Times New Roman" w:hAnsi="Times New Roman" w:cs="Times New Roman"/>
          <w:b/>
          <w:bCs/>
          <w:sz w:val="20"/>
          <w:szCs w:val="20"/>
          <w:lang w:eastAsia="es-ES_tradnl"/>
        </w:rPr>
        <w:instrText xml:space="preserve"> SEQ Tableau \* ARABIC </w:instrText>
      </w:r>
      <w:r w:rsidR="00AE6950" w:rsidRPr="004639E8">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16</w:t>
      </w:r>
      <w:r w:rsidR="00AE6950" w:rsidRPr="004639E8">
        <w:rPr>
          <w:rFonts w:ascii="Times New Roman" w:eastAsia="Times New Roman" w:hAnsi="Times New Roman" w:cs="Times New Roman"/>
          <w:b/>
          <w:bCs/>
          <w:sz w:val="20"/>
          <w:szCs w:val="20"/>
          <w:lang w:eastAsia="es-ES_tradnl"/>
        </w:rPr>
        <w:fldChar w:fldCharType="end"/>
      </w:r>
      <w:r w:rsidR="00AE6950" w:rsidRPr="004639E8">
        <w:rPr>
          <w:rFonts w:ascii="Times New Roman" w:eastAsia="Times New Roman" w:hAnsi="Times New Roman" w:cs="Times New Roman"/>
          <w:b/>
          <w:bCs/>
          <w:sz w:val="20"/>
          <w:szCs w:val="20"/>
          <w:lang w:eastAsia="es-ES_tradnl"/>
        </w:rPr>
        <w:t xml:space="preserve">. Sensibilidad ante </w:t>
      </w:r>
      <w:r w:rsidR="00AE6950">
        <w:rPr>
          <w:rFonts w:ascii="Times New Roman" w:eastAsia="Times New Roman" w:hAnsi="Times New Roman" w:cs="Times New Roman"/>
          <w:b/>
          <w:bCs/>
          <w:sz w:val="20"/>
          <w:szCs w:val="20"/>
          <w:lang w:eastAsia="es-ES_tradnl"/>
        </w:rPr>
        <w:t>aumentos en los costos previstos</w:t>
      </w:r>
    </w:p>
    <w:p w:rsidR="005A6729" w:rsidRPr="004639E8" w:rsidRDefault="005A6729" w:rsidP="004639E8">
      <w:pPr>
        <w:pStyle w:val="ListParagraph"/>
        <w:autoSpaceDE w:val="0"/>
        <w:autoSpaceDN w:val="0"/>
        <w:adjustRightInd w:val="0"/>
        <w:jc w:val="center"/>
        <w:rPr>
          <w:rFonts w:ascii="Times New Roman" w:eastAsia="Times New Roman" w:hAnsi="Times New Roman" w:cs="Times New Roman"/>
          <w:b/>
          <w:bCs/>
          <w:sz w:val="20"/>
          <w:szCs w:val="20"/>
          <w:lang w:eastAsia="es-ES_tradnl"/>
        </w:rPr>
      </w:pPr>
    </w:p>
    <w:bookmarkEnd w:id="78"/>
    <w:p w:rsidR="0001158D" w:rsidRDefault="0001158D" w:rsidP="0001158D">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Los resultados </w:t>
      </w:r>
      <w:r w:rsidR="00811F1B">
        <w:rPr>
          <w:rFonts w:ascii="Times New Roman" w:eastAsia="Times New Roman" w:hAnsi="Times New Roman" w:cs="Times New Roman"/>
          <w:szCs w:val="20"/>
        </w:rPr>
        <w:t xml:space="preserve">anteriores </w:t>
      </w:r>
      <w:r>
        <w:rPr>
          <w:rFonts w:ascii="Times New Roman" w:eastAsia="Times New Roman" w:hAnsi="Times New Roman" w:cs="Times New Roman"/>
          <w:szCs w:val="20"/>
        </w:rPr>
        <w:t xml:space="preserve">muestran como, para que el ratio beneficio/costo se iguale a 1, </w:t>
      </w:r>
      <w:r w:rsidR="00811F1B">
        <w:rPr>
          <w:rFonts w:ascii="Times New Roman" w:eastAsia="Times New Roman" w:hAnsi="Times New Roman" w:cs="Times New Roman"/>
          <w:szCs w:val="20"/>
        </w:rPr>
        <w:t>y por tanto</w:t>
      </w:r>
      <w:r>
        <w:rPr>
          <w:rFonts w:ascii="Times New Roman" w:eastAsia="Times New Roman" w:hAnsi="Times New Roman" w:cs="Times New Roman"/>
          <w:szCs w:val="20"/>
        </w:rPr>
        <w:t xml:space="preserve"> </w:t>
      </w:r>
      <w:r w:rsidR="00811F1B">
        <w:rPr>
          <w:rFonts w:ascii="Times New Roman" w:eastAsia="Times New Roman" w:hAnsi="Times New Roman" w:cs="Times New Roman"/>
          <w:szCs w:val="20"/>
        </w:rPr>
        <w:t xml:space="preserve">que </w:t>
      </w:r>
      <w:r>
        <w:rPr>
          <w:rFonts w:ascii="Times New Roman" w:eastAsia="Times New Roman" w:hAnsi="Times New Roman" w:cs="Times New Roman"/>
          <w:szCs w:val="20"/>
        </w:rPr>
        <w:t>la TIR sea igual a 12%, los costos diferenciales del Programa deberán ser un 13,2% superiores a los previstos en el ACB.</w:t>
      </w:r>
    </w:p>
    <w:p w:rsidR="005A6729" w:rsidRDefault="005A6729">
      <w:pPr>
        <w:rPr>
          <w:rFonts w:ascii="Times New Roman" w:eastAsiaTheme="majorEastAsia" w:hAnsi="Times New Roman" w:cs="Times New Roman"/>
          <w:b/>
          <w:bCs/>
          <w:sz w:val="24"/>
          <w:szCs w:val="24"/>
        </w:rPr>
      </w:pPr>
    </w:p>
    <w:p w:rsidR="0001158D" w:rsidRDefault="0001158D">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397F23" w:rsidRDefault="00A47EB3" w:rsidP="00210B17">
      <w:pPr>
        <w:pStyle w:val="Heading1"/>
        <w:numPr>
          <w:ilvl w:val="0"/>
          <w:numId w:val="10"/>
        </w:numPr>
        <w:rPr>
          <w:rFonts w:ascii="Times New Roman" w:hAnsi="Times New Roman" w:cs="Times New Roman"/>
          <w:color w:val="auto"/>
          <w:sz w:val="24"/>
          <w:szCs w:val="24"/>
        </w:rPr>
      </w:pPr>
      <w:bookmarkStart w:id="81" w:name="_Toc386887960"/>
      <w:r w:rsidRPr="00210B17">
        <w:rPr>
          <w:rFonts w:ascii="Times New Roman" w:hAnsi="Times New Roman" w:cs="Times New Roman"/>
          <w:color w:val="auto"/>
          <w:sz w:val="24"/>
          <w:szCs w:val="24"/>
        </w:rPr>
        <w:lastRenderedPageBreak/>
        <w:t>OTROS ELEMENTOS DE ANÁLISIS</w:t>
      </w:r>
      <w:r w:rsidR="00037A8C" w:rsidRPr="00210B17">
        <w:rPr>
          <w:rFonts w:ascii="Times New Roman" w:hAnsi="Times New Roman" w:cs="Times New Roman"/>
          <w:color w:val="auto"/>
          <w:sz w:val="24"/>
          <w:szCs w:val="24"/>
        </w:rPr>
        <w:t xml:space="preserve"> ADICIONALES</w:t>
      </w:r>
      <w:bookmarkEnd w:id="81"/>
    </w:p>
    <w:p w:rsidR="00116A60" w:rsidRPr="00AE3AF3" w:rsidRDefault="0065386A" w:rsidP="00AE3AF3">
      <w:pPr>
        <w:pStyle w:val="Heading1"/>
        <w:ind w:left="288"/>
        <w:jc w:val="both"/>
        <w:rPr>
          <w:rFonts w:ascii="Times New Roman" w:hAnsi="Times New Roman" w:cs="Times New Roman"/>
          <w:i/>
          <w:color w:val="auto"/>
          <w:sz w:val="24"/>
          <w:szCs w:val="24"/>
        </w:rPr>
      </w:pPr>
      <w:bookmarkStart w:id="82" w:name="_Toc386887961"/>
      <w:r w:rsidRPr="00436E67">
        <w:rPr>
          <w:rFonts w:ascii="Times New Roman" w:hAnsi="Times New Roman" w:cs="Times New Roman"/>
          <w:i/>
          <w:color w:val="auto"/>
          <w:sz w:val="24"/>
          <w:szCs w:val="24"/>
        </w:rPr>
        <w:t xml:space="preserve">Indicadores de la </w:t>
      </w:r>
      <w:r>
        <w:rPr>
          <w:rFonts w:ascii="Times New Roman" w:hAnsi="Times New Roman" w:cs="Times New Roman"/>
          <w:i/>
          <w:color w:val="auto"/>
          <w:sz w:val="24"/>
          <w:szCs w:val="24"/>
        </w:rPr>
        <w:t>M</w:t>
      </w:r>
      <w:r w:rsidRPr="00AE3AF3">
        <w:rPr>
          <w:rFonts w:ascii="Times New Roman" w:hAnsi="Times New Roman" w:cs="Times New Roman"/>
          <w:i/>
          <w:color w:val="auto"/>
          <w:sz w:val="24"/>
          <w:szCs w:val="24"/>
        </w:rPr>
        <w:t xml:space="preserve">atriz de </w:t>
      </w:r>
      <w:r>
        <w:rPr>
          <w:rFonts w:ascii="Times New Roman" w:hAnsi="Times New Roman" w:cs="Times New Roman"/>
          <w:i/>
          <w:color w:val="auto"/>
          <w:sz w:val="24"/>
          <w:szCs w:val="24"/>
        </w:rPr>
        <w:t>R</w:t>
      </w:r>
      <w:r w:rsidRPr="00AE3AF3">
        <w:rPr>
          <w:rFonts w:ascii="Times New Roman" w:hAnsi="Times New Roman" w:cs="Times New Roman"/>
          <w:i/>
          <w:color w:val="auto"/>
          <w:sz w:val="24"/>
          <w:szCs w:val="24"/>
        </w:rPr>
        <w:t>esultados</w:t>
      </w:r>
      <w:bookmarkEnd w:id="82"/>
    </w:p>
    <w:p w:rsidR="00116A60" w:rsidRPr="00AE3AF3" w:rsidRDefault="00116A60" w:rsidP="00116A60">
      <w:pPr>
        <w:jc w:val="both"/>
      </w:pPr>
    </w:p>
    <w:p w:rsidR="00116A60" w:rsidRDefault="000F678E" w:rsidP="00210B17">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En el proceso de preparación de</w:t>
      </w:r>
      <w:r w:rsidR="00116A60">
        <w:rPr>
          <w:rFonts w:ascii="Times New Roman" w:eastAsia="Times New Roman" w:hAnsi="Times New Roman" w:cs="Times New Roman"/>
          <w:szCs w:val="20"/>
        </w:rPr>
        <w:t>l Programa</w:t>
      </w:r>
      <w:r>
        <w:rPr>
          <w:rFonts w:ascii="Times New Roman" w:eastAsia="Times New Roman" w:hAnsi="Times New Roman" w:cs="Times New Roman"/>
          <w:szCs w:val="20"/>
        </w:rPr>
        <w:t xml:space="preserve"> se h</w:t>
      </w:r>
      <w:r w:rsidR="00446BF6">
        <w:rPr>
          <w:rFonts w:ascii="Times New Roman" w:eastAsia="Times New Roman" w:hAnsi="Times New Roman" w:cs="Times New Roman"/>
          <w:szCs w:val="20"/>
        </w:rPr>
        <w:t>a</w:t>
      </w:r>
      <w:r>
        <w:rPr>
          <w:rFonts w:ascii="Times New Roman" w:eastAsia="Times New Roman" w:hAnsi="Times New Roman" w:cs="Times New Roman"/>
          <w:szCs w:val="20"/>
        </w:rPr>
        <w:t xml:space="preserve"> </w:t>
      </w:r>
      <w:r w:rsidR="00446BF6">
        <w:rPr>
          <w:rFonts w:ascii="Times New Roman" w:eastAsia="Times New Roman" w:hAnsi="Times New Roman" w:cs="Times New Roman"/>
          <w:szCs w:val="20"/>
        </w:rPr>
        <w:t xml:space="preserve">elaborado </w:t>
      </w:r>
      <w:r>
        <w:rPr>
          <w:rFonts w:ascii="Times New Roman" w:eastAsia="Times New Roman" w:hAnsi="Times New Roman" w:cs="Times New Roman"/>
          <w:szCs w:val="20"/>
        </w:rPr>
        <w:t xml:space="preserve">una Matriz de Resultados que incluye los indicadores de Productos, Resultados e Impactos que se </w:t>
      </w:r>
      <w:r w:rsidR="00811F1B">
        <w:rPr>
          <w:rFonts w:ascii="Times New Roman" w:eastAsia="Times New Roman" w:hAnsi="Times New Roman" w:cs="Times New Roman"/>
          <w:szCs w:val="20"/>
        </w:rPr>
        <w:t>esperan</w:t>
      </w:r>
      <w:r w:rsidR="00446BF6">
        <w:rPr>
          <w:rFonts w:ascii="Times New Roman" w:eastAsia="Times New Roman" w:hAnsi="Times New Roman" w:cs="Times New Roman"/>
          <w:szCs w:val="20"/>
        </w:rPr>
        <w:t xml:space="preserve"> con la </w:t>
      </w:r>
      <w:r>
        <w:rPr>
          <w:rFonts w:ascii="Times New Roman" w:eastAsia="Times New Roman" w:hAnsi="Times New Roman" w:cs="Times New Roman"/>
          <w:szCs w:val="20"/>
        </w:rPr>
        <w:t>ejecución</w:t>
      </w:r>
      <w:r w:rsidR="00446BF6">
        <w:rPr>
          <w:rFonts w:ascii="Times New Roman" w:eastAsia="Times New Roman" w:hAnsi="Times New Roman" w:cs="Times New Roman"/>
          <w:szCs w:val="20"/>
        </w:rPr>
        <w:t xml:space="preserve"> del Programa</w:t>
      </w:r>
      <w:r>
        <w:rPr>
          <w:rFonts w:ascii="Times New Roman" w:eastAsia="Times New Roman" w:hAnsi="Times New Roman" w:cs="Times New Roman"/>
          <w:szCs w:val="20"/>
        </w:rPr>
        <w:t>.</w:t>
      </w:r>
    </w:p>
    <w:p w:rsidR="000F678E" w:rsidRDefault="000F678E" w:rsidP="00AE3AF3">
      <w:pPr>
        <w:pStyle w:val="ListParagraph"/>
        <w:autoSpaceDE w:val="0"/>
        <w:autoSpaceDN w:val="0"/>
        <w:adjustRightInd w:val="0"/>
        <w:jc w:val="both"/>
        <w:rPr>
          <w:rFonts w:ascii="Times New Roman" w:eastAsia="Times New Roman" w:hAnsi="Times New Roman" w:cs="Times New Roman"/>
          <w:szCs w:val="20"/>
        </w:rPr>
      </w:pPr>
    </w:p>
    <w:p w:rsidR="000F678E" w:rsidRDefault="000F678E" w:rsidP="00116A60">
      <w:pPr>
        <w:pStyle w:val="ListParagraph"/>
        <w:numPr>
          <w:ilvl w:val="1"/>
          <w:numId w:val="10"/>
        </w:numPr>
        <w:autoSpaceDE w:val="0"/>
        <w:autoSpaceDN w:val="0"/>
        <w:adjustRightInd w:val="0"/>
        <w:ind w:hanging="578"/>
        <w:jc w:val="both"/>
        <w:rPr>
          <w:rFonts w:ascii="Times New Roman" w:eastAsia="Times New Roman" w:hAnsi="Times New Roman" w:cs="Times New Roman"/>
          <w:szCs w:val="20"/>
        </w:rPr>
      </w:pPr>
      <w:r>
        <w:rPr>
          <w:rFonts w:ascii="Times New Roman" w:eastAsia="Times New Roman" w:hAnsi="Times New Roman" w:cs="Times New Roman"/>
          <w:szCs w:val="20"/>
        </w:rPr>
        <w:t xml:space="preserve">En lo que respecta los impactos </w:t>
      </w:r>
      <w:r w:rsidR="002E5624">
        <w:rPr>
          <w:rFonts w:ascii="Times New Roman" w:eastAsia="Times New Roman" w:hAnsi="Times New Roman" w:cs="Times New Roman"/>
          <w:szCs w:val="20"/>
        </w:rPr>
        <w:t xml:space="preserve">de carácter </w:t>
      </w:r>
      <w:r>
        <w:rPr>
          <w:rFonts w:ascii="Times New Roman" w:eastAsia="Times New Roman" w:hAnsi="Times New Roman" w:cs="Times New Roman"/>
          <w:szCs w:val="20"/>
        </w:rPr>
        <w:t xml:space="preserve">económico, se han contemplado algunos indicadores que </w:t>
      </w:r>
      <w:r w:rsidR="00446BF6">
        <w:rPr>
          <w:rFonts w:ascii="Times New Roman" w:eastAsia="Times New Roman" w:hAnsi="Times New Roman" w:cs="Times New Roman"/>
          <w:szCs w:val="20"/>
        </w:rPr>
        <w:t xml:space="preserve">han sido </w:t>
      </w:r>
      <w:r w:rsidR="002E5624">
        <w:rPr>
          <w:rFonts w:ascii="Times New Roman" w:eastAsia="Times New Roman" w:hAnsi="Times New Roman" w:cs="Times New Roman"/>
          <w:szCs w:val="20"/>
        </w:rPr>
        <w:t xml:space="preserve">calculados con base en los parámetros utilizados en </w:t>
      </w:r>
      <w:r>
        <w:rPr>
          <w:rFonts w:ascii="Times New Roman" w:eastAsia="Times New Roman" w:hAnsi="Times New Roman" w:cs="Times New Roman"/>
          <w:szCs w:val="20"/>
        </w:rPr>
        <w:t>la evaluación económica ex-ante</w:t>
      </w:r>
      <w:r w:rsidR="00446BF6">
        <w:rPr>
          <w:rFonts w:ascii="Times New Roman" w:eastAsia="Times New Roman" w:hAnsi="Times New Roman" w:cs="Times New Roman"/>
          <w:szCs w:val="20"/>
        </w:rPr>
        <w:t xml:space="preserve">. El cuadro </w:t>
      </w:r>
      <w:r>
        <w:rPr>
          <w:rFonts w:ascii="Times New Roman" w:eastAsia="Times New Roman" w:hAnsi="Times New Roman" w:cs="Times New Roman"/>
          <w:szCs w:val="20"/>
        </w:rPr>
        <w:t xml:space="preserve">a continuación </w:t>
      </w:r>
      <w:r w:rsidR="00446BF6">
        <w:rPr>
          <w:rFonts w:ascii="Times New Roman" w:eastAsia="Times New Roman" w:hAnsi="Times New Roman" w:cs="Times New Roman"/>
          <w:szCs w:val="20"/>
        </w:rPr>
        <w:t>expone</w:t>
      </w:r>
      <w:r>
        <w:rPr>
          <w:rFonts w:ascii="Times New Roman" w:eastAsia="Times New Roman" w:hAnsi="Times New Roman" w:cs="Times New Roman"/>
          <w:szCs w:val="20"/>
        </w:rPr>
        <w:t xml:space="preserve"> </w:t>
      </w:r>
      <w:r w:rsidR="00446BF6">
        <w:rPr>
          <w:rFonts w:ascii="Times New Roman" w:eastAsia="Times New Roman" w:hAnsi="Times New Roman" w:cs="Times New Roman"/>
          <w:szCs w:val="20"/>
        </w:rPr>
        <w:t>est</w:t>
      </w:r>
      <w:r>
        <w:rPr>
          <w:rFonts w:ascii="Times New Roman" w:eastAsia="Times New Roman" w:hAnsi="Times New Roman" w:cs="Times New Roman"/>
          <w:szCs w:val="20"/>
        </w:rPr>
        <w:t xml:space="preserve">os valores </w:t>
      </w:r>
      <w:r w:rsidR="00446BF6">
        <w:rPr>
          <w:rFonts w:ascii="Times New Roman" w:eastAsia="Times New Roman" w:hAnsi="Times New Roman" w:cs="Times New Roman"/>
          <w:szCs w:val="20"/>
        </w:rPr>
        <w:t xml:space="preserve">de </w:t>
      </w:r>
      <w:r>
        <w:rPr>
          <w:rFonts w:ascii="Times New Roman" w:eastAsia="Times New Roman" w:hAnsi="Times New Roman" w:cs="Times New Roman"/>
          <w:szCs w:val="20"/>
        </w:rPr>
        <w:t>la Matriz de Resultados.</w:t>
      </w:r>
    </w:p>
    <w:p w:rsidR="000F678E" w:rsidRPr="00AE3AF3" w:rsidRDefault="000F678E" w:rsidP="00AE3AF3">
      <w:pPr>
        <w:pStyle w:val="ListParagraph"/>
        <w:rPr>
          <w:rFonts w:ascii="Times New Roman" w:eastAsia="Times New Roman" w:hAnsi="Times New Roman" w:cs="Times New Roman"/>
          <w:szCs w:val="20"/>
        </w:rPr>
      </w:pPr>
    </w:p>
    <w:p w:rsidR="00116A60" w:rsidRDefault="000F678E" w:rsidP="00AE3AF3">
      <w:pPr>
        <w:jc w:val="center"/>
        <w:rPr>
          <w:rFonts w:ascii="Times New Roman" w:eastAsiaTheme="majorEastAsia" w:hAnsi="Times New Roman" w:cs="Times New Roman"/>
          <w:b/>
          <w:bCs/>
          <w:sz w:val="24"/>
          <w:szCs w:val="24"/>
        </w:rPr>
      </w:pPr>
      <w:r w:rsidRPr="004639E8">
        <w:rPr>
          <w:rFonts w:ascii="Times New Roman" w:eastAsia="Times New Roman" w:hAnsi="Times New Roman" w:cs="Times New Roman"/>
          <w:b/>
          <w:bCs/>
          <w:sz w:val="20"/>
          <w:szCs w:val="20"/>
          <w:lang w:eastAsia="es-ES_tradnl"/>
        </w:rPr>
        <w:t xml:space="preserve">Cuadro </w:t>
      </w:r>
      <w:r w:rsidRPr="004639E8">
        <w:rPr>
          <w:rFonts w:ascii="Times New Roman" w:eastAsia="Times New Roman" w:hAnsi="Times New Roman" w:cs="Times New Roman"/>
          <w:b/>
          <w:bCs/>
          <w:sz w:val="20"/>
          <w:szCs w:val="20"/>
          <w:lang w:eastAsia="es-ES_tradnl"/>
        </w:rPr>
        <w:fldChar w:fldCharType="begin"/>
      </w:r>
      <w:r w:rsidRPr="004639E8">
        <w:rPr>
          <w:rFonts w:ascii="Times New Roman" w:eastAsia="Times New Roman" w:hAnsi="Times New Roman" w:cs="Times New Roman"/>
          <w:b/>
          <w:bCs/>
          <w:sz w:val="20"/>
          <w:szCs w:val="20"/>
          <w:lang w:eastAsia="es-ES_tradnl"/>
        </w:rPr>
        <w:instrText xml:space="preserve"> SEQ Tableau \* ARABIC </w:instrText>
      </w:r>
      <w:r w:rsidRPr="004639E8">
        <w:rPr>
          <w:rFonts w:ascii="Times New Roman" w:eastAsia="Times New Roman" w:hAnsi="Times New Roman" w:cs="Times New Roman"/>
          <w:b/>
          <w:bCs/>
          <w:sz w:val="20"/>
          <w:szCs w:val="20"/>
          <w:lang w:eastAsia="es-ES_tradnl"/>
        </w:rPr>
        <w:fldChar w:fldCharType="separate"/>
      </w:r>
      <w:r w:rsidR="00865F10">
        <w:rPr>
          <w:rFonts w:ascii="Times New Roman" w:eastAsia="Times New Roman" w:hAnsi="Times New Roman" w:cs="Times New Roman"/>
          <w:b/>
          <w:bCs/>
          <w:noProof/>
          <w:sz w:val="20"/>
          <w:szCs w:val="20"/>
          <w:lang w:eastAsia="es-ES_tradnl"/>
        </w:rPr>
        <w:t>17</w:t>
      </w:r>
      <w:r w:rsidRPr="004639E8">
        <w:rPr>
          <w:rFonts w:ascii="Times New Roman" w:eastAsia="Times New Roman" w:hAnsi="Times New Roman" w:cs="Times New Roman"/>
          <w:b/>
          <w:bCs/>
          <w:sz w:val="20"/>
          <w:szCs w:val="20"/>
          <w:lang w:eastAsia="es-ES_tradnl"/>
        </w:rPr>
        <w:fldChar w:fldCharType="end"/>
      </w:r>
      <w:r w:rsidRPr="004639E8">
        <w:rPr>
          <w:rFonts w:ascii="Times New Roman" w:eastAsia="Times New Roman" w:hAnsi="Times New Roman" w:cs="Times New Roman"/>
          <w:b/>
          <w:bCs/>
          <w:sz w:val="20"/>
          <w:szCs w:val="20"/>
          <w:lang w:eastAsia="es-ES_tradnl"/>
        </w:rPr>
        <w:t xml:space="preserve">. </w:t>
      </w:r>
      <w:r>
        <w:rPr>
          <w:rFonts w:ascii="Times New Roman" w:eastAsia="Times New Roman" w:hAnsi="Times New Roman" w:cs="Times New Roman"/>
          <w:b/>
          <w:bCs/>
          <w:sz w:val="20"/>
          <w:szCs w:val="20"/>
          <w:lang w:eastAsia="es-ES_tradnl"/>
        </w:rPr>
        <w:t xml:space="preserve">Valores de la </w:t>
      </w:r>
      <w:r w:rsidR="002E5624">
        <w:rPr>
          <w:rFonts w:ascii="Times New Roman" w:eastAsia="Times New Roman" w:hAnsi="Times New Roman" w:cs="Times New Roman"/>
          <w:b/>
          <w:bCs/>
          <w:sz w:val="20"/>
          <w:szCs w:val="20"/>
          <w:lang w:eastAsia="es-ES_tradnl"/>
        </w:rPr>
        <w:t>m</w:t>
      </w:r>
      <w:r>
        <w:rPr>
          <w:rFonts w:ascii="Times New Roman" w:eastAsia="Times New Roman" w:hAnsi="Times New Roman" w:cs="Times New Roman"/>
          <w:b/>
          <w:bCs/>
          <w:sz w:val="20"/>
          <w:szCs w:val="20"/>
          <w:lang w:eastAsia="es-ES_tradnl"/>
        </w:rPr>
        <w:t xml:space="preserve">atriz de </w:t>
      </w:r>
      <w:r w:rsidR="002E5624">
        <w:rPr>
          <w:rFonts w:ascii="Times New Roman" w:eastAsia="Times New Roman" w:hAnsi="Times New Roman" w:cs="Times New Roman"/>
          <w:b/>
          <w:bCs/>
          <w:sz w:val="20"/>
          <w:szCs w:val="20"/>
          <w:lang w:eastAsia="es-ES_tradnl"/>
        </w:rPr>
        <w:t>r</w:t>
      </w:r>
      <w:r>
        <w:rPr>
          <w:rFonts w:ascii="Times New Roman" w:eastAsia="Times New Roman" w:hAnsi="Times New Roman" w:cs="Times New Roman"/>
          <w:b/>
          <w:bCs/>
          <w:sz w:val="20"/>
          <w:szCs w:val="20"/>
          <w:lang w:eastAsia="es-ES_tradnl"/>
        </w:rPr>
        <w:t xml:space="preserve">esultados </w:t>
      </w:r>
      <w:r w:rsidR="002E5624">
        <w:rPr>
          <w:rFonts w:ascii="Times New Roman" w:eastAsia="Times New Roman" w:hAnsi="Times New Roman" w:cs="Times New Roman"/>
          <w:b/>
          <w:bCs/>
          <w:sz w:val="20"/>
          <w:szCs w:val="20"/>
          <w:lang w:eastAsia="es-ES_tradnl"/>
        </w:rPr>
        <w:t>e</w:t>
      </w:r>
      <w:r>
        <w:rPr>
          <w:rFonts w:ascii="Times New Roman" w:eastAsia="Times New Roman" w:hAnsi="Times New Roman" w:cs="Times New Roman"/>
          <w:b/>
          <w:bCs/>
          <w:sz w:val="20"/>
          <w:szCs w:val="20"/>
          <w:lang w:eastAsia="es-ES_tradnl"/>
        </w:rPr>
        <w:t xml:space="preserve">xtraídos de la </w:t>
      </w:r>
      <w:r w:rsidR="002E5624">
        <w:rPr>
          <w:rFonts w:ascii="Times New Roman" w:eastAsia="Times New Roman" w:hAnsi="Times New Roman" w:cs="Times New Roman"/>
          <w:b/>
          <w:bCs/>
          <w:sz w:val="20"/>
          <w:szCs w:val="20"/>
          <w:lang w:eastAsia="es-ES_tradnl"/>
        </w:rPr>
        <w:t>e</w:t>
      </w:r>
      <w:r>
        <w:rPr>
          <w:rFonts w:ascii="Times New Roman" w:eastAsia="Times New Roman" w:hAnsi="Times New Roman" w:cs="Times New Roman"/>
          <w:b/>
          <w:bCs/>
          <w:sz w:val="20"/>
          <w:szCs w:val="20"/>
          <w:lang w:eastAsia="es-ES_tradnl"/>
        </w:rPr>
        <w:t xml:space="preserve">valuación </w:t>
      </w:r>
      <w:r w:rsidR="002E5624">
        <w:rPr>
          <w:rFonts w:ascii="Times New Roman" w:eastAsia="Times New Roman" w:hAnsi="Times New Roman" w:cs="Times New Roman"/>
          <w:b/>
          <w:bCs/>
          <w:sz w:val="20"/>
          <w:szCs w:val="20"/>
          <w:lang w:eastAsia="es-ES_tradnl"/>
        </w:rPr>
        <w:t>e</w:t>
      </w:r>
      <w:r>
        <w:rPr>
          <w:rFonts w:ascii="Times New Roman" w:eastAsia="Times New Roman" w:hAnsi="Times New Roman" w:cs="Times New Roman"/>
          <w:b/>
          <w:bCs/>
          <w:sz w:val="20"/>
          <w:szCs w:val="20"/>
          <w:lang w:eastAsia="es-ES_tradnl"/>
        </w:rPr>
        <w:t>conómica</w:t>
      </w:r>
    </w:p>
    <w:p w:rsidR="00116A60" w:rsidRDefault="00772E0F">
      <w:pPr>
        <w:rPr>
          <w:rFonts w:ascii="Times New Roman" w:hAnsi="Times New Roman" w:cs="Times New Roman"/>
          <w:sz w:val="24"/>
          <w:szCs w:val="24"/>
        </w:rPr>
      </w:pPr>
      <w:r w:rsidRPr="00772E0F">
        <w:rPr>
          <w:noProof/>
          <w:lang w:val="en-US"/>
        </w:rPr>
        <w:drawing>
          <wp:inline distT="0" distB="0" distL="0" distR="0" wp14:anchorId="5C8DFC2C" wp14:editId="4E100817">
            <wp:extent cx="5612130" cy="1235736"/>
            <wp:effectExtent l="0" t="0" r="7620" b="254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12130" cy="1235736"/>
                    </a:xfrm>
                    <a:prstGeom prst="rect">
                      <a:avLst/>
                    </a:prstGeom>
                    <a:noFill/>
                    <a:ln>
                      <a:noFill/>
                    </a:ln>
                  </pic:spPr>
                </pic:pic>
              </a:graphicData>
            </a:graphic>
          </wp:inline>
        </w:drawing>
      </w:r>
    </w:p>
    <w:p w:rsidR="00723E8B" w:rsidRDefault="00723E8B">
      <w:pPr>
        <w:rPr>
          <w:rFonts w:ascii="Times New Roman" w:eastAsiaTheme="majorEastAsia" w:hAnsi="Times New Roman" w:cs="Times New Roman"/>
          <w:b/>
          <w:bCs/>
          <w:sz w:val="24"/>
          <w:szCs w:val="24"/>
        </w:rPr>
      </w:pPr>
    </w:p>
    <w:p w:rsidR="00037A8C" w:rsidRDefault="00037A8C">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FF120C" w:rsidRPr="00C535E8" w:rsidRDefault="00FF120C" w:rsidP="00FF120C">
      <w:pPr>
        <w:pStyle w:val="Heading1"/>
        <w:jc w:val="both"/>
        <w:rPr>
          <w:rFonts w:ascii="Times New Roman" w:hAnsi="Times New Roman" w:cs="Times New Roman"/>
          <w:color w:val="auto"/>
          <w:sz w:val="24"/>
          <w:szCs w:val="24"/>
        </w:rPr>
      </w:pPr>
      <w:bookmarkStart w:id="83" w:name="_Toc386887962"/>
      <w:r w:rsidRPr="003932D8">
        <w:rPr>
          <w:rFonts w:ascii="Times New Roman" w:hAnsi="Times New Roman" w:cs="Times New Roman"/>
          <w:color w:val="auto"/>
          <w:sz w:val="24"/>
          <w:szCs w:val="24"/>
        </w:rPr>
        <w:lastRenderedPageBreak/>
        <w:t>DOCUMENTACIÓN Y FUENTES DE INFORMACIÓN UTILIZADAS</w:t>
      </w:r>
      <w:bookmarkEnd w:id="27"/>
      <w:bookmarkEnd w:id="83"/>
    </w:p>
    <w:p w:rsidR="00FF120C" w:rsidRDefault="00FF120C" w:rsidP="000B044A">
      <w:pPr>
        <w:autoSpaceDE w:val="0"/>
        <w:autoSpaceDN w:val="0"/>
        <w:adjustRightInd w:val="0"/>
        <w:jc w:val="both"/>
        <w:rPr>
          <w:rFonts w:ascii="Times New Roman" w:hAnsi="Times New Roman" w:cs="Times New Roman"/>
        </w:rPr>
      </w:pPr>
    </w:p>
    <w:p w:rsidR="00397F23" w:rsidRDefault="00397F23" w:rsidP="00397F23">
      <w:pPr>
        <w:pStyle w:val="ListParagraph"/>
        <w:autoSpaceDE w:val="0"/>
        <w:autoSpaceDN w:val="0"/>
        <w:adjustRightInd w:val="0"/>
        <w:jc w:val="both"/>
        <w:rPr>
          <w:rFonts w:ascii="Times New Roman" w:hAnsi="Times New Roman" w:cs="Times New Roman"/>
        </w:rPr>
      </w:pPr>
    </w:p>
    <w:p w:rsidR="00125EDF" w:rsidRPr="008509F7" w:rsidRDefault="00801D09" w:rsidP="00735E9B">
      <w:pPr>
        <w:pStyle w:val="ListParagraph"/>
        <w:numPr>
          <w:ilvl w:val="0"/>
          <w:numId w:val="5"/>
        </w:numPr>
        <w:autoSpaceDE w:val="0"/>
        <w:autoSpaceDN w:val="0"/>
        <w:adjustRightInd w:val="0"/>
        <w:jc w:val="both"/>
        <w:rPr>
          <w:rFonts w:ascii="Times New Roman" w:hAnsi="Times New Roman" w:cs="Times New Roman"/>
        </w:rPr>
      </w:pPr>
      <w:r w:rsidRPr="008509F7">
        <w:rPr>
          <w:rFonts w:ascii="Times New Roman" w:hAnsi="Times New Roman" w:cs="Times New Roman"/>
        </w:rPr>
        <w:t xml:space="preserve">MARNDR, 2013. </w:t>
      </w:r>
      <w:r w:rsidR="00FF120C" w:rsidRPr="008509F7">
        <w:rPr>
          <w:rFonts w:ascii="Times New Roman" w:hAnsi="Times New Roman" w:cs="Times New Roman"/>
          <w:i/>
        </w:rPr>
        <w:t>Lineamientos estratégicos de inversiones para la modernización de los servicios públicos de sanidad agropecuaria y de inocuidad de los alimentos</w:t>
      </w:r>
      <w:r w:rsidR="00FF120C" w:rsidRPr="008509F7">
        <w:rPr>
          <w:rFonts w:ascii="Times New Roman" w:hAnsi="Times New Roman" w:cs="Times New Roman"/>
        </w:rPr>
        <w:t>.</w:t>
      </w:r>
    </w:p>
    <w:p w:rsidR="00735E9B" w:rsidRPr="008509F7" w:rsidRDefault="00735E9B" w:rsidP="00735E9B">
      <w:pPr>
        <w:pStyle w:val="ListParagraph"/>
        <w:autoSpaceDE w:val="0"/>
        <w:autoSpaceDN w:val="0"/>
        <w:adjustRightInd w:val="0"/>
        <w:jc w:val="both"/>
        <w:rPr>
          <w:rFonts w:ascii="Times New Roman" w:hAnsi="Times New Roman" w:cs="Times New Roman"/>
        </w:rPr>
      </w:pPr>
    </w:p>
    <w:p w:rsidR="00735E9B" w:rsidRPr="008509F7" w:rsidRDefault="00735E9B" w:rsidP="00735E9B">
      <w:pPr>
        <w:pStyle w:val="ListParagraph"/>
        <w:numPr>
          <w:ilvl w:val="0"/>
          <w:numId w:val="5"/>
        </w:numPr>
        <w:autoSpaceDE w:val="0"/>
        <w:autoSpaceDN w:val="0"/>
        <w:adjustRightInd w:val="0"/>
        <w:jc w:val="both"/>
        <w:rPr>
          <w:rFonts w:ascii="Times New Roman" w:hAnsi="Times New Roman" w:cs="Times New Roman"/>
          <w:lang w:val="fr-FR"/>
        </w:rPr>
      </w:pPr>
      <w:r w:rsidRPr="008509F7">
        <w:rPr>
          <w:rFonts w:ascii="Times New Roman" w:hAnsi="Times New Roman" w:cs="Times New Roman"/>
          <w:lang w:val="fr-FR"/>
        </w:rPr>
        <w:t xml:space="preserve">MARNDR - Dr. Max Millien, </w:t>
      </w:r>
      <w:r w:rsidR="00397F23">
        <w:rPr>
          <w:rFonts w:ascii="Times New Roman" w:hAnsi="Times New Roman" w:cs="Times New Roman"/>
          <w:lang w:val="fr-FR"/>
        </w:rPr>
        <w:t>E</w:t>
      </w:r>
      <w:r w:rsidRPr="008509F7">
        <w:rPr>
          <w:rFonts w:ascii="Times New Roman" w:hAnsi="Times New Roman" w:cs="Times New Roman"/>
          <w:lang w:val="fr-FR"/>
        </w:rPr>
        <w:t xml:space="preserve">nero 2014. </w:t>
      </w:r>
      <w:r w:rsidRPr="008509F7">
        <w:rPr>
          <w:rFonts w:ascii="Times New Roman" w:hAnsi="Times New Roman" w:cs="Times New Roman"/>
          <w:i/>
          <w:lang w:val="fr-FR"/>
        </w:rPr>
        <w:t>Pour la mise en place d’un système national de vaccination durable.</w:t>
      </w:r>
    </w:p>
    <w:p w:rsidR="006477F3" w:rsidRPr="008509F7" w:rsidRDefault="006477F3" w:rsidP="006477F3">
      <w:pPr>
        <w:pStyle w:val="ListParagraph"/>
        <w:rPr>
          <w:rFonts w:ascii="Times New Roman" w:hAnsi="Times New Roman" w:cs="Times New Roman"/>
          <w:lang w:val="fr-FR"/>
        </w:rPr>
      </w:pPr>
    </w:p>
    <w:p w:rsidR="00086F2A" w:rsidRPr="0053326E" w:rsidRDefault="00086F2A" w:rsidP="00086F2A">
      <w:pPr>
        <w:pStyle w:val="ListParagraph"/>
        <w:numPr>
          <w:ilvl w:val="0"/>
          <w:numId w:val="5"/>
        </w:numPr>
        <w:autoSpaceDE w:val="0"/>
        <w:autoSpaceDN w:val="0"/>
        <w:adjustRightInd w:val="0"/>
        <w:jc w:val="both"/>
        <w:rPr>
          <w:rFonts w:ascii="Times New Roman" w:hAnsi="Times New Roman" w:cs="Times New Roman"/>
        </w:rPr>
      </w:pPr>
      <w:r w:rsidRPr="0053326E">
        <w:rPr>
          <w:rFonts w:ascii="Times New Roman" w:hAnsi="Times New Roman" w:cs="Times New Roman"/>
        </w:rPr>
        <w:t xml:space="preserve">FAO, </w:t>
      </w:r>
      <w:r>
        <w:rPr>
          <w:rFonts w:ascii="Times New Roman" w:hAnsi="Times New Roman" w:cs="Times New Roman"/>
        </w:rPr>
        <w:t>2011</w:t>
      </w:r>
      <w:r w:rsidRPr="0053326E">
        <w:rPr>
          <w:rFonts w:ascii="Times New Roman" w:hAnsi="Times New Roman" w:cs="Times New Roman"/>
          <w:i/>
        </w:rPr>
        <w:t>. Situación de Teschovirus en Haití</w:t>
      </w:r>
      <w:r>
        <w:rPr>
          <w:rFonts w:ascii="Times New Roman" w:hAnsi="Times New Roman" w:cs="Times New Roman"/>
        </w:rPr>
        <w:t>.</w:t>
      </w:r>
    </w:p>
    <w:p w:rsidR="00086F2A" w:rsidRPr="004639E8" w:rsidRDefault="00086F2A" w:rsidP="004639E8">
      <w:pPr>
        <w:pStyle w:val="ListParagraph"/>
        <w:rPr>
          <w:rFonts w:ascii="Times New Roman" w:hAnsi="Times New Roman" w:cs="Times New Roman"/>
        </w:rPr>
      </w:pPr>
    </w:p>
    <w:p w:rsidR="006477F3" w:rsidRPr="008509F7" w:rsidRDefault="006477F3" w:rsidP="006477F3">
      <w:pPr>
        <w:pStyle w:val="ListParagraph"/>
        <w:numPr>
          <w:ilvl w:val="0"/>
          <w:numId w:val="5"/>
        </w:numPr>
        <w:autoSpaceDE w:val="0"/>
        <w:autoSpaceDN w:val="0"/>
        <w:adjustRightInd w:val="0"/>
        <w:jc w:val="both"/>
        <w:rPr>
          <w:rFonts w:ascii="Times New Roman" w:hAnsi="Times New Roman" w:cs="Times New Roman"/>
          <w:lang w:val="fr-FR"/>
        </w:rPr>
      </w:pPr>
      <w:r w:rsidRPr="008509F7">
        <w:rPr>
          <w:rFonts w:ascii="Times New Roman" w:hAnsi="Times New Roman" w:cs="Times New Roman"/>
          <w:lang w:val="fr-FR"/>
        </w:rPr>
        <w:t xml:space="preserve">MARNDR, 2014. </w:t>
      </w:r>
      <w:r w:rsidRPr="008509F7">
        <w:rPr>
          <w:rFonts w:ascii="Times New Roman" w:hAnsi="Times New Roman" w:cs="Times New Roman"/>
          <w:i/>
          <w:lang w:val="fr-FR"/>
        </w:rPr>
        <w:t>Lutte phytosanitaire contre les mouches attaquant les mangues dans les grandes zones productrice - Bilan 4 ans de fonctionnement du Projet</w:t>
      </w:r>
      <w:r w:rsidR="00801D09" w:rsidRPr="008509F7">
        <w:rPr>
          <w:rFonts w:ascii="Times New Roman" w:hAnsi="Times New Roman" w:cs="Times New Roman"/>
          <w:lang w:val="fr-FR"/>
        </w:rPr>
        <w:t>.</w:t>
      </w:r>
    </w:p>
    <w:p w:rsidR="00801D09" w:rsidRPr="008509F7" w:rsidRDefault="00801D09" w:rsidP="00801D09">
      <w:pPr>
        <w:pStyle w:val="ListParagraph"/>
        <w:rPr>
          <w:rFonts w:ascii="Times New Roman" w:hAnsi="Times New Roman" w:cs="Times New Roman"/>
          <w:lang w:val="fr-FR"/>
        </w:rPr>
      </w:pPr>
    </w:p>
    <w:p w:rsidR="00801D09" w:rsidRPr="008509F7" w:rsidRDefault="00801D09" w:rsidP="006477F3">
      <w:pPr>
        <w:pStyle w:val="ListParagraph"/>
        <w:numPr>
          <w:ilvl w:val="0"/>
          <w:numId w:val="5"/>
        </w:numPr>
        <w:autoSpaceDE w:val="0"/>
        <w:autoSpaceDN w:val="0"/>
        <w:adjustRightInd w:val="0"/>
        <w:jc w:val="both"/>
        <w:rPr>
          <w:rFonts w:ascii="Times New Roman" w:hAnsi="Times New Roman" w:cs="Times New Roman"/>
          <w:lang w:val="en-US"/>
        </w:rPr>
      </w:pPr>
      <w:r w:rsidRPr="008509F7">
        <w:rPr>
          <w:rFonts w:ascii="Times New Roman" w:hAnsi="Times New Roman" w:cs="Times New Roman"/>
          <w:lang w:val="en-US"/>
        </w:rPr>
        <w:t xml:space="preserve">MARNDR, Mayo 2013. </w:t>
      </w:r>
      <w:r w:rsidRPr="008509F7">
        <w:rPr>
          <w:rFonts w:ascii="Times New Roman" w:hAnsi="Times New Roman" w:cs="Times New Roman"/>
          <w:i/>
          <w:lang w:val="en-US"/>
        </w:rPr>
        <w:t>Evaluation of Potential Reforms in Haiti’s Agricultural Import Tariff Policy.</w:t>
      </w:r>
    </w:p>
    <w:p w:rsidR="001C51C2" w:rsidRPr="008509F7" w:rsidRDefault="001C51C2" w:rsidP="001C51C2">
      <w:pPr>
        <w:pStyle w:val="ListParagraph"/>
        <w:rPr>
          <w:rFonts w:ascii="Times New Roman" w:hAnsi="Times New Roman" w:cs="Times New Roman"/>
          <w:lang w:val="en-US"/>
        </w:rPr>
      </w:pPr>
    </w:p>
    <w:p w:rsidR="00753859" w:rsidRPr="004639E8" w:rsidRDefault="00753859" w:rsidP="004639E8">
      <w:pPr>
        <w:pStyle w:val="ListParagraph"/>
        <w:numPr>
          <w:ilvl w:val="0"/>
          <w:numId w:val="5"/>
        </w:numPr>
        <w:jc w:val="both"/>
        <w:rPr>
          <w:rFonts w:ascii="Times New Roman" w:eastAsia="Calibri" w:hAnsi="Times New Roman" w:cs="Times New Roman"/>
          <w:b/>
          <w:bCs/>
          <w:i/>
          <w:iCs/>
          <w:lang w:val="fr-FR"/>
        </w:rPr>
      </w:pPr>
      <w:r>
        <w:rPr>
          <w:rFonts w:ascii="Times New Roman" w:hAnsi="Times New Roman" w:cs="Times New Roman"/>
          <w:lang w:val="fr-FR"/>
        </w:rPr>
        <w:t xml:space="preserve">MARNDR. </w:t>
      </w:r>
      <w:r w:rsidRPr="004E5B20">
        <w:rPr>
          <w:rFonts w:ascii="Times New Roman" w:eastAsia="Calibri" w:hAnsi="Times New Roman" w:cs="Times New Roman"/>
          <w:bCs/>
          <w:iCs/>
          <w:lang w:val="fr-FR"/>
        </w:rPr>
        <w:t>Direction Générale Adjointe à la production et aux marchés agricoles</w:t>
      </w:r>
      <w:r w:rsidR="007D3E25">
        <w:rPr>
          <w:rFonts w:ascii="Times New Roman" w:hAnsi="Times New Roman" w:cs="Times New Roman"/>
          <w:bCs/>
          <w:iCs/>
          <w:lang w:val="fr-FR"/>
        </w:rPr>
        <w:t>, Octubre 2005</w:t>
      </w:r>
      <w:r>
        <w:rPr>
          <w:rFonts w:ascii="Times New Roman" w:hAnsi="Times New Roman" w:cs="Times New Roman"/>
          <w:bCs/>
          <w:iCs/>
          <w:lang w:val="fr-FR"/>
        </w:rPr>
        <w:t>.</w:t>
      </w:r>
      <w:r w:rsidRPr="004E5B20">
        <w:rPr>
          <w:rFonts w:ascii="Arial" w:eastAsia="MS Mincho" w:hAnsi="Arial" w:cs="Arial"/>
          <w:b/>
          <w:bCs/>
          <w:smallCaps/>
          <w:sz w:val="24"/>
          <w:szCs w:val="24"/>
          <w:lang w:val="fr-FR" w:eastAsia="ar-SA"/>
        </w:rPr>
        <w:t xml:space="preserve"> </w:t>
      </w:r>
      <w:r w:rsidRPr="004E5B20">
        <w:rPr>
          <w:rFonts w:ascii="Times New Roman" w:eastAsia="Calibri" w:hAnsi="Times New Roman" w:cs="Times New Roman"/>
          <w:bCs/>
          <w:i/>
          <w:iCs/>
          <w:lang w:val="fr-FR"/>
        </w:rPr>
        <w:t xml:space="preserve">Identification de </w:t>
      </w:r>
      <w:r>
        <w:rPr>
          <w:rFonts w:ascii="Times New Roman" w:hAnsi="Times New Roman" w:cs="Times New Roman"/>
          <w:bCs/>
          <w:i/>
          <w:iCs/>
          <w:lang w:val="fr-FR"/>
        </w:rPr>
        <w:t xml:space="preserve">créneaux </w:t>
      </w:r>
      <w:r w:rsidRPr="004E5B20">
        <w:rPr>
          <w:rFonts w:ascii="Times New Roman" w:eastAsia="Calibri" w:hAnsi="Times New Roman" w:cs="Times New Roman"/>
          <w:bCs/>
          <w:i/>
          <w:iCs/>
          <w:lang w:val="fr-FR"/>
        </w:rPr>
        <w:t>potentiels dans les filières rurales</w:t>
      </w:r>
      <w:r w:rsidRPr="004E5B20">
        <w:rPr>
          <w:rFonts w:ascii="Times New Roman" w:eastAsia="Calibri" w:hAnsi="Times New Roman" w:cs="Times New Roman"/>
          <w:bCs/>
          <w:i/>
          <w:iCs/>
          <w:lang w:val="fr-HT"/>
        </w:rPr>
        <w:t xml:space="preserve"> haïtiennes</w:t>
      </w:r>
      <w:r>
        <w:rPr>
          <w:rFonts w:ascii="Times New Roman" w:hAnsi="Times New Roman" w:cs="Times New Roman"/>
          <w:bCs/>
          <w:iCs/>
          <w:lang w:val="fr-FR"/>
        </w:rPr>
        <w:t xml:space="preserve"> (</w:t>
      </w:r>
      <w:r w:rsidRPr="004E5B20">
        <w:rPr>
          <w:rFonts w:ascii="Times New Roman" w:eastAsia="Calibri" w:hAnsi="Times New Roman" w:cs="Times New Roman"/>
          <w:bCs/>
          <w:iCs/>
          <w:lang w:val="fr-FR"/>
        </w:rPr>
        <w:t>HA-T1008/ATN-FC-9052</w:t>
      </w:r>
      <w:r w:rsidRPr="004E5B20">
        <w:rPr>
          <w:rFonts w:ascii="Times New Roman" w:hAnsi="Times New Roman" w:cs="Times New Roman"/>
          <w:bCs/>
          <w:iCs/>
          <w:lang w:val="fr-FR"/>
        </w:rPr>
        <w:t>)</w:t>
      </w:r>
      <w:r>
        <w:rPr>
          <w:rFonts w:ascii="Times New Roman" w:hAnsi="Times New Roman" w:cs="Times New Roman"/>
          <w:bCs/>
          <w:iCs/>
          <w:lang w:val="fr-FR"/>
        </w:rPr>
        <w:t xml:space="preserve"> – </w:t>
      </w:r>
      <w:r>
        <w:rPr>
          <w:rFonts w:ascii="Times New Roman" w:hAnsi="Times New Roman" w:cs="Times New Roman"/>
          <w:bCs/>
          <w:i/>
          <w:iCs/>
          <w:lang w:val="fr-FR"/>
        </w:rPr>
        <w:t>Rapport de Synthèse. Tome 2 : les filières rurales</w:t>
      </w:r>
      <w:r>
        <w:rPr>
          <w:rFonts w:ascii="Times New Roman" w:hAnsi="Times New Roman" w:cs="Times New Roman"/>
          <w:bCs/>
          <w:iCs/>
          <w:lang w:val="fr-FR"/>
        </w:rPr>
        <w:t>.</w:t>
      </w:r>
    </w:p>
    <w:p w:rsidR="00753859" w:rsidRPr="004639E8" w:rsidRDefault="00753859" w:rsidP="004639E8">
      <w:pPr>
        <w:pStyle w:val="ListParagraph"/>
        <w:rPr>
          <w:rFonts w:ascii="Times New Roman" w:hAnsi="Times New Roman" w:cs="Times New Roman"/>
        </w:rPr>
      </w:pPr>
    </w:p>
    <w:p w:rsidR="001C51C2" w:rsidRPr="008509F7" w:rsidRDefault="00C33E68" w:rsidP="006477F3">
      <w:pPr>
        <w:pStyle w:val="ListParagraph"/>
        <w:numPr>
          <w:ilvl w:val="0"/>
          <w:numId w:val="5"/>
        </w:numPr>
        <w:autoSpaceDE w:val="0"/>
        <w:autoSpaceDN w:val="0"/>
        <w:adjustRightInd w:val="0"/>
        <w:jc w:val="both"/>
        <w:rPr>
          <w:rFonts w:ascii="Times New Roman" w:hAnsi="Times New Roman" w:cs="Times New Roman"/>
        </w:rPr>
      </w:pPr>
      <w:r w:rsidRPr="008509F7">
        <w:rPr>
          <w:rFonts w:ascii="Times New Roman" w:hAnsi="Times New Roman" w:cs="Times New Roman"/>
        </w:rPr>
        <w:t>JORGE MENDOZA</w:t>
      </w:r>
      <w:r w:rsidR="001C51C2" w:rsidRPr="008509F7">
        <w:rPr>
          <w:rFonts w:ascii="Times New Roman" w:hAnsi="Times New Roman" w:cs="Times New Roman"/>
        </w:rPr>
        <w:t xml:space="preserve">, Junio 2012. Programa de Sanidad e inocuidad Alimentaria de República Dominicana - </w:t>
      </w:r>
      <w:r w:rsidR="001C51C2" w:rsidRPr="008509F7">
        <w:rPr>
          <w:rFonts w:ascii="Times New Roman" w:hAnsi="Times New Roman" w:cs="Times New Roman"/>
          <w:i/>
        </w:rPr>
        <w:t>Consultoría para el análisis económico y la formulación de la matriz de resultados</w:t>
      </w:r>
      <w:r w:rsidR="001C51C2" w:rsidRPr="008509F7">
        <w:rPr>
          <w:rFonts w:ascii="Times New Roman" w:hAnsi="Times New Roman" w:cs="Times New Roman"/>
        </w:rPr>
        <w:t>.</w:t>
      </w:r>
    </w:p>
    <w:p w:rsidR="008B5E90" w:rsidRPr="008509F7" w:rsidRDefault="008B5E90" w:rsidP="008B5E90">
      <w:pPr>
        <w:pStyle w:val="ListParagraph"/>
        <w:rPr>
          <w:rFonts w:ascii="Times New Roman" w:hAnsi="Times New Roman" w:cs="Times New Roman"/>
        </w:rPr>
      </w:pPr>
    </w:p>
    <w:p w:rsidR="008B5E90" w:rsidRPr="008509F7" w:rsidRDefault="00C33E68" w:rsidP="006477F3">
      <w:pPr>
        <w:pStyle w:val="ListParagraph"/>
        <w:numPr>
          <w:ilvl w:val="0"/>
          <w:numId w:val="5"/>
        </w:numPr>
        <w:autoSpaceDE w:val="0"/>
        <w:autoSpaceDN w:val="0"/>
        <w:adjustRightInd w:val="0"/>
        <w:jc w:val="both"/>
        <w:rPr>
          <w:rFonts w:ascii="Times New Roman" w:hAnsi="Times New Roman" w:cs="Times New Roman"/>
          <w:lang w:val="en-US"/>
        </w:rPr>
      </w:pPr>
      <w:r w:rsidRPr="008509F7">
        <w:rPr>
          <w:rFonts w:ascii="Times New Roman" w:hAnsi="Times New Roman" w:cs="Times New Roman"/>
          <w:bCs/>
          <w:lang w:val="en-US"/>
        </w:rPr>
        <w:t>PEDRO BELLI, JOCK ANDERSON, HOWARD BARNUM, JOHN DIXON, JEE-PENG TAN</w:t>
      </w:r>
      <w:r w:rsidR="00AB06C2" w:rsidRPr="008509F7">
        <w:rPr>
          <w:rFonts w:ascii="Times New Roman" w:hAnsi="Times New Roman" w:cs="Times New Roman"/>
          <w:bCs/>
          <w:lang w:val="en-US"/>
        </w:rPr>
        <w:t xml:space="preserve">. Enero 1998. </w:t>
      </w:r>
      <w:r w:rsidR="00AB06C2" w:rsidRPr="008509F7">
        <w:rPr>
          <w:rFonts w:ascii="Times New Roman" w:hAnsi="Times New Roman" w:cs="Times New Roman"/>
          <w:bCs/>
          <w:i/>
          <w:lang w:val="en-US"/>
        </w:rPr>
        <w:t>Handbook on economic analysis of investment operations</w:t>
      </w:r>
      <w:r w:rsidR="00AB06C2" w:rsidRPr="008509F7">
        <w:rPr>
          <w:rFonts w:ascii="Times New Roman" w:hAnsi="Times New Roman" w:cs="Times New Roman"/>
          <w:bCs/>
          <w:lang w:val="en-US"/>
        </w:rPr>
        <w:t>.</w:t>
      </w:r>
    </w:p>
    <w:p w:rsidR="00AB06C2" w:rsidRPr="008509F7" w:rsidRDefault="00AB06C2" w:rsidP="00AB06C2">
      <w:pPr>
        <w:pStyle w:val="ListParagraph"/>
        <w:rPr>
          <w:rFonts w:ascii="Times New Roman" w:hAnsi="Times New Roman" w:cs="Times New Roman"/>
          <w:lang w:val="en-US"/>
        </w:rPr>
      </w:pPr>
    </w:p>
    <w:p w:rsidR="00AB06C2" w:rsidRPr="008509F7" w:rsidRDefault="00C33E68" w:rsidP="006477F3">
      <w:pPr>
        <w:pStyle w:val="ListParagraph"/>
        <w:numPr>
          <w:ilvl w:val="0"/>
          <w:numId w:val="5"/>
        </w:numPr>
        <w:autoSpaceDE w:val="0"/>
        <w:autoSpaceDN w:val="0"/>
        <w:adjustRightInd w:val="0"/>
        <w:jc w:val="both"/>
        <w:rPr>
          <w:rFonts w:ascii="Times New Roman" w:hAnsi="Times New Roman" w:cs="Times New Roman"/>
        </w:rPr>
      </w:pPr>
      <w:r w:rsidRPr="008509F7">
        <w:rPr>
          <w:rFonts w:ascii="Times New Roman" w:hAnsi="Times New Roman" w:cs="Times New Roman"/>
        </w:rPr>
        <w:t>BANCO DE LA REPÚBLICA DE HAITÍ</w:t>
      </w:r>
      <w:r w:rsidR="00AB06C2" w:rsidRPr="008509F7">
        <w:rPr>
          <w:rFonts w:ascii="Times New Roman" w:hAnsi="Times New Roman" w:cs="Times New Roman"/>
        </w:rPr>
        <w:t xml:space="preserve">. </w:t>
      </w:r>
      <w:hyperlink r:id="rId27" w:history="1">
        <w:r w:rsidR="00AB06C2" w:rsidRPr="008509F7">
          <w:rPr>
            <w:rStyle w:val="Hyperlink"/>
            <w:rFonts w:ascii="Times New Roman" w:hAnsi="Times New Roman" w:cs="Times New Roman"/>
          </w:rPr>
          <w:t>http://www.brh.net</w:t>
        </w:r>
      </w:hyperlink>
      <w:r w:rsidR="00AB06C2" w:rsidRPr="008509F7">
        <w:rPr>
          <w:rFonts w:ascii="Times New Roman" w:hAnsi="Times New Roman" w:cs="Times New Roman"/>
        </w:rPr>
        <w:t>. Marzo 2014.</w:t>
      </w:r>
      <w:r w:rsidR="009C5517" w:rsidRPr="008509F7">
        <w:rPr>
          <w:rFonts w:ascii="Times New Roman" w:hAnsi="Times New Roman" w:cs="Times New Roman"/>
        </w:rPr>
        <w:t xml:space="preserve"> </w:t>
      </w:r>
      <w:r w:rsidR="009C5517" w:rsidRPr="008509F7">
        <w:rPr>
          <w:rFonts w:ascii="Times New Roman" w:hAnsi="Times New Roman" w:cs="Times New Roman"/>
          <w:i/>
        </w:rPr>
        <w:t>Taux de référence</w:t>
      </w:r>
      <w:r w:rsidR="009C5517" w:rsidRPr="008509F7">
        <w:rPr>
          <w:rFonts w:ascii="Times New Roman" w:hAnsi="Times New Roman" w:cs="Times New Roman"/>
        </w:rPr>
        <w:t>.</w:t>
      </w:r>
    </w:p>
    <w:p w:rsidR="009C5517" w:rsidRPr="008509F7" w:rsidRDefault="009C5517" w:rsidP="009C5517">
      <w:pPr>
        <w:pStyle w:val="ListParagraph"/>
        <w:rPr>
          <w:rFonts w:ascii="Times New Roman" w:hAnsi="Times New Roman" w:cs="Times New Roman"/>
        </w:rPr>
      </w:pPr>
    </w:p>
    <w:p w:rsidR="009C5517" w:rsidRPr="00AE3AF3" w:rsidRDefault="00C33E68" w:rsidP="009C5517">
      <w:pPr>
        <w:pStyle w:val="ListParagraph"/>
        <w:numPr>
          <w:ilvl w:val="0"/>
          <w:numId w:val="5"/>
        </w:numPr>
        <w:autoSpaceDE w:val="0"/>
        <w:autoSpaceDN w:val="0"/>
        <w:adjustRightInd w:val="0"/>
        <w:jc w:val="both"/>
        <w:rPr>
          <w:rFonts w:ascii="Times New Roman" w:hAnsi="Times New Roman" w:cs="Times New Roman"/>
          <w:lang w:val="en-US"/>
        </w:rPr>
      </w:pPr>
      <w:r w:rsidRPr="008509F7">
        <w:rPr>
          <w:rFonts w:ascii="Times New Roman" w:hAnsi="Times New Roman" w:cs="Times New Roman"/>
          <w:lang w:val="en-US"/>
        </w:rPr>
        <w:t>WORD TRADE ORGANIZATION</w:t>
      </w:r>
      <w:r w:rsidR="009C5517" w:rsidRPr="008509F7">
        <w:rPr>
          <w:rFonts w:ascii="Times New Roman" w:hAnsi="Times New Roman" w:cs="Times New Roman"/>
          <w:lang w:val="en-US"/>
        </w:rPr>
        <w:t xml:space="preserve">. </w:t>
      </w:r>
      <w:hyperlink r:id="rId28" w:history="1">
        <w:r w:rsidR="009C5517" w:rsidRPr="004639E8">
          <w:rPr>
            <w:rStyle w:val="Hyperlink"/>
            <w:rFonts w:ascii="Times New Roman" w:hAnsi="Times New Roman" w:cs="Times New Roman"/>
            <w:lang w:val="en-US"/>
          </w:rPr>
          <w:t>www.wto.org</w:t>
        </w:r>
      </w:hyperlink>
      <w:r w:rsidR="009C5517" w:rsidRPr="004639E8">
        <w:rPr>
          <w:rFonts w:ascii="Times New Roman" w:hAnsi="Times New Roman" w:cs="Times New Roman"/>
          <w:lang w:val="en-US"/>
        </w:rPr>
        <w:t xml:space="preserve">. </w:t>
      </w:r>
      <w:r w:rsidR="009C5517" w:rsidRPr="00AE3AF3">
        <w:rPr>
          <w:rFonts w:ascii="Times New Roman" w:hAnsi="Times New Roman" w:cs="Times New Roman"/>
          <w:lang w:val="en-US"/>
        </w:rPr>
        <w:t xml:space="preserve">Marzo 2014. </w:t>
      </w:r>
      <w:r w:rsidR="009C5517" w:rsidRPr="00AE3AF3">
        <w:rPr>
          <w:rFonts w:ascii="Times New Roman" w:hAnsi="Times New Roman" w:cs="Times New Roman"/>
          <w:i/>
          <w:lang w:val="en-US"/>
        </w:rPr>
        <w:t>Integrated Database (IDB) notifications.</w:t>
      </w:r>
    </w:p>
    <w:p w:rsidR="003D5047" w:rsidRPr="00AE3AF3" w:rsidRDefault="003D5047" w:rsidP="003D5047">
      <w:pPr>
        <w:pStyle w:val="ListParagraph"/>
        <w:rPr>
          <w:rFonts w:ascii="Times New Roman" w:hAnsi="Times New Roman" w:cs="Times New Roman"/>
          <w:lang w:val="en-US"/>
        </w:rPr>
      </w:pPr>
    </w:p>
    <w:p w:rsidR="003D5047" w:rsidRPr="008509F7" w:rsidRDefault="003D5047" w:rsidP="006477F3">
      <w:pPr>
        <w:pStyle w:val="ListParagraph"/>
        <w:numPr>
          <w:ilvl w:val="0"/>
          <w:numId w:val="5"/>
        </w:numPr>
        <w:autoSpaceDE w:val="0"/>
        <w:autoSpaceDN w:val="0"/>
        <w:adjustRightInd w:val="0"/>
        <w:jc w:val="both"/>
        <w:rPr>
          <w:rFonts w:ascii="Times New Roman" w:hAnsi="Times New Roman" w:cs="Times New Roman"/>
        </w:rPr>
      </w:pPr>
      <w:r w:rsidRPr="008509F7">
        <w:rPr>
          <w:rFonts w:ascii="Times New Roman" w:hAnsi="Times New Roman" w:cs="Times New Roman"/>
        </w:rPr>
        <w:t xml:space="preserve">MARNDR. </w:t>
      </w:r>
      <w:r w:rsidRPr="008509F7">
        <w:rPr>
          <w:rFonts w:ascii="Times New Roman" w:hAnsi="Times New Roman" w:cs="Times New Roman"/>
          <w:i/>
        </w:rPr>
        <w:t>Plan Nacional de Inversión Agrícola</w:t>
      </w:r>
      <w:r w:rsidR="00397F23">
        <w:rPr>
          <w:rFonts w:ascii="Times New Roman" w:hAnsi="Times New Roman" w:cs="Times New Roman"/>
        </w:rPr>
        <w:t xml:space="preserve">, </w:t>
      </w:r>
      <w:r w:rsidRPr="008509F7">
        <w:rPr>
          <w:rFonts w:ascii="Times New Roman" w:hAnsi="Times New Roman" w:cs="Times New Roman"/>
        </w:rPr>
        <w:t xml:space="preserve">Mayo 2010. </w:t>
      </w:r>
      <w:r w:rsidRPr="008509F7">
        <w:rPr>
          <w:rFonts w:ascii="Times New Roman" w:hAnsi="Times New Roman" w:cs="Times New Roman"/>
          <w:i/>
        </w:rPr>
        <w:t>Anexo V: Componente de Refuerzo del acceso a los insumos y servicios agrícolas.</w:t>
      </w:r>
    </w:p>
    <w:p w:rsidR="003D5047" w:rsidRPr="008509F7" w:rsidRDefault="003D5047" w:rsidP="003D5047">
      <w:pPr>
        <w:pStyle w:val="ListParagraph"/>
        <w:rPr>
          <w:rFonts w:ascii="Times New Roman" w:hAnsi="Times New Roman" w:cs="Times New Roman"/>
        </w:rPr>
      </w:pPr>
    </w:p>
    <w:p w:rsidR="003D5047" w:rsidRPr="007D3E25" w:rsidRDefault="003D5047" w:rsidP="006477F3">
      <w:pPr>
        <w:pStyle w:val="ListParagraph"/>
        <w:numPr>
          <w:ilvl w:val="0"/>
          <w:numId w:val="5"/>
        </w:numPr>
        <w:autoSpaceDE w:val="0"/>
        <w:autoSpaceDN w:val="0"/>
        <w:adjustRightInd w:val="0"/>
        <w:jc w:val="both"/>
        <w:rPr>
          <w:rFonts w:ascii="Times New Roman" w:hAnsi="Times New Roman" w:cs="Times New Roman"/>
          <w:lang w:val="fr-FR"/>
        </w:rPr>
      </w:pPr>
      <w:r w:rsidRPr="008509F7">
        <w:rPr>
          <w:rFonts w:ascii="Times New Roman" w:hAnsi="Times New Roman" w:cs="Times New Roman"/>
          <w:lang w:val="fr-FR"/>
        </w:rPr>
        <w:t>MARNDR, Julio</w:t>
      </w:r>
      <w:r w:rsidR="00397F23">
        <w:rPr>
          <w:rFonts w:ascii="Times New Roman" w:hAnsi="Times New Roman" w:cs="Times New Roman"/>
          <w:lang w:val="fr-FR"/>
        </w:rPr>
        <w:t xml:space="preserve"> </w:t>
      </w:r>
      <w:r w:rsidRPr="008509F7">
        <w:rPr>
          <w:rFonts w:ascii="Times New Roman" w:hAnsi="Times New Roman" w:cs="Times New Roman"/>
          <w:lang w:val="fr-FR"/>
        </w:rPr>
        <w:t xml:space="preserve">2005. </w:t>
      </w:r>
      <w:r w:rsidRPr="008509F7">
        <w:rPr>
          <w:rFonts w:ascii="Times New Roman" w:hAnsi="Times New Roman" w:cs="Times New Roman"/>
          <w:i/>
          <w:lang w:val="fr-FR"/>
        </w:rPr>
        <w:t>Identification de créneaux potentiels dans les filières rurales haïtiennes. Rapport de Mission – Caractéristiques du marché du travail en milieu rural.</w:t>
      </w:r>
    </w:p>
    <w:p w:rsidR="007D3E25" w:rsidRPr="007D3E25" w:rsidRDefault="007D3E25" w:rsidP="007D3E25">
      <w:pPr>
        <w:pStyle w:val="ListParagraph"/>
        <w:rPr>
          <w:rFonts w:ascii="Times New Roman" w:hAnsi="Times New Roman" w:cs="Times New Roman"/>
          <w:lang w:val="fr-FR"/>
        </w:rPr>
      </w:pPr>
    </w:p>
    <w:p w:rsidR="00210B17" w:rsidRDefault="007D3E25" w:rsidP="00210B17">
      <w:pPr>
        <w:pStyle w:val="ListParagraph"/>
        <w:rPr>
          <w:rFonts w:ascii="Times New Roman" w:hAnsi="Times New Roman" w:cs="Times New Roman"/>
          <w:b/>
        </w:rPr>
        <w:sectPr w:rsidR="00210B17" w:rsidSect="00210B17">
          <w:headerReference w:type="default" r:id="rId29"/>
          <w:footerReference w:type="default" r:id="rId30"/>
          <w:headerReference w:type="first" r:id="rId31"/>
          <w:footerReference w:type="first" r:id="rId32"/>
          <w:pgSz w:w="12240" w:h="15840" w:code="1"/>
          <w:pgMar w:top="1418" w:right="1701" w:bottom="1985" w:left="1701" w:header="709" w:footer="709" w:gutter="0"/>
          <w:cols w:space="708"/>
          <w:titlePg/>
          <w:docGrid w:linePitch="360"/>
        </w:sectPr>
      </w:pPr>
      <w:r w:rsidRPr="00AE3AF3">
        <w:rPr>
          <w:rFonts w:ascii="Times New Roman" w:hAnsi="Times New Roman" w:cs="Times New Roman"/>
        </w:rPr>
        <w:t xml:space="preserve">FAOSTAT, 2014. </w:t>
      </w:r>
      <w:hyperlink r:id="rId33" w:history="1">
        <w:r w:rsidRPr="00AE3AF3">
          <w:rPr>
            <w:rStyle w:val="Hyperlink"/>
            <w:rFonts w:ascii="Times New Roman" w:hAnsi="Times New Roman" w:cs="Times New Roman"/>
          </w:rPr>
          <w:t>http://faostat.fao.org/</w:t>
        </w:r>
      </w:hyperlink>
      <w:r w:rsidRPr="00AE3AF3">
        <w:rPr>
          <w:rFonts w:ascii="Times New Roman" w:hAnsi="Times New Roman" w:cs="Times New Roman"/>
        </w:rPr>
        <w:t xml:space="preserve">. </w:t>
      </w:r>
      <w:r w:rsidRPr="00CD213E">
        <w:rPr>
          <w:rFonts w:ascii="Times New Roman" w:hAnsi="Times New Roman" w:cs="Times New Roman"/>
        </w:rPr>
        <w:t>Estadísticas sobre rendimientos y precios en finca</w:t>
      </w:r>
      <w:r w:rsidR="00C13F7A" w:rsidRPr="006E2FE2">
        <w:rPr>
          <w:rFonts w:ascii="Times New Roman" w:hAnsi="Times New Roman" w:cs="Times New Roman"/>
        </w:rPr>
        <w:t xml:space="preserve"> en Haití</w:t>
      </w:r>
      <w:r w:rsidRPr="00AF46AE">
        <w:rPr>
          <w:rFonts w:ascii="Times New Roman" w:hAnsi="Times New Roman" w:cs="Times New Roman"/>
        </w:rPr>
        <w:t>.</w:t>
      </w:r>
    </w:p>
    <w:p w:rsidR="00677B46" w:rsidRPr="00210B17" w:rsidRDefault="008576B5">
      <w:pPr>
        <w:pStyle w:val="Heading1"/>
        <w:spacing w:before="0"/>
        <w:rPr>
          <w:rFonts w:ascii="Times New Roman" w:hAnsi="Times New Roman" w:cs="Times New Roman"/>
          <w:color w:val="auto"/>
          <w:sz w:val="24"/>
          <w:szCs w:val="24"/>
        </w:rPr>
      </w:pPr>
      <w:bookmarkStart w:id="84" w:name="_Toc386887963"/>
      <w:bookmarkStart w:id="85" w:name="_Toc380171586"/>
      <w:r w:rsidRPr="00210B17">
        <w:rPr>
          <w:rFonts w:ascii="Times New Roman" w:hAnsi="Times New Roman" w:cs="Times New Roman"/>
          <w:color w:val="auto"/>
          <w:sz w:val="24"/>
          <w:szCs w:val="24"/>
        </w:rPr>
        <w:lastRenderedPageBreak/>
        <w:t xml:space="preserve">ANEXO I: </w:t>
      </w:r>
      <w:r w:rsidR="00677B46" w:rsidRPr="00210B17">
        <w:rPr>
          <w:rFonts w:ascii="Times New Roman" w:hAnsi="Times New Roman" w:cs="Times New Roman"/>
          <w:color w:val="auto"/>
          <w:sz w:val="24"/>
          <w:szCs w:val="24"/>
        </w:rPr>
        <w:t>ESTIMACIÓN DE LOS PRECIOS ECONÓMICOS DE LOS PRODU</w:t>
      </w:r>
      <w:r w:rsidR="006A0A9C" w:rsidRPr="00210B17">
        <w:rPr>
          <w:rFonts w:ascii="Times New Roman" w:hAnsi="Times New Roman" w:cs="Times New Roman"/>
          <w:color w:val="auto"/>
          <w:sz w:val="24"/>
          <w:szCs w:val="24"/>
        </w:rPr>
        <w:t>C</w:t>
      </w:r>
      <w:r w:rsidR="00677B46" w:rsidRPr="00210B17">
        <w:rPr>
          <w:rFonts w:ascii="Times New Roman" w:hAnsi="Times New Roman" w:cs="Times New Roman"/>
          <w:color w:val="auto"/>
          <w:sz w:val="24"/>
          <w:szCs w:val="24"/>
        </w:rPr>
        <w:t>TOS</w:t>
      </w:r>
      <w:bookmarkEnd w:id="84"/>
    </w:p>
    <w:p w:rsidR="00210B17" w:rsidRDefault="00210B17" w:rsidP="006669FF">
      <w:pPr>
        <w:rPr>
          <w:rFonts w:ascii="Times New Roman" w:hAnsi="Times New Roman" w:cs="Times New Roman"/>
          <w:sz w:val="24"/>
          <w:szCs w:val="24"/>
        </w:rPr>
      </w:pPr>
    </w:p>
    <w:p w:rsidR="006669FF" w:rsidRDefault="006669FF" w:rsidP="006669FF">
      <w:pPr>
        <w:rPr>
          <w:rFonts w:ascii="Times New Roman" w:hAnsi="Times New Roman" w:cs="Times New Roman"/>
          <w:sz w:val="24"/>
          <w:szCs w:val="24"/>
        </w:rPr>
      </w:pPr>
    </w:p>
    <w:p w:rsidR="006669FF" w:rsidRDefault="006669FF" w:rsidP="00210B17">
      <w:pPr>
        <w:rPr>
          <w:rFonts w:ascii="Times New Roman" w:hAnsi="Times New Roman" w:cs="Times New Roman"/>
          <w:sz w:val="24"/>
          <w:szCs w:val="24"/>
        </w:rPr>
        <w:sectPr w:rsidR="006669FF" w:rsidSect="00210B17">
          <w:pgSz w:w="15840" w:h="12240" w:orient="landscape" w:code="1"/>
          <w:pgMar w:top="1701" w:right="1418" w:bottom="1701" w:left="1985" w:header="709" w:footer="709" w:gutter="0"/>
          <w:cols w:space="708"/>
          <w:titlePg/>
          <w:docGrid w:linePitch="360"/>
        </w:sectPr>
      </w:pPr>
      <w:r w:rsidRPr="006669FF">
        <w:rPr>
          <w:noProof/>
          <w:lang w:val="en-US"/>
        </w:rPr>
        <w:drawing>
          <wp:anchor distT="0" distB="0" distL="114300" distR="114300" simplePos="0" relativeHeight="251692032" behindDoc="0" locked="0" layoutInCell="1" allowOverlap="1" wp14:anchorId="6C5352D0" wp14:editId="539CEF05">
            <wp:simplePos x="0" y="0"/>
            <wp:positionH relativeFrom="column">
              <wp:posOffset>-498475</wp:posOffset>
            </wp:positionH>
            <wp:positionV relativeFrom="paragraph">
              <wp:posOffset>1270</wp:posOffset>
            </wp:positionV>
            <wp:extent cx="8572500" cy="4809490"/>
            <wp:effectExtent l="0" t="0" r="0" b="0"/>
            <wp:wrapTopAndBottom/>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572500" cy="4809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5F43" w:rsidRPr="00210B17" w:rsidRDefault="00677B46" w:rsidP="00210B17">
      <w:pPr>
        <w:pStyle w:val="Heading1"/>
        <w:spacing w:before="0"/>
        <w:rPr>
          <w:rFonts w:ascii="Times New Roman" w:hAnsi="Times New Roman" w:cs="Times New Roman"/>
          <w:color w:val="auto"/>
          <w:sz w:val="24"/>
          <w:szCs w:val="24"/>
        </w:rPr>
      </w:pPr>
      <w:bookmarkStart w:id="86" w:name="_Toc386887964"/>
      <w:r>
        <w:rPr>
          <w:rFonts w:ascii="Times New Roman" w:hAnsi="Times New Roman" w:cs="Times New Roman"/>
          <w:color w:val="auto"/>
          <w:sz w:val="24"/>
          <w:szCs w:val="24"/>
        </w:rPr>
        <w:lastRenderedPageBreak/>
        <w:t xml:space="preserve">ANEXO II: </w:t>
      </w:r>
      <w:r w:rsidR="008576B5" w:rsidRPr="004639E8">
        <w:rPr>
          <w:rFonts w:ascii="Times New Roman" w:hAnsi="Times New Roman" w:cs="Times New Roman"/>
          <w:color w:val="auto"/>
          <w:sz w:val="24"/>
          <w:szCs w:val="24"/>
        </w:rPr>
        <w:t>LIBRO DE HIPÓTESIS DEL ACB</w:t>
      </w:r>
      <w:bookmarkEnd w:id="86"/>
    </w:p>
    <w:p w:rsidR="00297E0C" w:rsidRDefault="00297E0C" w:rsidP="00297E0C"/>
    <w:p w:rsidR="009F1CE9" w:rsidRDefault="009F1CE9" w:rsidP="00297E0C"/>
    <w:tbl>
      <w:tblPr>
        <w:tblStyle w:val="TableGrid"/>
        <w:tblW w:w="10953" w:type="dxa"/>
        <w:jc w:val="center"/>
        <w:tblInd w:w="712" w:type="dxa"/>
        <w:tblLayout w:type="fixed"/>
        <w:tblCellMar>
          <w:top w:w="85" w:type="dxa"/>
          <w:bottom w:w="85" w:type="dxa"/>
        </w:tblCellMar>
        <w:tblLook w:val="04A0" w:firstRow="1" w:lastRow="0" w:firstColumn="1" w:lastColumn="0" w:noHBand="0" w:noVBand="1"/>
      </w:tblPr>
      <w:tblGrid>
        <w:gridCol w:w="1181"/>
        <w:gridCol w:w="1437"/>
        <w:gridCol w:w="5651"/>
        <w:gridCol w:w="37"/>
        <w:gridCol w:w="2610"/>
        <w:gridCol w:w="37"/>
      </w:tblGrid>
      <w:tr w:rsidR="009F1CE9" w:rsidRPr="00B66842" w:rsidTr="00AF46AE">
        <w:trPr>
          <w:trHeight w:val="510"/>
          <w:jc w:val="center"/>
        </w:trPr>
        <w:tc>
          <w:tcPr>
            <w:tcW w:w="10953" w:type="dxa"/>
            <w:gridSpan w:val="6"/>
            <w:shd w:val="clear" w:color="auto" w:fill="BFBFBF" w:themeFill="background1" w:themeFillShade="BF"/>
            <w:vAlign w:val="center"/>
          </w:tcPr>
          <w:p w:rsidR="009F1CE9" w:rsidRPr="00B66842" w:rsidRDefault="009F1CE9" w:rsidP="00AF46AE">
            <w:pPr>
              <w:pStyle w:val="Default"/>
              <w:tabs>
                <w:tab w:val="center" w:pos="4320"/>
                <w:tab w:val="right" w:pos="8640"/>
              </w:tabs>
              <w:jc w:val="center"/>
              <w:rPr>
                <w:b/>
                <w:sz w:val="18"/>
                <w:lang w:val="es-ES"/>
              </w:rPr>
            </w:pPr>
            <w:r>
              <w:rPr>
                <w:b/>
                <w:sz w:val="18"/>
                <w:lang w:val="es-ES"/>
              </w:rPr>
              <w:t>HIPÓTESIS GENERALES</w:t>
            </w:r>
          </w:p>
        </w:tc>
      </w:tr>
      <w:tr w:rsidR="009F1CE9" w:rsidRPr="00B66842" w:rsidTr="00AE3AF3">
        <w:trPr>
          <w:trHeight w:val="675"/>
          <w:jc w:val="center"/>
        </w:trPr>
        <w:tc>
          <w:tcPr>
            <w:tcW w:w="1181" w:type="dxa"/>
            <w:shd w:val="clear" w:color="auto" w:fill="D9D9D9" w:themeFill="background1" w:themeFillShade="D9"/>
            <w:vAlign w:val="center"/>
          </w:tcPr>
          <w:p w:rsidR="009F1CE9" w:rsidRPr="00B66842" w:rsidRDefault="009F1CE9" w:rsidP="00AF46AE">
            <w:pPr>
              <w:pStyle w:val="Default"/>
              <w:jc w:val="center"/>
              <w:rPr>
                <w:b/>
                <w:sz w:val="18"/>
                <w:lang w:val="es-ES"/>
              </w:rPr>
            </w:pPr>
            <w:r w:rsidRPr="00B66842">
              <w:rPr>
                <w:b/>
                <w:sz w:val="18"/>
                <w:lang w:val="es-ES"/>
              </w:rPr>
              <w:t>Elemento del ACB</w:t>
            </w:r>
          </w:p>
        </w:tc>
        <w:tc>
          <w:tcPr>
            <w:tcW w:w="1437" w:type="dxa"/>
            <w:shd w:val="clear" w:color="auto" w:fill="D9D9D9" w:themeFill="background1" w:themeFillShade="D9"/>
            <w:vAlign w:val="center"/>
          </w:tcPr>
          <w:p w:rsidR="009F1CE9" w:rsidRPr="00B66842" w:rsidRDefault="009F1CE9" w:rsidP="00AF46AE">
            <w:pPr>
              <w:pStyle w:val="Default"/>
              <w:jc w:val="center"/>
              <w:rPr>
                <w:rFonts w:eastAsia="MS Mincho"/>
                <w:sz w:val="18"/>
                <w:lang w:val="es-ES" w:eastAsia="ja-JP"/>
              </w:rPr>
            </w:pPr>
            <w:r w:rsidRPr="00B66842">
              <w:rPr>
                <w:b/>
                <w:sz w:val="18"/>
                <w:lang w:val="es-ES"/>
              </w:rPr>
              <w:t>Input / Hipótesis</w:t>
            </w:r>
          </w:p>
        </w:tc>
        <w:tc>
          <w:tcPr>
            <w:tcW w:w="5688" w:type="dxa"/>
            <w:gridSpan w:val="2"/>
            <w:shd w:val="clear" w:color="auto" w:fill="D9D9D9" w:themeFill="background1" w:themeFillShade="D9"/>
            <w:vAlign w:val="center"/>
          </w:tcPr>
          <w:p w:rsidR="009F1CE9" w:rsidRPr="00B66842" w:rsidRDefault="009F1CE9" w:rsidP="00AF46AE">
            <w:pPr>
              <w:pStyle w:val="Default"/>
              <w:jc w:val="center"/>
              <w:rPr>
                <w:b/>
                <w:sz w:val="18"/>
                <w:lang w:val="es-ES"/>
              </w:rPr>
            </w:pPr>
            <w:r w:rsidRPr="00B66842">
              <w:rPr>
                <w:b/>
                <w:sz w:val="18"/>
                <w:lang w:val="es-ES"/>
              </w:rPr>
              <w:t>Valor / Cálculo</w:t>
            </w:r>
          </w:p>
        </w:tc>
        <w:tc>
          <w:tcPr>
            <w:tcW w:w="2647" w:type="dxa"/>
            <w:gridSpan w:val="2"/>
            <w:shd w:val="clear" w:color="auto" w:fill="D9D9D9" w:themeFill="background1" w:themeFillShade="D9"/>
            <w:vAlign w:val="center"/>
          </w:tcPr>
          <w:p w:rsidR="009F1CE9" w:rsidRPr="00B66842" w:rsidRDefault="009F1CE9" w:rsidP="00AF46AE">
            <w:pPr>
              <w:pStyle w:val="Default"/>
              <w:tabs>
                <w:tab w:val="center" w:pos="4320"/>
                <w:tab w:val="right" w:pos="8640"/>
              </w:tabs>
              <w:jc w:val="center"/>
              <w:rPr>
                <w:b/>
                <w:sz w:val="18"/>
                <w:lang w:val="es-ES"/>
              </w:rPr>
            </w:pPr>
            <w:r w:rsidRPr="00B66842">
              <w:rPr>
                <w:b/>
                <w:sz w:val="18"/>
                <w:lang w:val="es-ES"/>
              </w:rPr>
              <w:t>Fuente de Información Utilizada</w:t>
            </w:r>
          </w:p>
        </w:tc>
      </w:tr>
      <w:tr w:rsidR="009F1CE9" w:rsidRPr="00C355C3" w:rsidTr="00AE3AF3">
        <w:trPr>
          <w:jc w:val="center"/>
        </w:trPr>
        <w:tc>
          <w:tcPr>
            <w:tcW w:w="1181" w:type="dxa"/>
            <w:vAlign w:val="center"/>
          </w:tcPr>
          <w:p w:rsidR="009F1CE9" w:rsidRPr="00B66842"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Tasa de Cambio USD / HTG</w:t>
            </w:r>
          </w:p>
        </w:tc>
        <w:tc>
          <w:tcPr>
            <w:tcW w:w="1437" w:type="dxa"/>
            <w:vAlign w:val="center"/>
          </w:tcPr>
          <w:p w:rsidR="009F1CE9" w:rsidRPr="00B66842"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Tasa de cambio constante</w:t>
            </w:r>
          </w:p>
        </w:tc>
        <w:tc>
          <w:tcPr>
            <w:tcW w:w="5688" w:type="dxa"/>
            <w:gridSpan w:val="2"/>
            <w:vAlign w:val="center"/>
          </w:tcPr>
          <w:p w:rsidR="009F1CE9" w:rsidRPr="00B66842" w:rsidRDefault="009F1CE9" w:rsidP="00AF46AE">
            <w:pPr>
              <w:pStyle w:val="Default"/>
              <w:jc w:val="center"/>
              <w:rPr>
                <w:color w:val="auto"/>
                <w:sz w:val="18"/>
                <w:lang w:val="es-ES"/>
              </w:rPr>
            </w:pPr>
            <w:r>
              <w:rPr>
                <w:color w:val="auto"/>
                <w:sz w:val="18"/>
                <w:lang w:val="es-ES"/>
              </w:rPr>
              <w:t>44,5462 USD / HTG</w:t>
            </w:r>
          </w:p>
        </w:tc>
        <w:tc>
          <w:tcPr>
            <w:tcW w:w="2647" w:type="dxa"/>
            <w:gridSpan w:val="2"/>
            <w:vAlign w:val="center"/>
          </w:tcPr>
          <w:p w:rsidR="009F1CE9" w:rsidRPr="006E165E" w:rsidRDefault="009F1CE9" w:rsidP="00AF46AE">
            <w:pPr>
              <w:pStyle w:val="Default"/>
              <w:tabs>
                <w:tab w:val="center" w:pos="4320"/>
                <w:tab w:val="right" w:pos="8640"/>
              </w:tabs>
              <w:spacing w:before="96" w:after="96"/>
              <w:jc w:val="center"/>
              <w:rPr>
                <w:color w:val="auto"/>
                <w:sz w:val="16"/>
                <w:szCs w:val="16"/>
                <w:lang w:val="es-ES"/>
              </w:rPr>
            </w:pPr>
            <w:r w:rsidRPr="006E165E">
              <w:rPr>
                <w:color w:val="auto"/>
                <w:sz w:val="16"/>
                <w:szCs w:val="16"/>
                <w:lang w:val="es-ES"/>
              </w:rPr>
              <w:t xml:space="preserve">Banco de la República de Haití, cotización de 20 de marzo de 2014. </w:t>
            </w:r>
            <w:hyperlink r:id="rId35" w:history="1">
              <w:r w:rsidRPr="006E165E">
                <w:rPr>
                  <w:rStyle w:val="Hyperlink"/>
                  <w:sz w:val="16"/>
                  <w:szCs w:val="16"/>
                  <w:lang w:val="es-ES"/>
                </w:rPr>
                <w:t>www.brh.net/tauxdujour.htm</w:t>
              </w:r>
            </w:hyperlink>
          </w:p>
        </w:tc>
      </w:tr>
      <w:tr w:rsidR="009F1CE9" w:rsidRPr="00406BE9" w:rsidTr="00AE3AF3">
        <w:trPr>
          <w:jc w:val="center"/>
        </w:trPr>
        <w:tc>
          <w:tcPr>
            <w:tcW w:w="2618" w:type="dxa"/>
            <w:gridSpan w:val="2"/>
            <w:vAlign w:val="center"/>
          </w:tcPr>
          <w:p w:rsidR="009F1CE9" w:rsidRPr="00406BE9" w:rsidRDefault="009F1CE9" w:rsidP="00AF46AE">
            <w:pPr>
              <w:rPr>
                <w:rFonts w:ascii="Times New Roman" w:eastAsia="MS Mincho" w:hAnsi="Times New Roman" w:cs="Times New Roman"/>
                <w:b/>
                <w:sz w:val="18"/>
                <w:szCs w:val="24"/>
                <w:lang w:eastAsia="ja-JP"/>
              </w:rPr>
            </w:pPr>
            <w:r w:rsidRPr="00406BE9">
              <w:rPr>
                <w:rFonts w:ascii="Times New Roman" w:eastAsia="MS Mincho" w:hAnsi="Times New Roman" w:cs="Times New Roman"/>
                <w:b/>
                <w:sz w:val="18"/>
                <w:szCs w:val="24"/>
                <w:lang w:eastAsia="ja-JP"/>
              </w:rPr>
              <w:t>Periodo de análisis</w:t>
            </w:r>
          </w:p>
        </w:tc>
        <w:tc>
          <w:tcPr>
            <w:tcW w:w="5688" w:type="dxa"/>
            <w:gridSpan w:val="2"/>
            <w:vAlign w:val="center"/>
          </w:tcPr>
          <w:p w:rsidR="009F1CE9" w:rsidRPr="00B66842" w:rsidRDefault="009F1CE9" w:rsidP="00AF46AE">
            <w:pPr>
              <w:pStyle w:val="Default"/>
              <w:jc w:val="center"/>
              <w:rPr>
                <w:noProof/>
                <w:color w:val="auto"/>
                <w:sz w:val="18"/>
                <w:lang w:val="es-ES" w:eastAsia="es-ES"/>
              </w:rPr>
            </w:pPr>
            <w:r>
              <w:rPr>
                <w:noProof/>
                <w:color w:val="auto"/>
                <w:sz w:val="18"/>
                <w:lang w:val="es-ES" w:eastAsia="es-ES"/>
              </w:rPr>
              <w:t>15 años</w:t>
            </w:r>
          </w:p>
        </w:tc>
        <w:tc>
          <w:tcPr>
            <w:tcW w:w="2647" w:type="dxa"/>
            <w:gridSpan w:val="2"/>
            <w:vAlign w:val="center"/>
          </w:tcPr>
          <w:p w:rsidR="009F1CE9" w:rsidRPr="006E165E" w:rsidRDefault="009F1CE9" w:rsidP="00AF46AE">
            <w:pPr>
              <w:pStyle w:val="Default"/>
              <w:tabs>
                <w:tab w:val="center" w:pos="4320"/>
                <w:tab w:val="right" w:pos="8640"/>
              </w:tabs>
              <w:spacing w:before="96" w:after="96"/>
              <w:jc w:val="center"/>
              <w:rPr>
                <w:color w:val="auto"/>
                <w:sz w:val="16"/>
                <w:szCs w:val="16"/>
                <w:lang w:val="es-ES"/>
              </w:rPr>
            </w:pPr>
            <w:r w:rsidRPr="006E165E">
              <w:rPr>
                <w:color w:val="auto"/>
                <w:sz w:val="16"/>
                <w:szCs w:val="16"/>
                <w:lang w:val="es-ES"/>
              </w:rPr>
              <w:t>Elaboración propia</w:t>
            </w:r>
          </w:p>
        </w:tc>
      </w:tr>
      <w:tr w:rsidR="009F1CE9" w:rsidRPr="00406BE9" w:rsidTr="00AE3AF3">
        <w:trPr>
          <w:trHeight w:val="334"/>
          <w:jc w:val="center"/>
        </w:trPr>
        <w:tc>
          <w:tcPr>
            <w:tcW w:w="1181" w:type="dxa"/>
            <w:tcBorders>
              <w:left w:val="single" w:sz="4" w:space="0" w:color="FFFFFF" w:themeColor="background1"/>
              <w:right w:val="single" w:sz="4" w:space="0" w:color="FFFFFF" w:themeColor="background1"/>
            </w:tcBorders>
            <w:vAlign w:val="center"/>
          </w:tcPr>
          <w:p w:rsidR="009F1CE9" w:rsidRPr="00B66842" w:rsidRDefault="009F1CE9" w:rsidP="00AF46AE">
            <w:pPr>
              <w:rPr>
                <w:rFonts w:ascii="Times New Roman" w:eastAsia="MS Mincho" w:hAnsi="Times New Roman" w:cs="Times New Roman"/>
                <w:b/>
                <w:sz w:val="18"/>
                <w:szCs w:val="24"/>
                <w:lang w:eastAsia="ja-JP"/>
              </w:rPr>
            </w:pPr>
          </w:p>
        </w:tc>
        <w:tc>
          <w:tcPr>
            <w:tcW w:w="1437" w:type="dxa"/>
            <w:tcBorders>
              <w:left w:val="single" w:sz="4" w:space="0" w:color="FFFFFF" w:themeColor="background1"/>
              <w:right w:val="single" w:sz="4" w:space="0" w:color="FFFFFF" w:themeColor="background1"/>
            </w:tcBorders>
            <w:vAlign w:val="center"/>
          </w:tcPr>
          <w:p w:rsidR="009F1CE9" w:rsidRPr="00B66842" w:rsidRDefault="009F1CE9" w:rsidP="00AF46AE">
            <w:pPr>
              <w:rPr>
                <w:rFonts w:ascii="Times New Roman" w:eastAsia="MS Mincho" w:hAnsi="Times New Roman" w:cs="Times New Roman"/>
                <w:sz w:val="18"/>
                <w:szCs w:val="24"/>
                <w:lang w:eastAsia="ja-JP"/>
              </w:rPr>
            </w:pPr>
          </w:p>
        </w:tc>
        <w:tc>
          <w:tcPr>
            <w:tcW w:w="5688" w:type="dxa"/>
            <w:gridSpan w:val="2"/>
            <w:tcBorders>
              <w:left w:val="single" w:sz="4" w:space="0" w:color="FFFFFF" w:themeColor="background1"/>
              <w:right w:val="single" w:sz="4" w:space="0" w:color="FFFFFF" w:themeColor="background1"/>
            </w:tcBorders>
            <w:vAlign w:val="center"/>
          </w:tcPr>
          <w:p w:rsidR="009F1CE9" w:rsidRDefault="009F1CE9" w:rsidP="00AF46AE">
            <w:pPr>
              <w:pStyle w:val="Default"/>
              <w:rPr>
                <w:color w:val="auto"/>
                <w:sz w:val="18"/>
                <w:lang w:val="es-ES"/>
              </w:rPr>
            </w:pPr>
          </w:p>
          <w:p w:rsidR="009F1CE9" w:rsidRPr="00B66842" w:rsidRDefault="009F1CE9" w:rsidP="00AF46AE">
            <w:pPr>
              <w:pStyle w:val="Default"/>
              <w:rPr>
                <w:color w:val="auto"/>
                <w:sz w:val="18"/>
                <w:lang w:val="es-ES"/>
              </w:rPr>
            </w:pPr>
          </w:p>
          <w:p w:rsidR="009F1CE9" w:rsidRPr="00B66842" w:rsidRDefault="009F1CE9" w:rsidP="00AF46AE">
            <w:pPr>
              <w:pStyle w:val="Default"/>
              <w:rPr>
                <w:color w:val="auto"/>
                <w:sz w:val="18"/>
                <w:lang w:val="es-ES"/>
              </w:rPr>
            </w:pPr>
          </w:p>
        </w:tc>
        <w:tc>
          <w:tcPr>
            <w:tcW w:w="2647" w:type="dxa"/>
            <w:gridSpan w:val="2"/>
            <w:tcBorders>
              <w:left w:val="single" w:sz="4" w:space="0" w:color="FFFFFF" w:themeColor="background1"/>
              <w:right w:val="single" w:sz="4" w:space="0" w:color="FFFFFF" w:themeColor="background1"/>
            </w:tcBorders>
            <w:vAlign w:val="center"/>
          </w:tcPr>
          <w:p w:rsidR="009F1CE9" w:rsidRPr="00406BE9" w:rsidRDefault="009F1CE9" w:rsidP="00AF46AE">
            <w:pPr>
              <w:pStyle w:val="Default"/>
              <w:tabs>
                <w:tab w:val="center" w:pos="4320"/>
                <w:tab w:val="right" w:pos="8640"/>
              </w:tabs>
              <w:spacing w:before="96" w:after="96"/>
              <w:jc w:val="center"/>
              <w:rPr>
                <w:color w:val="auto"/>
                <w:sz w:val="18"/>
                <w:szCs w:val="18"/>
                <w:lang w:val="es-ES"/>
              </w:rPr>
            </w:pPr>
          </w:p>
        </w:tc>
      </w:tr>
      <w:tr w:rsidR="009F1CE9" w:rsidRPr="00277209" w:rsidTr="00AF46AE">
        <w:trPr>
          <w:trHeight w:val="621"/>
          <w:jc w:val="center"/>
        </w:trPr>
        <w:tc>
          <w:tcPr>
            <w:tcW w:w="10953" w:type="dxa"/>
            <w:gridSpan w:val="6"/>
            <w:shd w:val="clear" w:color="auto" w:fill="BFBFBF" w:themeFill="background1" w:themeFillShade="BF"/>
            <w:vAlign w:val="center"/>
          </w:tcPr>
          <w:p w:rsidR="009F1CE9" w:rsidRPr="00277209" w:rsidRDefault="009F1CE9" w:rsidP="00AF46AE">
            <w:pPr>
              <w:pStyle w:val="Default"/>
              <w:tabs>
                <w:tab w:val="center" w:pos="4320"/>
                <w:tab w:val="right" w:pos="8640"/>
              </w:tabs>
              <w:spacing w:before="96" w:after="96"/>
              <w:jc w:val="center"/>
              <w:rPr>
                <w:b/>
                <w:color w:val="auto"/>
                <w:sz w:val="18"/>
                <w:szCs w:val="18"/>
                <w:lang w:val="es-ES"/>
              </w:rPr>
            </w:pPr>
            <w:r>
              <w:rPr>
                <w:b/>
                <w:color w:val="auto"/>
                <w:sz w:val="18"/>
                <w:szCs w:val="18"/>
                <w:lang w:val="es-ES"/>
              </w:rPr>
              <w:t>HIPÓSTESIS DE ESTIMACIÓN DE BENEFICIOS</w:t>
            </w:r>
          </w:p>
        </w:tc>
      </w:tr>
      <w:tr w:rsidR="009F1CE9" w:rsidRPr="00406BE9" w:rsidTr="00AF46AE">
        <w:trPr>
          <w:trHeight w:val="621"/>
          <w:jc w:val="center"/>
        </w:trPr>
        <w:tc>
          <w:tcPr>
            <w:tcW w:w="10953" w:type="dxa"/>
            <w:gridSpan w:val="6"/>
            <w:shd w:val="clear" w:color="auto" w:fill="D9D9D9" w:themeFill="background1" w:themeFillShade="D9"/>
            <w:vAlign w:val="center"/>
          </w:tcPr>
          <w:p w:rsidR="009F1CE9" w:rsidRPr="00406BE9" w:rsidRDefault="009F1CE9" w:rsidP="00AF46AE">
            <w:pPr>
              <w:pStyle w:val="Default"/>
              <w:tabs>
                <w:tab w:val="center" w:pos="4320"/>
                <w:tab w:val="right" w:pos="8640"/>
              </w:tabs>
              <w:spacing w:before="96" w:after="96"/>
              <w:jc w:val="center"/>
              <w:rPr>
                <w:color w:val="auto"/>
                <w:sz w:val="18"/>
                <w:szCs w:val="18"/>
                <w:lang w:val="es-ES"/>
              </w:rPr>
            </w:pPr>
            <w:r>
              <w:rPr>
                <w:b/>
                <w:sz w:val="18"/>
                <w:lang w:val="es-ES"/>
              </w:rPr>
              <w:t>HIPÓTESIS COMUNES A TODOS LOS BENEFICIOS</w:t>
            </w:r>
          </w:p>
        </w:tc>
      </w:tr>
      <w:tr w:rsidR="009F1CE9" w:rsidRPr="00B66842" w:rsidTr="00AE3AF3">
        <w:trPr>
          <w:trHeight w:val="621"/>
          <w:jc w:val="center"/>
        </w:trPr>
        <w:tc>
          <w:tcPr>
            <w:tcW w:w="2618" w:type="dxa"/>
            <w:gridSpan w:val="2"/>
            <w:vAlign w:val="center"/>
          </w:tcPr>
          <w:p w:rsidR="009F1CE9" w:rsidRPr="00B66842"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Plazo de consecución de los beneficios esperados</w:t>
            </w:r>
          </w:p>
        </w:tc>
        <w:tc>
          <w:tcPr>
            <w:tcW w:w="5688" w:type="dxa"/>
            <w:gridSpan w:val="2"/>
            <w:vAlign w:val="center"/>
          </w:tcPr>
          <w:tbl>
            <w:tblPr>
              <w:tblW w:w="2972" w:type="dxa"/>
              <w:jc w:val="center"/>
              <w:tblBorders>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1116"/>
              <w:gridCol w:w="1856"/>
            </w:tblGrid>
            <w:tr w:rsidR="009F1CE9" w:rsidRPr="00406BE9" w:rsidTr="00AF46AE">
              <w:trPr>
                <w:trHeight w:val="300"/>
                <w:jc w:val="center"/>
              </w:trPr>
              <w:tc>
                <w:tcPr>
                  <w:tcW w:w="111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Año 1</w:t>
                  </w:r>
                </w:p>
              </w:tc>
              <w:tc>
                <w:tcPr>
                  <w:tcW w:w="185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20%</w:t>
                  </w:r>
                </w:p>
              </w:tc>
            </w:tr>
            <w:tr w:rsidR="009F1CE9" w:rsidRPr="00406BE9" w:rsidTr="00AF46AE">
              <w:trPr>
                <w:trHeight w:val="285"/>
                <w:jc w:val="center"/>
              </w:trPr>
              <w:tc>
                <w:tcPr>
                  <w:tcW w:w="111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Año 2</w:t>
                  </w:r>
                </w:p>
              </w:tc>
              <w:tc>
                <w:tcPr>
                  <w:tcW w:w="185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40%</w:t>
                  </w:r>
                </w:p>
              </w:tc>
            </w:tr>
            <w:tr w:rsidR="009F1CE9" w:rsidRPr="00406BE9" w:rsidTr="00AF46AE">
              <w:trPr>
                <w:trHeight w:val="285"/>
                <w:jc w:val="center"/>
              </w:trPr>
              <w:tc>
                <w:tcPr>
                  <w:tcW w:w="111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Año 3</w:t>
                  </w:r>
                </w:p>
              </w:tc>
              <w:tc>
                <w:tcPr>
                  <w:tcW w:w="185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60%</w:t>
                  </w:r>
                </w:p>
              </w:tc>
            </w:tr>
            <w:tr w:rsidR="009F1CE9" w:rsidRPr="00406BE9" w:rsidTr="00AF46AE">
              <w:trPr>
                <w:trHeight w:val="285"/>
                <w:jc w:val="center"/>
              </w:trPr>
              <w:tc>
                <w:tcPr>
                  <w:tcW w:w="111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Año 4</w:t>
                  </w:r>
                </w:p>
              </w:tc>
              <w:tc>
                <w:tcPr>
                  <w:tcW w:w="185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80%</w:t>
                  </w:r>
                </w:p>
              </w:tc>
            </w:tr>
            <w:tr w:rsidR="009F1CE9" w:rsidRPr="00406BE9" w:rsidTr="00AF46AE">
              <w:trPr>
                <w:trHeight w:val="285"/>
                <w:jc w:val="center"/>
              </w:trPr>
              <w:tc>
                <w:tcPr>
                  <w:tcW w:w="111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Año 5</w:t>
                  </w:r>
                </w:p>
              </w:tc>
              <w:tc>
                <w:tcPr>
                  <w:tcW w:w="1856" w:type="dxa"/>
                  <w:shd w:val="clear" w:color="000000" w:fill="D9D9D9"/>
                  <w:noWrap/>
                  <w:vAlign w:val="center"/>
                  <w:hideMark/>
                </w:tcPr>
                <w:p w:rsidR="009F1CE9" w:rsidRPr="00406BE9" w:rsidRDefault="009F1CE9" w:rsidP="00AF46AE">
                  <w:pPr>
                    <w:spacing w:line="240" w:lineRule="auto"/>
                    <w:jc w:val="center"/>
                    <w:rPr>
                      <w:rFonts w:ascii="Times New Roman" w:eastAsia="Times New Roman" w:hAnsi="Times New Roman" w:cs="Times New Roman"/>
                      <w:sz w:val="18"/>
                      <w:szCs w:val="18"/>
                      <w:lang w:eastAsia="es-ES"/>
                    </w:rPr>
                  </w:pPr>
                  <w:r w:rsidRPr="00406BE9">
                    <w:rPr>
                      <w:rFonts w:ascii="Times New Roman" w:eastAsia="Times New Roman" w:hAnsi="Times New Roman" w:cs="Times New Roman"/>
                      <w:sz w:val="18"/>
                      <w:szCs w:val="18"/>
                      <w:lang w:eastAsia="es-ES"/>
                    </w:rPr>
                    <w:t>100%</w:t>
                  </w:r>
                </w:p>
              </w:tc>
            </w:tr>
          </w:tbl>
          <w:p w:rsidR="009F1CE9" w:rsidRPr="00B66842" w:rsidRDefault="009F1CE9" w:rsidP="00AF46AE">
            <w:pPr>
              <w:pStyle w:val="Default"/>
              <w:jc w:val="center"/>
              <w:rPr>
                <w:color w:val="auto"/>
                <w:sz w:val="18"/>
                <w:lang w:val="es-ES"/>
              </w:rPr>
            </w:pPr>
          </w:p>
        </w:tc>
        <w:tc>
          <w:tcPr>
            <w:tcW w:w="2647" w:type="dxa"/>
            <w:gridSpan w:val="2"/>
            <w:vAlign w:val="center"/>
          </w:tcPr>
          <w:p w:rsidR="009F1CE9" w:rsidRPr="00B66842" w:rsidRDefault="009F1CE9" w:rsidP="00AF46AE">
            <w:pPr>
              <w:pStyle w:val="Default"/>
              <w:tabs>
                <w:tab w:val="center" w:pos="4320"/>
                <w:tab w:val="right" w:pos="8640"/>
              </w:tabs>
              <w:spacing w:before="96" w:after="96"/>
              <w:jc w:val="center"/>
              <w:rPr>
                <w:color w:val="auto"/>
                <w:sz w:val="18"/>
                <w:highlight w:val="yellow"/>
                <w:lang w:val="es-ES"/>
              </w:rPr>
            </w:pPr>
            <w:r w:rsidRPr="006E165E">
              <w:rPr>
                <w:color w:val="auto"/>
                <w:sz w:val="16"/>
                <w:lang w:val="es-ES"/>
              </w:rPr>
              <w:t>Elaboración propia con base en el plazo de ejecución del Programa</w:t>
            </w:r>
          </w:p>
        </w:tc>
      </w:tr>
      <w:tr w:rsidR="009F1CE9" w:rsidRPr="00B66842" w:rsidTr="00AF46AE">
        <w:trPr>
          <w:trHeight w:val="621"/>
          <w:jc w:val="center"/>
        </w:trPr>
        <w:tc>
          <w:tcPr>
            <w:tcW w:w="10953" w:type="dxa"/>
            <w:gridSpan w:val="6"/>
            <w:shd w:val="clear" w:color="auto" w:fill="D9D9D9" w:themeFill="background1" w:themeFillShade="D9"/>
            <w:vAlign w:val="center"/>
          </w:tcPr>
          <w:p w:rsidR="009F1CE9" w:rsidRPr="00B66842" w:rsidRDefault="009F1CE9" w:rsidP="00AF46AE">
            <w:pPr>
              <w:pStyle w:val="Default"/>
              <w:tabs>
                <w:tab w:val="center" w:pos="4320"/>
                <w:tab w:val="right" w:pos="8640"/>
              </w:tabs>
              <w:spacing w:before="96" w:after="96"/>
              <w:jc w:val="center"/>
              <w:rPr>
                <w:color w:val="auto"/>
                <w:sz w:val="18"/>
                <w:highlight w:val="yellow"/>
                <w:lang w:val="es-ES"/>
              </w:rPr>
            </w:pPr>
            <w:r>
              <w:rPr>
                <w:b/>
                <w:sz w:val="18"/>
                <w:lang w:val="es-ES"/>
              </w:rPr>
              <w:t>DISMINUCIÓN DE PÉRDIDAS EN GANADO PORCINO POR PPC Y TESCHEN</w:t>
            </w:r>
          </w:p>
        </w:tc>
      </w:tr>
      <w:tr w:rsidR="009F1CE9" w:rsidRPr="00E74A87" w:rsidTr="00AE3AF3">
        <w:trPr>
          <w:trHeight w:val="621"/>
          <w:jc w:val="center"/>
        </w:trPr>
        <w:tc>
          <w:tcPr>
            <w:tcW w:w="1181" w:type="dxa"/>
            <w:vAlign w:val="center"/>
          </w:tcPr>
          <w:p w:rsidR="009F1CE9" w:rsidRPr="00B66842"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Valor total del ganado porcino</w:t>
            </w:r>
          </w:p>
        </w:tc>
        <w:tc>
          <w:tcPr>
            <w:tcW w:w="1437" w:type="dxa"/>
            <w:vAlign w:val="center"/>
          </w:tcPr>
          <w:p w:rsidR="009F1CE9" w:rsidRPr="00B66842"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Nº total de cabezas y precio en finca</w:t>
            </w:r>
          </w:p>
        </w:tc>
        <w:tc>
          <w:tcPr>
            <w:tcW w:w="5688" w:type="dxa"/>
            <w:gridSpan w:val="2"/>
            <w:vAlign w:val="center"/>
          </w:tcPr>
          <w:tbl>
            <w:tblPr>
              <w:tblW w:w="4614" w:type="dxa"/>
              <w:jc w:val="center"/>
              <w:tblLayout w:type="fixed"/>
              <w:tblCellMar>
                <w:left w:w="70" w:type="dxa"/>
                <w:right w:w="70" w:type="dxa"/>
              </w:tblCellMar>
              <w:tblLook w:val="04A0" w:firstRow="1" w:lastRow="0" w:firstColumn="1" w:lastColumn="0" w:noHBand="0" w:noVBand="1"/>
            </w:tblPr>
            <w:tblGrid>
              <w:gridCol w:w="2814"/>
              <w:gridCol w:w="1800"/>
            </w:tblGrid>
            <w:tr w:rsidR="009F1CE9" w:rsidRPr="004A324E" w:rsidTr="00AF46AE">
              <w:trPr>
                <w:trHeight w:val="390"/>
                <w:jc w:val="center"/>
              </w:trPr>
              <w:tc>
                <w:tcPr>
                  <w:tcW w:w="281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F1CE9" w:rsidRPr="004A324E" w:rsidRDefault="009F1CE9" w:rsidP="00AF46AE">
                  <w:pPr>
                    <w:spacing w:line="240" w:lineRule="auto"/>
                    <w:ind w:firstLineChars="100" w:firstLine="161"/>
                    <w:rPr>
                      <w:rFonts w:ascii="Times New Roman" w:eastAsia="Times New Roman" w:hAnsi="Times New Roman" w:cs="Times New Roman"/>
                      <w:b/>
                      <w:bCs/>
                      <w:color w:val="000000"/>
                      <w:sz w:val="16"/>
                      <w:szCs w:val="20"/>
                      <w:lang w:eastAsia="es-ES"/>
                    </w:rPr>
                  </w:pPr>
                  <w:r w:rsidRPr="004A324E">
                    <w:rPr>
                      <w:rFonts w:ascii="Times New Roman" w:eastAsia="Times New Roman" w:hAnsi="Times New Roman" w:cs="Times New Roman"/>
                      <w:b/>
                      <w:bCs/>
                      <w:color w:val="000000"/>
                      <w:sz w:val="16"/>
                      <w:szCs w:val="20"/>
                      <w:lang w:eastAsia="es-ES"/>
                    </w:rPr>
                    <w:t>Concepto</w:t>
                  </w:r>
                </w:p>
              </w:tc>
              <w:tc>
                <w:tcPr>
                  <w:tcW w:w="1800" w:type="dxa"/>
                  <w:tcBorders>
                    <w:top w:val="single" w:sz="4" w:space="0" w:color="auto"/>
                    <w:left w:val="nil"/>
                    <w:bottom w:val="single" w:sz="4" w:space="0" w:color="auto"/>
                    <w:right w:val="single" w:sz="4" w:space="0" w:color="auto"/>
                  </w:tcBorders>
                  <w:shd w:val="clear" w:color="000000" w:fill="D9D9D9"/>
                  <w:vAlign w:val="center"/>
                  <w:hideMark/>
                </w:tcPr>
                <w:p w:rsidR="009F1CE9" w:rsidRPr="004A324E" w:rsidRDefault="009F1CE9" w:rsidP="00AF46AE">
                  <w:pPr>
                    <w:spacing w:line="240" w:lineRule="auto"/>
                    <w:jc w:val="center"/>
                    <w:rPr>
                      <w:rFonts w:ascii="Times New Roman" w:eastAsia="Times New Roman" w:hAnsi="Times New Roman" w:cs="Times New Roman"/>
                      <w:b/>
                      <w:bCs/>
                      <w:color w:val="000000"/>
                      <w:sz w:val="16"/>
                      <w:szCs w:val="20"/>
                      <w:lang w:eastAsia="es-ES"/>
                    </w:rPr>
                  </w:pPr>
                  <w:r>
                    <w:rPr>
                      <w:rFonts w:ascii="Times New Roman" w:eastAsia="Times New Roman" w:hAnsi="Times New Roman" w:cs="Times New Roman"/>
                      <w:b/>
                      <w:bCs/>
                      <w:color w:val="000000"/>
                      <w:sz w:val="16"/>
                      <w:szCs w:val="20"/>
                      <w:lang w:eastAsia="es-ES"/>
                    </w:rPr>
                    <w:t>Importe</w:t>
                  </w:r>
                </w:p>
              </w:tc>
            </w:tr>
            <w:tr w:rsidR="009F1CE9" w:rsidRPr="004A324E" w:rsidTr="00AF46AE">
              <w:trPr>
                <w:trHeight w:val="330"/>
                <w:jc w:val="center"/>
              </w:trPr>
              <w:tc>
                <w:tcPr>
                  <w:tcW w:w="2814" w:type="dxa"/>
                  <w:tcBorders>
                    <w:top w:val="nil"/>
                    <w:left w:val="single" w:sz="4" w:space="0" w:color="auto"/>
                    <w:bottom w:val="nil"/>
                    <w:right w:val="nil"/>
                  </w:tcBorders>
                  <w:shd w:val="clear" w:color="auto" w:fill="auto"/>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szCs w:val="20"/>
                      <w:lang w:eastAsia="es-ES"/>
                    </w:rPr>
                  </w:pPr>
                  <w:r w:rsidRPr="004A324E">
                    <w:rPr>
                      <w:rFonts w:ascii="Times New Roman" w:eastAsia="Times New Roman" w:hAnsi="Times New Roman" w:cs="Times New Roman"/>
                      <w:color w:val="000000"/>
                      <w:sz w:val="16"/>
                      <w:szCs w:val="20"/>
                      <w:lang w:eastAsia="es-ES"/>
                    </w:rPr>
                    <w:t>Nº total de cabezas (Uds)</w:t>
                  </w:r>
                </w:p>
              </w:tc>
              <w:tc>
                <w:tcPr>
                  <w:tcW w:w="1800" w:type="dxa"/>
                  <w:tcBorders>
                    <w:top w:val="single" w:sz="4" w:space="0" w:color="auto"/>
                    <w:left w:val="single" w:sz="4" w:space="0" w:color="auto"/>
                    <w:bottom w:val="nil"/>
                    <w:right w:val="single" w:sz="4" w:space="0" w:color="auto"/>
                  </w:tcBorders>
                  <w:shd w:val="clear" w:color="auto" w:fill="auto"/>
                  <w:noWrap/>
                  <w:vAlign w:val="center"/>
                  <w:hideMark/>
                </w:tcPr>
                <w:p w:rsidR="009F1CE9" w:rsidRPr="004A324E" w:rsidRDefault="009F1CE9" w:rsidP="00AF46AE">
                  <w:pPr>
                    <w:spacing w:line="240" w:lineRule="auto"/>
                    <w:jc w:val="center"/>
                    <w:rPr>
                      <w:rFonts w:ascii="Times New Roman" w:eastAsia="Times New Roman" w:hAnsi="Times New Roman" w:cs="Times New Roman"/>
                      <w:color w:val="000000"/>
                      <w:sz w:val="16"/>
                      <w:szCs w:val="20"/>
                      <w:lang w:eastAsia="es-ES"/>
                    </w:rPr>
                  </w:pPr>
                  <w:r w:rsidRPr="004A324E">
                    <w:rPr>
                      <w:rFonts w:ascii="Times New Roman" w:eastAsia="Times New Roman" w:hAnsi="Times New Roman" w:cs="Times New Roman"/>
                      <w:color w:val="000000"/>
                      <w:sz w:val="16"/>
                      <w:szCs w:val="20"/>
                      <w:lang w:eastAsia="es-ES"/>
                    </w:rPr>
                    <w:t>1.001.000</w:t>
                  </w:r>
                </w:p>
              </w:tc>
            </w:tr>
            <w:tr w:rsidR="009F1CE9" w:rsidRPr="004A324E" w:rsidTr="00AF46AE">
              <w:trPr>
                <w:trHeight w:val="255"/>
                <w:jc w:val="center"/>
              </w:trPr>
              <w:tc>
                <w:tcPr>
                  <w:tcW w:w="2814" w:type="dxa"/>
                  <w:tcBorders>
                    <w:top w:val="single" w:sz="4" w:space="0" w:color="auto"/>
                    <w:left w:val="single" w:sz="4" w:space="0" w:color="auto"/>
                    <w:bottom w:val="nil"/>
                    <w:right w:val="nil"/>
                  </w:tcBorders>
                  <w:shd w:val="clear" w:color="auto" w:fill="auto"/>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szCs w:val="20"/>
                      <w:lang w:eastAsia="es-ES"/>
                    </w:rPr>
                  </w:pPr>
                  <w:r w:rsidRPr="004A324E">
                    <w:rPr>
                      <w:rFonts w:ascii="Times New Roman" w:eastAsia="Times New Roman" w:hAnsi="Times New Roman" w:cs="Times New Roman"/>
                      <w:color w:val="000000"/>
                      <w:sz w:val="16"/>
                      <w:szCs w:val="20"/>
                      <w:lang w:eastAsia="es-ES"/>
                    </w:rPr>
                    <w:t>Precio en Finca (HTG / Ud)</w:t>
                  </w:r>
                </w:p>
              </w:tc>
              <w:tc>
                <w:tcPr>
                  <w:tcW w:w="1800" w:type="dxa"/>
                  <w:tcBorders>
                    <w:top w:val="single" w:sz="4" w:space="0" w:color="auto"/>
                    <w:left w:val="single" w:sz="4" w:space="0" w:color="auto"/>
                    <w:bottom w:val="nil"/>
                    <w:right w:val="single" w:sz="4" w:space="0" w:color="auto"/>
                  </w:tcBorders>
                  <w:shd w:val="clear" w:color="auto" w:fill="auto"/>
                  <w:noWrap/>
                  <w:vAlign w:val="center"/>
                  <w:hideMark/>
                </w:tcPr>
                <w:p w:rsidR="009F1CE9" w:rsidRPr="004A324E" w:rsidRDefault="009F1CE9" w:rsidP="00AF46AE">
                  <w:pPr>
                    <w:spacing w:line="240" w:lineRule="auto"/>
                    <w:jc w:val="center"/>
                    <w:rPr>
                      <w:rFonts w:ascii="Times New Roman" w:eastAsia="Times New Roman" w:hAnsi="Times New Roman" w:cs="Times New Roman"/>
                      <w:color w:val="000000"/>
                      <w:sz w:val="16"/>
                      <w:szCs w:val="20"/>
                      <w:lang w:eastAsia="es-ES"/>
                    </w:rPr>
                  </w:pPr>
                  <w:r w:rsidRPr="004A324E">
                    <w:rPr>
                      <w:rFonts w:ascii="Times New Roman" w:eastAsia="Times New Roman" w:hAnsi="Times New Roman" w:cs="Times New Roman"/>
                      <w:color w:val="000000"/>
                      <w:sz w:val="16"/>
                      <w:szCs w:val="20"/>
                      <w:lang w:eastAsia="es-ES"/>
                    </w:rPr>
                    <w:t>2.500</w:t>
                  </w:r>
                </w:p>
              </w:tc>
            </w:tr>
            <w:tr w:rsidR="009F1CE9" w:rsidRPr="004A324E" w:rsidTr="00AF46AE">
              <w:trPr>
                <w:trHeight w:val="255"/>
                <w:jc w:val="center"/>
              </w:trPr>
              <w:tc>
                <w:tcPr>
                  <w:tcW w:w="2814" w:type="dxa"/>
                  <w:tcBorders>
                    <w:top w:val="single" w:sz="4" w:space="0" w:color="auto"/>
                    <w:left w:val="single" w:sz="4" w:space="0" w:color="auto"/>
                    <w:bottom w:val="nil"/>
                    <w:right w:val="nil"/>
                  </w:tcBorders>
                  <w:shd w:val="clear" w:color="auto" w:fill="auto"/>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szCs w:val="20"/>
                      <w:lang w:eastAsia="es-ES"/>
                    </w:rPr>
                  </w:pPr>
                  <w:r>
                    <w:rPr>
                      <w:rFonts w:ascii="Times New Roman" w:eastAsia="Times New Roman" w:hAnsi="Times New Roman" w:cs="Times New Roman"/>
                      <w:color w:val="000000"/>
                      <w:sz w:val="16"/>
                      <w:szCs w:val="20"/>
                      <w:lang w:eastAsia="es-ES"/>
                    </w:rPr>
                    <w:t xml:space="preserve">Valor de la Ganado Porcino </w:t>
                  </w:r>
                  <w:r w:rsidRPr="004A324E">
                    <w:rPr>
                      <w:rFonts w:ascii="Times New Roman" w:eastAsia="Times New Roman" w:hAnsi="Times New Roman" w:cs="Times New Roman"/>
                      <w:color w:val="000000"/>
                      <w:sz w:val="16"/>
                      <w:szCs w:val="20"/>
                      <w:lang w:eastAsia="es-ES"/>
                    </w:rPr>
                    <w:t>en HTG</w:t>
                  </w:r>
                </w:p>
              </w:tc>
              <w:tc>
                <w:tcPr>
                  <w:tcW w:w="1800" w:type="dxa"/>
                  <w:tcBorders>
                    <w:top w:val="single" w:sz="4" w:space="0" w:color="auto"/>
                    <w:left w:val="single" w:sz="4" w:space="0" w:color="auto"/>
                    <w:bottom w:val="nil"/>
                    <w:right w:val="single" w:sz="4" w:space="0" w:color="auto"/>
                  </w:tcBorders>
                  <w:shd w:val="clear" w:color="auto" w:fill="auto"/>
                  <w:noWrap/>
                  <w:vAlign w:val="center"/>
                  <w:hideMark/>
                </w:tcPr>
                <w:p w:rsidR="009F1CE9" w:rsidRPr="004A324E" w:rsidRDefault="009F1CE9" w:rsidP="00AF46AE">
                  <w:pPr>
                    <w:spacing w:line="240" w:lineRule="auto"/>
                    <w:jc w:val="center"/>
                    <w:rPr>
                      <w:rFonts w:ascii="Times New Roman" w:eastAsia="Times New Roman" w:hAnsi="Times New Roman" w:cs="Times New Roman"/>
                      <w:color w:val="000000"/>
                      <w:sz w:val="16"/>
                      <w:szCs w:val="20"/>
                      <w:lang w:eastAsia="es-ES"/>
                    </w:rPr>
                  </w:pPr>
                  <w:r w:rsidRPr="004A324E">
                    <w:rPr>
                      <w:rFonts w:ascii="Times New Roman" w:eastAsia="Times New Roman" w:hAnsi="Times New Roman" w:cs="Times New Roman"/>
                      <w:color w:val="000000"/>
                      <w:sz w:val="16"/>
                      <w:szCs w:val="20"/>
                      <w:lang w:eastAsia="es-ES"/>
                    </w:rPr>
                    <w:t>2.502.500.000</w:t>
                  </w:r>
                </w:p>
              </w:tc>
            </w:tr>
            <w:tr w:rsidR="009F1CE9" w:rsidRPr="004A324E" w:rsidTr="00AF46AE">
              <w:trPr>
                <w:trHeight w:val="405"/>
                <w:jc w:val="center"/>
              </w:trPr>
              <w:tc>
                <w:tcPr>
                  <w:tcW w:w="281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F1CE9" w:rsidRPr="004A324E" w:rsidRDefault="009F1CE9" w:rsidP="00AF46AE">
                  <w:pPr>
                    <w:spacing w:line="240" w:lineRule="auto"/>
                    <w:ind w:firstLineChars="100" w:firstLine="161"/>
                    <w:rPr>
                      <w:rFonts w:ascii="Times New Roman" w:eastAsia="Times New Roman" w:hAnsi="Times New Roman" w:cs="Times New Roman"/>
                      <w:b/>
                      <w:bCs/>
                      <w:color w:val="000000"/>
                      <w:sz w:val="16"/>
                      <w:szCs w:val="20"/>
                      <w:lang w:eastAsia="es-ES"/>
                    </w:rPr>
                  </w:pPr>
                  <w:r w:rsidRPr="004A324E">
                    <w:rPr>
                      <w:rFonts w:ascii="Times New Roman" w:eastAsia="Times New Roman" w:hAnsi="Times New Roman" w:cs="Times New Roman"/>
                      <w:b/>
                      <w:bCs/>
                      <w:color w:val="000000"/>
                      <w:sz w:val="16"/>
                      <w:szCs w:val="20"/>
                      <w:lang w:eastAsia="es-ES"/>
                    </w:rPr>
                    <w:t xml:space="preserve">Valor de la </w:t>
                  </w:r>
                  <w:r>
                    <w:rPr>
                      <w:rFonts w:ascii="Times New Roman" w:eastAsia="Times New Roman" w:hAnsi="Times New Roman" w:cs="Times New Roman"/>
                      <w:b/>
                      <w:bCs/>
                      <w:color w:val="000000"/>
                      <w:sz w:val="16"/>
                      <w:szCs w:val="20"/>
                      <w:lang w:eastAsia="es-ES"/>
                    </w:rPr>
                    <w:t xml:space="preserve">Ganado Porcino </w:t>
                  </w:r>
                  <w:r w:rsidRPr="004A324E">
                    <w:rPr>
                      <w:rFonts w:ascii="Times New Roman" w:eastAsia="Times New Roman" w:hAnsi="Times New Roman" w:cs="Times New Roman"/>
                      <w:b/>
                      <w:bCs/>
                      <w:color w:val="000000"/>
                      <w:sz w:val="16"/>
                      <w:szCs w:val="20"/>
                      <w:lang w:eastAsia="es-ES"/>
                    </w:rPr>
                    <w:t xml:space="preserve"> en USD</w:t>
                  </w:r>
                </w:p>
              </w:tc>
              <w:tc>
                <w:tcPr>
                  <w:tcW w:w="1800" w:type="dxa"/>
                  <w:tcBorders>
                    <w:top w:val="single" w:sz="4" w:space="0" w:color="auto"/>
                    <w:left w:val="nil"/>
                    <w:bottom w:val="single" w:sz="4" w:space="0" w:color="auto"/>
                    <w:right w:val="single" w:sz="4" w:space="0" w:color="auto"/>
                  </w:tcBorders>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b/>
                      <w:bCs/>
                      <w:color w:val="000000"/>
                      <w:sz w:val="16"/>
                      <w:szCs w:val="20"/>
                      <w:lang w:eastAsia="es-ES"/>
                    </w:rPr>
                  </w:pPr>
                  <w:r w:rsidRPr="004A324E">
                    <w:rPr>
                      <w:rFonts w:ascii="Times New Roman" w:eastAsia="Times New Roman" w:hAnsi="Times New Roman" w:cs="Times New Roman"/>
                      <w:b/>
                      <w:bCs/>
                      <w:color w:val="000000"/>
                      <w:sz w:val="16"/>
                      <w:szCs w:val="20"/>
                      <w:lang w:eastAsia="es-ES"/>
                    </w:rPr>
                    <w:t>56.177.631</w:t>
                  </w:r>
                </w:p>
              </w:tc>
            </w:tr>
          </w:tbl>
          <w:p w:rsidR="009F1CE9" w:rsidRPr="00B66842" w:rsidRDefault="009F1CE9" w:rsidP="00AF46AE">
            <w:pPr>
              <w:pStyle w:val="Default"/>
              <w:jc w:val="center"/>
              <w:rPr>
                <w:color w:val="auto"/>
                <w:sz w:val="18"/>
                <w:lang w:val="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color w:val="auto"/>
                <w:sz w:val="16"/>
                <w:lang w:val="es-ES"/>
              </w:rPr>
            </w:pPr>
            <w:r w:rsidRPr="002E6209">
              <w:rPr>
                <w:color w:val="auto"/>
                <w:sz w:val="16"/>
                <w:lang w:val="es-ES"/>
              </w:rPr>
              <w:t>MARNDR, 2013, Lineamientos estratégicos de inversiones para la modernización de los servicios públicos de sanidad agropecuaria y de inocuidad de los alimentos.</w:t>
            </w:r>
          </w:p>
          <w:p w:rsidR="009F1CE9" w:rsidRPr="002E6209" w:rsidRDefault="009F1CE9" w:rsidP="00AF46AE">
            <w:pPr>
              <w:pStyle w:val="Default"/>
              <w:tabs>
                <w:tab w:val="center" w:pos="4320"/>
                <w:tab w:val="right" w:pos="8640"/>
              </w:tabs>
              <w:spacing w:before="96" w:after="96"/>
              <w:jc w:val="center"/>
              <w:rPr>
                <w:color w:val="auto"/>
                <w:sz w:val="16"/>
                <w:lang w:val="es-ES"/>
              </w:rPr>
            </w:pPr>
          </w:p>
          <w:p w:rsidR="009F1CE9" w:rsidRPr="002E6209" w:rsidRDefault="009F1CE9" w:rsidP="00AF46AE">
            <w:pPr>
              <w:pStyle w:val="Default"/>
              <w:tabs>
                <w:tab w:val="center" w:pos="4320"/>
                <w:tab w:val="right" w:pos="8640"/>
              </w:tabs>
              <w:spacing w:before="96" w:after="96"/>
              <w:jc w:val="center"/>
              <w:rPr>
                <w:color w:val="auto"/>
                <w:sz w:val="16"/>
                <w:highlight w:val="yellow"/>
                <w:lang w:val="fr-FR"/>
              </w:rPr>
            </w:pPr>
            <w:r w:rsidRPr="002E6209">
              <w:rPr>
                <w:color w:val="auto"/>
                <w:sz w:val="16"/>
                <w:lang w:val="fr-FR"/>
              </w:rPr>
              <w:t>MARNDR, 2005. Etude Sectorielle. Rapport de synthèse filière T2.</w:t>
            </w:r>
          </w:p>
        </w:tc>
      </w:tr>
      <w:tr w:rsidR="009F1CE9" w:rsidRPr="004A324E" w:rsidTr="00AE3AF3">
        <w:trPr>
          <w:trHeight w:val="621"/>
          <w:jc w:val="center"/>
        </w:trPr>
        <w:tc>
          <w:tcPr>
            <w:tcW w:w="1181" w:type="dxa"/>
            <w:vAlign w:val="center"/>
          </w:tcPr>
          <w:p w:rsidR="009F1CE9" w:rsidRPr="004A324E" w:rsidRDefault="009F1CE9" w:rsidP="00AF46AE">
            <w:pPr>
              <w:rPr>
                <w:rFonts w:ascii="Times New Roman" w:eastAsia="MS Mincho" w:hAnsi="Times New Roman" w:cs="Times New Roman"/>
                <w:b/>
                <w:sz w:val="18"/>
                <w:szCs w:val="24"/>
                <w:lang w:eastAsia="ja-JP"/>
              </w:rPr>
            </w:pPr>
            <w:r w:rsidRPr="004A324E">
              <w:rPr>
                <w:rFonts w:ascii="Times New Roman" w:eastAsia="MS Mincho" w:hAnsi="Times New Roman" w:cs="Times New Roman"/>
                <w:b/>
                <w:sz w:val="18"/>
                <w:szCs w:val="24"/>
                <w:lang w:eastAsia="ja-JP"/>
              </w:rPr>
              <w:t>Tasas de Prevalencia de la PPC</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Tasas de morbilidad Sin y Con Proyecto</w:t>
            </w:r>
          </w:p>
        </w:tc>
        <w:tc>
          <w:tcPr>
            <w:tcW w:w="5688" w:type="dxa"/>
            <w:gridSpan w:val="2"/>
            <w:vAlign w:val="center"/>
          </w:tcPr>
          <w:tbl>
            <w:tblPr>
              <w:tblW w:w="5168" w:type="dxa"/>
              <w:jc w:val="center"/>
              <w:tblBorders>
                <w:left w:val="single" w:sz="4" w:space="0" w:color="FFFFFF" w:themeColor="background1"/>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2758"/>
              <w:gridCol w:w="851"/>
              <w:gridCol w:w="1559"/>
            </w:tblGrid>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Tasa de Prevalencia Sin Proyecto</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sz w:val="16"/>
                      <w:lang w:eastAsia="es-ES"/>
                    </w:rPr>
                  </w:pPr>
                  <w:r w:rsidRPr="004A324E">
                    <w:rPr>
                      <w:rFonts w:ascii="Times New Roman" w:eastAsia="Times New Roman" w:hAnsi="Times New Roman" w:cs="Times New Roman"/>
                      <w:sz w:val="16"/>
                      <w:lang w:eastAsia="es-ES"/>
                    </w:rPr>
                    <w:t>4,00%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porcentaje</w:t>
                  </w:r>
                </w:p>
              </w:tc>
            </w:tr>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Tasa de Prevalencia Con Proyecto</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sz w:val="16"/>
                      <w:lang w:eastAsia="es-ES"/>
                    </w:rPr>
                  </w:pPr>
                  <w:r w:rsidRPr="004A324E">
                    <w:rPr>
                      <w:rFonts w:ascii="Times New Roman" w:eastAsia="Times New Roman" w:hAnsi="Times New Roman" w:cs="Times New Roman"/>
                      <w:sz w:val="16"/>
                      <w:lang w:eastAsia="es-ES"/>
                    </w:rPr>
                    <w:t>1,00%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porcentaje</w:t>
                  </w:r>
                </w:p>
              </w:tc>
            </w:tr>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1"/>
                    <w:rPr>
                      <w:rFonts w:ascii="Times New Roman" w:eastAsia="Times New Roman" w:hAnsi="Times New Roman" w:cs="Times New Roman"/>
                      <w:b/>
                      <w:bCs/>
                      <w:color w:val="000000"/>
                      <w:sz w:val="16"/>
                      <w:lang w:eastAsia="es-ES"/>
                    </w:rPr>
                  </w:pPr>
                  <w:r w:rsidRPr="004A324E">
                    <w:rPr>
                      <w:rFonts w:ascii="Times New Roman" w:eastAsia="Times New Roman" w:hAnsi="Times New Roman" w:cs="Times New Roman"/>
                      <w:b/>
                      <w:bCs/>
                      <w:color w:val="000000"/>
                      <w:sz w:val="16"/>
                      <w:lang w:eastAsia="es-ES"/>
                    </w:rPr>
                    <w:t>Diferencial </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b/>
                      <w:bCs/>
                      <w:color w:val="000000"/>
                      <w:sz w:val="16"/>
                      <w:lang w:eastAsia="es-ES"/>
                    </w:rPr>
                  </w:pPr>
                  <w:r w:rsidRPr="004A324E">
                    <w:rPr>
                      <w:rFonts w:ascii="Times New Roman" w:eastAsia="Times New Roman" w:hAnsi="Times New Roman" w:cs="Times New Roman"/>
                      <w:b/>
                      <w:bCs/>
                      <w:color w:val="000000"/>
                      <w:sz w:val="16"/>
                      <w:lang w:eastAsia="es-ES"/>
                    </w:rPr>
                    <w:t>3,00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b/>
                      <w:bCs/>
                      <w:color w:val="000000"/>
                      <w:sz w:val="16"/>
                      <w:lang w:eastAsia="es-ES"/>
                    </w:rPr>
                  </w:pPr>
                  <w:r w:rsidRPr="004A324E">
                    <w:rPr>
                      <w:rFonts w:ascii="Times New Roman" w:eastAsia="Times New Roman" w:hAnsi="Times New Roman" w:cs="Times New Roman"/>
                      <w:b/>
                      <w:bCs/>
                      <w:color w:val="000000"/>
                      <w:sz w:val="16"/>
                      <w:lang w:eastAsia="es-ES"/>
                    </w:rPr>
                    <w:t>puntos porcentuales</w:t>
                  </w:r>
                </w:p>
              </w:tc>
            </w:tr>
          </w:tbl>
          <w:p w:rsidR="009F1CE9" w:rsidRPr="004A324E" w:rsidRDefault="009F1CE9" w:rsidP="00AF46AE">
            <w:pPr>
              <w:pStyle w:val="Default"/>
              <w:jc w:val="center"/>
              <w:rPr>
                <w:color w:val="auto"/>
                <w:sz w:val="18"/>
                <w:lang w:val="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color w:val="auto"/>
                <w:sz w:val="16"/>
                <w:highlight w:val="yellow"/>
                <w:lang w:val="es-ES"/>
              </w:rPr>
            </w:pPr>
            <w:r w:rsidRPr="002E6209">
              <w:rPr>
                <w:color w:val="auto"/>
                <w:sz w:val="16"/>
                <w:lang w:val="es-ES"/>
              </w:rPr>
              <w:t>MARNDR, 2013, Lineamientos estratégicos de inversiones para la modernización de los servicios públicos de sanidad agropecuaria y de inocuidad de los alimentos.</w:t>
            </w:r>
          </w:p>
        </w:tc>
      </w:tr>
      <w:tr w:rsidR="009F1CE9" w:rsidRPr="004A324E" w:rsidTr="00AE3AF3">
        <w:trPr>
          <w:trHeight w:val="621"/>
          <w:jc w:val="center"/>
        </w:trPr>
        <w:tc>
          <w:tcPr>
            <w:tcW w:w="1181" w:type="dxa"/>
            <w:vAlign w:val="center"/>
          </w:tcPr>
          <w:p w:rsidR="009F1CE9" w:rsidRPr="004A324E"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lastRenderedPageBreak/>
              <w:t>Efectos de la PPC en el ganado porcino</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Tasas de mortalidad y diminución de nacimientos</w:t>
            </w:r>
          </w:p>
        </w:tc>
        <w:tc>
          <w:tcPr>
            <w:tcW w:w="5688" w:type="dxa"/>
            <w:gridSpan w:val="2"/>
            <w:vAlign w:val="center"/>
          </w:tcPr>
          <w:tbl>
            <w:tblPr>
              <w:tblW w:w="5025" w:type="dxa"/>
              <w:jc w:val="center"/>
              <w:tblBorders>
                <w:left w:val="single" w:sz="4" w:space="0" w:color="FFFFFF" w:themeColor="background1"/>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3041"/>
              <w:gridCol w:w="992"/>
              <w:gridCol w:w="992"/>
            </w:tblGrid>
            <w:tr w:rsidR="009F1CE9" w:rsidRPr="00954AA5" w:rsidTr="00AF46AE">
              <w:trPr>
                <w:trHeight w:val="300"/>
                <w:jc w:val="center"/>
              </w:trPr>
              <w:tc>
                <w:tcPr>
                  <w:tcW w:w="3041" w:type="dxa"/>
                  <w:shd w:val="clear" w:color="000000" w:fill="F2F2F2"/>
                  <w:noWrap/>
                  <w:vAlign w:val="center"/>
                  <w:hideMark/>
                </w:tcPr>
                <w:p w:rsidR="009F1CE9" w:rsidRPr="00F423AC" w:rsidRDefault="009F1CE9" w:rsidP="00AF46AE">
                  <w:pPr>
                    <w:spacing w:line="240" w:lineRule="auto"/>
                    <w:ind w:firstLineChars="100" w:firstLine="160"/>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Disminución de nacimientos (tasa anual)</w:t>
                  </w:r>
                </w:p>
              </w:tc>
              <w:tc>
                <w:tcPr>
                  <w:tcW w:w="992" w:type="dxa"/>
                  <w:shd w:val="clear" w:color="000000" w:fill="F2F2F2"/>
                  <w:noWrap/>
                  <w:vAlign w:val="center"/>
                  <w:hideMark/>
                </w:tcPr>
                <w:p w:rsidR="009F1CE9" w:rsidRPr="00954AA5" w:rsidRDefault="009F1CE9" w:rsidP="00AF46AE">
                  <w:pPr>
                    <w:jc w:val="center"/>
                    <w:rPr>
                      <w:rFonts w:ascii="Times New Roman" w:hAnsi="Times New Roman" w:cs="Times New Roman"/>
                      <w:sz w:val="16"/>
                      <w:szCs w:val="16"/>
                    </w:rPr>
                  </w:pPr>
                  <w:r w:rsidRPr="00954AA5">
                    <w:rPr>
                      <w:rFonts w:ascii="Times New Roman" w:hAnsi="Times New Roman" w:cs="Times New Roman"/>
                      <w:sz w:val="16"/>
                      <w:szCs w:val="16"/>
                    </w:rPr>
                    <w:t>14,28%</w:t>
                  </w:r>
                </w:p>
              </w:tc>
              <w:tc>
                <w:tcPr>
                  <w:tcW w:w="992" w:type="dxa"/>
                  <w:shd w:val="clear" w:color="000000" w:fill="F2F2F2"/>
                  <w:noWrap/>
                  <w:vAlign w:val="center"/>
                  <w:hideMark/>
                </w:tcPr>
                <w:p w:rsidR="009F1CE9" w:rsidRPr="00F423AC" w:rsidRDefault="009F1CE9" w:rsidP="00AF46AE">
                  <w:pPr>
                    <w:spacing w:line="240" w:lineRule="auto"/>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porcentaje</w:t>
                  </w:r>
                </w:p>
              </w:tc>
            </w:tr>
            <w:tr w:rsidR="009F1CE9" w:rsidRPr="00954AA5" w:rsidTr="00AF46AE">
              <w:trPr>
                <w:trHeight w:val="300"/>
                <w:jc w:val="center"/>
              </w:trPr>
              <w:tc>
                <w:tcPr>
                  <w:tcW w:w="3041" w:type="dxa"/>
                  <w:shd w:val="clear" w:color="000000" w:fill="F2F2F2"/>
                  <w:noWrap/>
                  <w:vAlign w:val="center"/>
                  <w:hideMark/>
                </w:tcPr>
                <w:p w:rsidR="009F1CE9" w:rsidRPr="00F423AC" w:rsidRDefault="009F1CE9" w:rsidP="00AF46AE">
                  <w:pPr>
                    <w:spacing w:line="240" w:lineRule="auto"/>
                    <w:ind w:firstLineChars="100" w:firstLine="160"/>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Muerte de lechones (tasa anual)</w:t>
                  </w:r>
                </w:p>
              </w:tc>
              <w:tc>
                <w:tcPr>
                  <w:tcW w:w="992" w:type="dxa"/>
                  <w:shd w:val="clear" w:color="000000" w:fill="F2F2F2"/>
                  <w:noWrap/>
                  <w:vAlign w:val="center"/>
                  <w:hideMark/>
                </w:tcPr>
                <w:p w:rsidR="009F1CE9" w:rsidRPr="00954AA5" w:rsidRDefault="009F1CE9" w:rsidP="00AF46AE">
                  <w:pPr>
                    <w:jc w:val="center"/>
                    <w:rPr>
                      <w:rFonts w:ascii="Times New Roman" w:hAnsi="Times New Roman" w:cs="Times New Roman"/>
                      <w:sz w:val="16"/>
                      <w:szCs w:val="16"/>
                    </w:rPr>
                  </w:pPr>
                  <w:r w:rsidRPr="00954AA5">
                    <w:rPr>
                      <w:rFonts w:ascii="Times New Roman" w:hAnsi="Times New Roman" w:cs="Times New Roman"/>
                      <w:sz w:val="16"/>
                      <w:szCs w:val="16"/>
                    </w:rPr>
                    <w:t>7,14%</w:t>
                  </w:r>
                </w:p>
              </w:tc>
              <w:tc>
                <w:tcPr>
                  <w:tcW w:w="992" w:type="dxa"/>
                  <w:shd w:val="clear" w:color="000000" w:fill="F2F2F2"/>
                  <w:noWrap/>
                  <w:vAlign w:val="center"/>
                  <w:hideMark/>
                </w:tcPr>
                <w:p w:rsidR="009F1CE9" w:rsidRPr="00F423AC" w:rsidRDefault="009F1CE9" w:rsidP="00AF46AE">
                  <w:pPr>
                    <w:spacing w:line="240" w:lineRule="auto"/>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porcentaje</w:t>
                  </w:r>
                </w:p>
              </w:tc>
            </w:tr>
            <w:tr w:rsidR="009F1CE9" w:rsidRPr="00954AA5" w:rsidTr="00AF46AE">
              <w:trPr>
                <w:trHeight w:val="300"/>
                <w:jc w:val="center"/>
              </w:trPr>
              <w:tc>
                <w:tcPr>
                  <w:tcW w:w="3041" w:type="dxa"/>
                  <w:shd w:val="clear" w:color="000000" w:fill="F2F2F2"/>
                  <w:noWrap/>
                  <w:vAlign w:val="center"/>
                  <w:hideMark/>
                </w:tcPr>
                <w:p w:rsidR="009F1CE9" w:rsidRPr="00F423AC" w:rsidRDefault="009F1CE9" w:rsidP="00AF46AE">
                  <w:pPr>
                    <w:spacing w:line="240" w:lineRule="auto"/>
                    <w:ind w:firstLineChars="100" w:firstLine="160"/>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Muerte de adultos (tasa anual)</w:t>
                  </w:r>
                </w:p>
              </w:tc>
              <w:tc>
                <w:tcPr>
                  <w:tcW w:w="992" w:type="dxa"/>
                  <w:shd w:val="clear" w:color="000000" w:fill="F2F2F2"/>
                  <w:noWrap/>
                  <w:vAlign w:val="center"/>
                  <w:hideMark/>
                </w:tcPr>
                <w:p w:rsidR="009F1CE9" w:rsidRPr="00954AA5" w:rsidRDefault="009F1CE9" w:rsidP="00AF46AE">
                  <w:pPr>
                    <w:jc w:val="center"/>
                    <w:rPr>
                      <w:rFonts w:ascii="Times New Roman" w:hAnsi="Times New Roman" w:cs="Times New Roman"/>
                      <w:sz w:val="16"/>
                      <w:szCs w:val="16"/>
                    </w:rPr>
                  </w:pPr>
                  <w:r w:rsidRPr="00954AA5">
                    <w:rPr>
                      <w:rFonts w:ascii="Times New Roman" w:hAnsi="Times New Roman" w:cs="Times New Roman"/>
                      <w:sz w:val="16"/>
                      <w:szCs w:val="16"/>
                    </w:rPr>
                    <w:t>5,00%</w:t>
                  </w:r>
                </w:p>
              </w:tc>
              <w:tc>
                <w:tcPr>
                  <w:tcW w:w="992" w:type="dxa"/>
                  <w:shd w:val="clear" w:color="000000" w:fill="F2F2F2"/>
                  <w:noWrap/>
                  <w:vAlign w:val="center"/>
                  <w:hideMark/>
                </w:tcPr>
                <w:p w:rsidR="009F1CE9" w:rsidRPr="00F423AC" w:rsidRDefault="009F1CE9" w:rsidP="00AF46AE">
                  <w:pPr>
                    <w:spacing w:line="240" w:lineRule="auto"/>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porcentaje</w:t>
                  </w:r>
                </w:p>
              </w:tc>
            </w:tr>
          </w:tbl>
          <w:p w:rsidR="009F1CE9" w:rsidRPr="004A324E" w:rsidRDefault="009F1CE9" w:rsidP="00AF46AE">
            <w:pPr>
              <w:pStyle w:val="Default"/>
              <w:jc w:val="center"/>
              <w:rPr>
                <w:color w:val="auto"/>
                <w:sz w:val="18"/>
                <w:lang w:val="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color w:val="auto"/>
                <w:sz w:val="16"/>
                <w:highlight w:val="yellow"/>
                <w:lang w:val="es-ES"/>
              </w:rPr>
            </w:pPr>
            <w:r w:rsidRPr="002E6209">
              <w:rPr>
                <w:color w:val="auto"/>
                <w:sz w:val="16"/>
                <w:lang w:val="es-ES"/>
              </w:rPr>
              <w:t>Jorge Mendoza - Programa de Sanidad e Inocuidad Alimentaria 2011 - Evaluación Económica.</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Pérdidas anuales en el ganado porcino por la PPC</w:t>
            </w:r>
          </w:p>
        </w:tc>
        <w:tc>
          <w:tcPr>
            <w:tcW w:w="8335" w:type="dxa"/>
            <w:gridSpan w:val="4"/>
            <w:vAlign w:val="center"/>
          </w:tcPr>
          <w:tbl>
            <w:tblPr>
              <w:tblW w:w="4948" w:type="dxa"/>
              <w:jc w:val="center"/>
              <w:tblBorders>
                <w:insideH w:val="single" w:sz="8" w:space="0" w:color="FFFFFF" w:themeColor="background1"/>
                <w:insideV w:val="single" w:sz="8" w:space="0" w:color="FFFFFF" w:themeColor="background1"/>
              </w:tblBorders>
              <w:tblLayout w:type="fixed"/>
              <w:tblCellMar>
                <w:left w:w="70" w:type="dxa"/>
                <w:right w:w="70" w:type="dxa"/>
              </w:tblCellMar>
              <w:tblLook w:val="04A0" w:firstRow="1" w:lastRow="0" w:firstColumn="1" w:lastColumn="0" w:noHBand="0" w:noVBand="1"/>
            </w:tblPr>
            <w:tblGrid>
              <w:gridCol w:w="2753"/>
              <w:gridCol w:w="164"/>
              <w:gridCol w:w="6"/>
              <w:gridCol w:w="1033"/>
              <w:gridCol w:w="992"/>
            </w:tblGrid>
            <w:tr w:rsidR="009F1CE9" w:rsidRPr="007A70E7" w:rsidTr="00AF46AE">
              <w:trPr>
                <w:trHeight w:val="300"/>
                <w:jc w:val="center"/>
              </w:trPr>
              <w:tc>
                <w:tcPr>
                  <w:tcW w:w="2923" w:type="dxa"/>
                  <w:gridSpan w:val="3"/>
                  <w:shd w:val="clear" w:color="000000" w:fill="D9D9D9"/>
                  <w:noWrap/>
                  <w:vAlign w:val="center"/>
                  <w:hideMark/>
                </w:tcPr>
                <w:p w:rsidR="009F1CE9" w:rsidRPr="007A70E7" w:rsidRDefault="009F1CE9" w:rsidP="00AF46AE">
                  <w:pPr>
                    <w:spacing w:line="240" w:lineRule="auto"/>
                    <w:ind w:firstLineChars="100" w:firstLine="160"/>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Pérdidas Económicas Sin Proyecto</w:t>
                  </w:r>
                </w:p>
              </w:tc>
              <w:tc>
                <w:tcPr>
                  <w:tcW w:w="1033" w:type="dxa"/>
                  <w:shd w:val="clear" w:color="000000" w:fill="D9D9D9"/>
                  <w:noWrap/>
                  <w:vAlign w:val="center"/>
                  <w:hideMark/>
                </w:tcPr>
                <w:p w:rsidR="009F1CE9" w:rsidRPr="007A70E7" w:rsidRDefault="009F1CE9" w:rsidP="00AF46AE">
                  <w:pPr>
                    <w:spacing w:line="240" w:lineRule="auto"/>
                    <w:jc w:val="center"/>
                    <w:rPr>
                      <w:rFonts w:ascii="Times New Roman" w:eastAsia="Times New Roman" w:hAnsi="Times New Roman" w:cs="Times New Roman"/>
                      <w:bCs/>
                      <w:sz w:val="16"/>
                      <w:szCs w:val="16"/>
                      <w:lang w:eastAsia="es-ES"/>
                    </w:rPr>
                  </w:pPr>
                  <w:r w:rsidRPr="007A70E7">
                    <w:rPr>
                      <w:rFonts w:ascii="Times New Roman" w:eastAsia="Times New Roman" w:hAnsi="Times New Roman" w:cs="Times New Roman"/>
                      <w:bCs/>
                      <w:sz w:val="16"/>
                      <w:szCs w:val="16"/>
                      <w:lang w:eastAsia="es-ES"/>
                    </w:rPr>
                    <w:t>593.685</w:t>
                  </w:r>
                </w:p>
              </w:tc>
              <w:tc>
                <w:tcPr>
                  <w:tcW w:w="992" w:type="dxa"/>
                  <w:shd w:val="clear" w:color="000000" w:fill="D9D9D9"/>
                  <w:noWrap/>
                  <w:vAlign w:val="center"/>
                  <w:hideMark/>
                </w:tcPr>
                <w:p w:rsidR="009F1CE9" w:rsidRPr="007A70E7" w:rsidRDefault="009F1CE9" w:rsidP="00AF46AE">
                  <w:pPr>
                    <w:spacing w:line="240" w:lineRule="auto"/>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USD / año</w:t>
                  </w:r>
                </w:p>
              </w:tc>
            </w:tr>
            <w:tr w:rsidR="009F1CE9" w:rsidRPr="007A70E7" w:rsidTr="00AF46AE">
              <w:trPr>
                <w:trHeight w:val="300"/>
                <w:jc w:val="center"/>
              </w:trPr>
              <w:tc>
                <w:tcPr>
                  <w:tcW w:w="2923" w:type="dxa"/>
                  <w:gridSpan w:val="3"/>
                  <w:shd w:val="clear" w:color="000000" w:fill="D9D9D9"/>
                  <w:noWrap/>
                  <w:vAlign w:val="center"/>
                  <w:hideMark/>
                </w:tcPr>
                <w:p w:rsidR="009F1CE9" w:rsidRPr="007A70E7" w:rsidRDefault="009F1CE9" w:rsidP="00AF46AE">
                  <w:pPr>
                    <w:spacing w:line="240" w:lineRule="auto"/>
                    <w:ind w:firstLineChars="100" w:firstLine="160"/>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Pérdidas Económicas Con Proyecto</w:t>
                  </w:r>
                </w:p>
              </w:tc>
              <w:tc>
                <w:tcPr>
                  <w:tcW w:w="1033" w:type="dxa"/>
                  <w:shd w:val="clear" w:color="000000" w:fill="D9D9D9"/>
                  <w:noWrap/>
                  <w:vAlign w:val="center"/>
                  <w:hideMark/>
                </w:tcPr>
                <w:p w:rsidR="009F1CE9" w:rsidRPr="007A70E7" w:rsidRDefault="009F1CE9" w:rsidP="00AF46AE">
                  <w:pPr>
                    <w:spacing w:line="240" w:lineRule="auto"/>
                    <w:jc w:val="center"/>
                    <w:rPr>
                      <w:rFonts w:ascii="Times New Roman" w:eastAsia="Times New Roman" w:hAnsi="Times New Roman" w:cs="Times New Roman"/>
                      <w:bCs/>
                      <w:sz w:val="16"/>
                      <w:szCs w:val="16"/>
                      <w:lang w:eastAsia="es-ES"/>
                    </w:rPr>
                  </w:pPr>
                  <w:r w:rsidRPr="007A70E7">
                    <w:rPr>
                      <w:rFonts w:ascii="Times New Roman" w:eastAsia="Times New Roman" w:hAnsi="Times New Roman" w:cs="Times New Roman"/>
                      <w:bCs/>
                      <w:sz w:val="16"/>
                      <w:szCs w:val="16"/>
                      <w:lang w:eastAsia="es-ES"/>
                    </w:rPr>
                    <w:t>148.421</w:t>
                  </w:r>
                </w:p>
              </w:tc>
              <w:tc>
                <w:tcPr>
                  <w:tcW w:w="992" w:type="dxa"/>
                  <w:shd w:val="clear" w:color="000000" w:fill="D9D9D9"/>
                  <w:noWrap/>
                  <w:vAlign w:val="center"/>
                  <w:hideMark/>
                </w:tcPr>
                <w:p w:rsidR="009F1CE9" w:rsidRPr="007A70E7" w:rsidRDefault="009F1CE9" w:rsidP="00AF46AE">
                  <w:pPr>
                    <w:spacing w:line="240" w:lineRule="auto"/>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USD / año</w:t>
                  </w:r>
                </w:p>
              </w:tc>
            </w:tr>
            <w:tr w:rsidR="009F1CE9" w:rsidRPr="007A70E7" w:rsidTr="00AF46AE">
              <w:trPr>
                <w:trHeight w:val="300"/>
                <w:jc w:val="center"/>
              </w:trPr>
              <w:tc>
                <w:tcPr>
                  <w:tcW w:w="2753" w:type="dxa"/>
                  <w:tcBorders>
                    <w:right w:val="single" w:sz="4" w:space="0" w:color="BFBFBF" w:themeColor="background1" w:themeShade="BF"/>
                  </w:tcBorders>
                  <w:shd w:val="clear" w:color="000000" w:fill="BFBFBF"/>
                  <w:noWrap/>
                  <w:vAlign w:val="center"/>
                  <w:hideMark/>
                </w:tcPr>
                <w:p w:rsidR="009F1CE9" w:rsidRPr="007A70E7" w:rsidRDefault="009F1CE9" w:rsidP="00AF46AE">
                  <w:pPr>
                    <w:spacing w:line="240" w:lineRule="auto"/>
                    <w:ind w:firstLineChars="100" w:firstLine="161"/>
                    <w:rPr>
                      <w:rFonts w:ascii="Times New Roman" w:eastAsia="Times New Roman" w:hAnsi="Times New Roman" w:cs="Times New Roman"/>
                      <w:b/>
                      <w:bCs/>
                      <w:color w:val="000000"/>
                      <w:sz w:val="16"/>
                      <w:szCs w:val="16"/>
                      <w:lang w:eastAsia="es-ES"/>
                    </w:rPr>
                  </w:pPr>
                  <w:r w:rsidRPr="007A70E7">
                    <w:rPr>
                      <w:rFonts w:ascii="Times New Roman" w:eastAsia="Times New Roman" w:hAnsi="Times New Roman" w:cs="Times New Roman"/>
                      <w:b/>
                      <w:bCs/>
                      <w:color w:val="000000"/>
                      <w:sz w:val="16"/>
                      <w:szCs w:val="16"/>
                      <w:lang w:eastAsia="es-ES"/>
                    </w:rPr>
                    <w:t>Diferencial</w:t>
                  </w:r>
                </w:p>
              </w:tc>
              <w:tc>
                <w:tcPr>
                  <w:tcW w:w="164" w:type="dxa"/>
                  <w:tcBorders>
                    <w:left w:val="single" w:sz="4" w:space="0" w:color="BFBFBF" w:themeColor="background1" w:themeShade="BF"/>
                  </w:tcBorders>
                  <w:shd w:val="clear" w:color="000000" w:fill="BFBFBF"/>
                  <w:noWrap/>
                  <w:vAlign w:val="bottom"/>
                  <w:hideMark/>
                </w:tcPr>
                <w:p w:rsidR="009F1CE9" w:rsidRPr="007A70E7" w:rsidRDefault="009F1CE9" w:rsidP="00AF46AE">
                  <w:pPr>
                    <w:spacing w:line="240" w:lineRule="auto"/>
                    <w:rPr>
                      <w:rFonts w:ascii="Times New Roman" w:eastAsia="Times New Roman" w:hAnsi="Times New Roman" w:cs="Times New Roman"/>
                      <w:b/>
                      <w:color w:val="000000"/>
                      <w:sz w:val="16"/>
                      <w:szCs w:val="16"/>
                      <w:lang w:eastAsia="es-ES"/>
                    </w:rPr>
                  </w:pPr>
                  <w:r w:rsidRPr="007A70E7">
                    <w:rPr>
                      <w:rFonts w:ascii="Times New Roman" w:eastAsia="Times New Roman" w:hAnsi="Times New Roman" w:cs="Times New Roman"/>
                      <w:b/>
                      <w:color w:val="000000"/>
                      <w:sz w:val="16"/>
                      <w:szCs w:val="16"/>
                      <w:lang w:eastAsia="es-ES"/>
                    </w:rPr>
                    <w:t> </w:t>
                  </w:r>
                </w:p>
              </w:tc>
              <w:tc>
                <w:tcPr>
                  <w:tcW w:w="1039" w:type="dxa"/>
                  <w:gridSpan w:val="2"/>
                  <w:shd w:val="clear" w:color="000000" w:fill="BFBFBF"/>
                  <w:noWrap/>
                  <w:vAlign w:val="center"/>
                  <w:hideMark/>
                </w:tcPr>
                <w:p w:rsidR="009F1CE9" w:rsidRPr="007A70E7" w:rsidRDefault="009F1CE9" w:rsidP="00AF46AE">
                  <w:pPr>
                    <w:spacing w:line="240" w:lineRule="auto"/>
                    <w:jc w:val="center"/>
                    <w:rPr>
                      <w:rFonts w:ascii="Times New Roman" w:eastAsia="Times New Roman" w:hAnsi="Times New Roman" w:cs="Times New Roman"/>
                      <w:b/>
                      <w:bCs/>
                      <w:sz w:val="16"/>
                      <w:szCs w:val="16"/>
                      <w:lang w:eastAsia="es-ES"/>
                    </w:rPr>
                  </w:pPr>
                  <w:r w:rsidRPr="007A70E7">
                    <w:rPr>
                      <w:rFonts w:ascii="Times New Roman" w:eastAsia="Times New Roman" w:hAnsi="Times New Roman" w:cs="Times New Roman"/>
                      <w:b/>
                      <w:bCs/>
                      <w:sz w:val="16"/>
                      <w:szCs w:val="16"/>
                      <w:lang w:eastAsia="es-ES"/>
                    </w:rPr>
                    <w:t>445.264</w:t>
                  </w:r>
                </w:p>
              </w:tc>
              <w:tc>
                <w:tcPr>
                  <w:tcW w:w="992" w:type="dxa"/>
                  <w:shd w:val="clear" w:color="000000" w:fill="BFBFBF"/>
                  <w:noWrap/>
                  <w:vAlign w:val="center"/>
                  <w:hideMark/>
                </w:tcPr>
                <w:p w:rsidR="009F1CE9" w:rsidRPr="007A70E7" w:rsidRDefault="009F1CE9" w:rsidP="00AF46AE">
                  <w:pPr>
                    <w:spacing w:line="240" w:lineRule="auto"/>
                    <w:rPr>
                      <w:rFonts w:ascii="Times New Roman" w:eastAsia="Times New Roman" w:hAnsi="Times New Roman" w:cs="Times New Roman"/>
                      <w:b/>
                      <w:bCs/>
                      <w:color w:val="000000"/>
                      <w:sz w:val="16"/>
                      <w:szCs w:val="16"/>
                      <w:lang w:eastAsia="es-ES"/>
                    </w:rPr>
                  </w:pPr>
                  <w:r w:rsidRPr="007A70E7">
                    <w:rPr>
                      <w:rFonts w:ascii="Times New Roman" w:eastAsia="Times New Roman" w:hAnsi="Times New Roman" w:cs="Times New Roman"/>
                      <w:b/>
                      <w:bCs/>
                      <w:color w:val="000000"/>
                      <w:sz w:val="16"/>
                      <w:szCs w:val="16"/>
                      <w:lang w:eastAsia="es-ES"/>
                    </w:rPr>
                    <w:t>USD / año</w:t>
                  </w:r>
                </w:p>
              </w:tc>
            </w:tr>
          </w:tbl>
          <w:p w:rsidR="009F1CE9" w:rsidRPr="004A324E" w:rsidRDefault="009F1CE9" w:rsidP="00AF46AE">
            <w:pPr>
              <w:pStyle w:val="Default"/>
              <w:tabs>
                <w:tab w:val="center" w:pos="4320"/>
                <w:tab w:val="right" w:pos="8640"/>
              </w:tabs>
              <w:spacing w:before="96" w:after="96"/>
              <w:jc w:val="center"/>
              <w:rPr>
                <w:color w:val="auto"/>
                <w:sz w:val="18"/>
                <w:highlight w:val="yellow"/>
                <w:lang w:val="es-ES"/>
              </w:rPr>
            </w:pPr>
          </w:p>
        </w:tc>
      </w:tr>
      <w:tr w:rsidR="009F1CE9" w:rsidRPr="004A324E" w:rsidTr="00AE3AF3">
        <w:trPr>
          <w:trHeight w:val="170"/>
          <w:jc w:val="center"/>
        </w:trPr>
        <w:tc>
          <w:tcPr>
            <w:tcW w:w="1181" w:type="dxa"/>
            <w:tcBorders>
              <w:left w:val="single" w:sz="4" w:space="0" w:color="FFFFFF" w:themeColor="background1"/>
              <w:right w:val="single" w:sz="4" w:space="0" w:color="FFFFFF" w:themeColor="background1"/>
            </w:tcBorders>
            <w:vAlign w:val="center"/>
          </w:tcPr>
          <w:p w:rsidR="009F1CE9" w:rsidRPr="004A324E" w:rsidRDefault="009F1CE9" w:rsidP="00AF46AE">
            <w:pPr>
              <w:rPr>
                <w:rFonts w:ascii="Times New Roman" w:eastAsia="MS Mincho" w:hAnsi="Times New Roman" w:cs="Times New Roman"/>
                <w:b/>
                <w:sz w:val="18"/>
                <w:szCs w:val="24"/>
                <w:lang w:eastAsia="ja-JP"/>
              </w:rPr>
            </w:pPr>
          </w:p>
        </w:tc>
        <w:tc>
          <w:tcPr>
            <w:tcW w:w="1437" w:type="dxa"/>
            <w:tcBorders>
              <w:left w:val="single" w:sz="4" w:space="0" w:color="FFFFFF" w:themeColor="background1"/>
              <w:right w:val="single" w:sz="4" w:space="0" w:color="FFFFFF" w:themeColor="background1"/>
            </w:tcBorders>
            <w:vAlign w:val="center"/>
          </w:tcPr>
          <w:p w:rsidR="009F1CE9" w:rsidRDefault="009F1CE9" w:rsidP="00AF46AE">
            <w:pPr>
              <w:rPr>
                <w:rFonts w:ascii="Times New Roman" w:eastAsia="MS Mincho" w:hAnsi="Times New Roman" w:cs="Times New Roman"/>
                <w:sz w:val="18"/>
                <w:szCs w:val="24"/>
                <w:lang w:eastAsia="ja-JP"/>
              </w:rPr>
            </w:pPr>
          </w:p>
        </w:tc>
        <w:tc>
          <w:tcPr>
            <w:tcW w:w="5688" w:type="dxa"/>
            <w:gridSpan w:val="2"/>
            <w:tcBorders>
              <w:left w:val="single" w:sz="4" w:space="0" w:color="FFFFFF" w:themeColor="background1"/>
              <w:right w:val="single" w:sz="4" w:space="0" w:color="FFFFFF" w:themeColor="background1"/>
            </w:tcBorders>
            <w:vAlign w:val="center"/>
          </w:tcPr>
          <w:p w:rsidR="009F1CE9" w:rsidRPr="004A324E" w:rsidRDefault="009F1CE9" w:rsidP="00AF46AE">
            <w:pPr>
              <w:pStyle w:val="Default"/>
              <w:jc w:val="center"/>
              <w:rPr>
                <w:color w:val="auto"/>
                <w:sz w:val="18"/>
                <w:lang w:val="es-ES"/>
              </w:rPr>
            </w:pPr>
          </w:p>
        </w:tc>
        <w:tc>
          <w:tcPr>
            <w:tcW w:w="2647" w:type="dxa"/>
            <w:gridSpan w:val="2"/>
            <w:tcBorders>
              <w:left w:val="single" w:sz="4" w:space="0" w:color="FFFFFF" w:themeColor="background1"/>
              <w:right w:val="single" w:sz="4" w:space="0" w:color="FFFFFF" w:themeColor="background1"/>
            </w:tcBorders>
            <w:vAlign w:val="center"/>
          </w:tcPr>
          <w:p w:rsidR="009F1CE9" w:rsidRPr="004A324E" w:rsidRDefault="009F1CE9" w:rsidP="00AF46AE">
            <w:pPr>
              <w:pStyle w:val="Default"/>
              <w:tabs>
                <w:tab w:val="center" w:pos="4320"/>
                <w:tab w:val="right" w:pos="8640"/>
              </w:tabs>
              <w:spacing w:before="96" w:after="96"/>
              <w:jc w:val="center"/>
              <w:rPr>
                <w:color w:val="auto"/>
                <w:sz w:val="18"/>
                <w:highlight w:val="yellow"/>
                <w:lang w:val="es-ES"/>
              </w:rPr>
            </w:pPr>
          </w:p>
        </w:tc>
      </w:tr>
      <w:tr w:rsidR="009F1CE9" w:rsidRPr="004A324E" w:rsidTr="00AE3AF3">
        <w:trPr>
          <w:trHeight w:val="621"/>
          <w:jc w:val="center"/>
        </w:trPr>
        <w:tc>
          <w:tcPr>
            <w:tcW w:w="1181" w:type="dxa"/>
            <w:vAlign w:val="center"/>
          </w:tcPr>
          <w:p w:rsidR="009F1CE9" w:rsidRPr="004A324E" w:rsidRDefault="009F1CE9" w:rsidP="00AF46AE">
            <w:pPr>
              <w:rPr>
                <w:rFonts w:ascii="Times New Roman" w:eastAsia="MS Mincho" w:hAnsi="Times New Roman" w:cs="Times New Roman"/>
                <w:b/>
                <w:sz w:val="18"/>
                <w:szCs w:val="24"/>
                <w:lang w:eastAsia="ja-JP"/>
              </w:rPr>
            </w:pPr>
            <w:r w:rsidRPr="004A324E">
              <w:rPr>
                <w:rFonts w:ascii="Times New Roman" w:eastAsia="MS Mincho" w:hAnsi="Times New Roman" w:cs="Times New Roman"/>
                <w:b/>
                <w:sz w:val="18"/>
                <w:szCs w:val="24"/>
                <w:lang w:eastAsia="ja-JP"/>
              </w:rPr>
              <w:t>Tasas de Prevalencia</w:t>
            </w:r>
            <w:r>
              <w:rPr>
                <w:rFonts w:ascii="Times New Roman" w:eastAsia="MS Mincho" w:hAnsi="Times New Roman" w:cs="Times New Roman"/>
                <w:b/>
                <w:sz w:val="18"/>
                <w:szCs w:val="24"/>
                <w:lang w:eastAsia="ja-JP"/>
              </w:rPr>
              <w:t xml:space="preserve"> del Teschen</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Tasas de morbilidad Sin y Con Proyecto</w:t>
            </w:r>
          </w:p>
        </w:tc>
        <w:tc>
          <w:tcPr>
            <w:tcW w:w="5688" w:type="dxa"/>
            <w:gridSpan w:val="2"/>
            <w:vAlign w:val="center"/>
          </w:tcPr>
          <w:tbl>
            <w:tblPr>
              <w:tblW w:w="5168" w:type="dxa"/>
              <w:jc w:val="center"/>
              <w:tblBorders>
                <w:left w:val="single" w:sz="4" w:space="0" w:color="FFFFFF" w:themeColor="background1"/>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2758"/>
              <w:gridCol w:w="851"/>
              <w:gridCol w:w="1559"/>
            </w:tblGrid>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Tasa de Prevalencia Sin Proyecto</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sz w:val="16"/>
                      <w:lang w:eastAsia="es-ES"/>
                    </w:rPr>
                  </w:pPr>
                  <w:r>
                    <w:rPr>
                      <w:rFonts w:ascii="Times New Roman" w:eastAsia="Times New Roman" w:hAnsi="Times New Roman" w:cs="Times New Roman"/>
                      <w:sz w:val="16"/>
                      <w:lang w:eastAsia="es-ES"/>
                    </w:rPr>
                    <w:t>8</w:t>
                  </w:r>
                  <w:r w:rsidRPr="004A324E">
                    <w:rPr>
                      <w:rFonts w:ascii="Times New Roman" w:eastAsia="Times New Roman" w:hAnsi="Times New Roman" w:cs="Times New Roman"/>
                      <w:sz w:val="16"/>
                      <w:lang w:eastAsia="es-ES"/>
                    </w:rPr>
                    <w:t>,00%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porcentaje</w:t>
                  </w:r>
                </w:p>
              </w:tc>
            </w:tr>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0"/>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Tasa de Prevalencia Con Proyecto</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sz w:val="16"/>
                      <w:lang w:eastAsia="es-ES"/>
                    </w:rPr>
                  </w:pPr>
                  <w:r>
                    <w:rPr>
                      <w:rFonts w:ascii="Times New Roman" w:eastAsia="Times New Roman" w:hAnsi="Times New Roman" w:cs="Times New Roman"/>
                      <w:sz w:val="16"/>
                      <w:lang w:eastAsia="es-ES"/>
                    </w:rPr>
                    <w:t>2</w:t>
                  </w:r>
                  <w:r w:rsidRPr="004A324E">
                    <w:rPr>
                      <w:rFonts w:ascii="Times New Roman" w:eastAsia="Times New Roman" w:hAnsi="Times New Roman" w:cs="Times New Roman"/>
                      <w:sz w:val="16"/>
                      <w:lang w:eastAsia="es-ES"/>
                    </w:rPr>
                    <w:t>,00%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color w:val="000000"/>
                      <w:sz w:val="16"/>
                      <w:lang w:eastAsia="es-ES"/>
                    </w:rPr>
                  </w:pPr>
                  <w:r w:rsidRPr="004A324E">
                    <w:rPr>
                      <w:rFonts w:ascii="Times New Roman" w:eastAsia="Times New Roman" w:hAnsi="Times New Roman" w:cs="Times New Roman"/>
                      <w:color w:val="000000"/>
                      <w:sz w:val="16"/>
                      <w:lang w:eastAsia="es-ES"/>
                    </w:rPr>
                    <w:t>porcentaje</w:t>
                  </w:r>
                </w:p>
              </w:tc>
            </w:tr>
            <w:tr w:rsidR="009F1CE9" w:rsidRPr="00787E4E" w:rsidTr="00AF46AE">
              <w:trPr>
                <w:trHeight w:val="300"/>
                <w:jc w:val="center"/>
              </w:trPr>
              <w:tc>
                <w:tcPr>
                  <w:tcW w:w="2758" w:type="dxa"/>
                  <w:shd w:val="clear" w:color="000000" w:fill="F2F2F2"/>
                  <w:noWrap/>
                  <w:vAlign w:val="center"/>
                  <w:hideMark/>
                </w:tcPr>
                <w:p w:rsidR="009F1CE9" w:rsidRPr="004A324E" w:rsidRDefault="009F1CE9" w:rsidP="00AF46AE">
                  <w:pPr>
                    <w:spacing w:line="240" w:lineRule="auto"/>
                    <w:ind w:firstLineChars="100" w:firstLine="161"/>
                    <w:rPr>
                      <w:rFonts w:ascii="Times New Roman" w:eastAsia="Times New Roman" w:hAnsi="Times New Roman" w:cs="Times New Roman"/>
                      <w:b/>
                      <w:bCs/>
                      <w:color w:val="000000"/>
                      <w:sz w:val="16"/>
                      <w:lang w:eastAsia="es-ES"/>
                    </w:rPr>
                  </w:pPr>
                  <w:r w:rsidRPr="004A324E">
                    <w:rPr>
                      <w:rFonts w:ascii="Times New Roman" w:eastAsia="Times New Roman" w:hAnsi="Times New Roman" w:cs="Times New Roman"/>
                      <w:b/>
                      <w:bCs/>
                      <w:color w:val="000000"/>
                      <w:sz w:val="16"/>
                      <w:lang w:eastAsia="es-ES"/>
                    </w:rPr>
                    <w:t>Diferencial </w:t>
                  </w:r>
                </w:p>
              </w:tc>
              <w:tc>
                <w:tcPr>
                  <w:tcW w:w="851" w:type="dxa"/>
                  <w:shd w:val="clear" w:color="000000" w:fill="F2F2F2"/>
                  <w:noWrap/>
                  <w:vAlign w:val="center"/>
                  <w:hideMark/>
                </w:tcPr>
                <w:p w:rsidR="009F1CE9" w:rsidRPr="004A324E" w:rsidRDefault="009F1CE9" w:rsidP="00AF46AE">
                  <w:pPr>
                    <w:spacing w:line="240" w:lineRule="auto"/>
                    <w:jc w:val="center"/>
                    <w:rPr>
                      <w:rFonts w:ascii="Times New Roman" w:eastAsia="Times New Roman" w:hAnsi="Times New Roman" w:cs="Times New Roman"/>
                      <w:b/>
                      <w:bCs/>
                      <w:color w:val="000000"/>
                      <w:sz w:val="16"/>
                      <w:lang w:eastAsia="es-ES"/>
                    </w:rPr>
                  </w:pPr>
                  <w:r>
                    <w:rPr>
                      <w:rFonts w:ascii="Times New Roman" w:eastAsia="Times New Roman" w:hAnsi="Times New Roman" w:cs="Times New Roman"/>
                      <w:b/>
                      <w:bCs/>
                      <w:color w:val="000000"/>
                      <w:sz w:val="16"/>
                      <w:lang w:eastAsia="es-ES"/>
                    </w:rPr>
                    <w:t>6</w:t>
                  </w:r>
                  <w:r w:rsidRPr="004A324E">
                    <w:rPr>
                      <w:rFonts w:ascii="Times New Roman" w:eastAsia="Times New Roman" w:hAnsi="Times New Roman" w:cs="Times New Roman"/>
                      <w:b/>
                      <w:bCs/>
                      <w:color w:val="000000"/>
                      <w:sz w:val="16"/>
                      <w:lang w:eastAsia="es-ES"/>
                    </w:rPr>
                    <w:t>,00</w:t>
                  </w:r>
                </w:p>
              </w:tc>
              <w:tc>
                <w:tcPr>
                  <w:tcW w:w="1559" w:type="dxa"/>
                  <w:shd w:val="clear" w:color="000000" w:fill="F2F2F2"/>
                  <w:noWrap/>
                  <w:vAlign w:val="center"/>
                  <w:hideMark/>
                </w:tcPr>
                <w:p w:rsidR="009F1CE9" w:rsidRPr="004A324E" w:rsidRDefault="009F1CE9" w:rsidP="00AF46AE">
                  <w:pPr>
                    <w:spacing w:line="240" w:lineRule="auto"/>
                    <w:rPr>
                      <w:rFonts w:ascii="Times New Roman" w:eastAsia="Times New Roman" w:hAnsi="Times New Roman" w:cs="Times New Roman"/>
                      <w:b/>
                      <w:bCs/>
                      <w:color w:val="000000"/>
                      <w:sz w:val="16"/>
                      <w:lang w:eastAsia="es-ES"/>
                    </w:rPr>
                  </w:pPr>
                  <w:r w:rsidRPr="004A324E">
                    <w:rPr>
                      <w:rFonts w:ascii="Times New Roman" w:eastAsia="Times New Roman" w:hAnsi="Times New Roman" w:cs="Times New Roman"/>
                      <w:b/>
                      <w:bCs/>
                      <w:color w:val="000000"/>
                      <w:sz w:val="16"/>
                      <w:lang w:eastAsia="es-ES"/>
                    </w:rPr>
                    <w:t>puntos porcentuales</w:t>
                  </w:r>
                </w:p>
              </w:tc>
            </w:tr>
          </w:tbl>
          <w:p w:rsidR="009F1CE9" w:rsidRPr="004A324E" w:rsidRDefault="009F1CE9" w:rsidP="00AF46AE">
            <w:pPr>
              <w:pStyle w:val="Default"/>
              <w:jc w:val="center"/>
              <w:rPr>
                <w:color w:val="auto"/>
                <w:sz w:val="18"/>
                <w:lang w:val="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color w:val="auto"/>
                <w:sz w:val="16"/>
                <w:highlight w:val="yellow"/>
                <w:lang w:val="es-ES"/>
              </w:rPr>
            </w:pPr>
            <w:r w:rsidRPr="002E6209">
              <w:rPr>
                <w:color w:val="auto"/>
                <w:sz w:val="16"/>
                <w:lang w:val="es-ES"/>
              </w:rPr>
              <w:t>MARNDR, 2013, Lineamientos estratégicos de inversiones para la modernización de los servicios públicos de sanidad agropecuaria y de inocuidad de los alimentos.</w:t>
            </w:r>
          </w:p>
        </w:tc>
      </w:tr>
      <w:tr w:rsidR="009F1CE9" w:rsidRPr="004A324E" w:rsidTr="00AE3AF3">
        <w:trPr>
          <w:trHeight w:val="621"/>
          <w:jc w:val="center"/>
        </w:trPr>
        <w:tc>
          <w:tcPr>
            <w:tcW w:w="1181" w:type="dxa"/>
            <w:vAlign w:val="center"/>
          </w:tcPr>
          <w:p w:rsidR="009F1CE9" w:rsidRPr="004A324E"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Efectos del Teschen en el ganado porcino</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Tasas de mortalidad</w:t>
            </w:r>
          </w:p>
        </w:tc>
        <w:tc>
          <w:tcPr>
            <w:tcW w:w="5688" w:type="dxa"/>
            <w:gridSpan w:val="2"/>
            <w:vAlign w:val="center"/>
          </w:tcPr>
          <w:tbl>
            <w:tblPr>
              <w:tblW w:w="5025" w:type="dxa"/>
              <w:jc w:val="center"/>
              <w:tblBorders>
                <w:left w:val="single" w:sz="4" w:space="0" w:color="FFFFFF" w:themeColor="background1"/>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3041"/>
              <w:gridCol w:w="992"/>
              <w:gridCol w:w="992"/>
            </w:tblGrid>
            <w:tr w:rsidR="009F1CE9" w:rsidRPr="00954AA5" w:rsidTr="00AF46AE">
              <w:trPr>
                <w:trHeight w:val="300"/>
                <w:jc w:val="center"/>
              </w:trPr>
              <w:tc>
                <w:tcPr>
                  <w:tcW w:w="3041" w:type="dxa"/>
                  <w:shd w:val="clear" w:color="000000" w:fill="F2F2F2"/>
                  <w:noWrap/>
                  <w:vAlign w:val="center"/>
                  <w:hideMark/>
                </w:tcPr>
                <w:p w:rsidR="009F1CE9" w:rsidRPr="00F423AC" w:rsidRDefault="009F1CE9" w:rsidP="00AF46AE">
                  <w:pPr>
                    <w:spacing w:line="240" w:lineRule="auto"/>
                    <w:ind w:firstLineChars="100" w:firstLine="160"/>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 xml:space="preserve">Muerte de </w:t>
                  </w:r>
                  <w:r>
                    <w:rPr>
                      <w:rFonts w:ascii="Times New Roman" w:eastAsia="Times New Roman" w:hAnsi="Times New Roman" w:cs="Times New Roman"/>
                      <w:color w:val="000000"/>
                      <w:sz w:val="16"/>
                      <w:szCs w:val="16"/>
                      <w:lang w:eastAsia="es-ES"/>
                    </w:rPr>
                    <w:t xml:space="preserve">cerdos </w:t>
                  </w:r>
                  <w:r w:rsidRPr="00F423AC">
                    <w:rPr>
                      <w:rFonts w:ascii="Times New Roman" w:eastAsia="Times New Roman" w:hAnsi="Times New Roman" w:cs="Times New Roman"/>
                      <w:color w:val="000000"/>
                      <w:sz w:val="16"/>
                      <w:szCs w:val="16"/>
                      <w:lang w:eastAsia="es-ES"/>
                    </w:rPr>
                    <w:t>(tasa anual)</w:t>
                  </w:r>
                </w:p>
              </w:tc>
              <w:tc>
                <w:tcPr>
                  <w:tcW w:w="992" w:type="dxa"/>
                  <w:shd w:val="clear" w:color="000000" w:fill="F2F2F2"/>
                  <w:noWrap/>
                  <w:vAlign w:val="center"/>
                  <w:hideMark/>
                </w:tcPr>
                <w:p w:rsidR="009F1CE9" w:rsidRPr="00954AA5" w:rsidRDefault="009F1CE9" w:rsidP="00AF46AE">
                  <w:pPr>
                    <w:jc w:val="center"/>
                    <w:rPr>
                      <w:rFonts w:ascii="Times New Roman" w:hAnsi="Times New Roman" w:cs="Times New Roman"/>
                      <w:sz w:val="16"/>
                      <w:szCs w:val="16"/>
                    </w:rPr>
                  </w:pPr>
                  <w:r>
                    <w:rPr>
                      <w:rFonts w:ascii="Times New Roman" w:hAnsi="Times New Roman" w:cs="Times New Roman"/>
                      <w:sz w:val="16"/>
                      <w:szCs w:val="16"/>
                    </w:rPr>
                    <w:t>10</w:t>
                  </w:r>
                  <w:r w:rsidRPr="00954AA5">
                    <w:rPr>
                      <w:rFonts w:ascii="Times New Roman" w:hAnsi="Times New Roman" w:cs="Times New Roman"/>
                      <w:sz w:val="16"/>
                      <w:szCs w:val="16"/>
                    </w:rPr>
                    <w:t>,00%</w:t>
                  </w:r>
                </w:p>
              </w:tc>
              <w:tc>
                <w:tcPr>
                  <w:tcW w:w="992" w:type="dxa"/>
                  <w:shd w:val="clear" w:color="000000" w:fill="F2F2F2"/>
                  <w:noWrap/>
                  <w:vAlign w:val="center"/>
                  <w:hideMark/>
                </w:tcPr>
                <w:p w:rsidR="009F1CE9" w:rsidRPr="00F423AC" w:rsidRDefault="009F1CE9" w:rsidP="00AF46AE">
                  <w:pPr>
                    <w:spacing w:line="240" w:lineRule="auto"/>
                    <w:rPr>
                      <w:rFonts w:ascii="Times New Roman" w:eastAsia="Times New Roman" w:hAnsi="Times New Roman" w:cs="Times New Roman"/>
                      <w:color w:val="000000"/>
                      <w:sz w:val="16"/>
                      <w:szCs w:val="16"/>
                      <w:lang w:eastAsia="es-ES"/>
                    </w:rPr>
                  </w:pPr>
                  <w:r w:rsidRPr="00F423AC">
                    <w:rPr>
                      <w:rFonts w:ascii="Times New Roman" w:eastAsia="Times New Roman" w:hAnsi="Times New Roman" w:cs="Times New Roman"/>
                      <w:color w:val="000000"/>
                      <w:sz w:val="16"/>
                      <w:szCs w:val="16"/>
                      <w:lang w:eastAsia="es-ES"/>
                    </w:rPr>
                    <w:t>porcentaje</w:t>
                  </w:r>
                </w:p>
              </w:tc>
            </w:tr>
          </w:tbl>
          <w:p w:rsidR="009F1CE9" w:rsidRPr="004A324E" w:rsidRDefault="009F1CE9" w:rsidP="00AF46AE">
            <w:pPr>
              <w:pStyle w:val="Default"/>
              <w:jc w:val="center"/>
              <w:rPr>
                <w:color w:val="auto"/>
                <w:sz w:val="18"/>
                <w:lang w:val="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sz w:val="16"/>
                <w:lang w:val="es-ES"/>
              </w:rPr>
            </w:pPr>
            <w:r w:rsidRPr="002E6209">
              <w:rPr>
                <w:sz w:val="16"/>
                <w:lang w:val="es-ES"/>
              </w:rPr>
              <w:t>FAO, 2011</w:t>
            </w:r>
            <w:r w:rsidRPr="002E6209">
              <w:rPr>
                <w:i/>
                <w:sz w:val="16"/>
                <w:lang w:val="es-ES"/>
              </w:rPr>
              <w:t xml:space="preserve">. </w:t>
            </w:r>
            <w:r w:rsidRPr="002E6209">
              <w:rPr>
                <w:sz w:val="16"/>
                <w:lang w:val="es-ES"/>
              </w:rPr>
              <w:t>Presentación</w:t>
            </w:r>
            <w:r w:rsidRPr="002E6209">
              <w:rPr>
                <w:i/>
                <w:sz w:val="16"/>
                <w:lang w:val="es-ES"/>
              </w:rPr>
              <w:t xml:space="preserve"> Situación de Teschovirus en Haití</w:t>
            </w:r>
            <w:r w:rsidRPr="002E6209">
              <w:rPr>
                <w:sz w:val="16"/>
                <w:lang w:val="es-ES"/>
              </w:rPr>
              <w:t>.</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Pérdidas anuales en el ganado porcino el Teschen</w:t>
            </w:r>
          </w:p>
        </w:tc>
        <w:tc>
          <w:tcPr>
            <w:tcW w:w="8335" w:type="dxa"/>
            <w:gridSpan w:val="4"/>
            <w:vAlign w:val="center"/>
          </w:tcPr>
          <w:tbl>
            <w:tblPr>
              <w:tblW w:w="4948" w:type="dxa"/>
              <w:jc w:val="center"/>
              <w:tblBorders>
                <w:insideH w:val="single" w:sz="8" w:space="0" w:color="FFFFFF" w:themeColor="background1"/>
                <w:insideV w:val="single" w:sz="8" w:space="0" w:color="FFFFFF" w:themeColor="background1"/>
              </w:tblBorders>
              <w:tblLayout w:type="fixed"/>
              <w:tblCellMar>
                <w:left w:w="70" w:type="dxa"/>
                <w:right w:w="70" w:type="dxa"/>
              </w:tblCellMar>
              <w:tblLook w:val="04A0" w:firstRow="1" w:lastRow="0" w:firstColumn="1" w:lastColumn="0" w:noHBand="0" w:noVBand="1"/>
            </w:tblPr>
            <w:tblGrid>
              <w:gridCol w:w="2753"/>
              <w:gridCol w:w="164"/>
              <w:gridCol w:w="6"/>
              <w:gridCol w:w="1033"/>
              <w:gridCol w:w="992"/>
            </w:tblGrid>
            <w:tr w:rsidR="009F1CE9" w:rsidRPr="007A70E7" w:rsidTr="00AF46AE">
              <w:trPr>
                <w:trHeight w:val="300"/>
                <w:jc w:val="center"/>
              </w:trPr>
              <w:tc>
                <w:tcPr>
                  <w:tcW w:w="2923" w:type="dxa"/>
                  <w:gridSpan w:val="3"/>
                  <w:shd w:val="clear" w:color="000000" w:fill="D9D9D9"/>
                  <w:noWrap/>
                  <w:vAlign w:val="center"/>
                  <w:hideMark/>
                </w:tcPr>
                <w:p w:rsidR="009F1CE9" w:rsidRPr="007A70E7" w:rsidRDefault="009F1CE9" w:rsidP="00AF46AE">
                  <w:pPr>
                    <w:spacing w:line="240" w:lineRule="auto"/>
                    <w:ind w:firstLineChars="100" w:firstLine="160"/>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Pérdidas Económicas Sin Proyecto</w:t>
                  </w:r>
                </w:p>
              </w:tc>
              <w:tc>
                <w:tcPr>
                  <w:tcW w:w="1033" w:type="dxa"/>
                  <w:shd w:val="clear" w:color="000000" w:fill="D9D9D9"/>
                  <w:noWrap/>
                  <w:vAlign w:val="center"/>
                  <w:hideMark/>
                </w:tcPr>
                <w:p w:rsidR="009F1CE9" w:rsidRPr="007A70E7" w:rsidRDefault="009F1CE9" w:rsidP="00AF46AE">
                  <w:pPr>
                    <w:spacing w:line="240" w:lineRule="auto"/>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449.421</w:t>
                  </w:r>
                </w:p>
              </w:tc>
              <w:tc>
                <w:tcPr>
                  <w:tcW w:w="992" w:type="dxa"/>
                  <w:shd w:val="clear" w:color="000000" w:fill="D9D9D9"/>
                  <w:noWrap/>
                  <w:vAlign w:val="center"/>
                  <w:hideMark/>
                </w:tcPr>
                <w:p w:rsidR="009F1CE9" w:rsidRPr="007A70E7" w:rsidRDefault="009F1CE9" w:rsidP="00AF46AE">
                  <w:pPr>
                    <w:spacing w:line="240" w:lineRule="auto"/>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USD / año</w:t>
                  </w:r>
                </w:p>
              </w:tc>
            </w:tr>
            <w:tr w:rsidR="009F1CE9" w:rsidRPr="007A70E7" w:rsidTr="00AF46AE">
              <w:trPr>
                <w:trHeight w:val="300"/>
                <w:jc w:val="center"/>
              </w:trPr>
              <w:tc>
                <w:tcPr>
                  <w:tcW w:w="2923" w:type="dxa"/>
                  <w:gridSpan w:val="3"/>
                  <w:shd w:val="clear" w:color="000000" w:fill="D9D9D9"/>
                  <w:noWrap/>
                  <w:vAlign w:val="center"/>
                  <w:hideMark/>
                </w:tcPr>
                <w:p w:rsidR="009F1CE9" w:rsidRPr="007A70E7" w:rsidRDefault="009F1CE9" w:rsidP="00AF46AE">
                  <w:pPr>
                    <w:spacing w:line="240" w:lineRule="auto"/>
                    <w:ind w:firstLineChars="100" w:firstLine="160"/>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Pérdidas Económicas Con Proyecto</w:t>
                  </w:r>
                </w:p>
              </w:tc>
              <w:tc>
                <w:tcPr>
                  <w:tcW w:w="1033" w:type="dxa"/>
                  <w:shd w:val="clear" w:color="000000" w:fill="D9D9D9"/>
                  <w:noWrap/>
                  <w:vAlign w:val="center"/>
                  <w:hideMark/>
                </w:tcPr>
                <w:p w:rsidR="009F1CE9" w:rsidRPr="007A70E7" w:rsidRDefault="009F1CE9" w:rsidP="00AF46AE">
                  <w:pPr>
                    <w:spacing w:line="240" w:lineRule="auto"/>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112.355</w:t>
                  </w:r>
                </w:p>
              </w:tc>
              <w:tc>
                <w:tcPr>
                  <w:tcW w:w="992" w:type="dxa"/>
                  <w:shd w:val="clear" w:color="000000" w:fill="D9D9D9"/>
                  <w:noWrap/>
                  <w:vAlign w:val="center"/>
                  <w:hideMark/>
                </w:tcPr>
                <w:p w:rsidR="009F1CE9" w:rsidRPr="007A70E7" w:rsidRDefault="009F1CE9" w:rsidP="00AF46AE">
                  <w:pPr>
                    <w:spacing w:line="240" w:lineRule="auto"/>
                    <w:rPr>
                      <w:rFonts w:ascii="Times New Roman" w:eastAsia="Times New Roman" w:hAnsi="Times New Roman" w:cs="Times New Roman"/>
                      <w:bCs/>
                      <w:color w:val="000000"/>
                      <w:sz w:val="16"/>
                      <w:szCs w:val="16"/>
                      <w:lang w:eastAsia="es-ES"/>
                    </w:rPr>
                  </w:pPr>
                  <w:r w:rsidRPr="007A70E7">
                    <w:rPr>
                      <w:rFonts w:ascii="Times New Roman" w:eastAsia="Times New Roman" w:hAnsi="Times New Roman" w:cs="Times New Roman"/>
                      <w:bCs/>
                      <w:color w:val="000000"/>
                      <w:sz w:val="16"/>
                      <w:szCs w:val="16"/>
                      <w:lang w:eastAsia="es-ES"/>
                    </w:rPr>
                    <w:t>USD / año</w:t>
                  </w:r>
                </w:p>
              </w:tc>
            </w:tr>
            <w:tr w:rsidR="009F1CE9" w:rsidRPr="007A70E7" w:rsidTr="00AF46AE">
              <w:trPr>
                <w:trHeight w:val="300"/>
                <w:jc w:val="center"/>
              </w:trPr>
              <w:tc>
                <w:tcPr>
                  <w:tcW w:w="2753" w:type="dxa"/>
                  <w:tcBorders>
                    <w:right w:val="single" w:sz="4" w:space="0" w:color="BFBFBF" w:themeColor="background1" w:themeShade="BF"/>
                  </w:tcBorders>
                  <w:shd w:val="clear" w:color="000000" w:fill="BFBFBF"/>
                  <w:noWrap/>
                  <w:vAlign w:val="center"/>
                  <w:hideMark/>
                </w:tcPr>
                <w:p w:rsidR="009F1CE9" w:rsidRPr="007A70E7" w:rsidRDefault="009F1CE9" w:rsidP="00AF46AE">
                  <w:pPr>
                    <w:spacing w:line="240" w:lineRule="auto"/>
                    <w:ind w:firstLineChars="100" w:firstLine="161"/>
                    <w:rPr>
                      <w:rFonts w:ascii="Times New Roman" w:eastAsia="Times New Roman" w:hAnsi="Times New Roman" w:cs="Times New Roman"/>
                      <w:b/>
                      <w:bCs/>
                      <w:color w:val="000000"/>
                      <w:sz w:val="16"/>
                      <w:szCs w:val="16"/>
                      <w:lang w:eastAsia="es-ES"/>
                    </w:rPr>
                  </w:pPr>
                  <w:r w:rsidRPr="007A70E7">
                    <w:rPr>
                      <w:rFonts w:ascii="Times New Roman" w:eastAsia="Times New Roman" w:hAnsi="Times New Roman" w:cs="Times New Roman"/>
                      <w:b/>
                      <w:bCs/>
                      <w:color w:val="000000"/>
                      <w:sz w:val="16"/>
                      <w:szCs w:val="16"/>
                      <w:lang w:eastAsia="es-ES"/>
                    </w:rPr>
                    <w:t>Diferencial</w:t>
                  </w:r>
                </w:p>
              </w:tc>
              <w:tc>
                <w:tcPr>
                  <w:tcW w:w="164" w:type="dxa"/>
                  <w:tcBorders>
                    <w:left w:val="single" w:sz="4" w:space="0" w:color="BFBFBF" w:themeColor="background1" w:themeShade="BF"/>
                  </w:tcBorders>
                  <w:shd w:val="clear" w:color="000000" w:fill="BFBFBF"/>
                  <w:noWrap/>
                  <w:vAlign w:val="bottom"/>
                  <w:hideMark/>
                </w:tcPr>
                <w:p w:rsidR="009F1CE9" w:rsidRPr="007A70E7" w:rsidRDefault="009F1CE9" w:rsidP="00AF46AE">
                  <w:pPr>
                    <w:spacing w:line="240" w:lineRule="auto"/>
                    <w:rPr>
                      <w:rFonts w:ascii="Times New Roman" w:eastAsia="Times New Roman" w:hAnsi="Times New Roman" w:cs="Times New Roman"/>
                      <w:b/>
                      <w:color w:val="000000"/>
                      <w:sz w:val="16"/>
                      <w:szCs w:val="16"/>
                      <w:lang w:eastAsia="es-ES"/>
                    </w:rPr>
                  </w:pPr>
                  <w:r w:rsidRPr="007A70E7">
                    <w:rPr>
                      <w:rFonts w:ascii="Times New Roman" w:eastAsia="Times New Roman" w:hAnsi="Times New Roman" w:cs="Times New Roman"/>
                      <w:b/>
                      <w:color w:val="000000"/>
                      <w:sz w:val="16"/>
                      <w:szCs w:val="16"/>
                      <w:lang w:eastAsia="es-ES"/>
                    </w:rPr>
                    <w:t> </w:t>
                  </w:r>
                </w:p>
              </w:tc>
              <w:tc>
                <w:tcPr>
                  <w:tcW w:w="1039" w:type="dxa"/>
                  <w:gridSpan w:val="2"/>
                  <w:shd w:val="clear" w:color="000000" w:fill="BFBFBF"/>
                  <w:noWrap/>
                  <w:vAlign w:val="center"/>
                  <w:hideMark/>
                </w:tcPr>
                <w:p w:rsidR="009F1CE9" w:rsidRPr="007A70E7"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337.066</w:t>
                  </w:r>
                </w:p>
              </w:tc>
              <w:tc>
                <w:tcPr>
                  <w:tcW w:w="992" w:type="dxa"/>
                  <w:shd w:val="clear" w:color="000000" w:fill="BFBFBF"/>
                  <w:noWrap/>
                  <w:vAlign w:val="center"/>
                  <w:hideMark/>
                </w:tcPr>
                <w:p w:rsidR="009F1CE9" w:rsidRPr="007A70E7" w:rsidRDefault="009F1CE9" w:rsidP="00AF46AE">
                  <w:pPr>
                    <w:spacing w:line="240" w:lineRule="auto"/>
                    <w:rPr>
                      <w:rFonts w:ascii="Times New Roman" w:eastAsia="Times New Roman" w:hAnsi="Times New Roman" w:cs="Times New Roman"/>
                      <w:b/>
                      <w:bCs/>
                      <w:color w:val="000000"/>
                      <w:sz w:val="16"/>
                      <w:szCs w:val="16"/>
                      <w:lang w:eastAsia="es-ES"/>
                    </w:rPr>
                  </w:pPr>
                  <w:r w:rsidRPr="007A70E7">
                    <w:rPr>
                      <w:rFonts w:ascii="Times New Roman" w:eastAsia="Times New Roman" w:hAnsi="Times New Roman" w:cs="Times New Roman"/>
                      <w:b/>
                      <w:bCs/>
                      <w:color w:val="000000"/>
                      <w:sz w:val="16"/>
                      <w:szCs w:val="16"/>
                      <w:lang w:eastAsia="es-ES"/>
                    </w:rPr>
                    <w:t>USD / año</w:t>
                  </w:r>
                </w:p>
              </w:tc>
            </w:tr>
          </w:tbl>
          <w:p w:rsidR="009F1CE9" w:rsidRPr="00600FE6" w:rsidRDefault="009F1CE9" w:rsidP="00AF46AE">
            <w:pPr>
              <w:pStyle w:val="Default"/>
              <w:tabs>
                <w:tab w:val="center" w:pos="4320"/>
                <w:tab w:val="right" w:pos="8640"/>
              </w:tabs>
              <w:spacing w:before="96" w:after="96"/>
              <w:jc w:val="center"/>
              <w:rPr>
                <w:sz w:val="18"/>
                <w:lang w:val="es-ES"/>
              </w:rPr>
            </w:pPr>
          </w:p>
        </w:tc>
      </w:tr>
      <w:tr w:rsidR="009F1CE9" w:rsidRPr="004A324E" w:rsidTr="00AF46AE">
        <w:trPr>
          <w:trHeight w:val="621"/>
          <w:jc w:val="center"/>
        </w:trPr>
        <w:tc>
          <w:tcPr>
            <w:tcW w:w="10953" w:type="dxa"/>
            <w:gridSpan w:val="6"/>
            <w:shd w:val="clear" w:color="auto" w:fill="D9D9D9" w:themeFill="background1" w:themeFillShade="D9"/>
            <w:vAlign w:val="center"/>
          </w:tcPr>
          <w:p w:rsidR="009F1CE9" w:rsidRPr="00600FE6" w:rsidRDefault="009F1CE9" w:rsidP="00AF46AE">
            <w:pPr>
              <w:pStyle w:val="Default"/>
              <w:tabs>
                <w:tab w:val="center" w:pos="4320"/>
                <w:tab w:val="right" w:pos="8640"/>
              </w:tabs>
              <w:spacing w:before="96" w:after="96"/>
              <w:jc w:val="center"/>
              <w:rPr>
                <w:sz w:val="18"/>
                <w:lang w:val="es-ES"/>
              </w:rPr>
            </w:pPr>
            <w:r w:rsidRPr="0072031F">
              <w:rPr>
                <w:b/>
                <w:sz w:val="18"/>
                <w:lang w:val="es-ES"/>
              </w:rPr>
              <w:t>DISMINUCIÓN DE PÉRDIDAS CAUSADAS POR LA MOSCA DE LA FRUTA</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Volumen de exportaciones de mango</w:t>
            </w:r>
          </w:p>
        </w:tc>
        <w:tc>
          <w:tcPr>
            <w:tcW w:w="5688" w:type="dxa"/>
            <w:gridSpan w:val="2"/>
            <w:vAlign w:val="center"/>
          </w:tcPr>
          <w:tbl>
            <w:tblPr>
              <w:tblW w:w="5326" w:type="dxa"/>
              <w:tblInd w:w="10" w:type="dxa"/>
              <w:tblLayout w:type="fixed"/>
              <w:tblCellMar>
                <w:left w:w="70" w:type="dxa"/>
                <w:right w:w="70" w:type="dxa"/>
              </w:tblCellMar>
              <w:tblLook w:val="04A0" w:firstRow="1" w:lastRow="0" w:firstColumn="1" w:lastColumn="0" w:noHBand="0" w:noVBand="1"/>
            </w:tblPr>
            <w:tblGrid>
              <w:gridCol w:w="2894"/>
              <w:gridCol w:w="160"/>
              <w:gridCol w:w="996"/>
              <w:gridCol w:w="1276"/>
            </w:tblGrid>
            <w:tr w:rsidR="009F1CE9" w:rsidRPr="00F80D84" w:rsidTr="00AF46AE">
              <w:trPr>
                <w:trHeight w:val="300"/>
              </w:trPr>
              <w:tc>
                <w:tcPr>
                  <w:tcW w:w="2894" w:type="dxa"/>
                  <w:tcBorders>
                    <w:top w:val="nil"/>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ind w:firstLineChars="100" w:firstLine="160"/>
                    <w:rPr>
                      <w:rFonts w:ascii="Times New Roman" w:eastAsia="Times New Roman" w:hAnsi="Times New Roman" w:cs="Times New Roman"/>
                      <w:bCs/>
                      <w:sz w:val="16"/>
                      <w:szCs w:val="16"/>
                      <w:lang w:eastAsia="es-ES"/>
                    </w:rPr>
                  </w:pPr>
                  <w:r w:rsidRPr="0072031F">
                    <w:rPr>
                      <w:rFonts w:ascii="Times New Roman" w:eastAsia="Times New Roman" w:hAnsi="Times New Roman" w:cs="Times New Roman"/>
                      <w:bCs/>
                      <w:sz w:val="16"/>
                      <w:szCs w:val="16"/>
                      <w:lang w:eastAsia="es-ES"/>
                    </w:rPr>
                    <w:t>Volumen de Exportaciones de Mango</w:t>
                  </w:r>
                </w:p>
              </w:tc>
              <w:tc>
                <w:tcPr>
                  <w:tcW w:w="160" w:type="dxa"/>
                  <w:tcBorders>
                    <w:top w:val="nil"/>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nil"/>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sidRPr="0072031F">
                    <w:rPr>
                      <w:rFonts w:ascii="Times New Roman" w:eastAsia="Times New Roman" w:hAnsi="Times New Roman" w:cs="Times New Roman"/>
                      <w:sz w:val="16"/>
                      <w:szCs w:val="16"/>
                      <w:lang w:eastAsia="es-ES"/>
                    </w:rPr>
                    <w:t>2.356.779</w:t>
                  </w:r>
                </w:p>
              </w:tc>
              <w:tc>
                <w:tcPr>
                  <w:tcW w:w="1276" w:type="dxa"/>
                  <w:tcBorders>
                    <w:top w:val="nil"/>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sidRPr="0072031F">
                    <w:rPr>
                      <w:rFonts w:ascii="Times New Roman" w:eastAsia="Times New Roman" w:hAnsi="Times New Roman" w:cs="Times New Roman"/>
                      <w:color w:val="000000"/>
                      <w:sz w:val="16"/>
                      <w:szCs w:val="16"/>
                      <w:lang w:eastAsia="es-ES"/>
                    </w:rPr>
                    <w:t xml:space="preserve"> cajas / año </w:t>
                  </w:r>
                </w:p>
              </w:tc>
            </w:tr>
            <w:tr w:rsidR="009F1CE9" w:rsidRPr="00F80D84" w:rsidTr="00AF46AE">
              <w:trPr>
                <w:trHeight w:val="300"/>
              </w:trPr>
              <w:tc>
                <w:tcPr>
                  <w:tcW w:w="2894" w:type="dxa"/>
                  <w:tcBorders>
                    <w:top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ind w:firstLine="131"/>
                    <w:rPr>
                      <w:rFonts w:ascii="Times New Roman" w:eastAsia="Times New Roman" w:hAnsi="Times New Roman" w:cs="Times New Roman"/>
                      <w:sz w:val="16"/>
                      <w:szCs w:val="16"/>
                      <w:lang w:eastAsia="es-ES"/>
                    </w:rPr>
                  </w:pPr>
                  <w:r w:rsidRPr="00F80D84">
                    <w:rPr>
                      <w:rFonts w:ascii="Times New Roman" w:eastAsia="Times New Roman" w:hAnsi="Times New Roman" w:cs="Times New Roman"/>
                      <w:sz w:val="16"/>
                      <w:szCs w:val="16"/>
                      <w:lang w:eastAsia="es-ES"/>
                    </w:rPr>
                    <w:t xml:space="preserve"> Peso por caja</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sidRPr="0072031F">
                    <w:rPr>
                      <w:rFonts w:ascii="Times New Roman" w:eastAsia="Times New Roman" w:hAnsi="Times New Roman" w:cs="Times New Roman"/>
                      <w:sz w:val="16"/>
                      <w:szCs w:val="16"/>
                      <w:lang w:eastAsia="es-ES"/>
                    </w:rPr>
                    <w:t>4,5</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sidRPr="0072031F">
                    <w:rPr>
                      <w:rFonts w:ascii="Times New Roman" w:eastAsia="Times New Roman" w:hAnsi="Times New Roman" w:cs="Times New Roman"/>
                      <w:color w:val="000000"/>
                      <w:sz w:val="16"/>
                      <w:szCs w:val="16"/>
                      <w:lang w:eastAsia="es-ES"/>
                    </w:rPr>
                    <w:t xml:space="preserve"> Kg / caja </w:t>
                  </w:r>
                </w:p>
              </w:tc>
            </w:tr>
            <w:tr w:rsidR="009F1CE9" w:rsidRPr="00F80D84" w:rsidTr="00AF46AE">
              <w:trPr>
                <w:trHeight w:val="300"/>
              </w:trPr>
              <w:tc>
                <w:tcPr>
                  <w:tcW w:w="2894" w:type="dxa"/>
                  <w:tcBorders>
                    <w:top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ind w:firstLineChars="100" w:firstLine="160"/>
                    <w:rPr>
                      <w:rFonts w:ascii="Times New Roman" w:eastAsia="Times New Roman" w:hAnsi="Times New Roman" w:cs="Times New Roman"/>
                      <w:sz w:val="16"/>
                      <w:szCs w:val="16"/>
                      <w:lang w:eastAsia="es-ES"/>
                    </w:rPr>
                  </w:pPr>
                  <w:r w:rsidRPr="0072031F">
                    <w:rPr>
                      <w:rFonts w:ascii="Times New Roman" w:eastAsia="Times New Roman" w:hAnsi="Times New Roman" w:cs="Times New Roman"/>
                      <w:sz w:val="16"/>
                      <w:szCs w:val="16"/>
                      <w:lang w:eastAsia="es-ES"/>
                    </w:rPr>
                    <w:t>Peso promedio por mango</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sidRPr="0072031F">
                    <w:rPr>
                      <w:rFonts w:ascii="Times New Roman" w:eastAsia="Times New Roman" w:hAnsi="Times New Roman" w:cs="Times New Roman"/>
                      <w:sz w:val="16"/>
                      <w:szCs w:val="16"/>
                      <w:lang w:eastAsia="es-ES"/>
                    </w:rPr>
                    <w:t>0,45</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sidRPr="0072031F">
                    <w:rPr>
                      <w:rFonts w:ascii="Times New Roman" w:eastAsia="Times New Roman" w:hAnsi="Times New Roman" w:cs="Times New Roman"/>
                      <w:color w:val="000000"/>
                      <w:sz w:val="16"/>
                      <w:szCs w:val="16"/>
                      <w:lang w:eastAsia="es-ES"/>
                    </w:rPr>
                    <w:t xml:space="preserve"> Kg por mango </w:t>
                  </w:r>
                </w:p>
              </w:tc>
            </w:tr>
            <w:tr w:rsidR="009F1CE9" w:rsidRPr="00F80D84" w:rsidTr="00AF46AE">
              <w:trPr>
                <w:trHeight w:val="300"/>
              </w:trPr>
              <w:tc>
                <w:tcPr>
                  <w:tcW w:w="2894" w:type="dxa"/>
                  <w:tcBorders>
                    <w:top w:val="single" w:sz="4" w:space="0" w:color="FFFFFF" w:themeColor="background1"/>
                    <w:bottom w:val="nil"/>
                    <w:right w:val="nil"/>
                  </w:tcBorders>
                  <w:shd w:val="clear" w:color="auto" w:fill="BFBFBF" w:themeFill="background1" w:themeFillShade="BF"/>
                  <w:noWrap/>
                  <w:vAlign w:val="center"/>
                  <w:hideMark/>
                </w:tcPr>
                <w:p w:rsidR="009F1CE9" w:rsidRPr="0072031F" w:rsidRDefault="009F1CE9" w:rsidP="00AF46AE">
                  <w:pPr>
                    <w:spacing w:line="240" w:lineRule="auto"/>
                    <w:ind w:left="113"/>
                    <w:rPr>
                      <w:rFonts w:ascii="Times New Roman" w:eastAsia="Times New Roman" w:hAnsi="Times New Roman" w:cs="Times New Roman"/>
                      <w:b/>
                      <w:bCs/>
                      <w:sz w:val="16"/>
                      <w:szCs w:val="16"/>
                      <w:lang w:eastAsia="es-ES"/>
                    </w:rPr>
                  </w:pPr>
                  <w:r w:rsidRPr="0072031F">
                    <w:rPr>
                      <w:rFonts w:ascii="Times New Roman" w:eastAsia="Times New Roman" w:hAnsi="Times New Roman" w:cs="Times New Roman"/>
                      <w:b/>
                      <w:bCs/>
                      <w:sz w:val="16"/>
                      <w:szCs w:val="16"/>
                      <w:lang w:eastAsia="es-ES"/>
                    </w:rPr>
                    <w:t xml:space="preserve">Volumen </w:t>
                  </w:r>
                  <w:r>
                    <w:rPr>
                      <w:rFonts w:ascii="Times New Roman" w:eastAsia="Times New Roman" w:hAnsi="Times New Roman" w:cs="Times New Roman"/>
                      <w:b/>
                      <w:bCs/>
                      <w:sz w:val="16"/>
                      <w:szCs w:val="16"/>
                      <w:lang w:eastAsia="es-ES"/>
                    </w:rPr>
                    <w:t xml:space="preserve">Mango </w:t>
                  </w:r>
                  <w:r w:rsidRPr="0072031F">
                    <w:rPr>
                      <w:rFonts w:ascii="Times New Roman" w:eastAsia="Times New Roman" w:hAnsi="Times New Roman" w:cs="Times New Roman"/>
                      <w:b/>
                      <w:bCs/>
                      <w:sz w:val="16"/>
                      <w:szCs w:val="16"/>
                      <w:lang w:eastAsia="es-ES"/>
                    </w:rPr>
                    <w:t>Exportado Equivalente</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hideMark/>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r w:rsidRPr="0072031F">
                    <w:rPr>
                      <w:rFonts w:ascii="Times New Roman" w:eastAsia="Times New Roman" w:hAnsi="Times New Roman" w:cs="Times New Roman"/>
                      <w:b/>
                      <w:bCs/>
                      <w:sz w:val="16"/>
                      <w:szCs w:val="16"/>
                      <w:lang w:eastAsia="es-ES"/>
                    </w:rPr>
                    <w:t>10.606</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hideMark/>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sidRPr="0072031F">
                    <w:rPr>
                      <w:rFonts w:ascii="Times New Roman" w:eastAsia="Times New Roman" w:hAnsi="Times New Roman" w:cs="Times New Roman"/>
                      <w:b/>
                      <w:bCs/>
                      <w:color w:val="000000"/>
                      <w:sz w:val="16"/>
                      <w:szCs w:val="16"/>
                      <w:lang w:eastAsia="es-ES"/>
                    </w:rPr>
                    <w:t>Tn / año</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600FE6" w:rsidRDefault="009F1CE9" w:rsidP="00AF46AE">
            <w:pPr>
              <w:pStyle w:val="Default"/>
              <w:tabs>
                <w:tab w:val="center" w:pos="4320"/>
                <w:tab w:val="right" w:pos="8640"/>
              </w:tabs>
              <w:spacing w:before="96" w:after="96"/>
              <w:jc w:val="center"/>
              <w:rPr>
                <w:sz w:val="18"/>
                <w:lang w:val="es-ES"/>
              </w:rPr>
            </w:pPr>
            <w:r>
              <w:rPr>
                <w:sz w:val="18"/>
                <w:lang w:val="es-ES"/>
              </w:rPr>
              <w:t>USDA, MARNDR 2014</w:t>
            </w:r>
          </w:p>
        </w:tc>
      </w:tr>
      <w:tr w:rsidR="009F1CE9" w:rsidRPr="004A324E" w:rsidTr="00AE3AF3">
        <w:trPr>
          <w:trHeight w:val="621"/>
          <w:jc w:val="center"/>
        </w:trPr>
        <w:tc>
          <w:tcPr>
            <w:tcW w:w="1181" w:type="dxa"/>
            <w:vMerge w:val="restart"/>
            <w:vAlign w:val="center"/>
          </w:tcPr>
          <w:p w:rsidR="009F1CE9"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Diferencial del Precio del mango vendido en mercado doméstico vs. mango exportable</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Precio del mango destinado al mercado doméstico</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F80D84" w:rsidTr="00AF46AE">
              <w:trPr>
                <w:trHeight w:val="300"/>
              </w:trPr>
              <w:tc>
                <w:tcPr>
                  <w:tcW w:w="3036" w:type="dxa"/>
                  <w:tcBorders>
                    <w:top w:val="nil"/>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ind w:left="131"/>
                    <w:rPr>
                      <w:rFonts w:ascii="Times New Roman" w:eastAsia="Times New Roman" w:hAnsi="Times New Roman" w:cs="Times New Roman"/>
                      <w:bCs/>
                      <w:sz w:val="16"/>
                      <w:szCs w:val="16"/>
                      <w:lang w:eastAsia="es-ES"/>
                    </w:rPr>
                  </w:pPr>
                  <w:r w:rsidRPr="00AC50F5">
                    <w:rPr>
                      <w:rFonts w:ascii="Times New Roman" w:eastAsia="Times New Roman" w:hAnsi="Times New Roman" w:cs="Times New Roman"/>
                      <w:bCs/>
                      <w:sz w:val="16"/>
                      <w:szCs w:val="16"/>
                      <w:lang w:eastAsia="es-ES"/>
                    </w:rPr>
                    <w:t>Precio de mango para venta local (a pie de finca)</w:t>
                  </w:r>
                </w:p>
              </w:tc>
              <w:tc>
                <w:tcPr>
                  <w:tcW w:w="160" w:type="dxa"/>
                  <w:tcBorders>
                    <w:top w:val="nil"/>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nil"/>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20</w:t>
                  </w:r>
                </w:p>
              </w:tc>
              <w:tc>
                <w:tcPr>
                  <w:tcW w:w="1276" w:type="dxa"/>
                  <w:tcBorders>
                    <w:top w:val="nil"/>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sidRPr="00AC50F5">
                    <w:rPr>
                      <w:rFonts w:ascii="Times New Roman" w:eastAsia="Times New Roman" w:hAnsi="Times New Roman" w:cs="Times New Roman"/>
                      <w:color w:val="000000"/>
                      <w:sz w:val="16"/>
                      <w:szCs w:val="16"/>
                      <w:lang w:eastAsia="es-ES"/>
                    </w:rPr>
                    <w:t>HTG</w:t>
                  </w:r>
                  <w:r>
                    <w:rPr>
                      <w:rFonts w:ascii="Times New Roman" w:eastAsia="Times New Roman" w:hAnsi="Times New Roman" w:cs="Times New Roman"/>
                      <w:color w:val="000000"/>
                      <w:sz w:val="16"/>
                      <w:szCs w:val="16"/>
                      <w:lang w:eastAsia="es-ES"/>
                    </w:rPr>
                    <w:t xml:space="preserve"> </w:t>
                  </w:r>
                  <w:r w:rsidRPr="00AC50F5">
                    <w:rPr>
                      <w:rFonts w:ascii="Times New Roman" w:eastAsia="Times New Roman" w:hAnsi="Times New Roman" w:cs="Times New Roman"/>
                      <w:color w:val="000000"/>
                      <w:sz w:val="16"/>
                      <w:szCs w:val="16"/>
                      <w:lang w:eastAsia="es-ES"/>
                    </w:rPr>
                    <w:t xml:space="preserve"> / docena haitiana</w:t>
                  </w:r>
                </w:p>
              </w:tc>
            </w:tr>
            <w:tr w:rsidR="009F1CE9" w:rsidRPr="00F80D84"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vAlign w:val="center"/>
                </w:tcPr>
                <w:p w:rsidR="009F1CE9" w:rsidRDefault="009F1CE9" w:rsidP="00AF46AE">
                  <w:pPr>
                    <w:spacing w:line="240" w:lineRule="auto"/>
                    <w:ind w:firstLine="131"/>
                    <w:rPr>
                      <w:rFonts w:ascii="Times New Roman" w:eastAsia="Times New Roman" w:hAnsi="Times New Roman" w:cs="Times New Roman"/>
                      <w:sz w:val="16"/>
                      <w:szCs w:val="16"/>
                      <w:lang w:eastAsia="es-ES"/>
                    </w:rPr>
                  </w:pPr>
                  <w:r>
                    <w:rPr>
                      <w:rFonts w:ascii="Times New Roman" w:eastAsia="Times New Roman" w:hAnsi="Times New Roman" w:cs="Times New Roman"/>
                      <w:color w:val="000000"/>
                      <w:sz w:val="16"/>
                      <w:szCs w:val="16"/>
                      <w:lang w:eastAsia="es-ES"/>
                    </w:rPr>
                    <w:t>Kg / docena haitiana</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5,85</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Default="009F1CE9" w:rsidP="00AF46AE">
                  <w:pPr>
                    <w:spacing w:line="240" w:lineRule="auto"/>
                    <w:rPr>
                      <w:rFonts w:ascii="Times New Roman" w:eastAsia="Times New Roman" w:hAnsi="Times New Roman" w:cs="Times New Roman"/>
                      <w:color w:val="000000"/>
                      <w:sz w:val="16"/>
                      <w:szCs w:val="16"/>
                      <w:lang w:eastAsia="es-ES"/>
                    </w:rPr>
                  </w:pPr>
                </w:p>
              </w:tc>
            </w:tr>
            <w:tr w:rsidR="009F1CE9" w:rsidRPr="00F80D84"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vAlign w:val="center"/>
                </w:tcPr>
                <w:p w:rsidR="009F1CE9" w:rsidRPr="0072031F" w:rsidRDefault="009F1CE9" w:rsidP="00AF46AE">
                  <w:pPr>
                    <w:spacing w:line="240" w:lineRule="auto"/>
                    <w:ind w:firstLine="131"/>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Equivalente</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3,42</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HTG / Kg</w:t>
                  </w:r>
                </w:p>
              </w:tc>
            </w:tr>
            <w:tr w:rsidR="009F1CE9" w:rsidRPr="00F80D84"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ind w:firstLineChars="100" w:firstLine="161"/>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Precio del mango para venta doméstica</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0,08</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USD / Kg</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Merge w:val="restart"/>
            <w:vAlign w:val="center"/>
          </w:tcPr>
          <w:p w:rsidR="009F1CE9" w:rsidRPr="00600FE6" w:rsidRDefault="009F1CE9" w:rsidP="00AF46AE">
            <w:pPr>
              <w:pStyle w:val="Default"/>
              <w:tabs>
                <w:tab w:val="center" w:pos="4320"/>
                <w:tab w:val="right" w:pos="8640"/>
              </w:tabs>
              <w:spacing w:before="96" w:after="96"/>
              <w:jc w:val="center"/>
              <w:rPr>
                <w:sz w:val="18"/>
                <w:lang w:val="es-ES"/>
              </w:rPr>
            </w:pPr>
            <w:r>
              <w:rPr>
                <w:sz w:val="18"/>
                <w:lang w:val="es-ES"/>
              </w:rPr>
              <w:t>Consultas realizadas en las plantas de tratamiento para la exportación, 2014</w:t>
            </w:r>
          </w:p>
        </w:tc>
      </w:tr>
      <w:tr w:rsidR="009F1CE9" w:rsidRPr="004A324E" w:rsidTr="00AE3AF3">
        <w:trPr>
          <w:trHeight w:val="621"/>
          <w:jc w:val="center"/>
        </w:trPr>
        <w:tc>
          <w:tcPr>
            <w:tcW w:w="1181" w:type="dxa"/>
            <w:vMerge/>
            <w:vAlign w:val="center"/>
          </w:tcPr>
          <w:p w:rsidR="009F1CE9" w:rsidRDefault="009F1CE9" w:rsidP="00AF46AE">
            <w:pPr>
              <w:rPr>
                <w:rFonts w:ascii="Times New Roman" w:eastAsia="MS Mincho" w:hAnsi="Times New Roman" w:cs="Times New Roman"/>
                <w:b/>
                <w:sz w:val="18"/>
                <w:szCs w:val="24"/>
                <w:lang w:eastAsia="ja-JP"/>
              </w:rPr>
            </w:pP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Precio del mango destinado a la exportación</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F80D84" w:rsidTr="00AF46AE">
              <w:trPr>
                <w:trHeight w:val="300"/>
              </w:trPr>
              <w:tc>
                <w:tcPr>
                  <w:tcW w:w="3036" w:type="dxa"/>
                  <w:tcBorders>
                    <w:top w:val="nil"/>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ind w:left="131"/>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Precio de mango para exportación</w:t>
                  </w:r>
                </w:p>
              </w:tc>
              <w:tc>
                <w:tcPr>
                  <w:tcW w:w="160" w:type="dxa"/>
                  <w:tcBorders>
                    <w:top w:val="nil"/>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nil"/>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186</w:t>
                  </w:r>
                </w:p>
              </w:tc>
              <w:tc>
                <w:tcPr>
                  <w:tcW w:w="1276" w:type="dxa"/>
                  <w:tcBorders>
                    <w:top w:val="nil"/>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sidRPr="00AC50F5">
                    <w:rPr>
                      <w:rFonts w:ascii="Times New Roman" w:eastAsia="Times New Roman" w:hAnsi="Times New Roman" w:cs="Times New Roman"/>
                      <w:color w:val="000000"/>
                      <w:sz w:val="16"/>
                      <w:szCs w:val="16"/>
                      <w:lang w:eastAsia="es-ES"/>
                    </w:rPr>
                    <w:t>HTG</w:t>
                  </w:r>
                  <w:r>
                    <w:rPr>
                      <w:rFonts w:ascii="Times New Roman" w:eastAsia="Times New Roman" w:hAnsi="Times New Roman" w:cs="Times New Roman"/>
                      <w:color w:val="000000"/>
                      <w:sz w:val="16"/>
                      <w:szCs w:val="16"/>
                      <w:lang w:eastAsia="es-ES"/>
                    </w:rPr>
                    <w:t xml:space="preserve"> </w:t>
                  </w:r>
                  <w:r w:rsidRPr="00AC50F5">
                    <w:rPr>
                      <w:rFonts w:ascii="Times New Roman" w:eastAsia="Times New Roman" w:hAnsi="Times New Roman" w:cs="Times New Roman"/>
                      <w:color w:val="000000"/>
                      <w:sz w:val="16"/>
                      <w:szCs w:val="16"/>
                      <w:lang w:eastAsia="es-ES"/>
                    </w:rPr>
                    <w:t xml:space="preserve"> / docena haitiana</w:t>
                  </w:r>
                </w:p>
              </w:tc>
            </w:tr>
            <w:tr w:rsidR="009F1CE9" w:rsidRPr="00F80D84"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vAlign w:val="center"/>
                </w:tcPr>
                <w:p w:rsidR="009F1CE9" w:rsidRDefault="009F1CE9" w:rsidP="00AF46AE">
                  <w:pPr>
                    <w:spacing w:line="240" w:lineRule="auto"/>
                    <w:ind w:firstLine="131"/>
                    <w:rPr>
                      <w:rFonts w:ascii="Times New Roman" w:eastAsia="Times New Roman" w:hAnsi="Times New Roman" w:cs="Times New Roman"/>
                      <w:sz w:val="16"/>
                      <w:szCs w:val="16"/>
                      <w:lang w:eastAsia="es-ES"/>
                    </w:rPr>
                  </w:pPr>
                  <w:r>
                    <w:rPr>
                      <w:rFonts w:ascii="Times New Roman" w:eastAsia="Times New Roman" w:hAnsi="Times New Roman" w:cs="Times New Roman"/>
                      <w:color w:val="000000"/>
                      <w:sz w:val="16"/>
                      <w:szCs w:val="16"/>
                      <w:lang w:eastAsia="es-ES"/>
                    </w:rPr>
                    <w:t>Kg / docena haitiana</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5,85</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Default="009F1CE9" w:rsidP="00AF46AE">
                  <w:pPr>
                    <w:spacing w:line="240" w:lineRule="auto"/>
                    <w:rPr>
                      <w:rFonts w:ascii="Times New Roman" w:eastAsia="Times New Roman" w:hAnsi="Times New Roman" w:cs="Times New Roman"/>
                      <w:color w:val="000000"/>
                      <w:sz w:val="16"/>
                      <w:szCs w:val="16"/>
                      <w:lang w:eastAsia="es-ES"/>
                    </w:rPr>
                  </w:pPr>
                </w:p>
              </w:tc>
            </w:tr>
            <w:tr w:rsidR="009F1CE9" w:rsidRPr="00F80D84"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vAlign w:val="center"/>
                </w:tcPr>
                <w:p w:rsidR="009F1CE9" w:rsidRPr="0072031F" w:rsidRDefault="009F1CE9" w:rsidP="00AF46AE">
                  <w:pPr>
                    <w:spacing w:line="240" w:lineRule="auto"/>
                    <w:ind w:firstLine="131"/>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Equivalente</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31,75</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HTG / Kg</w:t>
                  </w:r>
                </w:p>
              </w:tc>
            </w:tr>
            <w:tr w:rsidR="009F1CE9" w:rsidRPr="00F80D84"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ind w:firstLineChars="81" w:firstLine="130"/>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Precio del mango para exportación</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0,71</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USD / Kg</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Merge/>
            <w:vAlign w:val="center"/>
          </w:tcPr>
          <w:p w:rsidR="009F1CE9" w:rsidRPr="00600FE6" w:rsidRDefault="009F1CE9" w:rsidP="00AF46AE">
            <w:pPr>
              <w:pStyle w:val="Default"/>
              <w:tabs>
                <w:tab w:val="center" w:pos="4320"/>
                <w:tab w:val="right" w:pos="8640"/>
              </w:tabs>
              <w:spacing w:before="96" w:after="96"/>
              <w:jc w:val="center"/>
              <w:rPr>
                <w:sz w:val="18"/>
                <w:lang w:val="es-ES"/>
              </w:rPr>
            </w:pPr>
          </w:p>
        </w:tc>
      </w:tr>
      <w:tr w:rsidR="009F1CE9" w:rsidRPr="004A324E" w:rsidTr="00AE3AF3">
        <w:trPr>
          <w:trHeight w:val="621"/>
          <w:jc w:val="center"/>
        </w:trPr>
        <w:tc>
          <w:tcPr>
            <w:tcW w:w="1181" w:type="dxa"/>
            <w:vMerge/>
            <w:vAlign w:val="center"/>
          </w:tcPr>
          <w:p w:rsidR="009F1CE9" w:rsidRDefault="009F1CE9" w:rsidP="00AF46AE">
            <w:pPr>
              <w:rPr>
                <w:rFonts w:ascii="Times New Roman" w:eastAsia="MS Mincho" w:hAnsi="Times New Roman" w:cs="Times New Roman"/>
                <w:b/>
                <w:sz w:val="18"/>
                <w:szCs w:val="24"/>
                <w:lang w:eastAsia="ja-JP"/>
              </w:rPr>
            </w:pP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Diferencial</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F80D84"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ind w:left="131"/>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Diferencial del precio del mango para exportación</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0,63</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USD / Kg</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600FE6" w:rsidRDefault="009F1CE9" w:rsidP="00AF46AE">
            <w:pPr>
              <w:pStyle w:val="Default"/>
              <w:tabs>
                <w:tab w:val="center" w:pos="4320"/>
                <w:tab w:val="right" w:pos="8640"/>
              </w:tabs>
              <w:spacing w:before="96" w:after="96"/>
              <w:jc w:val="center"/>
              <w:rPr>
                <w:sz w:val="18"/>
                <w:lang w:val="es-ES"/>
              </w:rPr>
            </w:pPr>
            <w:r>
              <w:rPr>
                <w:sz w:val="18"/>
                <w:lang w:val="es-ES"/>
              </w:rPr>
              <w:t>-</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lastRenderedPageBreak/>
              <w:t xml:space="preserve">Volumen de producción potencial de mango para la exportación en el área piloto </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5A41B8" w:rsidTr="00AF46AE">
              <w:trPr>
                <w:trHeight w:val="300"/>
              </w:trPr>
              <w:tc>
                <w:tcPr>
                  <w:tcW w:w="3036" w:type="dxa"/>
                  <w:tcBorders>
                    <w:top w:val="nil"/>
                    <w:bottom w:val="single" w:sz="4" w:space="0" w:color="FFFFFF" w:themeColor="background1"/>
                    <w:right w:val="nil"/>
                  </w:tcBorders>
                  <w:shd w:val="clear" w:color="000000" w:fill="F2F2F2"/>
                  <w:noWrap/>
                  <w:hideMark/>
                </w:tcPr>
                <w:p w:rsidR="009F1CE9" w:rsidRPr="005A41B8" w:rsidRDefault="009F1CE9" w:rsidP="00AF46AE">
                  <w:pPr>
                    <w:ind w:left="113"/>
                    <w:rPr>
                      <w:rFonts w:ascii="Times New Roman" w:hAnsi="Times New Roman" w:cs="Times New Roman"/>
                      <w:sz w:val="16"/>
                      <w:szCs w:val="16"/>
                    </w:rPr>
                  </w:pPr>
                  <w:r w:rsidRPr="005A41B8">
                    <w:rPr>
                      <w:rFonts w:ascii="Times New Roman" w:hAnsi="Times New Roman" w:cs="Times New Roman"/>
                      <w:sz w:val="16"/>
                      <w:szCs w:val="16"/>
                    </w:rPr>
                    <w:t>Área total de producción de mango para exportación</w:t>
                  </w:r>
                </w:p>
              </w:tc>
              <w:tc>
                <w:tcPr>
                  <w:tcW w:w="160" w:type="dxa"/>
                  <w:tcBorders>
                    <w:top w:val="nil"/>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nil"/>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3.200</w:t>
                  </w:r>
                </w:p>
              </w:tc>
              <w:tc>
                <w:tcPr>
                  <w:tcW w:w="1276" w:type="dxa"/>
                  <w:tcBorders>
                    <w:top w:val="nil"/>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Km2</w:t>
                  </w:r>
                </w:p>
              </w:tc>
            </w:tr>
            <w:tr w:rsidR="009F1CE9" w:rsidRPr="005A41B8"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tcPr>
                <w:p w:rsidR="009F1CE9" w:rsidRPr="005A41B8" w:rsidRDefault="009F1CE9" w:rsidP="00AF46AE">
                  <w:pPr>
                    <w:ind w:left="113"/>
                    <w:rPr>
                      <w:rFonts w:ascii="Times New Roman" w:hAnsi="Times New Roman" w:cs="Times New Roman"/>
                      <w:sz w:val="16"/>
                      <w:szCs w:val="16"/>
                    </w:rPr>
                  </w:pPr>
                  <w:r w:rsidRPr="005A41B8">
                    <w:rPr>
                      <w:rFonts w:ascii="Times New Roman" w:hAnsi="Times New Roman" w:cs="Times New Roman"/>
                      <w:sz w:val="16"/>
                      <w:szCs w:val="16"/>
                    </w:rPr>
                    <w:t>Área del Proyecto Piloto de Control de la Plaga</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392</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Pr="005A41B8"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Km2</w:t>
                  </w:r>
                </w:p>
              </w:tc>
            </w:tr>
            <w:tr w:rsidR="009F1CE9" w:rsidRPr="005A41B8" w:rsidTr="00AF46AE">
              <w:trPr>
                <w:trHeight w:val="300"/>
              </w:trPr>
              <w:tc>
                <w:tcPr>
                  <w:tcW w:w="3036" w:type="dxa"/>
                  <w:tcBorders>
                    <w:top w:val="single" w:sz="4" w:space="0" w:color="FFFFFF" w:themeColor="background1"/>
                    <w:bottom w:val="nil"/>
                    <w:right w:val="nil"/>
                  </w:tcBorders>
                  <w:shd w:val="clear" w:color="auto" w:fill="F2F2F2" w:themeFill="background1" w:themeFillShade="F2"/>
                  <w:noWrap/>
                  <w:vAlign w:val="center"/>
                </w:tcPr>
                <w:p w:rsidR="009F1CE9" w:rsidRPr="0048121C" w:rsidRDefault="009F1CE9" w:rsidP="00AF46AE">
                  <w:pPr>
                    <w:spacing w:line="240" w:lineRule="auto"/>
                    <w:ind w:left="113"/>
                    <w:rPr>
                      <w:rFonts w:ascii="Times New Roman" w:eastAsia="Times New Roman" w:hAnsi="Times New Roman" w:cs="Times New Roman"/>
                      <w:bCs/>
                      <w:sz w:val="16"/>
                      <w:szCs w:val="16"/>
                      <w:lang w:eastAsia="es-ES"/>
                    </w:rPr>
                  </w:pPr>
                  <w:r w:rsidRPr="0048121C">
                    <w:rPr>
                      <w:rFonts w:ascii="Times New Roman" w:eastAsia="Times New Roman" w:hAnsi="Times New Roman" w:cs="Times New Roman"/>
                      <w:bCs/>
                      <w:sz w:val="16"/>
                      <w:szCs w:val="16"/>
                      <w:lang w:eastAsia="es-ES"/>
                    </w:rPr>
                    <w:t>Volumen total de mango exportado</w:t>
                  </w:r>
                </w:p>
              </w:tc>
              <w:tc>
                <w:tcPr>
                  <w:tcW w:w="160" w:type="dxa"/>
                  <w:tcBorders>
                    <w:top w:val="single" w:sz="4" w:space="0" w:color="FFFFFF" w:themeColor="background1"/>
                    <w:left w:val="nil"/>
                    <w:bottom w:val="nil"/>
                    <w:right w:val="single" w:sz="4" w:space="0" w:color="FFFFFF" w:themeColor="background1"/>
                  </w:tcBorders>
                  <w:shd w:val="clear" w:color="auto" w:fill="F2F2F2" w:themeFill="background1" w:themeFillShade="F2"/>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F2F2F2" w:themeFill="background1" w:themeFillShade="F2"/>
                  <w:vAlign w:val="center"/>
                </w:tcPr>
                <w:p w:rsidR="009F1CE9" w:rsidRPr="0048121C" w:rsidRDefault="009F1CE9" w:rsidP="00AF46AE">
                  <w:pPr>
                    <w:spacing w:line="240" w:lineRule="auto"/>
                    <w:jc w:val="center"/>
                    <w:rPr>
                      <w:rFonts w:ascii="Times New Roman" w:eastAsia="Times New Roman" w:hAnsi="Times New Roman" w:cs="Times New Roman"/>
                      <w:bCs/>
                      <w:sz w:val="16"/>
                      <w:szCs w:val="16"/>
                      <w:lang w:eastAsia="es-ES"/>
                    </w:rPr>
                  </w:pPr>
                  <w:r w:rsidRPr="0072031F">
                    <w:rPr>
                      <w:rFonts w:ascii="Times New Roman" w:eastAsia="Times New Roman" w:hAnsi="Times New Roman" w:cs="Times New Roman"/>
                      <w:bCs/>
                      <w:sz w:val="16"/>
                      <w:szCs w:val="16"/>
                      <w:lang w:eastAsia="es-ES"/>
                    </w:rPr>
                    <w:t>10.606</w:t>
                  </w:r>
                </w:p>
              </w:tc>
              <w:tc>
                <w:tcPr>
                  <w:tcW w:w="1276" w:type="dxa"/>
                  <w:tcBorders>
                    <w:top w:val="single" w:sz="4" w:space="0" w:color="FFFFFF" w:themeColor="background1"/>
                    <w:left w:val="single" w:sz="4" w:space="0" w:color="FFFFFF" w:themeColor="background1"/>
                    <w:bottom w:val="nil"/>
                    <w:right w:val="nil"/>
                  </w:tcBorders>
                  <w:shd w:val="clear" w:color="auto" w:fill="F2F2F2" w:themeFill="background1" w:themeFillShade="F2"/>
                  <w:noWrap/>
                  <w:vAlign w:val="center"/>
                </w:tcPr>
                <w:p w:rsidR="009F1CE9" w:rsidRPr="0072031F" w:rsidRDefault="009F1CE9" w:rsidP="00AF46AE">
                  <w:pPr>
                    <w:spacing w:line="240" w:lineRule="auto"/>
                    <w:rPr>
                      <w:rFonts w:ascii="Times New Roman" w:eastAsia="Times New Roman" w:hAnsi="Times New Roman" w:cs="Times New Roman"/>
                      <w:bCs/>
                      <w:color w:val="000000"/>
                      <w:sz w:val="16"/>
                      <w:szCs w:val="16"/>
                      <w:lang w:eastAsia="es-ES"/>
                    </w:rPr>
                  </w:pPr>
                  <w:r w:rsidRPr="0072031F">
                    <w:rPr>
                      <w:rFonts w:ascii="Times New Roman" w:eastAsia="Times New Roman" w:hAnsi="Times New Roman" w:cs="Times New Roman"/>
                      <w:bCs/>
                      <w:color w:val="000000"/>
                      <w:sz w:val="16"/>
                      <w:szCs w:val="16"/>
                      <w:lang w:eastAsia="es-ES"/>
                    </w:rPr>
                    <w:t>Tn / año</w:t>
                  </w:r>
                </w:p>
              </w:tc>
            </w:tr>
            <w:tr w:rsidR="009F1CE9" w:rsidRPr="005A41B8"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ind w:left="113"/>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Exportación anual potencial equivalente del área piloto</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5A41B8"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1.299</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Tn / año</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600FE6" w:rsidRDefault="009F1CE9" w:rsidP="00AF46AE">
            <w:pPr>
              <w:pStyle w:val="Default"/>
              <w:tabs>
                <w:tab w:val="center" w:pos="4320"/>
                <w:tab w:val="right" w:pos="8640"/>
              </w:tabs>
              <w:spacing w:before="96" w:after="96"/>
              <w:jc w:val="center"/>
              <w:rPr>
                <w:sz w:val="18"/>
                <w:lang w:val="es-ES"/>
              </w:rPr>
            </w:pPr>
            <w:r>
              <w:rPr>
                <w:sz w:val="18"/>
                <w:lang w:val="es-ES"/>
              </w:rPr>
              <w:t>BID, 2014. Presupuesto detallado del Programa</w:t>
            </w:r>
          </w:p>
        </w:tc>
      </w:tr>
      <w:tr w:rsidR="009F1CE9" w:rsidRPr="004A324E" w:rsidTr="00AE3AF3">
        <w:trPr>
          <w:trHeight w:val="621"/>
          <w:jc w:val="center"/>
        </w:trPr>
        <w:tc>
          <w:tcPr>
            <w:tcW w:w="1181" w:type="dxa"/>
            <w:vMerge w:val="restart"/>
            <w:vAlign w:val="center"/>
          </w:tcPr>
          <w:p w:rsidR="009F1CE9"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 xml:space="preserve">Aumento de la producción para exportación en el área piloto </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Volumen adicional</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5A41B8" w:rsidTr="00AF46AE">
              <w:trPr>
                <w:trHeight w:val="300"/>
              </w:trPr>
              <w:tc>
                <w:tcPr>
                  <w:tcW w:w="3036" w:type="dxa"/>
                  <w:tcBorders>
                    <w:top w:val="nil"/>
                    <w:bottom w:val="single" w:sz="4" w:space="0" w:color="FFFFFF" w:themeColor="background1"/>
                    <w:right w:val="nil"/>
                  </w:tcBorders>
                  <w:shd w:val="clear" w:color="000000" w:fill="F2F2F2"/>
                  <w:noWrap/>
                  <w:vAlign w:val="bottom"/>
                  <w:hideMark/>
                </w:tcPr>
                <w:p w:rsidR="009F1CE9" w:rsidRPr="00CD529C" w:rsidRDefault="009F1CE9" w:rsidP="00AF46AE">
                  <w:pPr>
                    <w:ind w:left="113"/>
                    <w:rPr>
                      <w:rFonts w:ascii="Times New Roman" w:hAnsi="Times New Roman" w:cs="Times New Roman"/>
                      <w:color w:val="000000"/>
                      <w:sz w:val="16"/>
                      <w:szCs w:val="16"/>
                    </w:rPr>
                  </w:pPr>
                  <w:r w:rsidRPr="00CD529C">
                    <w:rPr>
                      <w:rFonts w:ascii="Times New Roman" w:hAnsi="Times New Roman" w:cs="Times New Roman"/>
                      <w:color w:val="000000"/>
                      <w:sz w:val="16"/>
                      <w:szCs w:val="16"/>
                    </w:rPr>
                    <w:t>Duración actual de la campaña de exportación</w:t>
                  </w:r>
                </w:p>
              </w:tc>
              <w:tc>
                <w:tcPr>
                  <w:tcW w:w="160" w:type="dxa"/>
                  <w:tcBorders>
                    <w:top w:val="nil"/>
                    <w:left w:val="nil"/>
                    <w:bottom w:val="single" w:sz="4" w:space="0" w:color="FFFFFF" w:themeColor="background1"/>
                    <w:right w:val="single" w:sz="4" w:space="0" w:color="FFFFFF" w:themeColor="background1"/>
                  </w:tcBorders>
                  <w:shd w:val="clear" w:color="000000" w:fill="F2F2F2"/>
                  <w:noWrap/>
                  <w:vAlign w:val="center"/>
                  <w:hideMark/>
                </w:tcPr>
                <w:p w:rsidR="009F1CE9" w:rsidRPr="0072031F"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nil"/>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2,5</w:t>
                  </w:r>
                </w:p>
              </w:tc>
              <w:tc>
                <w:tcPr>
                  <w:tcW w:w="1276" w:type="dxa"/>
                  <w:tcBorders>
                    <w:top w:val="nil"/>
                    <w:left w:val="single" w:sz="4" w:space="0" w:color="FFFFFF" w:themeColor="background1"/>
                    <w:bottom w:val="single" w:sz="4" w:space="0" w:color="FFFFFF" w:themeColor="background1"/>
                    <w:right w:val="nil"/>
                  </w:tcBorders>
                  <w:shd w:val="clear" w:color="000000" w:fill="F2F2F2"/>
                  <w:noWrap/>
                  <w:vAlign w:val="center"/>
                  <w:hideMark/>
                </w:tcPr>
                <w:p w:rsidR="009F1CE9" w:rsidRPr="0072031F"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meses</w:t>
                  </w:r>
                </w:p>
              </w:tc>
            </w:tr>
            <w:tr w:rsidR="009F1CE9" w:rsidRPr="005A41B8" w:rsidTr="00AF46AE">
              <w:trPr>
                <w:trHeight w:val="300"/>
              </w:trPr>
              <w:tc>
                <w:tcPr>
                  <w:tcW w:w="3036" w:type="dxa"/>
                  <w:tcBorders>
                    <w:top w:val="single" w:sz="4" w:space="0" w:color="FFFFFF" w:themeColor="background1"/>
                    <w:bottom w:val="single" w:sz="4" w:space="0" w:color="FFFFFF" w:themeColor="background1"/>
                    <w:right w:val="nil"/>
                  </w:tcBorders>
                  <w:shd w:val="clear" w:color="000000" w:fill="F2F2F2"/>
                  <w:noWrap/>
                  <w:vAlign w:val="bottom"/>
                </w:tcPr>
                <w:p w:rsidR="009F1CE9" w:rsidRPr="00CD529C" w:rsidRDefault="009F1CE9" w:rsidP="00AF46AE">
                  <w:pPr>
                    <w:ind w:left="113"/>
                    <w:rPr>
                      <w:rFonts w:ascii="Times New Roman" w:hAnsi="Times New Roman" w:cs="Times New Roman"/>
                      <w:color w:val="000000"/>
                      <w:sz w:val="16"/>
                      <w:szCs w:val="16"/>
                    </w:rPr>
                  </w:pPr>
                  <w:r w:rsidRPr="00CD529C">
                    <w:rPr>
                      <w:rFonts w:ascii="Times New Roman" w:hAnsi="Times New Roman" w:cs="Times New Roman"/>
                      <w:color w:val="000000"/>
                      <w:sz w:val="16"/>
                      <w:szCs w:val="16"/>
                    </w:rPr>
                    <w:t>Potencial de duración adicional de la campaña de exportación</w:t>
                  </w:r>
                </w:p>
              </w:tc>
              <w:tc>
                <w:tcPr>
                  <w:tcW w:w="160" w:type="dxa"/>
                  <w:tcBorders>
                    <w:top w:val="single" w:sz="4" w:space="0" w:color="FFFFFF" w:themeColor="background1"/>
                    <w:left w:val="nil"/>
                    <w:bottom w:val="single" w:sz="4" w:space="0" w:color="FFFFFF" w:themeColor="background1"/>
                    <w:right w:val="single" w:sz="4" w:space="0" w:color="FFFFFF" w:themeColor="background1"/>
                  </w:tcBorders>
                  <w:shd w:val="clear" w:color="000000" w:fill="F2F2F2"/>
                  <w:noWrap/>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p>
              </w:tc>
              <w:tc>
                <w:tcPr>
                  <w:tcW w:w="9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F2F2F2"/>
                  <w:vAlign w:val="center"/>
                </w:tcPr>
                <w:p w:rsidR="009F1CE9" w:rsidRPr="005A41B8" w:rsidRDefault="009F1CE9" w:rsidP="00AF46AE">
                  <w:pPr>
                    <w:spacing w:line="240" w:lineRule="auto"/>
                    <w:jc w:val="center"/>
                    <w:rPr>
                      <w:rFonts w:ascii="Times New Roman" w:eastAsia="Times New Roman" w:hAnsi="Times New Roman" w:cs="Times New Roman"/>
                      <w:sz w:val="16"/>
                      <w:szCs w:val="16"/>
                      <w:lang w:eastAsia="es-ES"/>
                    </w:rPr>
                  </w:pPr>
                  <w:r>
                    <w:rPr>
                      <w:rFonts w:ascii="Times New Roman" w:eastAsia="Times New Roman" w:hAnsi="Times New Roman" w:cs="Times New Roman"/>
                      <w:sz w:val="16"/>
                      <w:szCs w:val="16"/>
                      <w:lang w:eastAsia="es-ES"/>
                    </w:rPr>
                    <w:t>2,0</w:t>
                  </w:r>
                </w:p>
              </w:tc>
              <w:tc>
                <w:tcPr>
                  <w:tcW w:w="1276" w:type="dxa"/>
                  <w:tcBorders>
                    <w:top w:val="single" w:sz="4" w:space="0" w:color="FFFFFF" w:themeColor="background1"/>
                    <w:left w:val="single" w:sz="4" w:space="0" w:color="FFFFFF" w:themeColor="background1"/>
                    <w:bottom w:val="single" w:sz="4" w:space="0" w:color="FFFFFF" w:themeColor="background1"/>
                    <w:right w:val="nil"/>
                  </w:tcBorders>
                  <w:shd w:val="clear" w:color="000000" w:fill="F2F2F2"/>
                  <w:noWrap/>
                  <w:vAlign w:val="center"/>
                </w:tcPr>
                <w:p w:rsidR="009F1CE9" w:rsidRPr="005A41B8" w:rsidRDefault="009F1CE9" w:rsidP="00AF46AE">
                  <w:pPr>
                    <w:spacing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meses</w:t>
                  </w:r>
                </w:p>
              </w:tc>
            </w:tr>
            <w:tr w:rsidR="009F1CE9" w:rsidRPr="005A41B8" w:rsidTr="00AF46AE">
              <w:trPr>
                <w:trHeight w:val="300"/>
              </w:trPr>
              <w:tc>
                <w:tcPr>
                  <w:tcW w:w="3036" w:type="dxa"/>
                  <w:tcBorders>
                    <w:top w:val="single" w:sz="4" w:space="0" w:color="FFFFFF" w:themeColor="background1"/>
                    <w:bottom w:val="nil"/>
                    <w:right w:val="nil"/>
                  </w:tcBorders>
                  <w:shd w:val="clear" w:color="auto" w:fill="F2F2F2" w:themeFill="background1" w:themeFillShade="F2"/>
                  <w:noWrap/>
                  <w:vAlign w:val="bottom"/>
                </w:tcPr>
                <w:p w:rsidR="009F1CE9" w:rsidRPr="00CD529C" w:rsidRDefault="009F1CE9" w:rsidP="00AF46AE">
                  <w:pPr>
                    <w:ind w:left="113"/>
                    <w:rPr>
                      <w:rFonts w:ascii="Times New Roman" w:hAnsi="Times New Roman" w:cs="Times New Roman"/>
                      <w:color w:val="000000"/>
                      <w:sz w:val="16"/>
                      <w:szCs w:val="16"/>
                    </w:rPr>
                  </w:pPr>
                  <w:r w:rsidRPr="00CD529C">
                    <w:rPr>
                      <w:rFonts w:ascii="Times New Roman" w:hAnsi="Times New Roman" w:cs="Times New Roman"/>
                      <w:color w:val="000000"/>
                      <w:sz w:val="16"/>
                      <w:szCs w:val="16"/>
                    </w:rPr>
                    <w:t>Aumento equivalente de la duración de la campaña de exportación</w:t>
                  </w:r>
                </w:p>
              </w:tc>
              <w:tc>
                <w:tcPr>
                  <w:tcW w:w="160" w:type="dxa"/>
                  <w:tcBorders>
                    <w:top w:val="single" w:sz="4" w:space="0" w:color="FFFFFF" w:themeColor="background1"/>
                    <w:left w:val="nil"/>
                    <w:bottom w:val="nil"/>
                    <w:right w:val="single" w:sz="4" w:space="0" w:color="FFFFFF" w:themeColor="background1"/>
                  </w:tcBorders>
                  <w:shd w:val="clear" w:color="auto" w:fill="F2F2F2" w:themeFill="background1" w:themeFillShade="F2"/>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F2F2F2" w:themeFill="background1" w:themeFillShade="F2"/>
                  <w:vAlign w:val="center"/>
                </w:tcPr>
                <w:p w:rsidR="009F1CE9" w:rsidRPr="0048121C" w:rsidRDefault="009F1CE9" w:rsidP="00AF46AE">
                  <w:pPr>
                    <w:spacing w:line="240" w:lineRule="auto"/>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80%</w:t>
                  </w:r>
                </w:p>
              </w:tc>
              <w:tc>
                <w:tcPr>
                  <w:tcW w:w="1276" w:type="dxa"/>
                  <w:tcBorders>
                    <w:top w:val="single" w:sz="4" w:space="0" w:color="FFFFFF" w:themeColor="background1"/>
                    <w:left w:val="single" w:sz="4" w:space="0" w:color="FFFFFF" w:themeColor="background1"/>
                    <w:bottom w:val="nil"/>
                    <w:right w:val="nil"/>
                  </w:tcBorders>
                  <w:shd w:val="clear" w:color="auto" w:fill="F2F2F2" w:themeFill="background1" w:themeFillShade="F2"/>
                  <w:noWrap/>
                  <w:vAlign w:val="center"/>
                </w:tcPr>
                <w:p w:rsidR="009F1CE9" w:rsidRPr="0072031F" w:rsidRDefault="009F1CE9" w:rsidP="00AF46AE">
                  <w:pPr>
                    <w:spacing w:line="240" w:lineRule="auto"/>
                    <w:rPr>
                      <w:rFonts w:ascii="Times New Roman" w:eastAsia="Times New Roman" w:hAnsi="Times New Roman" w:cs="Times New Roman"/>
                      <w:bCs/>
                      <w:color w:val="000000"/>
                      <w:sz w:val="16"/>
                      <w:szCs w:val="16"/>
                      <w:lang w:eastAsia="es-ES"/>
                    </w:rPr>
                  </w:pPr>
                  <w:r>
                    <w:rPr>
                      <w:rFonts w:ascii="Times New Roman" w:eastAsia="Times New Roman" w:hAnsi="Times New Roman" w:cs="Times New Roman"/>
                      <w:bCs/>
                      <w:color w:val="000000"/>
                      <w:sz w:val="16"/>
                      <w:szCs w:val="16"/>
                      <w:lang w:eastAsia="es-ES"/>
                    </w:rPr>
                    <w:t>porcentaje</w:t>
                  </w:r>
                </w:p>
              </w:tc>
            </w:tr>
            <w:tr w:rsidR="009F1CE9" w:rsidRPr="005A41B8"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bottom"/>
                </w:tcPr>
                <w:p w:rsidR="009F1CE9" w:rsidRPr="00CD529C" w:rsidRDefault="009F1CE9" w:rsidP="00AF46AE">
                  <w:pPr>
                    <w:ind w:left="113"/>
                    <w:rPr>
                      <w:rFonts w:ascii="Times New Roman" w:hAnsi="Times New Roman" w:cs="Times New Roman"/>
                      <w:b/>
                      <w:bCs/>
                      <w:color w:val="000000"/>
                      <w:sz w:val="16"/>
                      <w:szCs w:val="16"/>
                    </w:rPr>
                  </w:pPr>
                  <w:r w:rsidRPr="00CD529C">
                    <w:rPr>
                      <w:rFonts w:ascii="Times New Roman" w:hAnsi="Times New Roman" w:cs="Times New Roman"/>
                      <w:b/>
                      <w:bCs/>
                      <w:color w:val="000000"/>
                      <w:sz w:val="16"/>
                      <w:szCs w:val="16"/>
                    </w:rPr>
                    <w:t>Aumento equivalente de producción para exportación</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5A41B8"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1.039</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Tn / año</w:t>
                  </w:r>
                </w:p>
              </w:tc>
            </w:tr>
          </w:tbl>
          <w:p w:rsidR="009F1CE9" w:rsidRPr="005A41B8" w:rsidRDefault="009F1CE9" w:rsidP="00AF46AE">
            <w:pPr>
              <w:ind w:left="113"/>
              <w:rPr>
                <w:rFonts w:ascii="Times New Roman" w:hAnsi="Times New Roman" w:cs="Times New Roman"/>
                <w:sz w:val="16"/>
                <w:szCs w:val="16"/>
              </w:rPr>
            </w:pPr>
          </w:p>
        </w:tc>
        <w:tc>
          <w:tcPr>
            <w:tcW w:w="2647" w:type="dxa"/>
            <w:gridSpan w:val="2"/>
            <w:vAlign w:val="center"/>
          </w:tcPr>
          <w:p w:rsidR="009F1CE9" w:rsidRDefault="009F1CE9" w:rsidP="00AF46AE">
            <w:pPr>
              <w:pStyle w:val="Default"/>
              <w:tabs>
                <w:tab w:val="center" w:pos="4320"/>
                <w:tab w:val="right" w:pos="8640"/>
              </w:tabs>
              <w:spacing w:before="96" w:after="96"/>
              <w:jc w:val="center"/>
              <w:rPr>
                <w:sz w:val="18"/>
                <w:lang w:val="es-ES"/>
              </w:rPr>
            </w:pPr>
            <w:r>
              <w:rPr>
                <w:sz w:val="18"/>
                <w:lang w:val="es-ES"/>
              </w:rPr>
              <w:t>Análisis técnicos del MARNDR, 2014.</w:t>
            </w:r>
          </w:p>
        </w:tc>
      </w:tr>
      <w:tr w:rsidR="009F1CE9" w:rsidRPr="004A324E" w:rsidTr="00AE3AF3">
        <w:trPr>
          <w:trHeight w:val="621"/>
          <w:jc w:val="center"/>
        </w:trPr>
        <w:tc>
          <w:tcPr>
            <w:tcW w:w="1181" w:type="dxa"/>
            <w:vMerge/>
            <w:vAlign w:val="center"/>
          </w:tcPr>
          <w:p w:rsidR="009F1CE9" w:rsidRDefault="009F1CE9" w:rsidP="00AF46AE">
            <w:pPr>
              <w:rPr>
                <w:rFonts w:ascii="Times New Roman" w:eastAsia="MS Mincho" w:hAnsi="Times New Roman" w:cs="Times New Roman"/>
                <w:b/>
                <w:sz w:val="18"/>
                <w:szCs w:val="24"/>
                <w:lang w:eastAsia="ja-JP"/>
              </w:rPr>
            </w:pP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Valor de la producción adicional</w:t>
            </w:r>
          </w:p>
        </w:tc>
        <w:tc>
          <w:tcPr>
            <w:tcW w:w="5688" w:type="dxa"/>
            <w:gridSpan w:val="2"/>
            <w:vAlign w:val="center"/>
          </w:tcPr>
          <w:tbl>
            <w:tblPr>
              <w:tblW w:w="5468" w:type="dxa"/>
              <w:tblInd w:w="10" w:type="dxa"/>
              <w:tblLayout w:type="fixed"/>
              <w:tblCellMar>
                <w:left w:w="70" w:type="dxa"/>
                <w:right w:w="70" w:type="dxa"/>
              </w:tblCellMar>
              <w:tblLook w:val="04A0" w:firstRow="1" w:lastRow="0" w:firstColumn="1" w:lastColumn="0" w:noHBand="0" w:noVBand="1"/>
            </w:tblPr>
            <w:tblGrid>
              <w:gridCol w:w="3036"/>
              <w:gridCol w:w="160"/>
              <w:gridCol w:w="996"/>
              <w:gridCol w:w="1276"/>
            </w:tblGrid>
            <w:tr w:rsidR="009F1CE9" w:rsidRPr="00CD529C" w:rsidTr="00AF46AE">
              <w:trPr>
                <w:trHeight w:val="300"/>
              </w:trPr>
              <w:tc>
                <w:tcPr>
                  <w:tcW w:w="3036" w:type="dxa"/>
                  <w:tcBorders>
                    <w:top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ind w:left="113"/>
                    <w:rPr>
                      <w:rFonts w:ascii="Times New Roman" w:hAnsi="Times New Roman" w:cs="Times New Roman"/>
                      <w:b/>
                      <w:bCs/>
                      <w:color w:val="000000"/>
                      <w:sz w:val="16"/>
                      <w:szCs w:val="16"/>
                    </w:rPr>
                  </w:pPr>
                  <w:r w:rsidRPr="00CD529C">
                    <w:rPr>
                      <w:rFonts w:ascii="Times New Roman" w:hAnsi="Times New Roman" w:cs="Times New Roman"/>
                      <w:b/>
                      <w:bCs/>
                      <w:color w:val="000000"/>
                      <w:sz w:val="16"/>
                      <w:szCs w:val="16"/>
                    </w:rPr>
                    <w:t>Valor del aumento de la producción para exportación en el Área Piloto</w:t>
                  </w:r>
                </w:p>
              </w:tc>
              <w:tc>
                <w:tcPr>
                  <w:tcW w:w="160" w:type="dxa"/>
                  <w:tcBorders>
                    <w:top w:val="single" w:sz="4" w:space="0" w:color="FFFFFF" w:themeColor="background1"/>
                    <w:left w:val="nil"/>
                    <w:bottom w:val="nil"/>
                    <w:right w:val="single" w:sz="4" w:space="0" w:color="FFFFFF" w:themeColor="background1"/>
                  </w:tcBorders>
                  <w:shd w:val="clear" w:color="auto" w:fill="BFBFBF" w:themeFill="background1" w:themeFillShade="BF"/>
                  <w:noWrap/>
                  <w:vAlign w:val="center"/>
                </w:tcPr>
                <w:p w:rsidR="009F1CE9" w:rsidRPr="0072031F" w:rsidRDefault="009F1CE9" w:rsidP="00AF46AE">
                  <w:pPr>
                    <w:spacing w:line="240" w:lineRule="auto"/>
                    <w:jc w:val="center"/>
                    <w:rPr>
                      <w:rFonts w:ascii="Times New Roman" w:eastAsia="Times New Roman" w:hAnsi="Times New Roman" w:cs="Times New Roman"/>
                      <w:b/>
                      <w:bCs/>
                      <w:sz w:val="16"/>
                      <w:szCs w:val="16"/>
                      <w:lang w:eastAsia="es-ES"/>
                    </w:rPr>
                  </w:pPr>
                </w:p>
              </w:tc>
              <w:tc>
                <w:tcPr>
                  <w:tcW w:w="996" w:type="dxa"/>
                  <w:tcBorders>
                    <w:top w:val="single" w:sz="4" w:space="0" w:color="FFFFFF" w:themeColor="background1"/>
                    <w:left w:val="single" w:sz="4" w:space="0" w:color="FFFFFF" w:themeColor="background1"/>
                    <w:bottom w:val="nil"/>
                    <w:right w:val="single" w:sz="4" w:space="0" w:color="FFFFFF" w:themeColor="background1"/>
                  </w:tcBorders>
                  <w:shd w:val="clear" w:color="auto" w:fill="BFBFBF" w:themeFill="background1" w:themeFillShade="BF"/>
                  <w:vAlign w:val="center"/>
                </w:tcPr>
                <w:p w:rsidR="009F1CE9" w:rsidRPr="00CD529C" w:rsidRDefault="009F1CE9" w:rsidP="00AF46AE">
                  <w:pPr>
                    <w:spacing w:line="240" w:lineRule="auto"/>
                    <w:jc w:val="center"/>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660.950</w:t>
                  </w:r>
                </w:p>
              </w:tc>
              <w:tc>
                <w:tcPr>
                  <w:tcW w:w="1276" w:type="dxa"/>
                  <w:tcBorders>
                    <w:top w:val="single" w:sz="4" w:space="0" w:color="FFFFFF" w:themeColor="background1"/>
                    <w:left w:val="single" w:sz="4" w:space="0" w:color="FFFFFF" w:themeColor="background1"/>
                    <w:bottom w:val="nil"/>
                    <w:right w:val="nil"/>
                  </w:tcBorders>
                  <w:shd w:val="clear" w:color="auto" w:fill="BFBFBF" w:themeFill="background1" w:themeFillShade="BF"/>
                  <w:noWrap/>
                  <w:vAlign w:val="center"/>
                </w:tcPr>
                <w:p w:rsidR="009F1CE9" w:rsidRPr="0072031F" w:rsidRDefault="009F1CE9" w:rsidP="00AF46AE">
                  <w:pPr>
                    <w:spacing w:line="240" w:lineRule="auto"/>
                    <w:rPr>
                      <w:rFonts w:ascii="Times New Roman" w:eastAsia="Times New Roman" w:hAnsi="Times New Roman" w:cs="Times New Roman"/>
                      <w:b/>
                      <w:bCs/>
                      <w:color w:val="000000"/>
                      <w:sz w:val="16"/>
                      <w:szCs w:val="16"/>
                      <w:lang w:eastAsia="es-ES"/>
                    </w:rPr>
                  </w:pPr>
                  <w:r w:rsidRPr="00CD529C">
                    <w:rPr>
                      <w:rFonts w:ascii="Times New Roman" w:eastAsia="Times New Roman" w:hAnsi="Times New Roman" w:cs="Times New Roman"/>
                      <w:b/>
                      <w:bCs/>
                      <w:color w:val="000000"/>
                      <w:sz w:val="16"/>
                      <w:szCs w:val="16"/>
                      <w:lang w:eastAsia="es-ES"/>
                    </w:rPr>
                    <w:t xml:space="preserve">USD / </w:t>
                  </w:r>
                  <w:r>
                    <w:rPr>
                      <w:rFonts w:ascii="Times New Roman" w:eastAsia="Times New Roman" w:hAnsi="Times New Roman" w:cs="Times New Roman"/>
                      <w:b/>
                      <w:bCs/>
                      <w:color w:val="000000"/>
                      <w:sz w:val="16"/>
                      <w:szCs w:val="16"/>
                      <w:lang w:eastAsia="es-ES"/>
                    </w:rPr>
                    <w:t>año</w:t>
                  </w:r>
                </w:p>
              </w:tc>
            </w:tr>
          </w:tbl>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600FE6" w:rsidRDefault="009F1CE9" w:rsidP="00AF46AE">
            <w:pPr>
              <w:pStyle w:val="Default"/>
              <w:tabs>
                <w:tab w:val="center" w:pos="4320"/>
                <w:tab w:val="right" w:pos="8640"/>
              </w:tabs>
              <w:spacing w:before="96" w:after="96"/>
              <w:jc w:val="center"/>
              <w:rPr>
                <w:sz w:val="18"/>
                <w:lang w:val="es-ES"/>
              </w:rPr>
            </w:pPr>
            <w:r>
              <w:rPr>
                <w:sz w:val="18"/>
                <w:lang w:val="es-ES"/>
              </w:rPr>
              <w:t>-</w:t>
            </w:r>
          </w:p>
        </w:tc>
      </w:tr>
      <w:tr w:rsidR="009F1CE9" w:rsidRPr="004A324E" w:rsidTr="00AF46AE">
        <w:trPr>
          <w:trHeight w:val="621"/>
          <w:jc w:val="center"/>
        </w:trPr>
        <w:tc>
          <w:tcPr>
            <w:tcW w:w="10953" w:type="dxa"/>
            <w:gridSpan w:val="6"/>
            <w:shd w:val="clear" w:color="auto" w:fill="D9D9D9" w:themeFill="background1" w:themeFillShade="D9"/>
            <w:vAlign w:val="center"/>
          </w:tcPr>
          <w:p w:rsidR="009F1CE9" w:rsidRPr="00600FE6" w:rsidRDefault="009F1CE9" w:rsidP="00AF46AE">
            <w:pPr>
              <w:pStyle w:val="Default"/>
              <w:tabs>
                <w:tab w:val="center" w:pos="4320"/>
                <w:tab w:val="right" w:pos="8640"/>
              </w:tabs>
              <w:spacing w:before="96" w:after="96"/>
              <w:jc w:val="center"/>
              <w:rPr>
                <w:sz w:val="18"/>
                <w:lang w:val="es-ES"/>
              </w:rPr>
            </w:pPr>
            <w:r w:rsidRPr="00584F38">
              <w:rPr>
                <w:b/>
                <w:sz w:val="18"/>
                <w:lang w:val="es-ES"/>
              </w:rPr>
              <w:t>DISMINUCIÓN DE PÉRDIDAS CAUSADAS POR LA HORMIGA LOCA</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Principales cultivos afectados por la plaga</w:t>
            </w:r>
          </w:p>
        </w:tc>
        <w:tc>
          <w:tcPr>
            <w:tcW w:w="5688" w:type="dxa"/>
            <w:gridSpan w:val="2"/>
            <w:vAlign w:val="center"/>
          </w:tcPr>
          <w:p w:rsidR="009F1CE9" w:rsidRPr="00E74A87" w:rsidRDefault="009F1CE9" w:rsidP="00AF46AE">
            <w:pPr>
              <w:ind w:firstLineChars="100" w:firstLine="160"/>
              <w:rPr>
                <w:rFonts w:ascii="Times New Roman" w:eastAsia="Times New Roman" w:hAnsi="Times New Roman" w:cs="Times New Roman"/>
                <w:color w:val="000000"/>
                <w:sz w:val="16"/>
                <w:szCs w:val="16"/>
                <w:lang w:val="pt-BR" w:eastAsia="es-ES"/>
              </w:rPr>
            </w:pPr>
            <w:r w:rsidRPr="00E74A87">
              <w:rPr>
                <w:rFonts w:ascii="Times New Roman" w:eastAsia="Times New Roman" w:hAnsi="Times New Roman" w:cs="Times New Roman"/>
                <w:color w:val="000000"/>
                <w:sz w:val="16"/>
                <w:szCs w:val="16"/>
                <w:lang w:val="pt-BR" w:eastAsia="es-ES"/>
              </w:rPr>
              <w:t>Frijol, Maiz, Ñame y Pois Congo.</w:t>
            </w:r>
          </w:p>
          <w:p w:rsidR="009F1CE9" w:rsidRPr="00E74A87" w:rsidRDefault="009F1CE9" w:rsidP="00AF46AE">
            <w:pPr>
              <w:ind w:firstLineChars="100" w:firstLine="160"/>
              <w:rPr>
                <w:rFonts w:ascii="Times New Roman" w:eastAsia="Times New Roman" w:hAnsi="Times New Roman" w:cs="Times New Roman"/>
                <w:color w:val="000000"/>
                <w:sz w:val="16"/>
                <w:szCs w:val="16"/>
                <w:lang w:val="pt-BR" w:eastAsia="es-ES"/>
              </w:rPr>
            </w:pPr>
          </w:p>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(Estos cultivos suman el 70% de la superficie de las explotaciones encuestadas)</w:t>
            </w: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sz w:val="16"/>
                <w:szCs w:val="18"/>
                <w:lang w:val="es-ES"/>
              </w:rPr>
            </w:pPr>
            <w:r w:rsidRPr="002E6209">
              <w:rPr>
                <w:sz w:val="16"/>
                <w:szCs w:val="18"/>
                <w:lang w:val="es-ES"/>
              </w:rPr>
              <w:t>Encuestas de campo realizadas por el MARNDR en Marzo de 2014</w:t>
            </w:r>
          </w:p>
        </w:tc>
      </w:tr>
      <w:tr w:rsidR="009F1CE9" w:rsidRPr="004A324E" w:rsidTr="00AE3AF3">
        <w:trPr>
          <w:trHeight w:val="621"/>
          <w:jc w:val="center"/>
        </w:trPr>
        <w:tc>
          <w:tcPr>
            <w:tcW w:w="1181" w:type="dxa"/>
            <w:vAlign w:val="center"/>
          </w:tcPr>
          <w:p w:rsidR="009F1CE9"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Valor de la producción de los cultivos afectados</w:t>
            </w:r>
          </w:p>
        </w:tc>
        <w:tc>
          <w:tcPr>
            <w:tcW w:w="1437" w:type="dxa"/>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Cultivos, rendimientos y precios económicos</w:t>
            </w:r>
          </w:p>
        </w:tc>
        <w:tc>
          <w:tcPr>
            <w:tcW w:w="5688" w:type="dxa"/>
            <w:gridSpan w:val="2"/>
            <w:vAlign w:val="center"/>
          </w:tcPr>
          <w:tbl>
            <w:tblPr>
              <w:tblW w:w="5451" w:type="dxa"/>
              <w:tblLayout w:type="fixed"/>
              <w:tblCellMar>
                <w:left w:w="70" w:type="dxa"/>
                <w:right w:w="70" w:type="dxa"/>
              </w:tblCellMar>
              <w:tblLook w:val="04A0" w:firstRow="1" w:lastRow="0" w:firstColumn="1" w:lastColumn="0" w:noHBand="0" w:noVBand="1"/>
            </w:tblPr>
            <w:tblGrid>
              <w:gridCol w:w="1340"/>
              <w:gridCol w:w="1134"/>
              <w:gridCol w:w="1418"/>
              <w:gridCol w:w="1559"/>
            </w:tblGrid>
            <w:tr w:rsidR="009F1CE9" w:rsidRPr="00584F38" w:rsidTr="00AF46AE">
              <w:trPr>
                <w:trHeight w:val="561"/>
              </w:trPr>
              <w:tc>
                <w:tcPr>
                  <w:tcW w:w="1340" w:type="dxa"/>
                  <w:tcBorders>
                    <w:top w:val="single" w:sz="4" w:space="0" w:color="A6A6A6"/>
                    <w:left w:val="single" w:sz="4" w:space="0" w:color="BFBFBF" w:themeColor="background1" w:themeShade="BF"/>
                    <w:bottom w:val="single" w:sz="4" w:space="0" w:color="A6A6A6"/>
                    <w:right w:val="single" w:sz="4" w:space="0" w:color="A6A6A6"/>
                  </w:tcBorders>
                  <w:shd w:val="clear" w:color="auto" w:fill="F2F2F2" w:themeFill="background1" w:themeFillShade="F2"/>
                  <w:noWrap/>
                  <w:vAlign w:val="center"/>
                  <w:hideMark/>
                </w:tcPr>
                <w:p w:rsidR="009F1CE9" w:rsidRPr="00584F38" w:rsidRDefault="009F1CE9" w:rsidP="00AF46AE">
                  <w:pPr>
                    <w:spacing w:line="240" w:lineRule="auto"/>
                    <w:ind w:firstLineChars="100" w:firstLine="161"/>
                    <w:rPr>
                      <w:rFonts w:ascii="Times New Roman" w:eastAsia="Times New Roman" w:hAnsi="Times New Roman" w:cs="Times New Roman"/>
                      <w:b/>
                      <w:bCs/>
                      <w:sz w:val="16"/>
                      <w:szCs w:val="16"/>
                      <w:lang w:eastAsia="es-ES"/>
                    </w:rPr>
                  </w:pPr>
                  <w:r w:rsidRPr="006C0B81">
                    <w:rPr>
                      <w:rFonts w:ascii="Times New Roman" w:eastAsia="Times New Roman" w:hAnsi="Times New Roman" w:cs="Times New Roman"/>
                      <w:b/>
                      <w:bCs/>
                      <w:sz w:val="16"/>
                      <w:szCs w:val="16"/>
                      <w:lang w:eastAsia="es-ES"/>
                    </w:rPr>
                    <w:t>Cultivo</w:t>
                  </w:r>
                </w:p>
              </w:tc>
              <w:tc>
                <w:tcPr>
                  <w:tcW w:w="1134" w:type="dxa"/>
                  <w:tcBorders>
                    <w:top w:val="single" w:sz="4" w:space="0" w:color="A6A6A6"/>
                    <w:left w:val="nil"/>
                    <w:bottom w:val="single" w:sz="4" w:space="0" w:color="A6A6A6"/>
                    <w:right w:val="single" w:sz="4" w:space="0" w:color="A6A6A6"/>
                  </w:tcBorders>
                  <w:shd w:val="clear" w:color="auto" w:fill="F2F2F2" w:themeFill="background1" w:themeFillShade="F2"/>
                  <w:vAlign w:val="center"/>
                  <w:hideMark/>
                </w:tcPr>
                <w:p w:rsidR="009F1CE9" w:rsidRPr="00584F38"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584F38">
                    <w:rPr>
                      <w:rFonts w:ascii="Times New Roman" w:eastAsia="Times New Roman" w:hAnsi="Times New Roman" w:cs="Times New Roman"/>
                      <w:b/>
                      <w:bCs/>
                      <w:color w:val="000000"/>
                      <w:sz w:val="16"/>
                      <w:szCs w:val="16"/>
                      <w:lang w:eastAsia="es-ES"/>
                    </w:rPr>
                    <w:t>Rendimientos (Tn/Ha)</w:t>
                  </w:r>
                </w:p>
              </w:tc>
              <w:tc>
                <w:tcPr>
                  <w:tcW w:w="1418" w:type="dxa"/>
                  <w:tcBorders>
                    <w:top w:val="single" w:sz="4" w:space="0" w:color="A6A6A6"/>
                    <w:left w:val="nil"/>
                    <w:bottom w:val="single" w:sz="4" w:space="0" w:color="A6A6A6"/>
                    <w:right w:val="single" w:sz="4" w:space="0" w:color="A6A6A6"/>
                  </w:tcBorders>
                  <w:shd w:val="clear" w:color="000000" w:fill="F2F2F2"/>
                  <w:vAlign w:val="center"/>
                  <w:hideMark/>
                </w:tcPr>
                <w:p w:rsidR="009F1CE9" w:rsidRPr="00584F38"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584F38">
                    <w:rPr>
                      <w:rFonts w:ascii="Times New Roman" w:eastAsia="Times New Roman" w:hAnsi="Times New Roman" w:cs="Times New Roman"/>
                      <w:b/>
                      <w:bCs/>
                      <w:color w:val="000000"/>
                      <w:sz w:val="16"/>
                      <w:szCs w:val="16"/>
                      <w:lang w:eastAsia="es-ES"/>
                    </w:rPr>
                    <w:t>Precios Económicos     (USD / Tn)</w:t>
                  </w:r>
                </w:p>
              </w:tc>
              <w:tc>
                <w:tcPr>
                  <w:tcW w:w="1559"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rsidR="009F1CE9" w:rsidRPr="00584F38"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584F38">
                    <w:rPr>
                      <w:rFonts w:ascii="Times New Roman" w:eastAsia="Times New Roman" w:hAnsi="Times New Roman" w:cs="Times New Roman"/>
                      <w:b/>
                      <w:bCs/>
                      <w:color w:val="000000"/>
                      <w:sz w:val="16"/>
                      <w:szCs w:val="16"/>
                      <w:lang w:eastAsia="es-ES"/>
                    </w:rPr>
                    <w:t>Valor de la Producción</w:t>
                  </w:r>
                  <w:r>
                    <w:rPr>
                      <w:rFonts w:ascii="Times New Roman" w:eastAsia="Times New Roman" w:hAnsi="Times New Roman" w:cs="Times New Roman"/>
                      <w:b/>
                      <w:bCs/>
                      <w:color w:val="000000"/>
                      <w:sz w:val="16"/>
                      <w:szCs w:val="16"/>
                      <w:lang w:eastAsia="es-ES"/>
                    </w:rPr>
                    <w:t xml:space="preserve"> Anual</w:t>
                  </w:r>
                  <w:r w:rsidRPr="00584F38">
                    <w:rPr>
                      <w:rFonts w:ascii="Times New Roman" w:eastAsia="Times New Roman" w:hAnsi="Times New Roman" w:cs="Times New Roman"/>
                      <w:b/>
                      <w:bCs/>
                      <w:color w:val="000000"/>
                      <w:sz w:val="16"/>
                      <w:szCs w:val="16"/>
                      <w:lang w:eastAsia="es-ES"/>
                    </w:rPr>
                    <w:t xml:space="preserve"> (USD / Ha)</w:t>
                  </w:r>
                </w:p>
              </w:tc>
            </w:tr>
            <w:tr w:rsidR="009F1CE9" w:rsidRPr="00584F38" w:rsidTr="00AF46AE">
              <w:trPr>
                <w:trHeight w:val="300"/>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Frijol</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0,5</w:t>
                  </w:r>
                </w:p>
              </w:tc>
              <w:tc>
                <w:tcPr>
                  <w:tcW w:w="1418"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740,80</w:t>
                  </w:r>
                </w:p>
              </w:tc>
              <w:tc>
                <w:tcPr>
                  <w:tcW w:w="1559" w:type="dxa"/>
                  <w:tcBorders>
                    <w:top w:val="single" w:sz="4" w:space="0" w:color="A6A6A6" w:themeColor="background1" w:themeShade="A6"/>
                    <w:right w:val="single" w:sz="4" w:space="0" w:color="A6A6A6" w:themeColor="background1" w:themeShade="A6"/>
                  </w:tcBorders>
                  <w:shd w:val="clear" w:color="auto" w:fill="F2F2F2" w:themeFill="background1" w:themeFillShade="F2"/>
                  <w:vAlign w:val="center"/>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370,40</w:t>
                  </w:r>
                </w:p>
              </w:tc>
            </w:tr>
            <w:tr w:rsidR="009F1CE9" w:rsidRPr="00584F38" w:rsidTr="00AF46AE">
              <w:trPr>
                <w:trHeight w:val="300"/>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Maiz</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0,93</w:t>
                  </w:r>
                </w:p>
              </w:tc>
              <w:tc>
                <w:tcPr>
                  <w:tcW w:w="1418"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207,43</w:t>
                  </w:r>
                </w:p>
              </w:tc>
              <w:tc>
                <w:tcPr>
                  <w:tcW w:w="1559" w:type="dxa"/>
                  <w:tcBorders>
                    <w:right w:val="single" w:sz="4" w:space="0" w:color="A6A6A6" w:themeColor="background1" w:themeShade="A6"/>
                  </w:tcBorders>
                  <w:shd w:val="clear" w:color="auto" w:fill="F2F2F2" w:themeFill="background1" w:themeFillShade="F2"/>
                  <w:vAlign w:val="center"/>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192,91</w:t>
                  </w:r>
                </w:p>
              </w:tc>
            </w:tr>
            <w:tr w:rsidR="009F1CE9" w:rsidRPr="00584F38" w:rsidTr="00AF46AE">
              <w:trPr>
                <w:trHeight w:val="300"/>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Ñame</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6,8</w:t>
                  </w:r>
                </w:p>
              </w:tc>
              <w:tc>
                <w:tcPr>
                  <w:tcW w:w="1418"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286,44</w:t>
                  </w:r>
                </w:p>
              </w:tc>
              <w:tc>
                <w:tcPr>
                  <w:tcW w:w="1559" w:type="dxa"/>
                  <w:tcBorders>
                    <w:right w:val="single" w:sz="4" w:space="0" w:color="A6A6A6" w:themeColor="background1" w:themeShade="A6"/>
                  </w:tcBorders>
                  <w:shd w:val="clear" w:color="auto" w:fill="F2F2F2" w:themeFill="background1" w:themeFillShade="F2"/>
                  <w:vAlign w:val="center"/>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1.947,82</w:t>
                  </w:r>
                </w:p>
              </w:tc>
            </w:tr>
            <w:tr w:rsidR="009F1CE9" w:rsidRPr="00584F38" w:rsidTr="00AF46AE">
              <w:trPr>
                <w:trHeight w:val="285"/>
              </w:trPr>
              <w:tc>
                <w:tcPr>
                  <w:tcW w:w="1340" w:type="dxa"/>
                  <w:tcBorders>
                    <w:top w:val="nil"/>
                    <w:left w:val="single" w:sz="4" w:space="0" w:color="A6A6A6" w:themeColor="background1" w:themeShade="A6"/>
                    <w:bottom w:val="single" w:sz="4" w:space="0" w:color="A6A6A6" w:themeColor="background1" w:themeShade="A6"/>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Pois Congo</w:t>
                  </w:r>
                </w:p>
              </w:tc>
              <w:tc>
                <w:tcPr>
                  <w:tcW w:w="1134" w:type="dxa"/>
                  <w:tcBorders>
                    <w:top w:val="nil"/>
                    <w:left w:val="nil"/>
                    <w:bottom w:val="single" w:sz="4" w:space="0" w:color="A6A6A6" w:themeColor="background1" w:themeShade="A6"/>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0,6</w:t>
                  </w:r>
                </w:p>
              </w:tc>
              <w:tc>
                <w:tcPr>
                  <w:tcW w:w="1418" w:type="dxa"/>
                  <w:tcBorders>
                    <w:top w:val="nil"/>
                    <w:left w:val="single" w:sz="4" w:space="0" w:color="A6A6A6" w:themeColor="background1" w:themeShade="A6"/>
                    <w:bottom w:val="single" w:sz="4" w:space="0" w:color="A6A6A6" w:themeColor="background1" w:themeShade="A6"/>
                    <w:right w:val="single" w:sz="4" w:space="0" w:color="A6A6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210,66</w:t>
                  </w:r>
                </w:p>
              </w:tc>
              <w:tc>
                <w:tcPr>
                  <w:tcW w:w="1559" w:type="dxa"/>
                  <w:tcBorders>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126,40</w:t>
                  </w:r>
                </w:p>
              </w:tc>
            </w:tr>
          </w:tbl>
          <w:p w:rsidR="009F1CE9" w:rsidRDefault="009F1CE9" w:rsidP="00AF46AE">
            <w:pPr>
              <w:ind w:firstLineChars="100" w:firstLine="160"/>
              <w:rPr>
                <w:rFonts w:ascii="Times New Roman" w:eastAsia="Times New Roman" w:hAnsi="Times New Roman" w:cs="Times New Roman"/>
                <w:color w:val="000000"/>
                <w:sz w:val="16"/>
                <w:szCs w:val="16"/>
                <w:lang w:eastAsia="es-ES"/>
              </w:rPr>
            </w:pPr>
          </w:p>
          <w:p w:rsidR="009F1CE9" w:rsidRPr="00F423AC"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sz w:val="16"/>
                <w:lang w:val="es-ES"/>
              </w:rPr>
            </w:pPr>
            <w:r w:rsidRPr="002E6209">
              <w:rPr>
                <w:sz w:val="16"/>
                <w:lang w:val="es-ES"/>
              </w:rPr>
              <w:t>Rendimientos: FAOSTAT</w:t>
            </w:r>
          </w:p>
          <w:p w:rsidR="009F1CE9" w:rsidRPr="002E6209" w:rsidRDefault="009F1CE9" w:rsidP="00AF46AE">
            <w:pPr>
              <w:pStyle w:val="Default"/>
              <w:tabs>
                <w:tab w:val="center" w:pos="4320"/>
                <w:tab w:val="right" w:pos="8640"/>
              </w:tabs>
              <w:spacing w:before="96" w:after="96"/>
              <w:jc w:val="center"/>
              <w:rPr>
                <w:sz w:val="16"/>
                <w:lang w:val="es-ES"/>
              </w:rPr>
            </w:pPr>
            <w:r w:rsidRPr="002E6209">
              <w:rPr>
                <w:sz w:val="16"/>
                <w:lang w:val="es-ES"/>
              </w:rPr>
              <w:t>Precios económicos: ver cálculo en Anexo I</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b/>
                <w:sz w:val="18"/>
                <w:szCs w:val="24"/>
                <w:lang w:eastAsia="ja-JP"/>
              </w:rPr>
              <w:t>Superficies de cultivo del área piloto</w:t>
            </w:r>
          </w:p>
        </w:tc>
        <w:tc>
          <w:tcPr>
            <w:tcW w:w="5688" w:type="dxa"/>
            <w:gridSpan w:val="2"/>
            <w:vAlign w:val="center"/>
          </w:tcPr>
          <w:p w:rsidR="009F1CE9" w:rsidRPr="006C0B81" w:rsidRDefault="009F1CE9" w:rsidP="00AF46AE">
            <w:pPr>
              <w:ind w:firstLineChars="100" w:firstLine="160"/>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Proporcional al reparto entre los 4 cultivos seleccionados.</w:t>
            </w:r>
          </w:p>
          <w:p w:rsidR="009F1CE9" w:rsidRPr="006C0B81" w:rsidRDefault="009F1CE9" w:rsidP="00AF46AE">
            <w:pPr>
              <w:ind w:firstLineChars="100" w:firstLine="160"/>
              <w:rPr>
                <w:rFonts w:ascii="Times New Roman" w:eastAsia="Times New Roman" w:hAnsi="Times New Roman" w:cs="Times New Roman"/>
                <w:color w:val="000000"/>
                <w:sz w:val="16"/>
                <w:szCs w:val="16"/>
                <w:lang w:eastAsia="es-ES"/>
              </w:rPr>
            </w:pPr>
          </w:p>
          <w:tbl>
            <w:tblPr>
              <w:tblW w:w="5446" w:type="dxa"/>
              <w:tblLayout w:type="fixed"/>
              <w:tblCellMar>
                <w:left w:w="70" w:type="dxa"/>
                <w:right w:w="70" w:type="dxa"/>
              </w:tblCellMar>
              <w:tblLook w:val="04A0" w:firstRow="1" w:lastRow="0" w:firstColumn="1" w:lastColumn="0" w:noHBand="0" w:noVBand="1"/>
            </w:tblPr>
            <w:tblGrid>
              <w:gridCol w:w="1335"/>
              <w:gridCol w:w="1077"/>
              <w:gridCol w:w="199"/>
              <w:gridCol w:w="1439"/>
              <w:gridCol w:w="1396"/>
            </w:tblGrid>
            <w:tr w:rsidR="009F1CE9" w:rsidRPr="006C0B81" w:rsidTr="00AF46AE">
              <w:trPr>
                <w:trHeight w:val="300"/>
              </w:trPr>
              <w:tc>
                <w:tcPr>
                  <w:tcW w:w="1335" w:type="dxa"/>
                  <w:vMerge w:val="restart"/>
                  <w:tcBorders>
                    <w:top w:val="single" w:sz="4" w:space="0" w:color="A6A6A6"/>
                    <w:left w:val="single" w:sz="8" w:space="0" w:color="auto"/>
                    <w:bottom w:val="single" w:sz="4" w:space="0" w:color="A6A6A6"/>
                    <w:right w:val="single" w:sz="4" w:space="0" w:color="A6A6A6"/>
                  </w:tcBorders>
                  <w:shd w:val="clear" w:color="auto" w:fill="F2F2F2" w:themeFill="background1" w:themeFillShade="F2"/>
                  <w:noWrap/>
                  <w:vAlign w:val="center"/>
                  <w:hideMark/>
                </w:tcPr>
                <w:p w:rsidR="009F1CE9" w:rsidRPr="006C0B81" w:rsidRDefault="009F1CE9" w:rsidP="00AF46AE">
                  <w:pPr>
                    <w:spacing w:line="240" w:lineRule="auto"/>
                    <w:ind w:firstLineChars="100" w:firstLine="161"/>
                    <w:rPr>
                      <w:rFonts w:ascii="Times New Roman" w:eastAsia="Times New Roman" w:hAnsi="Times New Roman" w:cs="Times New Roman"/>
                      <w:b/>
                      <w:bCs/>
                      <w:sz w:val="16"/>
                      <w:szCs w:val="16"/>
                      <w:lang w:eastAsia="es-ES"/>
                    </w:rPr>
                  </w:pPr>
                  <w:r>
                    <w:rPr>
                      <w:rFonts w:ascii="Times New Roman" w:eastAsia="Times New Roman" w:hAnsi="Times New Roman" w:cs="Times New Roman"/>
                      <w:b/>
                      <w:bCs/>
                      <w:sz w:val="16"/>
                      <w:szCs w:val="16"/>
                      <w:lang w:eastAsia="es-ES"/>
                    </w:rPr>
                    <w:t>Cultivo</w:t>
                  </w:r>
                </w:p>
              </w:tc>
              <w:tc>
                <w:tcPr>
                  <w:tcW w:w="2715" w:type="dxa"/>
                  <w:gridSpan w:val="3"/>
                  <w:tcBorders>
                    <w:top w:val="single" w:sz="4" w:space="0" w:color="A6A6A6"/>
                    <w:left w:val="nil"/>
                    <w:bottom w:val="single" w:sz="4" w:space="0" w:color="A6A6A6" w:themeColor="background1" w:themeShade="A6"/>
                    <w:right w:val="single" w:sz="4" w:space="0" w:color="A6A6A6"/>
                  </w:tcBorders>
                  <w:shd w:val="clear" w:color="auto" w:fill="F2F2F2" w:themeFill="background1" w:themeFillShade="F2"/>
                  <w:noWrap/>
                  <w:vAlign w:val="center"/>
                  <w:hideMark/>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Superficies</w:t>
                  </w:r>
                  <w:r>
                    <w:rPr>
                      <w:rFonts w:ascii="Times New Roman" w:eastAsia="Times New Roman" w:hAnsi="Times New Roman" w:cs="Times New Roman"/>
                      <w:b/>
                      <w:bCs/>
                      <w:color w:val="000000"/>
                      <w:sz w:val="16"/>
                      <w:szCs w:val="16"/>
                      <w:lang w:eastAsia="es-ES"/>
                    </w:rPr>
                    <w:t xml:space="preserve"> explotaciones encuestadas</w:t>
                  </w:r>
                </w:p>
              </w:tc>
              <w:tc>
                <w:tcPr>
                  <w:tcW w:w="1396" w:type="dxa"/>
                  <w:vMerge w:val="restart"/>
                  <w:tcBorders>
                    <w:top w:val="single" w:sz="4" w:space="0" w:color="A6A6A6"/>
                    <w:left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Superficies estimadas en área piloto (Ha)</w:t>
                  </w:r>
                </w:p>
              </w:tc>
            </w:tr>
            <w:tr w:rsidR="009F1CE9" w:rsidRPr="006C0B81" w:rsidTr="00AF46AE">
              <w:trPr>
                <w:trHeight w:val="300"/>
              </w:trPr>
              <w:tc>
                <w:tcPr>
                  <w:tcW w:w="1335" w:type="dxa"/>
                  <w:vMerge/>
                  <w:tcBorders>
                    <w:top w:val="single" w:sz="4" w:space="0" w:color="A6A6A6"/>
                    <w:left w:val="single" w:sz="8" w:space="0" w:color="auto"/>
                    <w:bottom w:val="single" w:sz="4" w:space="0" w:color="A6A6A6"/>
                    <w:right w:val="single" w:sz="4" w:space="0" w:color="A6A6A6"/>
                  </w:tcBorders>
                  <w:shd w:val="clear" w:color="auto" w:fill="F2F2F2" w:themeFill="background1" w:themeFillShade="F2"/>
                  <w:vAlign w:val="center"/>
                  <w:hideMark/>
                </w:tcPr>
                <w:p w:rsidR="009F1CE9" w:rsidRPr="006C0B81" w:rsidRDefault="009F1CE9" w:rsidP="00AF46AE">
                  <w:pPr>
                    <w:spacing w:line="240" w:lineRule="auto"/>
                    <w:rPr>
                      <w:rFonts w:ascii="Times New Roman" w:eastAsia="Times New Roman" w:hAnsi="Times New Roman" w:cs="Times New Roman"/>
                      <w:b/>
                      <w:bCs/>
                      <w:sz w:val="16"/>
                      <w:szCs w:val="16"/>
                      <w:lang w:eastAsia="es-ES"/>
                    </w:rPr>
                  </w:pPr>
                </w:p>
              </w:tc>
              <w:tc>
                <w:tcPr>
                  <w:tcW w:w="1276" w:type="dxa"/>
                  <w:gridSpan w:val="2"/>
                  <w:tcBorders>
                    <w:top w:val="single" w:sz="4" w:space="0" w:color="A6A6A6" w:themeColor="background1" w:themeShade="A6"/>
                    <w:left w:val="nil"/>
                    <w:bottom w:val="single" w:sz="4" w:space="0" w:color="A6A6A6"/>
                    <w:right w:val="single" w:sz="4" w:space="0" w:color="A6A6A6" w:themeColor="background1" w:themeShade="A6"/>
                  </w:tcBorders>
                  <w:shd w:val="clear" w:color="auto" w:fill="F2F2F2" w:themeFill="background1" w:themeFillShade="F2"/>
                  <w:noWrap/>
                  <w:vAlign w:val="center"/>
                  <w:hideMark/>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Ha</w:t>
                  </w:r>
                </w:p>
              </w:tc>
              <w:tc>
                <w:tcPr>
                  <w:tcW w:w="1439" w:type="dxa"/>
                  <w:tcBorders>
                    <w:top w:val="single" w:sz="4" w:space="0" w:color="A6A6A6" w:themeColor="background1" w:themeShade="A6"/>
                    <w:left w:val="single" w:sz="4" w:space="0" w:color="A6A6A6" w:themeColor="background1" w:themeShade="A6"/>
                    <w:bottom w:val="single" w:sz="4" w:space="0" w:color="A6A6A6"/>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Porcentaje</w:t>
                  </w:r>
                </w:p>
              </w:tc>
              <w:tc>
                <w:tcPr>
                  <w:tcW w:w="1396" w:type="dxa"/>
                  <w:vMerge/>
                  <w:tcBorders>
                    <w:left w:val="nil"/>
                    <w:bottom w:val="single" w:sz="4" w:space="0" w:color="A6A6A6"/>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p>
              </w:tc>
            </w:tr>
            <w:tr w:rsidR="009F1CE9" w:rsidRPr="006C0B81" w:rsidTr="00AF46AE">
              <w:trPr>
                <w:trHeight w:val="300"/>
              </w:trPr>
              <w:tc>
                <w:tcPr>
                  <w:tcW w:w="1335" w:type="dxa"/>
                  <w:tcBorders>
                    <w:top w:val="nil"/>
                    <w:left w:val="single" w:sz="8" w:space="0" w:color="auto"/>
                    <w:bottom w:val="nil"/>
                    <w:right w:val="single" w:sz="4" w:space="0" w:color="A6A6A6"/>
                  </w:tcBorders>
                  <w:shd w:val="clear" w:color="000000" w:fill="F2F2F2"/>
                  <w:noWrap/>
                  <w:vAlign w:val="center"/>
                  <w:hideMark/>
                </w:tcPr>
                <w:p w:rsidR="009F1CE9" w:rsidRPr="006C0B81" w:rsidRDefault="009F1CE9" w:rsidP="00AF46AE">
                  <w:pPr>
                    <w:spacing w:line="240" w:lineRule="auto"/>
                    <w:ind w:firstLineChars="200" w:firstLine="320"/>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Frijol</w:t>
                  </w:r>
                </w:p>
              </w:tc>
              <w:tc>
                <w:tcPr>
                  <w:tcW w:w="1276" w:type="dxa"/>
                  <w:gridSpan w:val="2"/>
                  <w:tcBorders>
                    <w:top w:val="nil"/>
                    <w:left w:val="nil"/>
                    <w:bottom w:val="nil"/>
                    <w:right w:val="single" w:sz="4" w:space="0" w:color="A6A6A6" w:themeColor="background1" w:themeShade="A6"/>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9,96</w:t>
                  </w:r>
                </w:p>
              </w:tc>
              <w:tc>
                <w:tcPr>
                  <w:tcW w:w="1439" w:type="dxa"/>
                  <w:tcBorders>
                    <w:top w:val="nil"/>
                    <w:left w:val="single" w:sz="4" w:space="0" w:color="A6A6A6" w:themeColor="background1" w:themeShade="A6"/>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31,42%</w:t>
                  </w:r>
                </w:p>
              </w:tc>
              <w:tc>
                <w:tcPr>
                  <w:tcW w:w="1396" w:type="dxa"/>
                  <w:tcBorders>
                    <w:top w:val="nil"/>
                    <w:left w:val="nil"/>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9.143</w:t>
                  </w:r>
                </w:p>
              </w:tc>
            </w:tr>
            <w:tr w:rsidR="009F1CE9" w:rsidRPr="006C0B81" w:rsidTr="00AF46AE">
              <w:trPr>
                <w:trHeight w:val="300"/>
              </w:trPr>
              <w:tc>
                <w:tcPr>
                  <w:tcW w:w="1335" w:type="dxa"/>
                  <w:tcBorders>
                    <w:top w:val="nil"/>
                    <w:left w:val="single" w:sz="8" w:space="0" w:color="auto"/>
                    <w:bottom w:val="nil"/>
                    <w:right w:val="single" w:sz="4" w:space="0" w:color="A6A6A6"/>
                  </w:tcBorders>
                  <w:shd w:val="clear" w:color="000000" w:fill="F2F2F2"/>
                  <w:noWrap/>
                  <w:vAlign w:val="center"/>
                  <w:hideMark/>
                </w:tcPr>
                <w:p w:rsidR="009F1CE9" w:rsidRPr="006C0B81" w:rsidRDefault="009F1CE9" w:rsidP="00AF46AE">
                  <w:pPr>
                    <w:spacing w:line="240" w:lineRule="auto"/>
                    <w:ind w:firstLineChars="200" w:firstLine="320"/>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Maiz</w:t>
                  </w:r>
                </w:p>
              </w:tc>
              <w:tc>
                <w:tcPr>
                  <w:tcW w:w="1276" w:type="dxa"/>
                  <w:gridSpan w:val="2"/>
                  <w:tcBorders>
                    <w:top w:val="nil"/>
                    <w:left w:val="nil"/>
                    <w:bottom w:val="nil"/>
                    <w:right w:val="single" w:sz="4" w:space="0" w:color="A6A6A6" w:themeColor="background1" w:themeShade="A6"/>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16,12</w:t>
                  </w:r>
                </w:p>
              </w:tc>
              <w:tc>
                <w:tcPr>
                  <w:tcW w:w="1439" w:type="dxa"/>
                  <w:tcBorders>
                    <w:top w:val="nil"/>
                    <w:left w:val="single" w:sz="4" w:space="0" w:color="A6A6A6" w:themeColor="background1" w:themeShade="A6"/>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50,86%</w:t>
                  </w:r>
                </w:p>
              </w:tc>
              <w:tc>
                <w:tcPr>
                  <w:tcW w:w="1396" w:type="dxa"/>
                  <w:tcBorders>
                    <w:top w:val="nil"/>
                    <w:left w:val="nil"/>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14.799</w:t>
                  </w:r>
                </w:p>
              </w:tc>
            </w:tr>
            <w:tr w:rsidR="009F1CE9" w:rsidRPr="006C0B81" w:rsidTr="00AF46AE">
              <w:trPr>
                <w:trHeight w:val="300"/>
              </w:trPr>
              <w:tc>
                <w:tcPr>
                  <w:tcW w:w="1335" w:type="dxa"/>
                  <w:tcBorders>
                    <w:top w:val="nil"/>
                    <w:left w:val="single" w:sz="8" w:space="0" w:color="auto"/>
                    <w:bottom w:val="nil"/>
                    <w:right w:val="single" w:sz="4" w:space="0" w:color="A6A6A6"/>
                  </w:tcBorders>
                  <w:shd w:val="clear" w:color="000000" w:fill="F2F2F2"/>
                  <w:noWrap/>
                  <w:vAlign w:val="center"/>
                  <w:hideMark/>
                </w:tcPr>
                <w:p w:rsidR="009F1CE9" w:rsidRPr="006C0B81" w:rsidRDefault="009F1CE9" w:rsidP="00AF46AE">
                  <w:pPr>
                    <w:spacing w:line="240" w:lineRule="auto"/>
                    <w:ind w:firstLineChars="200" w:firstLine="320"/>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Ñame</w:t>
                  </w:r>
                </w:p>
              </w:tc>
              <w:tc>
                <w:tcPr>
                  <w:tcW w:w="1276" w:type="dxa"/>
                  <w:gridSpan w:val="2"/>
                  <w:tcBorders>
                    <w:top w:val="nil"/>
                    <w:left w:val="nil"/>
                    <w:bottom w:val="nil"/>
                    <w:right w:val="single" w:sz="4" w:space="0" w:color="A6A6A6" w:themeColor="background1" w:themeShade="A6"/>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3,39</w:t>
                  </w:r>
                </w:p>
              </w:tc>
              <w:tc>
                <w:tcPr>
                  <w:tcW w:w="1439" w:type="dxa"/>
                  <w:tcBorders>
                    <w:top w:val="nil"/>
                    <w:left w:val="single" w:sz="4" w:space="0" w:color="A6A6A6" w:themeColor="background1" w:themeShade="A6"/>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10,70%</w:t>
                  </w:r>
                </w:p>
              </w:tc>
              <w:tc>
                <w:tcPr>
                  <w:tcW w:w="1396" w:type="dxa"/>
                  <w:tcBorders>
                    <w:top w:val="nil"/>
                    <w:left w:val="nil"/>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3.113</w:t>
                  </w:r>
                </w:p>
              </w:tc>
            </w:tr>
            <w:tr w:rsidR="009F1CE9" w:rsidRPr="006C0B81" w:rsidTr="00AF46AE">
              <w:trPr>
                <w:trHeight w:val="300"/>
              </w:trPr>
              <w:tc>
                <w:tcPr>
                  <w:tcW w:w="1335" w:type="dxa"/>
                  <w:tcBorders>
                    <w:top w:val="nil"/>
                    <w:left w:val="single" w:sz="8" w:space="0" w:color="auto"/>
                    <w:bottom w:val="single" w:sz="4" w:space="0" w:color="A6A6A6"/>
                    <w:right w:val="single" w:sz="4" w:space="0" w:color="A6A6A6"/>
                  </w:tcBorders>
                  <w:shd w:val="clear" w:color="000000" w:fill="F2F2F2"/>
                  <w:noWrap/>
                  <w:vAlign w:val="center"/>
                  <w:hideMark/>
                </w:tcPr>
                <w:p w:rsidR="009F1CE9" w:rsidRPr="006C0B81" w:rsidRDefault="009F1CE9" w:rsidP="00AF46AE">
                  <w:pPr>
                    <w:spacing w:line="240" w:lineRule="auto"/>
                    <w:ind w:firstLineChars="200" w:firstLine="320"/>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Pois Congo</w:t>
                  </w:r>
                </w:p>
              </w:tc>
              <w:tc>
                <w:tcPr>
                  <w:tcW w:w="1276" w:type="dxa"/>
                  <w:gridSpan w:val="2"/>
                  <w:tcBorders>
                    <w:top w:val="nil"/>
                    <w:left w:val="nil"/>
                    <w:bottom w:val="nil"/>
                    <w:right w:val="single" w:sz="4" w:space="0" w:color="A6A6A6" w:themeColor="background1" w:themeShade="A6"/>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2,23</w:t>
                  </w:r>
                </w:p>
              </w:tc>
              <w:tc>
                <w:tcPr>
                  <w:tcW w:w="1439" w:type="dxa"/>
                  <w:tcBorders>
                    <w:top w:val="nil"/>
                    <w:left w:val="single" w:sz="4" w:space="0" w:color="A6A6A6" w:themeColor="background1" w:themeShade="A6"/>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sidRPr="006C0B81">
                    <w:rPr>
                      <w:rFonts w:ascii="Times New Roman" w:eastAsia="Times New Roman" w:hAnsi="Times New Roman" w:cs="Times New Roman"/>
                      <w:color w:val="000000"/>
                      <w:sz w:val="16"/>
                      <w:szCs w:val="16"/>
                      <w:lang w:eastAsia="es-ES"/>
                    </w:rPr>
                    <w:t>7,03%</w:t>
                  </w:r>
                </w:p>
              </w:tc>
              <w:tc>
                <w:tcPr>
                  <w:tcW w:w="1396" w:type="dxa"/>
                  <w:tcBorders>
                    <w:top w:val="nil"/>
                    <w:left w:val="nil"/>
                    <w:bottom w:val="nil"/>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2.045</w:t>
                  </w:r>
                </w:p>
              </w:tc>
            </w:tr>
            <w:tr w:rsidR="009F1CE9" w:rsidRPr="006C0B81" w:rsidTr="00AF46AE">
              <w:trPr>
                <w:trHeight w:val="300"/>
              </w:trPr>
              <w:tc>
                <w:tcPr>
                  <w:tcW w:w="1335" w:type="dxa"/>
                  <w:tcBorders>
                    <w:top w:val="nil"/>
                    <w:left w:val="single" w:sz="8" w:space="0" w:color="auto"/>
                    <w:bottom w:val="single" w:sz="4" w:space="0" w:color="A6A6A6"/>
                    <w:right w:val="single" w:sz="4" w:space="0" w:color="A6A6A6"/>
                  </w:tcBorders>
                  <w:shd w:val="clear" w:color="000000" w:fill="F2F2F2"/>
                  <w:noWrap/>
                  <w:vAlign w:val="center"/>
                  <w:hideMark/>
                </w:tcPr>
                <w:p w:rsidR="009F1CE9" w:rsidRPr="006C0B81" w:rsidRDefault="009F1CE9" w:rsidP="00AF46AE">
                  <w:pPr>
                    <w:spacing w:line="240" w:lineRule="auto"/>
                    <w:ind w:firstLineChars="200" w:firstLine="321"/>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Totales</w:t>
                  </w:r>
                </w:p>
              </w:tc>
              <w:tc>
                <w:tcPr>
                  <w:tcW w:w="1077" w:type="dxa"/>
                  <w:tcBorders>
                    <w:top w:val="single" w:sz="4" w:space="0" w:color="A6A6A6"/>
                    <w:left w:val="nil"/>
                    <w:bottom w:val="single" w:sz="4" w:space="0" w:color="A6A6A6"/>
                    <w:right w:val="nil"/>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31,71</w:t>
                  </w:r>
                </w:p>
              </w:tc>
              <w:tc>
                <w:tcPr>
                  <w:tcW w:w="199" w:type="dxa"/>
                  <w:tcBorders>
                    <w:top w:val="single" w:sz="4" w:space="0" w:color="A6A6A6"/>
                    <w:left w:val="nil"/>
                    <w:bottom w:val="single" w:sz="4" w:space="0" w:color="A6A6A6"/>
                    <w:right w:val="single" w:sz="4" w:space="0" w:color="A6A6A6" w:themeColor="background1" w:themeShade="A6"/>
                  </w:tcBorders>
                  <w:shd w:val="clear" w:color="000000" w:fill="F2F2F2"/>
                  <w:noWrap/>
                  <w:vAlign w:val="center"/>
                  <w:hideMark/>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p>
              </w:tc>
              <w:tc>
                <w:tcPr>
                  <w:tcW w:w="1439" w:type="dxa"/>
                  <w:tcBorders>
                    <w:top w:val="single" w:sz="4" w:space="0" w:color="A6A6A6"/>
                    <w:left w:val="single" w:sz="4" w:space="0" w:color="A6A6A6" w:themeColor="background1" w:themeShade="A6"/>
                    <w:bottom w:val="single" w:sz="4" w:space="0" w:color="A6A6A6"/>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sidRPr="006C0B81">
                    <w:rPr>
                      <w:rFonts w:ascii="Times New Roman" w:eastAsia="Times New Roman" w:hAnsi="Times New Roman" w:cs="Times New Roman"/>
                      <w:b/>
                      <w:bCs/>
                      <w:color w:val="000000"/>
                      <w:sz w:val="16"/>
                      <w:szCs w:val="16"/>
                      <w:lang w:eastAsia="es-ES"/>
                    </w:rPr>
                    <w:t>100%</w:t>
                  </w:r>
                </w:p>
              </w:tc>
              <w:tc>
                <w:tcPr>
                  <w:tcW w:w="1396" w:type="dxa"/>
                  <w:tcBorders>
                    <w:top w:val="single" w:sz="4" w:space="0" w:color="A6A6A6"/>
                    <w:left w:val="nil"/>
                    <w:bottom w:val="single" w:sz="4" w:space="0" w:color="A6A6A6"/>
                    <w:right w:val="single" w:sz="4" w:space="0" w:color="A6A6A6"/>
                  </w:tcBorders>
                  <w:shd w:val="clear" w:color="000000" w:fill="F2F2F2"/>
                  <w:vAlign w:val="center"/>
                </w:tcPr>
                <w:p w:rsidR="009F1CE9" w:rsidRPr="006C0B81" w:rsidRDefault="009F1CE9" w:rsidP="00AF46AE">
                  <w:pPr>
                    <w:spacing w:line="240" w:lineRule="auto"/>
                    <w:jc w:val="center"/>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29.100</w:t>
                  </w:r>
                </w:p>
              </w:tc>
            </w:tr>
          </w:tbl>
          <w:p w:rsidR="009F1CE9" w:rsidRDefault="009F1CE9" w:rsidP="00AF46AE">
            <w:pPr>
              <w:ind w:firstLineChars="100" w:firstLine="160"/>
              <w:rPr>
                <w:rFonts w:ascii="Times New Roman" w:eastAsia="Times New Roman" w:hAnsi="Times New Roman" w:cs="Times New Roman"/>
                <w:color w:val="000000"/>
                <w:sz w:val="16"/>
                <w:szCs w:val="16"/>
                <w:lang w:eastAsia="es-ES"/>
              </w:rPr>
            </w:pPr>
          </w:p>
          <w:p w:rsidR="009F1CE9" w:rsidRPr="006C0B81"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2E6209" w:rsidRDefault="009F1CE9" w:rsidP="00AF46AE">
            <w:pPr>
              <w:pStyle w:val="Default"/>
              <w:tabs>
                <w:tab w:val="center" w:pos="4320"/>
                <w:tab w:val="right" w:pos="8640"/>
              </w:tabs>
              <w:spacing w:before="96" w:after="96"/>
              <w:jc w:val="center"/>
              <w:rPr>
                <w:sz w:val="16"/>
                <w:szCs w:val="18"/>
                <w:lang w:val="es-ES"/>
              </w:rPr>
            </w:pPr>
            <w:r w:rsidRPr="002E6209">
              <w:rPr>
                <w:sz w:val="16"/>
                <w:szCs w:val="18"/>
                <w:lang w:val="es-ES"/>
              </w:rPr>
              <w:t>Encuestas de campo realizadas por el MARNDR en Marzo de 2014</w:t>
            </w:r>
          </w:p>
          <w:p w:rsidR="009F1CE9" w:rsidRPr="002E6209" w:rsidRDefault="009F1CE9" w:rsidP="00AF46AE">
            <w:pPr>
              <w:pStyle w:val="Default"/>
              <w:tabs>
                <w:tab w:val="center" w:pos="4320"/>
                <w:tab w:val="right" w:pos="8640"/>
              </w:tabs>
              <w:spacing w:before="96" w:after="96"/>
              <w:jc w:val="center"/>
              <w:rPr>
                <w:sz w:val="16"/>
                <w:szCs w:val="18"/>
                <w:lang w:val="es-ES"/>
              </w:rPr>
            </w:pPr>
          </w:p>
          <w:p w:rsidR="009F1CE9" w:rsidRPr="00600FE6" w:rsidRDefault="009F1CE9" w:rsidP="00AF46AE">
            <w:pPr>
              <w:pStyle w:val="Default"/>
              <w:tabs>
                <w:tab w:val="center" w:pos="4320"/>
                <w:tab w:val="right" w:pos="8640"/>
              </w:tabs>
              <w:spacing w:before="96" w:after="96"/>
              <w:jc w:val="center"/>
              <w:rPr>
                <w:sz w:val="18"/>
                <w:lang w:val="es-ES"/>
              </w:rPr>
            </w:pPr>
            <w:r w:rsidRPr="002E6209">
              <w:rPr>
                <w:sz w:val="16"/>
                <w:szCs w:val="18"/>
                <w:lang w:val="es-ES"/>
              </w:rPr>
              <w:t>Superficie total del área piloto: presupuesto detallado del BID</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Porcentaje de pérdidas actuales provocadas por la HL</w:t>
            </w:r>
          </w:p>
        </w:tc>
        <w:tc>
          <w:tcPr>
            <w:tcW w:w="5688" w:type="dxa"/>
            <w:gridSpan w:val="2"/>
            <w:vAlign w:val="center"/>
          </w:tcPr>
          <w:tbl>
            <w:tblPr>
              <w:tblW w:w="2474" w:type="dxa"/>
              <w:jc w:val="center"/>
              <w:tblLayout w:type="fixed"/>
              <w:tblCellMar>
                <w:left w:w="70" w:type="dxa"/>
                <w:right w:w="70" w:type="dxa"/>
              </w:tblCellMar>
              <w:tblLook w:val="04A0" w:firstRow="1" w:lastRow="0" w:firstColumn="1" w:lastColumn="0" w:noHBand="0" w:noVBand="1"/>
            </w:tblPr>
            <w:tblGrid>
              <w:gridCol w:w="1340"/>
              <w:gridCol w:w="1134"/>
            </w:tblGrid>
            <w:tr w:rsidR="009F1CE9" w:rsidRPr="00584F38" w:rsidTr="00AF46AE">
              <w:trPr>
                <w:trHeight w:val="561"/>
                <w:jc w:val="center"/>
              </w:trPr>
              <w:tc>
                <w:tcPr>
                  <w:tcW w:w="1340" w:type="dxa"/>
                  <w:tcBorders>
                    <w:top w:val="single" w:sz="4" w:space="0" w:color="A6A6A6"/>
                    <w:left w:val="single" w:sz="4" w:space="0" w:color="BFBFBF" w:themeColor="background1" w:themeShade="BF"/>
                    <w:bottom w:val="single" w:sz="4" w:space="0" w:color="A6A6A6"/>
                    <w:right w:val="single" w:sz="4" w:space="0" w:color="A6A6A6"/>
                  </w:tcBorders>
                  <w:shd w:val="clear" w:color="auto" w:fill="F2F2F2" w:themeFill="background1" w:themeFillShade="F2"/>
                  <w:noWrap/>
                  <w:vAlign w:val="center"/>
                  <w:hideMark/>
                </w:tcPr>
                <w:p w:rsidR="009F1CE9" w:rsidRPr="00584F38" w:rsidRDefault="009F1CE9" w:rsidP="00AF46AE">
                  <w:pPr>
                    <w:spacing w:line="240" w:lineRule="auto"/>
                    <w:ind w:firstLineChars="100" w:firstLine="161"/>
                    <w:rPr>
                      <w:rFonts w:ascii="Times New Roman" w:eastAsia="Times New Roman" w:hAnsi="Times New Roman" w:cs="Times New Roman"/>
                      <w:b/>
                      <w:bCs/>
                      <w:sz w:val="16"/>
                      <w:szCs w:val="16"/>
                      <w:lang w:eastAsia="es-ES"/>
                    </w:rPr>
                  </w:pPr>
                  <w:r w:rsidRPr="006C0B81">
                    <w:rPr>
                      <w:rFonts w:ascii="Times New Roman" w:eastAsia="Times New Roman" w:hAnsi="Times New Roman" w:cs="Times New Roman"/>
                      <w:b/>
                      <w:bCs/>
                      <w:sz w:val="16"/>
                      <w:szCs w:val="16"/>
                      <w:lang w:eastAsia="es-ES"/>
                    </w:rPr>
                    <w:t>Cultivo</w:t>
                  </w:r>
                </w:p>
              </w:tc>
              <w:tc>
                <w:tcPr>
                  <w:tcW w:w="1134" w:type="dxa"/>
                  <w:tcBorders>
                    <w:top w:val="single" w:sz="4" w:space="0" w:color="A6A6A6"/>
                    <w:left w:val="nil"/>
                    <w:bottom w:val="single" w:sz="4" w:space="0" w:color="A6A6A6"/>
                    <w:right w:val="single" w:sz="4" w:space="0" w:color="A6A6A6"/>
                  </w:tcBorders>
                  <w:shd w:val="clear" w:color="auto" w:fill="F2F2F2" w:themeFill="background1" w:themeFillShade="F2"/>
                  <w:vAlign w:val="center"/>
                  <w:hideMark/>
                </w:tcPr>
                <w:p w:rsidR="009F1CE9" w:rsidRPr="00584F38" w:rsidRDefault="009F1CE9" w:rsidP="00AF46AE">
                  <w:pPr>
                    <w:spacing w:line="240" w:lineRule="auto"/>
                    <w:jc w:val="center"/>
                    <w:rPr>
                      <w:rFonts w:ascii="Times New Roman" w:eastAsia="Times New Roman" w:hAnsi="Times New Roman" w:cs="Times New Roman"/>
                      <w:b/>
                      <w:bCs/>
                      <w:color w:val="000000"/>
                      <w:sz w:val="16"/>
                      <w:szCs w:val="16"/>
                      <w:lang w:eastAsia="es-ES"/>
                    </w:rPr>
                  </w:pPr>
                  <w:r>
                    <w:rPr>
                      <w:rFonts w:ascii="Times New Roman" w:eastAsia="Times New Roman" w:hAnsi="Times New Roman" w:cs="Times New Roman"/>
                      <w:b/>
                      <w:bCs/>
                      <w:color w:val="000000"/>
                      <w:sz w:val="16"/>
                      <w:szCs w:val="16"/>
                      <w:lang w:eastAsia="es-ES"/>
                    </w:rPr>
                    <w:t>Porcentaje de pérdidas</w:t>
                  </w:r>
                </w:p>
              </w:tc>
            </w:tr>
            <w:tr w:rsidR="009F1CE9" w:rsidRPr="00584F38" w:rsidTr="00AF46AE">
              <w:trPr>
                <w:trHeight w:val="300"/>
                <w:jc w:val="center"/>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lastRenderedPageBreak/>
                    <w:t>Frijol</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92,16%</w:t>
                  </w:r>
                </w:p>
              </w:tc>
            </w:tr>
            <w:tr w:rsidR="009F1CE9" w:rsidRPr="00584F38" w:rsidTr="00AF46AE">
              <w:trPr>
                <w:trHeight w:val="300"/>
                <w:jc w:val="center"/>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Maiz</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97,01%</w:t>
                  </w:r>
                </w:p>
              </w:tc>
            </w:tr>
            <w:tr w:rsidR="009F1CE9" w:rsidRPr="00584F38" w:rsidTr="00AF46AE">
              <w:trPr>
                <w:trHeight w:val="300"/>
                <w:jc w:val="center"/>
              </w:trPr>
              <w:tc>
                <w:tcPr>
                  <w:tcW w:w="1340" w:type="dxa"/>
                  <w:tcBorders>
                    <w:top w:val="nil"/>
                    <w:left w:val="single" w:sz="4" w:space="0" w:color="A6A6A6" w:themeColor="background1" w:themeShade="A6"/>
                    <w:bottom w:val="nil"/>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Ñame</w:t>
                  </w:r>
                </w:p>
              </w:tc>
              <w:tc>
                <w:tcPr>
                  <w:tcW w:w="1134" w:type="dxa"/>
                  <w:tcBorders>
                    <w:top w:val="nil"/>
                    <w:left w:val="nil"/>
                    <w:bottom w:val="nil"/>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88,43%</w:t>
                  </w:r>
                </w:p>
              </w:tc>
            </w:tr>
            <w:tr w:rsidR="009F1CE9" w:rsidRPr="00584F38" w:rsidTr="00AF46AE">
              <w:trPr>
                <w:trHeight w:val="285"/>
                <w:jc w:val="center"/>
              </w:trPr>
              <w:tc>
                <w:tcPr>
                  <w:tcW w:w="1340" w:type="dxa"/>
                  <w:tcBorders>
                    <w:top w:val="nil"/>
                    <w:left w:val="single" w:sz="4" w:space="0" w:color="A6A6A6" w:themeColor="background1" w:themeShade="A6"/>
                    <w:bottom w:val="single" w:sz="4" w:space="0" w:color="A6A6A6" w:themeColor="background1" w:themeShade="A6"/>
                    <w:right w:val="single" w:sz="4" w:space="0" w:color="A6A6A6"/>
                  </w:tcBorders>
                  <w:shd w:val="clear" w:color="000000" w:fill="F2F2F2"/>
                  <w:noWrap/>
                  <w:vAlign w:val="center"/>
                  <w:hideMark/>
                </w:tcPr>
                <w:p w:rsidR="009F1CE9" w:rsidRPr="00584F38" w:rsidRDefault="009F1CE9" w:rsidP="00AF46AE">
                  <w:pPr>
                    <w:spacing w:line="240" w:lineRule="auto"/>
                    <w:ind w:firstLineChars="85" w:firstLine="136"/>
                    <w:rPr>
                      <w:rFonts w:ascii="Times New Roman" w:eastAsia="Times New Roman" w:hAnsi="Times New Roman" w:cs="Times New Roman"/>
                      <w:color w:val="000000"/>
                      <w:sz w:val="16"/>
                      <w:szCs w:val="16"/>
                      <w:lang w:eastAsia="es-ES"/>
                    </w:rPr>
                  </w:pPr>
                  <w:r w:rsidRPr="00584F38">
                    <w:rPr>
                      <w:rFonts w:ascii="Times New Roman" w:eastAsia="Times New Roman" w:hAnsi="Times New Roman" w:cs="Times New Roman"/>
                      <w:color w:val="000000"/>
                      <w:sz w:val="16"/>
                      <w:szCs w:val="16"/>
                      <w:lang w:eastAsia="es-ES"/>
                    </w:rPr>
                    <w:t>Pois Congo</w:t>
                  </w:r>
                </w:p>
              </w:tc>
              <w:tc>
                <w:tcPr>
                  <w:tcW w:w="1134" w:type="dxa"/>
                  <w:tcBorders>
                    <w:top w:val="nil"/>
                    <w:left w:val="nil"/>
                    <w:bottom w:val="single" w:sz="4" w:space="0" w:color="A6A6A6"/>
                    <w:right w:val="single" w:sz="4" w:space="0" w:color="A6A6A6" w:themeColor="background1" w:themeShade="A6"/>
                  </w:tcBorders>
                  <w:shd w:val="clear" w:color="000000" w:fill="F2F2F2"/>
                  <w:noWrap/>
                  <w:vAlign w:val="center"/>
                  <w:hideMark/>
                </w:tcPr>
                <w:p w:rsidR="009F1CE9" w:rsidRPr="00584F38" w:rsidRDefault="009F1CE9" w:rsidP="00AF46AE">
                  <w:pPr>
                    <w:spacing w:line="240" w:lineRule="auto"/>
                    <w:jc w:val="center"/>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88,28%</w:t>
                  </w:r>
                </w:p>
              </w:tc>
            </w:tr>
          </w:tbl>
          <w:p w:rsidR="009F1CE9" w:rsidRPr="006C0B81" w:rsidRDefault="009F1CE9" w:rsidP="00AF46AE">
            <w:pPr>
              <w:ind w:firstLineChars="100" w:firstLine="160"/>
              <w:rPr>
                <w:rFonts w:ascii="Times New Roman" w:eastAsia="Times New Roman" w:hAnsi="Times New Roman" w:cs="Times New Roman"/>
                <w:color w:val="000000"/>
                <w:sz w:val="16"/>
                <w:szCs w:val="16"/>
                <w:lang w:eastAsia="es-ES"/>
              </w:rPr>
            </w:pPr>
          </w:p>
        </w:tc>
        <w:tc>
          <w:tcPr>
            <w:tcW w:w="2647" w:type="dxa"/>
            <w:gridSpan w:val="2"/>
            <w:vAlign w:val="center"/>
          </w:tcPr>
          <w:p w:rsidR="009F1CE9" w:rsidRPr="006C0B81" w:rsidRDefault="009F1CE9" w:rsidP="00AF46AE">
            <w:pPr>
              <w:pStyle w:val="Default"/>
              <w:tabs>
                <w:tab w:val="center" w:pos="4320"/>
                <w:tab w:val="right" w:pos="8640"/>
              </w:tabs>
              <w:spacing w:before="96" w:after="96"/>
              <w:jc w:val="center"/>
              <w:rPr>
                <w:sz w:val="18"/>
                <w:szCs w:val="18"/>
                <w:lang w:val="es-ES"/>
              </w:rPr>
            </w:pPr>
            <w:r w:rsidRPr="002E6209">
              <w:rPr>
                <w:sz w:val="16"/>
                <w:szCs w:val="18"/>
                <w:lang w:val="es-ES"/>
              </w:rPr>
              <w:lastRenderedPageBreak/>
              <w:t>Encuestas de campo realizadas por el MARNDR en Marzo de 2014</w:t>
            </w:r>
          </w:p>
        </w:tc>
      </w:tr>
      <w:tr w:rsidR="009F1CE9" w:rsidRPr="004A324E" w:rsidTr="00AE3AF3">
        <w:trPr>
          <w:trHeight w:val="621"/>
          <w:jc w:val="center"/>
        </w:trPr>
        <w:tc>
          <w:tcPr>
            <w:tcW w:w="2618" w:type="dxa"/>
            <w:gridSpan w:val="2"/>
            <w:vAlign w:val="center"/>
          </w:tcPr>
          <w:p w:rsidR="009F1CE9"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lastRenderedPageBreak/>
              <w:t>Ratio de eficacia de las campañas de control de la HL</w:t>
            </w:r>
          </w:p>
        </w:tc>
        <w:tc>
          <w:tcPr>
            <w:tcW w:w="5688" w:type="dxa"/>
            <w:gridSpan w:val="2"/>
            <w:vAlign w:val="center"/>
          </w:tcPr>
          <w:p w:rsidR="009F1CE9" w:rsidRPr="002E6209" w:rsidRDefault="009F1CE9" w:rsidP="00AF46AE">
            <w:pPr>
              <w:rPr>
                <w:rFonts w:ascii="Times New Roman" w:eastAsia="Times New Roman" w:hAnsi="Times New Roman" w:cs="Times New Roman"/>
                <w:bCs/>
                <w:sz w:val="16"/>
                <w:szCs w:val="16"/>
                <w:lang w:eastAsia="es-ES"/>
              </w:rPr>
            </w:pPr>
            <w:r w:rsidRPr="002E6209">
              <w:rPr>
                <w:rFonts w:ascii="Times New Roman" w:eastAsia="Times New Roman" w:hAnsi="Times New Roman" w:cs="Times New Roman"/>
                <w:bCs/>
                <w:sz w:val="16"/>
                <w:szCs w:val="16"/>
                <w:lang w:eastAsia="es-ES"/>
              </w:rPr>
              <w:t xml:space="preserve">Porcentaje del 50% aplicado sobre los importes de pérdidas de producción anuales por Ha </w:t>
            </w:r>
          </w:p>
        </w:tc>
        <w:tc>
          <w:tcPr>
            <w:tcW w:w="2647" w:type="dxa"/>
            <w:gridSpan w:val="2"/>
            <w:vAlign w:val="center"/>
          </w:tcPr>
          <w:p w:rsidR="009F1CE9" w:rsidRPr="006C0B81" w:rsidRDefault="009F1CE9" w:rsidP="00AF46AE">
            <w:pPr>
              <w:jc w:val="center"/>
              <w:rPr>
                <w:sz w:val="18"/>
                <w:szCs w:val="18"/>
              </w:rPr>
            </w:pPr>
            <w:r w:rsidRPr="002E6209">
              <w:rPr>
                <w:rFonts w:ascii="Times New Roman" w:eastAsia="Times New Roman" w:hAnsi="Times New Roman" w:cs="Times New Roman"/>
                <w:bCs/>
                <w:sz w:val="16"/>
                <w:szCs w:val="16"/>
                <w:lang w:eastAsia="es-ES"/>
              </w:rPr>
              <w:t>Elaboración propia basada en el supuesto conservador de no contemplar una disminución del 100% las pérdidas</w:t>
            </w:r>
          </w:p>
        </w:tc>
      </w:tr>
      <w:tr w:rsidR="009F1CE9" w:rsidRPr="004A324E" w:rsidTr="00AF46AE">
        <w:trPr>
          <w:trHeight w:val="621"/>
          <w:jc w:val="center"/>
        </w:trPr>
        <w:tc>
          <w:tcPr>
            <w:tcW w:w="10953" w:type="dxa"/>
            <w:gridSpan w:val="6"/>
            <w:shd w:val="clear" w:color="auto" w:fill="D9D9D9" w:themeFill="background1" w:themeFillShade="D9"/>
            <w:vAlign w:val="center"/>
          </w:tcPr>
          <w:p w:rsidR="009F1CE9" w:rsidRPr="001154C1" w:rsidRDefault="009F1CE9" w:rsidP="00AF46AE">
            <w:pPr>
              <w:jc w:val="center"/>
              <w:rPr>
                <w:rFonts w:ascii="Times New Roman" w:eastAsia="Times New Roman" w:hAnsi="Times New Roman" w:cs="Times New Roman"/>
                <w:bCs/>
                <w:sz w:val="16"/>
                <w:szCs w:val="16"/>
                <w:lang w:eastAsia="es-ES"/>
              </w:rPr>
            </w:pPr>
            <w:r>
              <w:rPr>
                <w:rFonts w:ascii="Times New Roman" w:hAnsi="Times New Roman" w:cs="Times New Roman"/>
                <w:b/>
                <w:sz w:val="18"/>
              </w:rPr>
              <w:t>ESTIMACIÓN DE LOS PRECIOS SOMBRA DE LOS PRODUCTOS</w:t>
            </w:r>
          </w:p>
        </w:tc>
      </w:tr>
      <w:tr w:rsidR="009F1CE9" w:rsidRPr="001E2260" w:rsidTr="00AE3AF3">
        <w:trPr>
          <w:trHeight w:val="621"/>
          <w:jc w:val="center"/>
        </w:trPr>
        <w:tc>
          <w:tcPr>
            <w:tcW w:w="2618" w:type="dxa"/>
            <w:gridSpan w:val="2"/>
            <w:vAlign w:val="center"/>
          </w:tcPr>
          <w:p w:rsidR="009F1CE9" w:rsidRPr="00252A26"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Estimación de los precios sombra</w:t>
            </w:r>
          </w:p>
        </w:tc>
        <w:tc>
          <w:tcPr>
            <w:tcW w:w="5688" w:type="dxa"/>
            <w:gridSpan w:val="2"/>
            <w:vAlign w:val="center"/>
          </w:tcPr>
          <w:p w:rsidR="009F1CE9" w:rsidRPr="00252A26" w:rsidRDefault="009F1CE9" w:rsidP="00AE3AF3">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Ver Cuadro Anexo I</w:t>
            </w:r>
          </w:p>
        </w:tc>
        <w:tc>
          <w:tcPr>
            <w:tcW w:w="2647" w:type="dxa"/>
            <w:gridSpan w:val="2"/>
            <w:vAlign w:val="center"/>
          </w:tcPr>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 xml:space="preserve">Precios a pie de finca o pagados al productor: </w:t>
            </w:r>
          </w:p>
          <w:p w:rsidR="009F1CE9" w:rsidRDefault="009F1CE9" w:rsidP="00AF46AE">
            <w:pPr>
              <w:jc w:val="center"/>
              <w:rPr>
                <w:rFonts w:ascii="Times New Roman" w:eastAsia="Times New Roman" w:hAnsi="Times New Roman" w:cs="Times New Roman"/>
                <w:bCs/>
                <w:sz w:val="16"/>
                <w:szCs w:val="16"/>
                <w:lang w:eastAsia="es-ES"/>
              </w:rPr>
            </w:pPr>
            <w:r w:rsidRPr="001154C1">
              <w:rPr>
                <w:rFonts w:ascii="Times New Roman" w:eastAsia="Times New Roman" w:hAnsi="Times New Roman" w:cs="Times New Roman"/>
                <w:bCs/>
                <w:sz w:val="16"/>
                <w:szCs w:val="16"/>
                <w:lang w:eastAsia="es-ES"/>
              </w:rPr>
              <w:t>FAOSTAT</w:t>
            </w:r>
            <w:r>
              <w:rPr>
                <w:rFonts w:ascii="Times New Roman" w:eastAsia="Times New Roman" w:hAnsi="Times New Roman" w:cs="Times New Roman"/>
                <w:bCs/>
                <w:sz w:val="16"/>
                <w:szCs w:val="16"/>
                <w:lang w:eastAsia="es-ES"/>
              </w:rPr>
              <w:t xml:space="preserve"> </w:t>
            </w:r>
            <w:hyperlink r:id="rId36" w:history="1">
              <w:r w:rsidRPr="00AE3AF3">
                <w:rPr>
                  <w:rStyle w:val="Hyperlink"/>
                  <w:rFonts w:ascii="Times New Roman" w:hAnsi="Times New Roman" w:cs="Times New Roman"/>
                  <w:sz w:val="16"/>
                  <w:szCs w:val="16"/>
                </w:rPr>
                <w:t>http://faostat.fao.org/</w:t>
              </w:r>
            </w:hyperlink>
            <w:r w:rsidRPr="001154C1">
              <w:rPr>
                <w:rFonts w:ascii="Times New Roman" w:eastAsia="Times New Roman" w:hAnsi="Times New Roman" w:cs="Times New Roman"/>
                <w:bCs/>
                <w:sz w:val="16"/>
                <w:szCs w:val="16"/>
                <w:lang w:eastAsia="es-ES"/>
              </w:rPr>
              <w:t xml:space="preserve"> y MARNDR, 2014</w:t>
            </w:r>
          </w:p>
          <w:p w:rsidR="009F1CE9" w:rsidRDefault="009F1CE9" w:rsidP="00AF46AE">
            <w:pPr>
              <w:jc w:val="center"/>
              <w:rPr>
                <w:rFonts w:ascii="Times New Roman" w:eastAsia="Times New Roman" w:hAnsi="Times New Roman" w:cs="Times New Roman"/>
                <w:bCs/>
                <w:sz w:val="16"/>
                <w:szCs w:val="16"/>
                <w:lang w:eastAsia="es-ES"/>
              </w:rPr>
            </w:pP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Saldo Exterior Neto por producto;</w:t>
            </w: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Precios FOB y CIF de los productos;</w:t>
            </w: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Costos de descarga, seguros,</w:t>
            </w: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transporte y comercialización internos;</w:t>
            </w: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 xml:space="preserve">Subsidios a los productos: </w:t>
            </w:r>
            <w:r w:rsidRPr="001154C1">
              <w:rPr>
                <w:rFonts w:ascii="Times New Roman" w:eastAsia="Times New Roman" w:hAnsi="Times New Roman" w:cs="Times New Roman"/>
                <w:bCs/>
                <w:sz w:val="16"/>
                <w:szCs w:val="16"/>
                <w:lang w:eastAsia="es-ES"/>
              </w:rPr>
              <w:t xml:space="preserve">MARNDR, </w:t>
            </w:r>
            <w:r>
              <w:rPr>
                <w:rFonts w:ascii="Times New Roman" w:eastAsia="Times New Roman" w:hAnsi="Times New Roman" w:cs="Times New Roman"/>
                <w:bCs/>
                <w:sz w:val="16"/>
                <w:szCs w:val="16"/>
                <w:lang w:eastAsia="es-ES"/>
              </w:rPr>
              <w:t xml:space="preserve">2005. </w:t>
            </w:r>
            <w:r w:rsidRPr="001154C1">
              <w:rPr>
                <w:rFonts w:ascii="Times New Roman" w:eastAsia="Times New Roman" w:hAnsi="Times New Roman" w:cs="Times New Roman"/>
                <w:bCs/>
                <w:sz w:val="16"/>
                <w:szCs w:val="16"/>
                <w:lang w:eastAsia="es-ES"/>
              </w:rPr>
              <w:t>Estudios de las cadenas productivas ag</w:t>
            </w:r>
            <w:r>
              <w:rPr>
                <w:rFonts w:ascii="Times New Roman" w:eastAsia="Times New Roman" w:hAnsi="Times New Roman" w:cs="Times New Roman"/>
                <w:bCs/>
                <w:sz w:val="16"/>
                <w:szCs w:val="16"/>
                <w:lang w:eastAsia="es-ES"/>
              </w:rPr>
              <w:t>rícolas</w:t>
            </w:r>
          </w:p>
          <w:p w:rsidR="009F1CE9" w:rsidRDefault="009F1CE9" w:rsidP="00AF46AE">
            <w:pPr>
              <w:jc w:val="center"/>
              <w:rPr>
                <w:rFonts w:ascii="Times New Roman" w:eastAsia="Times New Roman" w:hAnsi="Times New Roman" w:cs="Times New Roman"/>
                <w:bCs/>
                <w:sz w:val="16"/>
                <w:szCs w:val="16"/>
                <w:lang w:eastAsia="es-ES"/>
              </w:rPr>
            </w:pPr>
          </w:p>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Aranceles e impuestos:</w:t>
            </w:r>
          </w:p>
          <w:p w:rsidR="009F1CE9" w:rsidRPr="009F1CE9" w:rsidRDefault="009F1CE9" w:rsidP="00AF46AE">
            <w:pPr>
              <w:jc w:val="center"/>
              <w:rPr>
                <w:rFonts w:ascii="Times New Roman" w:eastAsia="Times New Roman" w:hAnsi="Times New Roman" w:cs="Times New Roman"/>
                <w:bCs/>
                <w:sz w:val="16"/>
                <w:szCs w:val="16"/>
                <w:lang w:eastAsia="es-ES"/>
              </w:rPr>
            </w:pPr>
            <w:r w:rsidRPr="009F1CE9">
              <w:rPr>
                <w:rFonts w:ascii="Times New Roman" w:eastAsia="Times New Roman" w:hAnsi="Times New Roman" w:cs="Times New Roman"/>
                <w:bCs/>
                <w:sz w:val="16"/>
                <w:szCs w:val="16"/>
                <w:lang w:eastAsia="es-ES"/>
              </w:rPr>
              <w:t xml:space="preserve">WTO, 2014. </w:t>
            </w:r>
            <w:hyperlink r:id="rId37" w:history="1">
              <w:r w:rsidRPr="009F1CE9">
                <w:rPr>
                  <w:rStyle w:val="Hyperlink"/>
                  <w:rFonts w:ascii="Times New Roman" w:eastAsia="Times New Roman" w:hAnsi="Times New Roman" w:cs="Times New Roman"/>
                  <w:bCs/>
                  <w:sz w:val="16"/>
                  <w:szCs w:val="16"/>
                  <w:lang w:eastAsia="es-ES"/>
                </w:rPr>
                <w:t>www.wto.org</w:t>
              </w:r>
            </w:hyperlink>
          </w:p>
          <w:p w:rsidR="009F1CE9" w:rsidRPr="001154C1" w:rsidRDefault="009F1CE9" w:rsidP="00AF46AE">
            <w:pPr>
              <w:jc w:val="center"/>
              <w:rPr>
                <w:rFonts w:ascii="Times New Roman" w:eastAsia="Times New Roman" w:hAnsi="Times New Roman" w:cs="Times New Roman"/>
                <w:bCs/>
                <w:sz w:val="16"/>
                <w:szCs w:val="16"/>
                <w:lang w:val="en-US" w:eastAsia="es-ES"/>
              </w:rPr>
            </w:pPr>
            <w:r w:rsidRPr="001154C1">
              <w:rPr>
                <w:rFonts w:ascii="Times New Roman" w:eastAsia="Times New Roman" w:hAnsi="Times New Roman" w:cs="Times New Roman"/>
                <w:bCs/>
                <w:sz w:val="16"/>
                <w:szCs w:val="16"/>
                <w:lang w:val="en-US" w:eastAsia="es-ES"/>
              </w:rPr>
              <w:t xml:space="preserve">Consolidated </w:t>
            </w:r>
            <w:r>
              <w:rPr>
                <w:rFonts w:ascii="Times New Roman" w:eastAsia="Times New Roman" w:hAnsi="Times New Roman" w:cs="Times New Roman"/>
                <w:bCs/>
                <w:sz w:val="16"/>
                <w:szCs w:val="16"/>
                <w:lang w:val="en-US" w:eastAsia="es-ES"/>
              </w:rPr>
              <w:t>Tariff Schedules database (CTS)</w:t>
            </w:r>
            <w:r w:rsidRPr="001154C1">
              <w:rPr>
                <w:rFonts w:ascii="Times New Roman" w:eastAsia="Times New Roman" w:hAnsi="Times New Roman" w:cs="Times New Roman"/>
                <w:bCs/>
                <w:sz w:val="16"/>
                <w:szCs w:val="16"/>
                <w:lang w:val="en-US" w:eastAsia="es-ES"/>
              </w:rPr>
              <w:t xml:space="preserve"> </w:t>
            </w:r>
          </w:p>
        </w:tc>
      </w:tr>
      <w:tr w:rsidR="009F1CE9" w:rsidRPr="004A324E" w:rsidTr="00AF46AE">
        <w:trPr>
          <w:trHeight w:val="621"/>
          <w:jc w:val="center"/>
        </w:trPr>
        <w:tc>
          <w:tcPr>
            <w:tcW w:w="10953" w:type="dxa"/>
            <w:gridSpan w:val="6"/>
            <w:shd w:val="clear" w:color="auto" w:fill="BFBFBF" w:themeFill="background1" w:themeFillShade="BF"/>
            <w:vAlign w:val="center"/>
          </w:tcPr>
          <w:p w:rsidR="009F1CE9" w:rsidRPr="00252A26" w:rsidRDefault="009F1CE9" w:rsidP="00AF46AE">
            <w:pPr>
              <w:jc w:val="center"/>
              <w:rPr>
                <w:rFonts w:ascii="Times New Roman" w:eastAsia="Times New Roman" w:hAnsi="Times New Roman" w:cs="Times New Roman"/>
                <w:bCs/>
                <w:sz w:val="16"/>
                <w:szCs w:val="16"/>
                <w:lang w:eastAsia="es-ES"/>
              </w:rPr>
            </w:pPr>
            <w:r w:rsidRPr="00252A26">
              <w:rPr>
                <w:rFonts w:ascii="Times New Roman" w:hAnsi="Times New Roman" w:cs="Times New Roman"/>
                <w:b/>
                <w:sz w:val="18"/>
                <w:szCs w:val="18"/>
              </w:rPr>
              <w:t xml:space="preserve">HIPÓSTESIS DE ESTIMACIÓN DE </w:t>
            </w:r>
            <w:r>
              <w:rPr>
                <w:rFonts w:ascii="Times New Roman" w:hAnsi="Times New Roman" w:cs="Times New Roman"/>
                <w:b/>
                <w:sz w:val="18"/>
                <w:szCs w:val="18"/>
              </w:rPr>
              <w:t>COSTOS</w:t>
            </w:r>
          </w:p>
        </w:tc>
      </w:tr>
      <w:tr w:rsidR="009F1CE9" w:rsidRPr="004A324E" w:rsidTr="00AE3AF3">
        <w:trPr>
          <w:gridAfter w:val="1"/>
          <w:wAfter w:w="37" w:type="dxa"/>
          <w:trHeight w:val="621"/>
          <w:jc w:val="center"/>
        </w:trPr>
        <w:tc>
          <w:tcPr>
            <w:tcW w:w="1181" w:type="dxa"/>
            <w:vAlign w:val="center"/>
          </w:tcPr>
          <w:p w:rsidR="009F1CE9" w:rsidRPr="00252A26" w:rsidRDefault="009F1CE9" w:rsidP="00AF46AE">
            <w:pPr>
              <w:rPr>
                <w:rFonts w:ascii="Times New Roman" w:eastAsia="MS Mincho" w:hAnsi="Times New Roman" w:cs="Times New Roman"/>
                <w:b/>
                <w:sz w:val="18"/>
                <w:szCs w:val="24"/>
                <w:lang w:eastAsia="ja-JP"/>
              </w:rPr>
            </w:pPr>
            <w:r>
              <w:rPr>
                <w:rFonts w:ascii="Times New Roman" w:eastAsia="MS Mincho" w:hAnsi="Times New Roman" w:cs="Times New Roman"/>
                <w:b/>
                <w:sz w:val="18"/>
                <w:szCs w:val="24"/>
                <w:lang w:eastAsia="ja-JP"/>
              </w:rPr>
              <w:t>Costo no recurrentes</w:t>
            </w:r>
          </w:p>
        </w:tc>
        <w:tc>
          <w:tcPr>
            <w:tcW w:w="1437" w:type="dxa"/>
            <w:vAlign w:val="center"/>
          </w:tcPr>
          <w:p w:rsidR="009F1CE9" w:rsidRPr="00DE73AE" w:rsidRDefault="009F1CE9" w:rsidP="00AF46AE">
            <w:pPr>
              <w:rPr>
                <w:rFonts w:ascii="Times New Roman" w:eastAsia="MS Mincho" w:hAnsi="Times New Roman" w:cs="Times New Roman"/>
                <w:sz w:val="18"/>
                <w:szCs w:val="24"/>
                <w:lang w:eastAsia="ja-JP"/>
              </w:rPr>
            </w:pPr>
            <w:r>
              <w:rPr>
                <w:rFonts w:ascii="Times New Roman" w:eastAsia="MS Mincho" w:hAnsi="Times New Roman" w:cs="Times New Roman"/>
                <w:sz w:val="18"/>
                <w:szCs w:val="24"/>
                <w:lang w:eastAsia="ja-JP"/>
              </w:rPr>
              <w:t>Importes expresados en</w:t>
            </w:r>
            <w:r w:rsidRPr="00DE73AE">
              <w:rPr>
                <w:rFonts w:ascii="Times New Roman" w:eastAsia="MS Mincho" w:hAnsi="Times New Roman" w:cs="Times New Roman"/>
                <w:sz w:val="18"/>
                <w:szCs w:val="24"/>
                <w:lang w:eastAsia="ja-JP"/>
              </w:rPr>
              <w:t xml:space="preserve"> precios financieros</w:t>
            </w:r>
          </w:p>
        </w:tc>
        <w:tc>
          <w:tcPr>
            <w:tcW w:w="5651" w:type="dxa"/>
            <w:vAlign w:val="center"/>
          </w:tcPr>
          <w:p w:rsidR="009F1CE9" w:rsidRPr="00252A26" w:rsidRDefault="009F1CE9" w:rsidP="00AF46AE">
            <w:pPr>
              <w:rPr>
                <w:rFonts w:ascii="Times New Roman" w:eastAsia="Times New Roman" w:hAnsi="Times New Roman" w:cs="Times New Roman"/>
                <w:bCs/>
                <w:sz w:val="16"/>
                <w:szCs w:val="16"/>
                <w:lang w:eastAsia="es-ES"/>
              </w:rPr>
            </w:pPr>
            <w:r>
              <w:rPr>
                <w:rFonts w:ascii="Times New Roman" w:eastAsia="Times New Roman" w:hAnsi="Times New Roman" w:cs="Times New Roman"/>
                <w:bCs/>
                <w:noProof/>
                <w:sz w:val="16"/>
                <w:szCs w:val="16"/>
                <w:lang w:val="en-US"/>
              </w:rPr>
              <w:drawing>
                <wp:inline distT="0" distB="0" distL="0" distR="0" wp14:anchorId="5840221A" wp14:editId="2F6925E0">
                  <wp:extent cx="3480435" cy="2825115"/>
                  <wp:effectExtent l="0" t="0" r="571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80435" cy="2825115"/>
                          </a:xfrm>
                          <a:prstGeom prst="rect">
                            <a:avLst/>
                          </a:prstGeom>
                          <a:noFill/>
                          <a:ln>
                            <a:noFill/>
                          </a:ln>
                        </pic:spPr>
                      </pic:pic>
                    </a:graphicData>
                  </a:graphic>
                </wp:inline>
              </w:drawing>
            </w:r>
          </w:p>
        </w:tc>
        <w:tc>
          <w:tcPr>
            <w:tcW w:w="2647" w:type="dxa"/>
            <w:gridSpan w:val="2"/>
            <w:vAlign w:val="center"/>
          </w:tcPr>
          <w:p w:rsidR="009F1CE9" w:rsidRPr="00252A26" w:rsidRDefault="009F1CE9" w:rsidP="00AE3AF3">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 xml:space="preserve">BID, </w:t>
            </w:r>
            <w:r w:rsidR="00865F10">
              <w:rPr>
                <w:rFonts w:ascii="Times New Roman" w:eastAsia="Times New Roman" w:hAnsi="Times New Roman" w:cs="Times New Roman"/>
                <w:bCs/>
                <w:sz w:val="16"/>
                <w:szCs w:val="16"/>
                <w:lang w:eastAsia="es-ES"/>
              </w:rPr>
              <w:t>2014. P</w:t>
            </w:r>
            <w:r>
              <w:rPr>
                <w:rFonts w:ascii="Times New Roman" w:eastAsia="Times New Roman" w:hAnsi="Times New Roman" w:cs="Times New Roman"/>
                <w:bCs/>
                <w:sz w:val="16"/>
                <w:szCs w:val="16"/>
                <w:lang w:eastAsia="es-ES"/>
              </w:rPr>
              <w:t>resupuesto detallado del Programa</w:t>
            </w:r>
          </w:p>
        </w:tc>
      </w:tr>
      <w:tr w:rsidR="009F1CE9" w:rsidRPr="00E74A87" w:rsidTr="00AE3AF3">
        <w:trPr>
          <w:trHeight w:val="621"/>
          <w:jc w:val="center"/>
        </w:trPr>
        <w:tc>
          <w:tcPr>
            <w:tcW w:w="2618" w:type="dxa"/>
            <w:gridSpan w:val="2"/>
            <w:vAlign w:val="center"/>
          </w:tcPr>
          <w:p w:rsidR="009F1CE9" w:rsidRPr="00805025" w:rsidRDefault="009F1CE9" w:rsidP="00AF46AE">
            <w:pPr>
              <w:jc w:val="center"/>
              <w:rPr>
                <w:rFonts w:ascii="Times New Roman" w:eastAsia="MS Mincho" w:hAnsi="Times New Roman" w:cs="Times New Roman"/>
                <w:b/>
                <w:sz w:val="18"/>
                <w:szCs w:val="24"/>
                <w:lang w:eastAsia="ja-JP"/>
              </w:rPr>
            </w:pPr>
            <w:r w:rsidRPr="00805025">
              <w:rPr>
                <w:rFonts w:ascii="Times New Roman" w:eastAsia="MS Mincho" w:hAnsi="Times New Roman" w:cs="Times New Roman"/>
                <w:b/>
                <w:sz w:val="18"/>
                <w:szCs w:val="24"/>
                <w:lang w:eastAsia="ja-JP"/>
              </w:rPr>
              <w:lastRenderedPageBreak/>
              <w:t>Tasa del Impuesto Indirecto sobre la Cifra de Negocios</w:t>
            </w:r>
          </w:p>
        </w:tc>
        <w:tc>
          <w:tcPr>
            <w:tcW w:w="5688" w:type="dxa"/>
            <w:gridSpan w:val="2"/>
            <w:vAlign w:val="center"/>
          </w:tcPr>
          <w:tbl>
            <w:tblPr>
              <w:tblW w:w="4263" w:type="dxa"/>
              <w:jc w:val="center"/>
              <w:tblLayout w:type="fixed"/>
              <w:tblCellMar>
                <w:left w:w="70" w:type="dxa"/>
                <w:right w:w="70" w:type="dxa"/>
              </w:tblCellMar>
              <w:tblLook w:val="04A0" w:firstRow="1" w:lastRow="0" w:firstColumn="1" w:lastColumn="0" w:noHBand="0" w:noVBand="1"/>
            </w:tblPr>
            <w:tblGrid>
              <w:gridCol w:w="3178"/>
              <w:gridCol w:w="161"/>
              <w:gridCol w:w="924"/>
            </w:tblGrid>
            <w:tr w:rsidR="009F1CE9" w:rsidRPr="00DE73AE" w:rsidTr="00AF46AE">
              <w:trPr>
                <w:trHeight w:val="527"/>
                <w:jc w:val="center"/>
              </w:trPr>
              <w:tc>
                <w:tcPr>
                  <w:tcW w:w="3178"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000000" w:fill="F2F2F2"/>
                  <w:noWrap/>
                  <w:vAlign w:val="center"/>
                  <w:hideMark/>
                </w:tcPr>
                <w:p w:rsidR="009F1CE9" w:rsidRPr="00DE73AE" w:rsidRDefault="009F1CE9" w:rsidP="00AF46AE">
                  <w:pPr>
                    <w:spacing w:line="240" w:lineRule="auto"/>
                    <w:rPr>
                      <w:rFonts w:ascii="Times New Roman" w:eastAsia="Times New Roman" w:hAnsi="Times New Roman" w:cs="Times New Roman"/>
                      <w:bCs/>
                      <w:sz w:val="16"/>
                      <w:szCs w:val="16"/>
                      <w:lang w:eastAsia="es-ES"/>
                    </w:rPr>
                  </w:pPr>
                  <w:r w:rsidRPr="00DE73AE">
                    <w:rPr>
                      <w:rFonts w:ascii="Times New Roman" w:eastAsia="Times New Roman" w:hAnsi="Times New Roman" w:cs="Times New Roman"/>
                      <w:bCs/>
                      <w:sz w:val="16"/>
                      <w:szCs w:val="16"/>
                      <w:lang w:eastAsia="es-ES"/>
                    </w:rPr>
                    <w:t>Tasa del Impuesto Indirecto sobre la Cifra de Negocios</w:t>
                  </w:r>
                </w:p>
              </w:tc>
              <w:tc>
                <w:tcPr>
                  <w:tcW w:w="161"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000000" w:fill="F2F2F2"/>
                  <w:noWrap/>
                  <w:vAlign w:val="center"/>
                  <w:hideMark/>
                </w:tcPr>
                <w:p w:rsidR="009F1CE9" w:rsidRPr="00DE73AE" w:rsidRDefault="009F1CE9" w:rsidP="00AF46AE">
                  <w:pPr>
                    <w:spacing w:line="240" w:lineRule="auto"/>
                    <w:jc w:val="center"/>
                    <w:rPr>
                      <w:rFonts w:ascii="Times New Roman" w:eastAsia="Times New Roman" w:hAnsi="Times New Roman" w:cs="Times New Roman"/>
                      <w:bCs/>
                      <w:sz w:val="16"/>
                      <w:szCs w:val="16"/>
                      <w:lang w:eastAsia="es-ES"/>
                    </w:rPr>
                  </w:pPr>
                </w:p>
              </w:tc>
              <w:tc>
                <w:tcPr>
                  <w:tcW w:w="9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0000" w:fill="F2F2F2"/>
                  <w:vAlign w:val="center"/>
                </w:tcPr>
                <w:p w:rsidR="009F1CE9" w:rsidRPr="00DE73AE" w:rsidRDefault="009F1CE9" w:rsidP="00AF46AE">
                  <w:pPr>
                    <w:spacing w:line="240" w:lineRule="auto"/>
                    <w:jc w:val="center"/>
                    <w:rPr>
                      <w:rFonts w:ascii="Times New Roman" w:eastAsia="Times New Roman" w:hAnsi="Times New Roman" w:cs="Times New Roman"/>
                      <w:bCs/>
                      <w:sz w:val="16"/>
                      <w:szCs w:val="16"/>
                      <w:lang w:eastAsia="es-ES"/>
                    </w:rPr>
                  </w:pPr>
                  <w:r w:rsidRPr="00DE73AE">
                    <w:rPr>
                      <w:rFonts w:ascii="Times New Roman" w:eastAsia="Times New Roman" w:hAnsi="Times New Roman" w:cs="Times New Roman"/>
                      <w:bCs/>
                      <w:sz w:val="16"/>
                      <w:szCs w:val="16"/>
                      <w:lang w:eastAsia="es-ES"/>
                    </w:rPr>
                    <w:t>10%</w:t>
                  </w:r>
                </w:p>
              </w:tc>
            </w:tr>
          </w:tbl>
          <w:p w:rsidR="009F1CE9" w:rsidRDefault="009F1CE9" w:rsidP="00AF46AE">
            <w:pPr>
              <w:rPr>
                <w:rFonts w:ascii="Times New Roman" w:eastAsia="Times New Roman" w:hAnsi="Times New Roman" w:cs="Times New Roman"/>
                <w:bCs/>
                <w:sz w:val="16"/>
                <w:szCs w:val="16"/>
                <w:lang w:eastAsia="es-ES"/>
              </w:rPr>
            </w:pPr>
          </w:p>
          <w:p w:rsidR="009F1CE9" w:rsidRPr="00DE73AE" w:rsidRDefault="009F1CE9" w:rsidP="00AF46AE">
            <w:pP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(Utilizada para el cálculo de los costos en precios económicos o precios sombra)</w:t>
            </w:r>
          </w:p>
        </w:tc>
        <w:tc>
          <w:tcPr>
            <w:tcW w:w="2647" w:type="dxa"/>
            <w:gridSpan w:val="2"/>
            <w:vAlign w:val="center"/>
          </w:tcPr>
          <w:p w:rsidR="009F1CE9" w:rsidRDefault="00EA4A3F" w:rsidP="00AF46AE">
            <w:pPr>
              <w:jc w:val="center"/>
              <w:rPr>
                <w:rFonts w:ascii="Times New Roman" w:eastAsia="Times New Roman" w:hAnsi="Times New Roman" w:cs="Times New Roman"/>
                <w:bCs/>
                <w:sz w:val="16"/>
                <w:szCs w:val="16"/>
                <w:lang w:eastAsia="es-ES"/>
              </w:rPr>
            </w:pPr>
            <w:hyperlink r:id="rId39" w:history="1">
              <w:r w:rsidR="009F1CE9" w:rsidRPr="0024691E">
                <w:rPr>
                  <w:rStyle w:val="Hyperlink"/>
                  <w:rFonts w:ascii="Times New Roman" w:eastAsia="Times New Roman" w:hAnsi="Times New Roman" w:cs="Times New Roman"/>
                  <w:bCs/>
                  <w:sz w:val="16"/>
                  <w:szCs w:val="16"/>
                  <w:lang w:eastAsia="es-ES"/>
                </w:rPr>
                <w:t>http://www.sdn.mefhaiti.gouv.ht/</w:t>
              </w:r>
            </w:hyperlink>
          </w:p>
          <w:p w:rsidR="009F1CE9" w:rsidRDefault="009F1CE9" w:rsidP="00AF46AE">
            <w:pPr>
              <w:jc w:val="center"/>
              <w:rPr>
                <w:rFonts w:ascii="Times New Roman" w:eastAsia="Times New Roman" w:hAnsi="Times New Roman" w:cs="Times New Roman"/>
                <w:bCs/>
                <w:sz w:val="16"/>
                <w:szCs w:val="16"/>
                <w:lang w:eastAsia="es-ES"/>
              </w:rPr>
            </w:pPr>
            <w:r w:rsidRPr="00805025">
              <w:rPr>
                <w:rFonts w:ascii="Times New Roman" w:eastAsia="Times New Roman" w:hAnsi="Times New Roman" w:cs="Times New Roman"/>
                <w:bCs/>
                <w:sz w:val="16"/>
                <w:szCs w:val="16"/>
                <w:lang w:eastAsia="es-ES"/>
              </w:rPr>
              <w:t xml:space="preserve"> Minister</w:t>
            </w:r>
            <w:r>
              <w:rPr>
                <w:rFonts w:ascii="Times New Roman" w:eastAsia="Times New Roman" w:hAnsi="Times New Roman" w:cs="Times New Roman"/>
                <w:bCs/>
                <w:sz w:val="16"/>
                <w:szCs w:val="16"/>
                <w:lang w:eastAsia="es-ES"/>
              </w:rPr>
              <w:t>io de Economía y Finanzas (MEF), 2014</w:t>
            </w:r>
          </w:p>
          <w:p w:rsidR="009F1CE9" w:rsidRPr="009F1CE9" w:rsidRDefault="009F1CE9" w:rsidP="00AF46AE">
            <w:pPr>
              <w:jc w:val="center"/>
              <w:rPr>
                <w:rFonts w:ascii="Times New Roman" w:eastAsia="Times New Roman" w:hAnsi="Times New Roman" w:cs="Times New Roman"/>
                <w:bCs/>
                <w:i/>
                <w:sz w:val="16"/>
                <w:szCs w:val="16"/>
                <w:lang w:val="fr-FR" w:eastAsia="es-ES"/>
              </w:rPr>
            </w:pPr>
            <w:r w:rsidRPr="009F1CE9">
              <w:rPr>
                <w:rFonts w:ascii="Times New Roman" w:eastAsia="Times New Roman" w:hAnsi="Times New Roman" w:cs="Times New Roman"/>
                <w:bCs/>
                <w:i/>
                <w:sz w:val="16"/>
                <w:szCs w:val="16"/>
                <w:lang w:val="fr-FR" w:eastAsia="es-ES"/>
              </w:rPr>
              <w:t>Législation et Réglementation</w:t>
            </w:r>
          </w:p>
          <w:p w:rsidR="009F1CE9" w:rsidRPr="00DE73AE" w:rsidRDefault="009F1CE9" w:rsidP="00AF46AE">
            <w:pPr>
              <w:jc w:val="center"/>
              <w:rPr>
                <w:rFonts w:ascii="Times New Roman" w:eastAsia="Times New Roman" w:hAnsi="Times New Roman" w:cs="Times New Roman"/>
                <w:bCs/>
                <w:sz w:val="16"/>
                <w:szCs w:val="16"/>
                <w:lang w:val="fr-FR" w:eastAsia="es-ES"/>
              </w:rPr>
            </w:pPr>
            <w:r w:rsidRPr="00805025">
              <w:rPr>
                <w:rFonts w:ascii="Times New Roman" w:eastAsia="Times New Roman" w:hAnsi="Times New Roman" w:cs="Times New Roman"/>
                <w:bCs/>
                <w:i/>
                <w:sz w:val="16"/>
                <w:szCs w:val="16"/>
                <w:lang w:val="fr-FR" w:eastAsia="es-ES"/>
              </w:rPr>
              <w:t>Lois Fiscales – Taxe sur le Chiffre d’Affaires</w:t>
            </w:r>
          </w:p>
        </w:tc>
      </w:tr>
      <w:tr w:rsidR="009F1CE9" w:rsidRPr="00783BDB" w:rsidTr="00AE3AF3">
        <w:trPr>
          <w:gridAfter w:val="1"/>
          <w:wAfter w:w="37" w:type="dxa"/>
          <w:trHeight w:val="621"/>
          <w:jc w:val="center"/>
        </w:trPr>
        <w:tc>
          <w:tcPr>
            <w:tcW w:w="1181" w:type="dxa"/>
            <w:vAlign w:val="center"/>
          </w:tcPr>
          <w:p w:rsidR="009F1CE9" w:rsidRPr="00DE73AE" w:rsidRDefault="009F1CE9" w:rsidP="00AF46AE">
            <w:pPr>
              <w:rPr>
                <w:rFonts w:ascii="Times New Roman" w:eastAsia="MS Mincho" w:hAnsi="Times New Roman" w:cs="Times New Roman"/>
                <w:b/>
                <w:sz w:val="18"/>
                <w:szCs w:val="24"/>
                <w:lang w:val="fr-FR" w:eastAsia="ja-JP"/>
              </w:rPr>
            </w:pPr>
            <w:r>
              <w:rPr>
                <w:rFonts w:ascii="Times New Roman" w:eastAsia="MS Mincho" w:hAnsi="Times New Roman" w:cs="Times New Roman"/>
                <w:b/>
                <w:sz w:val="18"/>
                <w:szCs w:val="24"/>
                <w:lang w:eastAsia="ja-JP"/>
              </w:rPr>
              <w:t>Costos recurrentes</w:t>
            </w:r>
          </w:p>
        </w:tc>
        <w:tc>
          <w:tcPr>
            <w:tcW w:w="1437" w:type="dxa"/>
            <w:vAlign w:val="center"/>
          </w:tcPr>
          <w:p w:rsidR="009F1CE9" w:rsidRPr="00347D44" w:rsidRDefault="009F1CE9" w:rsidP="00AF46AE">
            <w:pPr>
              <w:rPr>
                <w:rFonts w:ascii="Times New Roman" w:eastAsia="MS Mincho" w:hAnsi="Times New Roman" w:cs="Times New Roman"/>
                <w:sz w:val="18"/>
                <w:szCs w:val="24"/>
                <w:lang w:eastAsia="ja-JP"/>
              </w:rPr>
            </w:pPr>
            <w:r w:rsidRPr="00347D44">
              <w:rPr>
                <w:rFonts w:ascii="Times New Roman" w:eastAsia="MS Mincho" w:hAnsi="Times New Roman" w:cs="Times New Roman"/>
                <w:sz w:val="16"/>
                <w:szCs w:val="24"/>
                <w:lang w:eastAsia="ja-JP"/>
              </w:rPr>
              <w:t xml:space="preserve">Conceptos e importes </w:t>
            </w:r>
            <w:r>
              <w:rPr>
                <w:rFonts w:ascii="Times New Roman" w:eastAsia="MS Mincho" w:hAnsi="Times New Roman" w:cs="Times New Roman"/>
                <w:sz w:val="16"/>
                <w:szCs w:val="24"/>
                <w:lang w:eastAsia="ja-JP"/>
              </w:rPr>
              <w:t>expresados en</w:t>
            </w:r>
            <w:r w:rsidRPr="00347D44">
              <w:rPr>
                <w:rFonts w:ascii="Times New Roman" w:eastAsia="MS Mincho" w:hAnsi="Times New Roman" w:cs="Times New Roman"/>
                <w:sz w:val="16"/>
                <w:szCs w:val="24"/>
                <w:lang w:eastAsia="ja-JP"/>
              </w:rPr>
              <w:t xml:space="preserve"> precios </w:t>
            </w:r>
            <w:r>
              <w:rPr>
                <w:rFonts w:ascii="Times New Roman" w:eastAsia="MS Mincho" w:hAnsi="Times New Roman" w:cs="Times New Roman"/>
                <w:sz w:val="16"/>
                <w:szCs w:val="24"/>
                <w:lang w:eastAsia="ja-JP"/>
              </w:rPr>
              <w:t>económicos</w:t>
            </w:r>
          </w:p>
        </w:tc>
        <w:tc>
          <w:tcPr>
            <w:tcW w:w="5651" w:type="dxa"/>
            <w:vAlign w:val="center"/>
          </w:tcPr>
          <w:p w:rsidR="009F1CE9" w:rsidRPr="00783BDB" w:rsidRDefault="009F1CE9" w:rsidP="00AF46AE">
            <w:pPr>
              <w:rPr>
                <w:rFonts w:ascii="Times New Roman" w:eastAsia="Times New Roman" w:hAnsi="Times New Roman" w:cs="Times New Roman"/>
                <w:bCs/>
                <w:sz w:val="16"/>
                <w:szCs w:val="16"/>
                <w:lang w:eastAsia="es-ES"/>
              </w:rPr>
            </w:pPr>
            <w:r>
              <w:rPr>
                <w:rFonts w:ascii="Times New Roman" w:eastAsia="Times New Roman" w:hAnsi="Times New Roman" w:cs="Times New Roman"/>
                <w:bCs/>
                <w:noProof/>
                <w:sz w:val="16"/>
                <w:szCs w:val="16"/>
                <w:lang w:val="en-US"/>
              </w:rPr>
              <w:drawing>
                <wp:inline distT="0" distB="0" distL="0" distR="0" wp14:anchorId="7CA12466" wp14:editId="4CFE4E59">
                  <wp:extent cx="3480435" cy="1753870"/>
                  <wp:effectExtent l="0" t="0" r="571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80435" cy="1753870"/>
                          </a:xfrm>
                          <a:prstGeom prst="rect">
                            <a:avLst/>
                          </a:prstGeom>
                          <a:noFill/>
                          <a:ln>
                            <a:noFill/>
                          </a:ln>
                        </pic:spPr>
                      </pic:pic>
                    </a:graphicData>
                  </a:graphic>
                </wp:inline>
              </w:drawing>
            </w:r>
          </w:p>
        </w:tc>
        <w:tc>
          <w:tcPr>
            <w:tcW w:w="2647" w:type="dxa"/>
            <w:gridSpan w:val="2"/>
            <w:vAlign w:val="center"/>
          </w:tcPr>
          <w:p w:rsidR="009F1CE9"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 xml:space="preserve">BID, </w:t>
            </w:r>
            <w:r w:rsidR="00865F10">
              <w:rPr>
                <w:rFonts w:ascii="Times New Roman" w:eastAsia="Times New Roman" w:hAnsi="Times New Roman" w:cs="Times New Roman"/>
                <w:bCs/>
                <w:sz w:val="16"/>
                <w:szCs w:val="16"/>
                <w:lang w:eastAsia="es-ES"/>
              </w:rPr>
              <w:t>2014. P</w:t>
            </w:r>
            <w:r>
              <w:rPr>
                <w:rFonts w:ascii="Times New Roman" w:eastAsia="Times New Roman" w:hAnsi="Times New Roman" w:cs="Times New Roman"/>
                <w:bCs/>
                <w:sz w:val="16"/>
                <w:szCs w:val="16"/>
                <w:lang w:eastAsia="es-ES"/>
              </w:rPr>
              <w:t>resupuesto detallado del Programa</w:t>
            </w:r>
          </w:p>
          <w:p w:rsidR="009F1CE9" w:rsidRDefault="009F1CE9" w:rsidP="00AF46AE">
            <w:pPr>
              <w:jc w:val="center"/>
              <w:rPr>
                <w:rFonts w:ascii="Times New Roman" w:eastAsia="Times New Roman" w:hAnsi="Times New Roman" w:cs="Times New Roman"/>
                <w:bCs/>
                <w:sz w:val="16"/>
                <w:szCs w:val="16"/>
                <w:lang w:eastAsia="es-ES"/>
              </w:rPr>
            </w:pPr>
          </w:p>
          <w:p w:rsidR="009F1CE9" w:rsidRPr="00783BDB" w:rsidRDefault="009F1CE9" w:rsidP="00AF46AE">
            <w:pPr>
              <w:jc w:val="center"/>
              <w:rPr>
                <w:rFonts w:ascii="Times New Roman" w:eastAsia="Times New Roman" w:hAnsi="Times New Roman" w:cs="Times New Roman"/>
                <w:bCs/>
                <w:sz w:val="16"/>
                <w:szCs w:val="16"/>
                <w:lang w:eastAsia="es-ES"/>
              </w:rPr>
            </w:pPr>
            <w:r>
              <w:rPr>
                <w:rFonts w:ascii="Times New Roman" w:eastAsia="Times New Roman" w:hAnsi="Times New Roman" w:cs="Times New Roman"/>
                <w:bCs/>
                <w:sz w:val="16"/>
                <w:szCs w:val="16"/>
                <w:lang w:eastAsia="es-ES"/>
              </w:rPr>
              <w:t>Elaboración Propia</w:t>
            </w:r>
          </w:p>
        </w:tc>
      </w:tr>
    </w:tbl>
    <w:p w:rsidR="009F1CE9" w:rsidRPr="00297E0C" w:rsidRDefault="009F1CE9" w:rsidP="00297E0C">
      <w:pPr>
        <w:sectPr w:rsidR="009F1CE9" w:rsidRPr="00297E0C" w:rsidSect="00210B17">
          <w:pgSz w:w="12240" w:h="15840" w:code="1"/>
          <w:pgMar w:top="1418" w:right="1701" w:bottom="1985" w:left="1701" w:header="709" w:footer="709" w:gutter="0"/>
          <w:cols w:space="708"/>
          <w:titlePg/>
          <w:docGrid w:linePitch="360"/>
        </w:sectPr>
      </w:pPr>
    </w:p>
    <w:p w:rsidR="00FA6EF6" w:rsidRDefault="00FA6EF6" w:rsidP="00FA6EF6">
      <w:pPr>
        <w:pStyle w:val="Heading1"/>
        <w:spacing w:before="0"/>
        <w:rPr>
          <w:rFonts w:ascii="Times New Roman" w:hAnsi="Times New Roman" w:cs="Times New Roman"/>
          <w:color w:val="auto"/>
          <w:sz w:val="24"/>
          <w:szCs w:val="24"/>
        </w:rPr>
      </w:pPr>
      <w:bookmarkStart w:id="87" w:name="_Toc386887965"/>
      <w:r w:rsidRPr="00097FCE">
        <w:rPr>
          <w:rFonts w:ascii="Times New Roman" w:hAnsi="Times New Roman" w:cs="Times New Roman"/>
          <w:color w:val="auto"/>
          <w:sz w:val="24"/>
          <w:szCs w:val="24"/>
        </w:rPr>
        <w:lastRenderedPageBreak/>
        <w:t xml:space="preserve">ANEXO </w:t>
      </w:r>
      <w:r w:rsidR="00C55379">
        <w:rPr>
          <w:rFonts w:ascii="Times New Roman" w:hAnsi="Times New Roman" w:cs="Times New Roman"/>
          <w:color w:val="auto"/>
          <w:sz w:val="24"/>
          <w:szCs w:val="24"/>
        </w:rPr>
        <w:t>I</w:t>
      </w:r>
      <w:r w:rsidR="00210B17">
        <w:rPr>
          <w:rFonts w:ascii="Times New Roman" w:hAnsi="Times New Roman" w:cs="Times New Roman"/>
          <w:color w:val="auto"/>
          <w:sz w:val="24"/>
          <w:szCs w:val="24"/>
        </w:rPr>
        <w:t>I</w:t>
      </w:r>
      <w:r w:rsidR="00C55379">
        <w:rPr>
          <w:rFonts w:ascii="Times New Roman" w:hAnsi="Times New Roman" w:cs="Times New Roman"/>
          <w:color w:val="auto"/>
          <w:sz w:val="24"/>
          <w:szCs w:val="24"/>
        </w:rPr>
        <w:t>I</w:t>
      </w:r>
      <w:r w:rsidRPr="00097FCE">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RESUMEN DE </w:t>
      </w:r>
      <w:r w:rsidRPr="00097FCE">
        <w:rPr>
          <w:rFonts w:ascii="Times New Roman" w:hAnsi="Times New Roman" w:cs="Times New Roman"/>
          <w:color w:val="auto"/>
          <w:sz w:val="24"/>
          <w:szCs w:val="24"/>
        </w:rPr>
        <w:t>FLUJOS ECONÓMICOS DEL ACB</w:t>
      </w:r>
      <w:bookmarkEnd w:id="85"/>
      <w:bookmarkEnd w:id="87"/>
    </w:p>
    <w:p w:rsidR="009F1CE9" w:rsidRDefault="009F1CE9" w:rsidP="00FA6EF6">
      <w:pPr>
        <w:autoSpaceDE w:val="0"/>
        <w:autoSpaceDN w:val="0"/>
        <w:adjustRightInd w:val="0"/>
        <w:jc w:val="both"/>
        <w:rPr>
          <w:rFonts w:ascii="Times New Roman" w:hAnsi="Times New Roman" w:cs="Times New Roman"/>
        </w:rPr>
      </w:pPr>
    </w:p>
    <w:p w:rsidR="00865F10" w:rsidRDefault="00865F10" w:rsidP="00FA6EF6">
      <w:pPr>
        <w:autoSpaceDE w:val="0"/>
        <w:autoSpaceDN w:val="0"/>
        <w:adjustRightInd w:val="0"/>
        <w:jc w:val="both"/>
        <w:rPr>
          <w:rFonts w:ascii="Times New Roman" w:hAnsi="Times New Roman" w:cs="Times New Roman"/>
        </w:rPr>
      </w:pPr>
    </w:p>
    <w:p w:rsidR="00865F10" w:rsidRDefault="00865F10" w:rsidP="00FA6EF6">
      <w:pPr>
        <w:autoSpaceDE w:val="0"/>
        <w:autoSpaceDN w:val="0"/>
        <w:adjustRightInd w:val="0"/>
        <w:jc w:val="both"/>
        <w:rPr>
          <w:rFonts w:ascii="Times New Roman" w:hAnsi="Times New Roman" w:cs="Times New Roman"/>
        </w:rPr>
      </w:pPr>
    </w:p>
    <w:p w:rsidR="00A05C80" w:rsidRDefault="00D669A4" w:rsidP="00FA6EF6">
      <w:pPr>
        <w:autoSpaceDE w:val="0"/>
        <w:autoSpaceDN w:val="0"/>
        <w:adjustRightInd w:val="0"/>
        <w:jc w:val="both"/>
        <w:rPr>
          <w:rFonts w:ascii="Times New Roman" w:hAnsi="Times New Roman" w:cs="Times New Roman"/>
        </w:rPr>
      </w:pPr>
      <w:r w:rsidRPr="00D669A4">
        <w:rPr>
          <w:noProof/>
          <w:lang w:val="en-US"/>
        </w:rPr>
        <w:drawing>
          <wp:anchor distT="0" distB="0" distL="114300" distR="114300" simplePos="0" relativeHeight="251707392" behindDoc="0" locked="0" layoutInCell="1" allowOverlap="1" wp14:anchorId="66708005" wp14:editId="04EC2A12">
            <wp:simplePos x="0" y="0"/>
            <wp:positionH relativeFrom="column">
              <wp:posOffset>-612775</wp:posOffset>
            </wp:positionH>
            <wp:positionV relativeFrom="paragraph">
              <wp:posOffset>210185</wp:posOffset>
            </wp:positionV>
            <wp:extent cx="8910955" cy="2762250"/>
            <wp:effectExtent l="0" t="0" r="4445" b="0"/>
            <wp:wrapTopAndBottom/>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10955" cy="276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5C80" w:rsidRDefault="00D669A4" w:rsidP="00FA6EF6">
      <w:pPr>
        <w:autoSpaceDE w:val="0"/>
        <w:autoSpaceDN w:val="0"/>
        <w:adjustRightInd w:val="0"/>
        <w:jc w:val="both"/>
        <w:rPr>
          <w:rFonts w:ascii="Times New Roman" w:hAnsi="Times New Roman" w:cs="Times New Roman"/>
        </w:rPr>
      </w:pPr>
      <w:r w:rsidRPr="00D669A4">
        <w:rPr>
          <w:rFonts w:ascii="Times New Roman" w:hAnsi="Times New Roman" w:cs="Times New Roman"/>
        </w:rPr>
        <w:t xml:space="preserve"> </w:t>
      </w:r>
    </w:p>
    <w:p w:rsidR="00A05C80" w:rsidRDefault="00A05C80" w:rsidP="00FA6EF6">
      <w:pPr>
        <w:autoSpaceDE w:val="0"/>
        <w:autoSpaceDN w:val="0"/>
        <w:adjustRightInd w:val="0"/>
        <w:jc w:val="both"/>
        <w:rPr>
          <w:rFonts w:ascii="Times New Roman" w:hAnsi="Times New Roman" w:cs="Times New Roman"/>
        </w:rPr>
      </w:pPr>
    </w:p>
    <w:p w:rsidR="009F1CE9" w:rsidRDefault="009F1CE9" w:rsidP="00FA6EF6">
      <w:pPr>
        <w:autoSpaceDE w:val="0"/>
        <w:autoSpaceDN w:val="0"/>
        <w:adjustRightInd w:val="0"/>
        <w:jc w:val="both"/>
        <w:rPr>
          <w:rFonts w:ascii="Times New Roman" w:hAnsi="Times New Roman" w:cs="Times New Roman"/>
        </w:rPr>
      </w:pPr>
    </w:p>
    <w:p w:rsidR="00A05C80" w:rsidRDefault="00A05C80">
      <w:pPr>
        <w:rPr>
          <w:rFonts w:ascii="Times New Roman" w:hAnsi="Times New Roman" w:cs="Times New Roman"/>
        </w:rPr>
      </w:pPr>
      <w:r>
        <w:rPr>
          <w:rFonts w:ascii="Times New Roman" w:hAnsi="Times New Roman" w:cs="Times New Roman"/>
        </w:rPr>
        <w:br w:type="page"/>
      </w:r>
    </w:p>
    <w:p w:rsidR="006669FF" w:rsidRPr="00FA6EF6" w:rsidRDefault="00865F10" w:rsidP="00AE3AF3">
      <w:pPr>
        <w:rPr>
          <w:rFonts w:ascii="Times New Roman" w:hAnsi="Times New Roman" w:cs="Times New Roman"/>
        </w:rPr>
      </w:pPr>
      <w:r w:rsidRPr="009F1CE9">
        <w:rPr>
          <w:noProof/>
          <w:lang w:val="en-US"/>
        </w:rPr>
        <w:lastRenderedPageBreak/>
        <w:drawing>
          <wp:anchor distT="0" distB="0" distL="114300" distR="114300" simplePos="0" relativeHeight="251704320" behindDoc="0" locked="0" layoutInCell="1" allowOverlap="1" wp14:anchorId="3157BA66" wp14:editId="0D96A1B8">
            <wp:simplePos x="0" y="0"/>
            <wp:positionH relativeFrom="column">
              <wp:posOffset>-527050</wp:posOffset>
            </wp:positionH>
            <wp:positionV relativeFrom="paragraph">
              <wp:posOffset>-461010</wp:posOffset>
            </wp:positionV>
            <wp:extent cx="8773160" cy="2514600"/>
            <wp:effectExtent l="0" t="0" r="8890" b="0"/>
            <wp:wrapTopAndBottom/>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77316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69A4">
        <w:rPr>
          <w:noProof/>
          <w:lang w:val="en-US"/>
        </w:rPr>
        <w:drawing>
          <wp:anchor distT="0" distB="0" distL="114300" distR="114300" simplePos="0" relativeHeight="251708416" behindDoc="0" locked="0" layoutInCell="1" allowOverlap="1" wp14:anchorId="66C6BEF9" wp14:editId="719939F6">
            <wp:simplePos x="0" y="0"/>
            <wp:positionH relativeFrom="column">
              <wp:posOffset>-556260</wp:posOffset>
            </wp:positionH>
            <wp:positionV relativeFrom="paragraph">
              <wp:posOffset>2428240</wp:posOffset>
            </wp:positionV>
            <wp:extent cx="8817610" cy="3733800"/>
            <wp:effectExtent l="0" t="0" r="2540" b="0"/>
            <wp:wrapTopAndBottom/>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817610" cy="3733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669FF" w:rsidRPr="00FA6EF6" w:rsidSect="00297E0C">
      <w:pgSz w:w="15840" w:h="12240" w:orient="landscape" w:code="1"/>
      <w:pgMar w:top="1701" w:right="1418"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A87" w:rsidRDefault="00E74A87" w:rsidP="00D65DC3">
      <w:pPr>
        <w:spacing w:line="240" w:lineRule="auto"/>
      </w:pPr>
      <w:r>
        <w:separator/>
      </w:r>
    </w:p>
  </w:endnote>
  <w:endnote w:type="continuationSeparator" w:id="0">
    <w:p w:rsidR="00E74A87" w:rsidRDefault="00E74A87" w:rsidP="00D6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A87" w:rsidRDefault="00E74A87" w:rsidP="00AA5B3C">
    <w:pPr>
      <w:pStyle w:val="Header"/>
      <w:tabs>
        <w:tab w:val="clear" w:pos="4252"/>
        <w:tab w:val="center" w:pos="6096"/>
      </w:tabs>
      <w:rPr>
        <w:rFonts w:ascii="Times New Roman" w:hAnsi="Times New Roman" w:cs="Times New Roman"/>
        <w:color w:val="7F7F7F" w:themeColor="text1" w:themeTint="80"/>
      </w:rPr>
    </w:pPr>
  </w:p>
  <w:p w:rsidR="00E74A87" w:rsidRPr="00AA5B3C" w:rsidRDefault="00E74A87" w:rsidP="002F6E4E">
    <w:pPr>
      <w:pStyle w:val="Header"/>
      <w:tabs>
        <w:tab w:val="clear" w:pos="4252"/>
        <w:tab w:val="center" w:pos="6096"/>
      </w:tabs>
      <w:jc w:val="right"/>
      <w:rPr>
        <w:rFonts w:ascii="Times New Roman" w:hAnsi="Times New Roman" w:cs="Times New Roman"/>
        <w:color w:val="7F7F7F" w:themeColor="text1" w:themeTint="80"/>
      </w:rPr>
    </w:pPr>
    <w:r w:rsidRPr="00AA5B3C">
      <w:rPr>
        <w:rFonts w:ascii="Times New Roman" w:hAnsi="Times New Roman" w:cs="Times New Roman"/>
        <w:color w:val="7F7F7F" w:themeColor="text1" w:themeTint="80"/>
        <w:sz w:val="20"/>
      </w:rPr>
      <w:tab/>
    </w:r>
    <w:r w:rsidRPr="00AA5B3C">
      <w:rPr>
        <w:sz w:val="20"/>
      </w:rPr>
      <w:tab/>
    </w:r>
    <w:sdt>
      <w:sdtPr>
        <w:rPr>
          <w:rFonts w:ascii="Times New Roman" w:hAnsi="Times New Roman" w:cs="Times New Roman"/>
          <w:color w:val="7F7F7F" w:themeColor="text1" w:themeTint="80"/>
          <w:sz w:val="20"/>
        </w:rPr>
        <w:id w:val="723804110"/>
        <w:docPartObj>
          <w:docPartGallery w:val="Page Numbers (Top of Page)"/>
          <w:docPartUnique/>
        </w:docPartObj>
      </w:sdtPr>
      <w:sdtEndPr>
        <w:rPr>
          <w:sz w:val="22"/>
        </w:rPr>
      </w:sdtEndPr>
      <w:sdtContent>
        <w:r w:rsidRPr="00AA5B3C">
          <w:rPr>
            <w:rFonts w:ascii="Times New Roman" w:hAnsi="Times New Roman" w:cs="Times New Roman"/>
            <w:color w:val="7F7F7F" w:themeColor="text1" w:themeTint="80"/>
            <w:sz w:val="20"/>
          </w:rPr>
          <w:t xml:space="preserve">       Página </w:t>
        </w:r>
        <w:r w:rsidRPr="00AA5B3C">
          <w:rPr>
            <w:rFonts w:ascii="Times New Roman" w:hAnsi="Times New Roman" w:cs="Times New Roman"/>
            <w:color w:val="7F7F7F" w:themeColor="text1" w:themeTint="80"/>
            <w:sz w:val="20"/>
          </w:rPr>
          <w:fldChar w:fldCharType="begin"/>
        </w:r>
        <w:r w:rsidRPr="00AA5B3C">
          <w:rPr>
            <w:rFonts w:ascii="Times New Roman" w:hAnsi="Times New Roman" w:cs="Times New Roman"/>
            <w:color w:val="7F7F7F" w:themeColor="text1" w:themeTint="80"/>
            <w:sz w:val="20"/>
          </w:rPr>
          <w:instrText xml:space="preserve"> PAGE </w:instrText>
        </w:r>
        <w:r w:rsidRPr="00AA5B3C">
          <w:rPr>
            <w:rFonts w:ascii="Times New Roman" w:hAnsi="Times New Roman" w:cs="Times New Roman"/>
            <w:color w:val="7F7F7F" w:themeColor="text1" w:themeTint="80"/>
            <w:sz w:val="20"/>
          </w:rPr>
          <w:fldChar w:fldCharType="separate"/>
        </w:r>
        <w:r w:rsidR="00EA4A3F">
          <w:rPr>
            <w:rFonts w:ascii="Times New Roman" w:hAnsi="Times New Roman" w:cs="Times New Roman"/>
            <w:noProof/>
            <w:color w:val="7F7F7F" w:themeColor="text1" w:themeTint="80"/>
            <w:sz w:val="20"/>
          </w:rPr>
          <w:t>39</w:t>
        </w:r>
        <w:r w:rsidRPr="00AA5B3C">
          <w:rPr>
            <w:rFonts w:ascii="Times New Roman" w:hAnsi="Times New Roman" w:cs="Times New Roman"/>
            <w:color w:val="7F7F7F" w:themeColor="text1" w:themeTint="80"/>
            <w:sz w:val="20"/>
          </w:rPr>
          <w:fldChar w:fldCharType="end"/>
        </w:r>
        <w:r w:rsidRPr="00AA5B3C">
          <w:rPr>
            <w:rFonts w:ascii="Times New Roman" w:hAnsi="Times New Roman" w:cs="Times New Roman"/>
            <w:color w:val="7F7F7F" w:themeColor="text1" w:themeTint="80"/>
            <w:sz w:val="20"/>
          </w:rPr>
          <w:t xml:space="preserve"> de </w:t>
        </w:r>
        <w:r w:rsidRPr="00AA5B3C">
          <w:rPr>
            <w:rFonts w:ascii="Times New Roman" w:hAnsi="Times New Roman" w:cs="Times New Roman"/>
            <w:color w:val="7F7F7F" w:themeColor="text1" w:themeTint="80"/>
            <w:sz w:val="20"/>
          </w:rPr>
          <w:fldChar w:fldCharType="begin"/>
        </w:r>
        <w:r w:rsidRPr="00AA5B3C">
          <w:rPr>
            <w:rFonts w:ascii="Times New Roman" w:hAnsi="Times New Roman" w:cs="Times New Roman"/>
            <w:color w:val="7F7F7F" w:themeColor="text1" w:themeTint="80"/>
            <w:sz w:val="20"/>
          </w:rPr>
          <w:instrText xml:space="preserve"> NUMPAGES  </w:instrText>
        </w:r>
        <w:r w:rsidRPr="00AA5B3C">
          <w:rPr>
            <w:rFonts w:ascii="Times New Roman" w:hAnsi="Times New Roman" w:cs="Times New Roman"/>
            <w:color w:val="7F7F7F" w:themeColor="text1" w:themeTint="80"/>
            <w:sz w:val="20"/>
          </w:rPr>
          <w:fldChar w:fldCharType="separate"/>
        </w:r>
        <w:r w:rsidR="00EA4A3F">
          <w:rPr>
            <w:rFonts w:ascii="Times New Roman" w:hAnsi="Times New Roman" w:cs="Times New Roman"/>
            <w:noProof/>
            <w:color w:val="7F7F7F" w:themeColor="text1" w:themeTint="80"/>
            <w:sz w:val="20"/>
          </w:rPr>
          <w:t>39</w:t>
        </w:r>
        <w:r w:rsidRPr="00AA5B3C">
          <w:rPr>
            <w:rFonts w:ascii="Times New Roman" w:hAnsi="Times New Roman" w:cs="Times New Roman"/>
            <w:color w:val="7F7F7F" w:themeColor="text1" w:themeTint="80"/>
            <w:sz w:val="20"/>
          </w:rPr>
          <w:fldChar w:fldCharType="end"/>
        </w:r>
      </w:sdtContent>
    </w:sdt>
  </w:p>
  <w:p w:rsidR="00E74A87" w:rsidRDefault="00E74A87" w:rsidP="00D65DC3">
    <w:pPr>
      <w:pStyle w:val="Footer"/>
      <w:tabs>
        <w:tab w:val="clear" w:pos="4252"/>
        <w:tab w:val="clear" w:pos="8504"/>
        <w:tab w:val="left" w:pos="651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A87" w:rsidRDefault="00EA4A3F" w:rsidP="00B26C83">
    <w:pPr>
      <w:pStyle w:val="Footer"/>
      <w:jc w:val="right"/>
    </w:pPr>
    <w:sdt>
      <w:sdtPr>
        <w:rPr>
          <w:rFonts w:ascii="Times New Roman" w:hAnsi="Times New Roman" w:cs="Times New Roman"/>
          <w:color w:val="7F7F7F" w:themeColor="text1" w:themeTint="80"/>
          <w:sz w:val="20"/>
        </w:rPr>
        <w:id w:val="-885639133"/>
        <w:docPartObj>
          <w:docPartGallery w:val="Page Numbers (Top of Page)"/>
          <w:docPartUnique/>
        </w:docPartObj>
      </w:sdtPr>
      <w:sdtEndPr>
        <w:rPr>
          <w:sz w:val="22"/>
        </w:rPr>
      </w:sdtEndPr>
      <w:sdtContent>
        <w:r w:rsidR="00E74A87" w:rsidRPr="00AA5B3C">
          <w:rPr>
            <w:rFonts w:ascii="Times New Roman" w:hAnsi="Times New Roman" w:cs="Times New Roman"/>
            <w:color w:val="7F7F7F" w:themeColor="text1" w:themeTint="80"/>
            <w:sz w:val="20"/>
          </w:rPr>
          <w:t xml:space="preserve">       Página </w:t>
        </w:r>
        <w:r w:rsidR="00E74A87" w:rsidRPr="00AA5B3C">
          <w:rPr>
            <w:rFonts w:ascii="Times New Roman" w:hAnsi="Times New Roman" w:cs="Times New Roman"/>
            <w:color w:val="7F7F7F" w:themeColor="text1" w:themeTint="80"/>
            <w:sz w:val="20"/>
          </w:rPr>
          <w:fldChar w:fldCharType="begin"/>
        </w:r>
        <w:r w:rsidR="00E74A87" w:rsidRPr="00AA5B3C">
          <w:rPr>
            <w:rFonts w:ascii="Times New Roman" w:hAnsi="Times New Roman" w:cs="Times New Roman"/>
            <w:color w:val="7F7F7F" w:themeColor="text1" w:themeTint="80"/>
            <w:sz w:val="20"/>
          </w:rPr>
          <w:instrText xml:space="preserve"> PAGE </w:instrText>
        </w:r>
        <w:r w:rsidR="00E74A87" w:rsidRPr="00AA5B3C">
          <w:rPr>
            <w:rFonts w:ascii="Times New Roman" w:hAnsi="Times New Roman" w:cs="Times New Roman"/>
            <w:color w:val="7F7F7F" w:themeColor="text1" w:themeTint="80"/>
            <w:sz w:val="20"/>
          </w:rPr>
          <w:fldChar w:fldCharType="separate"/>
        </w:r>
        <w:r>
          <w:rPr>
            <w:rFonts w:ascii="Times New Roman" w:hAnsi="Times New Roman" w:cs="Times New Roman"/>
            <w:noProof/>
            <w:color w:val="7F7F7F" w:themeColor="text1" w:themeTint="80"/>
            <w:sz w:val="20"/>
          </w:rPr>
          <w:t>1</w:t>
        </w:r>
        <w:r w:rsidR="00E74A87" w:rsidRPr="00AA5B3C">
          <w:rPr>
            <w:rFonts w:ascii="Times New Roman" w:hAnsi="Times New Roman" w:cs="Times New Roman"/>
            <w:color w:val="7F7F7F" w:themeColor="text1" w:themeTint="80"/>
            <w:sz w:val="20"/>
          </w:rPr>
          <w:fldChar w:fldCharType="end"/>
        </w:r>
        <w:r w:rsidR="00E74A87" w:rsidRPr="00AA5B3C">
          <w:rPr>
            <w:rFonts w:ascii="Times New Roman" w:hAnsi="Times New Roman" w:cs="Times New Roman"/>
            <w:color w:val="7F7F7F" w:themeColor="text1" w:themeTint="80"/>
            <w:sz w:val="20"/>
          </w:rPr>
          <w:t xml:space="preserve"> de </w:t>
        </w:r>
        <w:r w:rsidR="00E74A87" w:rsidRPr="00AA5B3C">
          <w:rPr>
            <w:rFonts w:ascii="Times New Roman" w:hAnsi="Times New Roman" w:cs="Times New Roman"/>
            <w:color w:val="7F7F7F" w:themeColor="text1" w:themeTint="80"/>
            <w:sz w:val="20"/>
          </w:rPr>
          <w:fldChar w:fldCharType="begin"/>
        </w:r>
        <w:r w:rsidR="00E74A87" w:rsidRPr="00AA5B3C">
          <w:rPr>
            <w:rFonts w:ascii="Times New Roman" w:hAnsi="Times New Roman" w:cs="Times New Roman"/>
            <w:color w:val="7F7F7F" w:themeColor="text1" w:themeTint="80"/>
            <w:sz w:val="20"/>
          </w:rPr>
          <w:instrText xml:space="preserve"> NUMPAGES  </w:instrText>
        </w:r>
        <w:r w:rsidR="00E74A87" w:rsidRPr="00AA5B3C">
          <w:rPr>
            <w:rFonts w:ascii="Times New Roman" w:hAnsi="Times New Roman" w:cs="Times New Roman"/>
            <w:color w:val="7F7F7F" w:themeColor="text1" w:themeTint="80"/>
            <w:sz w:val="20"/>
          </w:rPr>
          <w:fldChar w:fldCharType="separate"/>
        </w:r>
        <w:r>
          <w:rPr>
            <w:rFonts w:ascii="Times New Roman" w:hAnsi="Times New Roman" w:cs="Times New Roman"/>
            <w:noProof/>
            <w:color w:val="7F7F7F" w:themeColor="text1" w:themeTint="80"/>
            <w:sz w:val="20"/>
          </w:rPr>
          <w:t>39</w:t>
        </w:r>
        <w:r w:rsidR="00E74A87" w:rsidRPr="00AA5B3C">
          <w:rPr>
            <w:rFonts w:ascii="Times New Roman" w:hAnsi="Times New Roman" w:cs="Times New Roman"/>
            <w:color w:val="7F7F7F" w:themeColor="text1" w:themeTint="80"/>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A87" w:rsidRDefault="00E74A87" w:rsidP="00D65DC3">
      <w:pPr>
        <w:spacing w:line="240" w:lineRule="auto"/>
      </w:pPr>
      <w:r>
        <w:separator/>
      </w:r>
    </w:p>
  </w:footnote>
  <w:footnote w:type="continuationSeparator" w:id="0">
    <w:p w:rsidR="00E74A87" w:rsidRDefault="00E74A87" w:rsidP="00D65DC3">
      <w:pPr>
        <w:spacing w:line="240" w:lineRule="auto"/>
      </w:pPr>
      <w:r>
        <w:continuationSeparator/>
      </w:r>
    </w:p>
  </w:footnote>
  <w:footnote w:id="1">
    <w:p w:rsidR="00E74A87" w:rsidRDefault="00E74A87">
      <w:pPr>
        <w:pStyle w:val="FootnoteText"/>
      </w:pPr>
      <w:r>
        <w:rPr>
          <w:rStyle w:val="FootnoteReference"/>
        </w:rPr>
        <w:footnoteRef/>
      </w:r>
      <w:r>
        <w:t xml:space="preserve"> </w:t>
      </w:r>
      <w:r w:rsidRPr="002354B9">
        <w:rPr>
          <w:rFonts w:ascii="Times New Roman" w:hAnsi="Times New Roman" w:cs="Times New Roman"/>
          <w:sz w:val="18"/>
        </w:rPr>
        <w:t>En concreto, se ha deducido de los importes expresados a precios de mercado el impuesto indirecto sobre la cifra de negocios (“TCA”), cuya tasa impositiva es de 10%.</w:t>
      </w:r>
    </w:p>
  </w:footnote>
  <w:footnote w:id="2">
    <w:p w:rsidR="00E74A87" w:rsidRPr="00112226" w:rsidRDefault="00E74A87" w:rsidP="00C55379">
      <w:pPr>
        <w:pStyle w:val="FootnoteText"/>
        <w:rPr>
          <w:rFonts w:ascii="Times New Roman" w:hAnsi="Times New Roman" w:cs="Times New Roman"/>
          <w:sz w:val="18"/>
          <w:szCs w:val="18"/>
        </w:rPr>
      </w:pPr>
      <w:r w:rsidRPr="00112226">
        <w:rPr>
          <w:rStyle w:val="FootnoteReference"/>
          <w:rFonts w:ascii="Times New Roman" w:hAnsi="Times New Roman" w:cs="Times New Roman"/>
          <w:sz w:val="18"/>
          <w:szCs w:val="18"/>
        </w:rPr>
        <w:footnoteRef/>
      </w:r>
      <w:r w:rsidRPr="00112226">
        <w:rPr>
          <w:rFonts w:ascii="Times New Roman" w:hAnsi="Times New Roman" w:cs="Times New Roman"/>
          <w:sz w:val="18"/>
          <w:szCs w:val="18"/>
        </w:rPr>
        <w:t xml:space="preserve"> Algunos datos han sido proporcionados </w:t>
      </w:r>
      <w:r>
        <w:rPr>
          <w:rFonts w:ascii="Times New Roman" w:hAnsi="Times New Roman" w:cs="Times New Roman"/>
          <w:sz w:val="18"/>
          <w:szCs w:val="18"/>
        </w:rPr>
        <w:t xml:space="preserve">directamente </w:t>
      </w:r>
      <w:r w:rsidRPr="00112226">
        <w:rPr>
          <w:rFonts w:ascii="Times New Roman" w:hAnsi="Times New Roman" w:cs="Times New Roman"/>
          <w:sz w:val="18"/>
          <w:szCs w:val="18"/>
        </w:rPr>
        <w:t>en USD</w:t>
      </w:r>
      <w:r>
        <w:rPr>
          <w:rFonts w:ascii="Times New Roman" w:hAnsi="Times New Roman" w:cs="Times New Roman"/>
          <w:sz w:val="18"/>
          <w:szCs w:val="18"/>
        </w:rPr>
        <w:t xml:space="preserve"> de 2014.</w:t>
      </w:r>
    </w:p>
  </w:footnote>
  <w:footnote w:id="3">
    <w:p w:rsidR="00E74A87" w:rsidRPr="00112226" w:rsidRDefault="00E74A87" w:rsidP="00C55379">
      <w:pPr>
        <w:pStyle w:val="FootnoteText"/>
        <w:rPr>
          <w:rFonts w:ascii="Times New Roman" w:hAnsi="Times New Roman" w:cs="Times New Roman"/>
          <w:sz w:val="18"/>
          <w:szCs w:val="18"/>
        </w:rPr>
      </w:pPr>
      <w:r w:rsidRPr="00112226">
        <w:rPr>
          <w:rStyle w:val="FootnoteReference"/>
          <w:rFonts w:ascii="Times New Roman" w:hAnsi="Times New Roman" w:cs="Times New Roman"/>
          <w:sz w:val="18"/>
          <w:szCs w:val="18"/>
        </w:rPr>
        <w:footnoteRef/>
      </w:r>
      <w:r w:rsidRPr="00112226">
        <w:rPr>
          <w:rFonts w:ascii="Times New Roman" w:hAnsi="Times New Roman" w:cs="Times New Roman"/>
          <w:sz w:val="18"/>
          <w:szCs w:val="18"/>
        </w:rPr>
        <w:t xml:space="preserve"> Fuente: Banco de la República de Haiti. </w:t>
      </w:r>
      <w:hyperlink r:id="rId1" w:history="1">
        <w:r w:rsidRPr="005D74A5">
          <w:rPr>
            <w:rStyle w:val="Hyperlink"/>
            <w:rFonts w:ascii="Times New Roman" w:hAnsi="Times New Roman" w:cs="Times New Roman"/>
            <w:sz w:val="18"/>
            <w:szCs w:val="18"/>
          </w:rPr>
          <w:t>http://www.brh.net</w:t>
        </w:r>
      </w:hyperlink>
      <w:r w:rsidRPr="00D67A1F">
        <w:rPr>
          <w:rFonts w:ascii="Times New Roman" w:hAnsi="Times New Roman" w:cs="Times New Roman"/>
          <w:sz w:val="18"/>
          <w:szCs w:val="18"/>
        </w:rPr>
        <w:t xml:space="preserve"> </w:t>
      </w:r>
      <w:r w:rsidRPr="00112226">
        <w:rPr>
          <w:rFonts w:ascii="Times New Roman" w:hAnsi="Times New Roman" w:cs="Times New Roman"/>
          <w:sz w:val="18"/>
          <w:szCs w:val="18"/>
        </w:rPr>
        <w:t xml:space="preserve">Cotización a </w:t>
      </w:r>
      <w:r>
        <w:rPr>
          <w:rFonts w:ascii="Times New Roman" w:hAnsi="Times New Roman" w:cs="Times New Roman"/>
          <w:sz w:val="18"/>
          <w:szCs w:val="18"/>
        </w:rPr>
        <w:t>20</w:t>
      </w:r>
      <w:r w:rsidRPr="00112226">
        <w:rPr>
          <w:rFonts w:ascii="Times New Roman" w:hAnsi="Times New Roman" w:cs="Times New Roman"/>
          <w:sz w:val="18"/>
          <w:szCs w:val="18"/>
        </w:rPr>
        <w:t xml:space="preserve"> de </w:t>
      </w:r>
      <w:r>
        <w:rPr>
          <w:rFonts w:ascii="Times New Roman" w:hAnsi="Times New Roman" w:cs="Times New Roman"/>
          <w:sz w:val="18"/>
          <w:szCs w:val="18"/>
        </w:rPr>
        <w:t>marzo de 2014</w:t>
      </w:r>
      <w:r w:rsidRPr="00112226">
        <w:rPr>
          <w:rFonts w:ascii="Times New Roman" w:hAnsi="Times New Roman" w:cs="Times New Roman"/>
          <w:sz w:val="18"/>
          <w:szCs w:val="18"/>
        </w:rPr>
        <w:t>.</w:t>
      </w:r>
    </w:p>
  </w:footnote>
  <w:footnote w:id="4">
    <w:p w:rsidR="00E74A87" w:rsidRPr="00C8240C" w:rsidRDefault="00E74A87">
      <w:pPr>
        <w:pStyle w:val="FootnoteText"/>
      </w:pPr>
      <w:r>
        <w:rPr>
          <w:rStyle w:val="FootnoteReference"/>
        </w:rPr>
        <w:footnoteRef/>
      </w:r>
      <w:r w:rsidRPr="00C8240C">
        <w:t xml:space="preserve"> </w:t>
      </w:r>
      <w:r w:rsidRPr="004639E8">
        <w:rPr>
          <w:rFonts w:ascii="Times New Roman" w:hAnsi="Times New Roman" w:cs="Times New Roman"/>
          <w:sz w:val="18"/>
        </w:rPr>
        <w:t>La comercialización de los cerdos enfermos, ya sea de PPC o de Tescchen</w:t>
      </w:r>
      <w:r>
        <w:rPr>
          <w:rFonts w:ascii="Times New Roman" w:hAnsi="Times New Roman" w:cs="Times New Roman"/>
          <w:sz w:val="18"/>
        </w:rPr>
        <w:t xml:space="preserve"> se realiza habitualmente en Haití. Este e</w:t>
      </w:r>
      <w:r w:rsidRPr="004639E8">
        <w:rPr>
          <w:rFonts w:ascii="Times New Roman" w:hAnsi="Times New Roman" w:cs="Times New Roman"/>
          <w:sz w:val="18"/>
        </w:rPr>
        <w:t xml:space="preserve">s </w:t>
      </w:r>
      <w:r>
        <w:rPr>
          <w:rFonts w:ascii="Times New Roman" w:hAnsi="Times New Roman" w:cs="Times New Roman"/>
          <w:sz w:val="18"/>
        </w:rPr>
        <w:t xml:space="preserve">precisamente </w:t>
      </w:r>
      <w:r w:rsidRPr="004639E8">
        <w:rPr>
          <w:rFonts w:ascii="Times New Roman" w:hAnsi="Times New Roman" w:cs="Times New Roman"/>
          <w:sz w:val="18"/>
        </w:rPr>
        <w:t xml:space="preserve">un factor </w:t>
      </w:r>
      <w:r>
        <w:rPr>
          <w:rFonts w:ascii="Times New Roman" w:hAnsi="Times New Roman" w:cs="Times New Roman"/>
          <w:sz w:val="18"/>
        </w:rPr>
        <w:t xml:space="preserve">que contribuye a una mayor difusión del virus y sobre el que es necesario sensibilizar a los productores y comerciantes. </w:t>
      </w:r>
      <w:r w:rsidRPr="0053326E">
        <w:rPr>
          <w:rFonts w:ascii="Times New Roman" w:hAnsi="Times New Roman" w:cs="Times New Roman"/>
          <w:sz w:val="18"/>
        </w:rPr>
        <w:t>Fuente: consulta</w:t>
      </w:r>
      <w:r>
        <w:rPr>
          <w:rFonts w:ascii="Times New Roman" w:hAnsi="Times New Roman" w:cs="Times New Roman"/>
          <w:sz w:val="18"/>
        </w:rPr>
        <w:t>s</w:t>
      </w:r>
      <w:r w:rsidRPr="0053326E">
        <w:rPr>
          <w:rFonts w:ascii="Times New Roman" w:hAnsi="Times New Roman" w:cs="Times New Roman"/>
          <w:sz w:val="18"/>
        </w:rPr>
        <w:t xml:space="preserve"> realizada</w:t>
      </w:r>
      <w:r>
        <w:rPr>
          <w:rFonts w:ascii="Times New Roman" w:hAnsi="Times New Roman" w:cs="Times New Roman"/>
          <w:sz w:val="18"/>
        </w:rPr>
        <w:t>s</w:t>
      </w:r>
      <w:r w:rsidRPr="0053326E">
        <w:rPr>
          <w:rFonts w:ascii="Times New Roman" w:hAnsi="Times New Roman" w:cs="Times New Roman"/>
          <w:sz w:val="18"/>
        </w:rPr>
        <w:t xml:space="preserve"> al MARNDR,</w:t>
      </w:r>
      <w:r w:rsidRPr="00C8240C">
        <w:rPr>
          <w:rFonts w:ascii="Times New Roman" w:hAnsi="Times New Roman" w:cs="Times New Roman"/>
          <w:sz w:val="18"/>
        </w:rPr>
        <w:t xml:space="preserve"> </w:t>
      </w:r>
      <w:r w:rsidRPr="0053326E">
        <w:rPr>
          <w:rFonts w:ascii="Times New Roman" w:hAnsi="Times New Roman" w:cs="Times New Roman"/>
          <w:sz w:val="18"/>
        </w:rPr>
        <w:t>2014.</w:t>
      </w:r>
    </w:p>
  </w:footnote>
  <w:footnote w:id="5">
    <w:p w:rsidR="00E74A87" w:rsidRPr="004639E8" w:rsidRDefault="00E74A87">
      <w:pPr>
        <w:pStyle w:val="FootnoteText"/>
      </w:pPr>
      <w:r>
        <w:rPr>
          <w:rStyle w:val="FootnoteReference"/>
        </w:rPr>
        <w:footnoteRef/>
      </w:r>
      <w:r>
        <w:t xml:space="preserve"> </w:t>
      </w:r>
      <w:r w:rsidRPr="004639E8">
        <w:rPr>
          <w:rFonts w:ascii="Times New Roman" w:hAnsi="Times New Roman" w:cs="Times New Roman"/>
          <w:sz w:val="18"/>
        </w:rPr>
        <w:t>El precio en finca se ha obtenido de consultas realizadas en las visitas a las plantas de tratamiento, mientras que el precio FOB se ha extraído del documento del MARNDR “</w:t>
      </w:r>
      <w:r w:rsidRPr="004639E8">
        <w:rPr>
          <w:rFonts w:ascii="Times New Roman" w:hAnsi="Times New Roman" w:cs="Times New Roman"/>
          <w:bCs/>
          <w:i/>
          <w:iCs/>
          <w:sz w:val="18"/>
        </w:rPr>
        <w:t>Identification de créneaux potentiels dans les filières rurales</w:t>
      </w:r>
      <w:r>
        <w:rPr>
          <w:rFonts w:ascii="Times New Roman" w:hAnsi="Times New Roman" w:cs="Times New Roman"/>
          <w:bCs/>
          <w:i/>
          <w:iCs/>
          <w:sz w:val="18"/>
        </w:rPr>
        <w:t xml:space="preserve"> </w:t>
      </w:r>
      <w:r w:rsidRPr="004639E8">
        <w:rPr>
          <w:rFonts w:ascii="Times New Roman" w:hAnsi="Times New Roman" w:cs="Times New Roman"/>
          <w:bCs/>
          <w:i/>
          <w:iCs/>
          <w:sz w:val="18"/>
        </w:rPr>
        <w:t>haïtiennes</w:t>
      </w:r>
      <w:r w:rsidRPr="004639E8">
        <w:rPr>
          <w:rFonts w:ascii="Times New Roman" w:hAnsi="Times New Roman" w:cs="Times New Roman"/>
          <w:bCs/>
          <w:iCs/>
          <w:sz w:val="18"/>
        </w:rPr>
        <w:t xml:space="preserve"> (HA-T1008/ATN-FC-9052) – </w:t>
      </w:r>
      <w:r w:rsidRPr="004639E8">
        <w:rPr>
          <w:rFonts w:ascii="Times New Roman" w:hAnsi="Times New Roman" w:cs="Times New Roman"/>
          <w:bCs/>
          <w:i/>
          <w:iCs/>
          <w:sz w:val="18"/>
        </w:rPr>
        <w:t>Rapport de Synthèse. Tome 2: les filières rurales”</w:t>
      </w:r>
      <w:r>
        <w:rPr>
          <w:rFonts w:ascii="Times New Roman" w:hAnsi="Times New Roman" w:cs="Times New Roman"/>
          <w:bCs/>
          <w:i/>
          <w:iCs/>
          <w:sz w:val="18"/>
        </w:rPr>
        <w:t>.</w:t>
      </w:r>
    </w:p>
  </w:footnote>
  <w:footnote w:id="6">
    <w:p w:rsidR="00E74A87" w:rsidRDefault="00E74A87">
      <w:pPr>
        <w:pStyle w:val="FootnoteText"/>
      </w:pPr>
      <w:r>
        <w:rPr>
          <w:rStyle w:val="FootnoteReference"/>
        </w:rPr>
        <w:footnoteRef/>
      </w:r>
      <w:r>
        <w:t xml:space="preserve"> </w:t>
      </w:r>
      <w:r w:rsidRPr="004B3CB6">
        <w:rPr>
          <w:rFonts w:ascii="Times New Roman" w:hAnsi="Times New Roman" w:cs="Times New Roman"/>
          <w:sz w:val="18"/>
          <w:szCs w:val="18"/>
        </w:rPr>
        <w:t>La docena haitiana tiene como particularidad de ser un grupo de 13 unidades, que viene a pesar 5,85 kg tomando un peso de 0,45 kg por mango.</w:t>
      </w:r>
    </w:p>
  </w:footnote>
  <w:footnote w:id="7">
    <w:p w:rsidR="00E74A87" w:rsidRPr="00471188" w:rsidRDefault="00E74A87" w:rsidP="00B66668">
      <w:pPr>
        <w:pStyle w:val="FootnoteText"/>
        <w:rPr>
          <w:rFonts w:ascii="Times New Roman" w:hAnsi="Times New Roman" w:cs="Times New Roman"/>
          <w:i/>
          <w:sz w:val="18"/>
          <w:szCs w:val="18"/>
          <w:lang w:val="fr-FR"/>
        </w:rPr>
      </w:pPr>
      <w:r w:rsidRPr="00471188">
        <w:rPr>
          <w:rStyle w:val="FootnoteReference"/>
          <w:rFonts w:ascii="Times New Roman" w:hAnsi="Times New Roman" w:cs="Times New Roman"/>
          <w:sz w:val="18"/>
          <w:szCs w:val="18"/>
        </w:rPr>
        <w:footnoteRef/>
      </w:r>
      <w:r w:rsidRPr="002F0951">
        <w:rPr>
          <w:rFonts w:ascii="Times New Roman" w:hAnsi="Times New Roman" w:cs="Times New Roman"/>
          <w:sz w:val="18"/>
          <w:szCs w:val="18"/>
          <w:lang w:val="fr-FR"/>
        </w:rPr>
        <w:t xml:space="preserve"> MARNDR, Julio 2005. </w:t>
      </w:r>
      <w:r w:rsidRPr="00471188">
        <w:rPr>
          <w:rFonts w:ascii="Times New Roman" w:hAnsi="Times New Roman" w:cs="Times New Roman"/>
          <w:i/>
          <w:sz w:val="18"/>
          <w:szCs w:val="18"/>
          <w:lang w:val="fr-FR"/>
        </w:rPr>
        <w:t>Identification de créneaux potentiels dans les filières rurales haïtiennes. Rapport de Mission – Caractéristiques du marché du travail en milieu rural.</w:t>
      </w:r>
    </w:p>
  </w:footnote>
  <w:footnote w:id="8">
    <w:p w:rsidR="00E74A87" w:rsidRPr="004639E8" w:rsidRDefault="00E74A87" w:rsidP="00AE3AF3">
      <w:pPr>
        <w:pStyle w:val="ListParagraph"/>
        <w:autoSpaceDE w:val="0"/>
        <w:autoSpaceDN w:val="0"/>
        <w:adjustRightInd w:val="0"/>
        <w:rPr>
          <w:rFonts w:ascii="Times New Roman" w:eastAsia="Times New Roman" w:hAnsi="Times New Roman" w:cs="Times New Roman"/>
          <w:szCs w:val="20"/>
        </w:rPr>
      </w:pPr>
      <w:r>
        <w:rPr>
          <w:rStyle w:val="FootnoteReference"/>
        </w:rPr>
        <w:footnoteRef/>
      </w:r>
      <w:r w:rsidRPr="00AE3AF3">
        <w:rPr>
          <w:rFonts w:ascii="Times New Roman" w:hAnsi="Times New Roman" w:cs="Times New Roman"/>
          <w:sz w:val="18"/>
          <w:szCs w:val="18"/>
        </w:rPr>
        <w:t xml:space="preserve"> </w:t>
      </w:r>
      <w:r w:rsidRPr="00AE3AF3">
        <w:rPr>
          <w:rFonts w:ascii="Times New Roman" w:eastAsia="Times New Roman" w:hAnsi="Times New Roman" w:cs="Times New Roman"/>
          <w:sz w:val="18"/>
          <w:szCs w:val="18"/>
        </w:rPr>
        <w:t>Por ejemplo, el costo</w:t>
      </w:r>
      <w:r>
        <w:rPr>
          <w:rFonts w:ascii="Times New Roman" w:eastAsia="Times New Roman" w:hAnsi="Times New Roman" w:cs="Times New Roman"/>
          <w:sz w:val="18"/>
          <w:szCs w:val="18"/>
        </w:rPr>
        <w:t xml:space="preserve"> recurrente</w:t>
      </w:r>
      <w:r w:rsidRPr="00AE3AF3">
        <w:rPr>
          <w:rFonts w:ascii="Times New Roman" w:eastAsia="Times New Roman" w:hAnsi="Times New Roman" w:cs="Times New Roman"/>
          <w:sz w:val="18"/>
          <w:szCs w:val="18"/>
        </w:rPr>
        <w:t xml:space="preserve"> inherente al funcionamiento de</w:t>
      </w:r>
      <w:r w:rsidRPr="008C6E76">
        <w:rPr>
          <w:rFonts w:ascii="Times New Roman" w:eastAsia="Times New Roman" w:hAnsi="Times New Roman" w:cs="Times New Roman"/>
          <w:sz w:val="18"/>
          <w:szCs w:val="18"/>
        </w:rPr>
        <w:t xml:space="preserve">l sistema de vigilancia </w:t>
      </w:r>
      <w:r w:rsidRPr="00AE3AF3">
        <w:rPr>
          <w:rFonts w:ascii="Times New Roman" w:eastAsia="Times New Roman" w:hAnsi="Times New Roman" w:cs="Times New Roman"/>
          <w:sz w:val="18"/>
          <w:szCs w:val="18"/>
        </w:rPr>
        <w:t>epidemio</w:t>
      </w:r>
      <w:r>
        <w:rPr>
          <w:rFonts w:ascii="Times New Roman" w:eastAsia="Times New Roman" w:hAnsi="Times New Roman" w:cs="Times New Roman"/>
          <w:sz w:val="18"/>
          <w:szCs w:val="18"/>
        </w:rPr>
        <w:t xml:space="preserve">lógica vegetal, que incluye entre otros los salarios de los agentes fitosanitarios, será necesario para mantener a largo plazo los beneficios obtenidos de los proyectos piloto diseñados contra la mosca de la fruta y la hormiga loca. Sin embargo, no es posible asignar a priori estos costos directamente a cada uno de estos 2 proyecto piloto. Además, cabe recordar que los sistemas de vigilancia </w:t>
      </w:r>
      <w:r w:rsidRPr="00D82443">
        <w:rPr>
          <w:rFonts w:ascii="Times New Roman" w:eastAsia="Times New Roman" w:hAnsi="Times New Roman" w:cs="Times New Roman"/>
          <w:sz w:val="18"/>
          <w:szCs w:val="18"/>
        </w:rPr>
        <w:t>epidemio</w:t>
      </w:r>
      <w:r>
        <w:rPr>
          <w:rFonts w:ascii="Times New Roman" w:eastAsia="Times New Roman" w:hAnsi="Times New Roman" w:cs="Times New Roman"/>
          <w:sz w:val="18"/>
          <w:szCs w:val="18"/>
        </w:rPr>
        <w:t>lógica previstos en el Programa, tanto para sanidad vegetal como animal, generarán beneficios en el control de otras plagas y enfermedades, ajenas a las incluidas en el Programa.</w:t>
      </w:r>
    </w:p>
    <w:p w:rsidR="00E74A87" w:rsidRDefault="00E74A8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A87" w:rsidRPr="000934D9" w:rsidRDefault="00E74A87" w:rsidP="00575F43">
    <w:pPr>
      <w:pStyle w:val="Header"/>
      <w:tabs>
        <w:tab w:val="clear" w:pos="4252"/>
        <w:tab w:val="center" w:pos="6096"/>
      </w:tabs>
      <w:jc w:val="right"/>
      <w:rPr>
        <w:rFonts w:ascii="Times New Roman" w:hAnsi="Times New Roman" w:cs="Times New Roman"/>
        <w:color w:val="7F7F7F" w:themeColor="text1" w:themeTint="80"/>
        <w:lang w:val="es-ES_tradnl"/>
      </w:rPr>
    </w:pPr>
    <w:r w:rsidRPr="000934D9">
      <w:rPr>
        <w:lang w:val="es-ES_tradnl"/>
      </w:rPr>
      <w:t xml:space="preserve">   </w:t>
    </w:r>
    <w:r w:rsidRPr="000934D9">
      <w:rPr>
        <w:lang w:val="es-ES_tradnl"/>
      </w:rPr>
      <w:tab/>
    </w:r>
    <w:r w:rsidRPr="000934D9">
      <w:rPr>
        <w:lang w:val="es-ES_tradnl"/>
      </w:rPr>
      <w:tab/>
    </w:r>
    <w:r>
      <w:rPr>
        <w:rFonts w:ascii="Times New Roman" w:hAnsi="Times New Roman" w:cs="Times New Roman"/>
        <w:color w:val="7F7F7F" w:themeColor="text1" w:themeTint="80"/>
        <w:lang w:val="es-ES_tradnl"/>
      </w:rPr>
      <w:t>HA-L1094</w:t>
    </w:r>
  </w:p>
  <w:p w:rsidR="00E74A87" w:rsidRPr="000934D9" w:rsidRDefault="00E74A87" w:rsidP="003460C5">
    <w:pPr>
      <w:pStyle w:val="Header"/>
      <w:jc w:val="right"/>
      <w:rPr>
        <w:lang w:val="es-ES_tradnl"/>
      </w:rPr>
    </w:pPr>
    <w:r w:rsidRPr="000934D9">
      <w:rPr>
        <w:lang w:val="es-ES_tradnl"/>
      </w:rPr>
      <w:tab/>
    </w:r>
    <w:r>
      <w:rPr>
        <w:rFonts w:ascii="Times New Roman" w:hAnsi="Times New Roman" w:cs="Times New Roman"/>
        <w:color w:val="7F7F7F" w:themeColor="text1" w:themeTint="80"/>
        <w:sz w:val="20"/>
      </w:rPr>
      <w:t>Evaluación Económica</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Informe Final</w:t>
    </w:r>
  </w:p>
  <w:p w:rsidR="00E74A87" w:rsidRDefault="00E74A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A87" w:rsidRPr="000934D9" w:rsidRDefault="00E74A87" w:rsidP="00B26C83">
    <w:pPr>
      <w:pStyle w:val="Header"/>
      <w:tabs>
        <w:tab w:val="clear" w:pos="4252"/>
        <w:tab w:val="center" w:pos="6096"/>
      </w:tabs>
      <w:jc w:val="right"/>
      <w:rPr>
        <w:rFonts w:ascii="Times New Roman" w:hAnsi="Times New Roman" w:cs="Times New Roman"/>
        <w:color w:val="7F7F7F" w:themeColor="text1" w:themeTint="80"/>
        <w:lang w:val="es-ES_tradnl"/>
      </w:rPr>
    </w:pPr>
    <w:r>
      <w:rPr>
        <w:rFonts w:ascii="Times New Roman" w:hAnsi="Times New Roman" w:cs="Times New Roman"/>
        <w:color w:val="7F7F7F" w:themeColor="text1" w:themeTint="80"/>
        <w:lang w:val="es-ES_tradnl"/>
      </w:rPr>
      <w:t>HA-L1094</w:t>
    </w:r>
  </w:p>
  <w:p w:rsidR="00E74A87" w:rsidRDefault="00E74A87" w:rsidP="00B26C83">
    <w:pPr>
      <w:pStyle w:val="Header"/>
      <w:jc w:val="right"/>
    </w:pPr>
    <w:r w:rsidRPr="000934D9">
      <w:rPr>
        <w:lang w:val="es-ES_tradnl"/>
      </w:rPr>
      <w:tab/>
    </w:r>
    <w:r>
      <w:rPr>
        <w:rFonts w:ascii="Times New Roman" w:hAnsi="Times New Roman" w:cs="Times New Roman"/>
        <w:color w:val="7F7F7F" w:themeColor="text1" w:themeTint="80"/>
        <w:sz w:val="20"/>
      </w:rPr>
      <w:t>Evaluación Económica</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 xml:space="preserve">Ex-Ante </w:t>
    </w:r>
    <w:r w:rsidRPr="00AA5B3C">
      <w:rPr>
        <w:rFonts w:ascii="Times New Roman" w:hAnsi="Times New Roman" w:cs="Times New Roman"/>
        <w:color w:val="7F7F7F" w:themeColor="text1" w:themeTint="80"/>
        <w:sz w:val="20"/>
      </w:rPr>
      <w:t xml:space="preserve">– </w:t>
    </w:r>
    <w:r>
      <w:rPr>
        <w:rFonts w:ascii="Times New Roman" w:hAnsi="Times New Roman" w:cs="Times New Roman"/>
        <w:color w:val="7F7F7F" w:themeColor="text1" w:themeTint="80"/>
        <w:sz w:val="20"/>
      </w:rPr>
      <w:t>Informe Final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799"/>
    <w:multiLevelType w:val="multilevel"/>
    <w:tmpl w:val="D438FE34"/>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0A1D320A"/>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AC43751"/>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1D3752F"/>
    <w:multiLevelType w:val="multilevel"/>
    <w:tmpl w:val="30CA25A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33D3843"/>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1CE64995"/>
    <w:multiLevelType w:val="hybridMultilevel"/>
    <w:tmpl w:val="ED0CAAC2"/>
    <w:lvl w:ilvl="0" w:tplc="A24266A6">
      <w:numFmt w:val="bullet"/>
      <w:lvlText w:val="-"/>
      <w:lvlJc w:val="left"/>
      <w:pPr>
        <w:ind w:left="720" w:hanging="360"/>
      </w:pPr>
      <w:rPr>
        <w:rFonts w:ascii="Calibri" w:eastAsiaTheme="minorHAnsi" w:hAnsi="Calibri" w:cs="Calibri" w:hint="default"/>
      </w:rPr>
    </w:lvl>
    <w:lvl w:ilvl="1" w:tplc="0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2251D9"/>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1E1705CC"/>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nsid w:val="212A71F0"/>
    <w:multiLevelType w:val="multilevel"/>
    <w:tmpl w:val="F45E64FC"/>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22A07F0C"/>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22E316B6"/>
    <w:multiLevelType w:val="hybridMultilevel"/>
    <w:tmpl w:val="A07413D4"/>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3024462"/>
    <w:multiLevelType w:val="hybridMultilevel"/>
    <w:tmpl w:val="01D8F714"/>
    <w:lvl w:ilvl="0" w:tplc="369A0618">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3605837"/>
    <w:multiLevelType w:val="multilevel"/>
    <w:tmpl w:val="0062094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pStyle w:val="Heading5"/>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245043A7"/>
    <w:multiLevelType w:val="hybridMultilevel"/>
    <w:tmpl w:val="4036BD20"/>
    <w:lvl w:ilvl="0" w:tplc="D8B092F4">
      <w:start w:val="1"/>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95132D1"/>
    <w:multiLevelType w:val="multilevel"/>
    <w:tmpl w:val="CE042A26"/>
    <w:lvl w:ilvl="0">
      <w:start w:val="2"/>
      <w:numFmt w:val="upperRoman"/>
      <w:lvlText w:val="%1."/>
      <w:lvlJc w:val="center"/>
      <w:pPr>
        <w:tabs>
          <w:tab w:val="num" w:pos="648"/>
        </w:tabs>
        <w:ind w:left="0" w:firstLine="288"/>
      </w:pPr>
      <w:rPr>
        <w:rFonts w:hint="default"/>
        <w:b/>
        <w:i w:val="0"/>
      </w:rPr>
    </w:lvl>
    <w:lvl w:ilvl="1">
      <w:start w:val="15"/>
      <w:numFmt w:val="decimal"/>
      <w:isLgl/>
      <w:lvlText w:val="%1.%2"/>
      <w:lvlJc w:val="left"/>
      <w:pPr>
        <w:tabs>
          <w:tab w:val="num" w:pos="720"/>
        </w:tabs>
        <w:ind w:left="720" w:hanging="720"/>
      </w:pPr>
      <w:rPr>
        <w:rFonts w:ascii="Times New Roman" w:hAnsi="Times New Roman" w:cs="Times New Roman" w:hint="default"/>
        <w:b w:val="0"/>
        <w:color w:val="auto"/>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5">
    <w:nsid w:val="2AB6510C"/>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nsid w:val="2B4F29FE"/>
    <w:multiLevelType w:val="hybridMultilevel"/>
    <w:tmpl w:val="BC8863FC"/>
    <w:lvl w:ilvl="0" w:tplc="07686860">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2F8E1A4F"/>
    <w:multiLevelType w:val="hybridMultilevel"/>
    <w:tmpl w:val="1E981D20"/>
    <w:lvl w:ilvl="0" w:tplc="D8B092F4">
      <w:start w:val="1"/>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9D430C"/>
    <w:multiLevelType w:val="hybridMultilevel"/>
    <w:tmpl w:val="6292D82A"/>
    <w:lvl w:ilvl="0" w:tplc="3DDA23DE">
      <w:start w:val="1"/>
      <w:numFmt w:val="upperLetter"/>
      <w:lvlText w:val="%1."/>
      <w:lvlJc w:val="left"/>
      <w:pPr>
        <w:ind w:left="720" w:hanging="360"/>
      </w:pPr>
      <w:rPr>
        <w:rFonts w:hint="default"/>
      </w:rPr>
    </w:lvl>
    <w:lvl w:ilvl="1" w:tplc="4386DDA4" w:tentative="1">
      <w:start w:val="1"/>
      <w:numFmt w:val="lowerLetter"/>
      <w:lvlText w:val="%2."/>
      <w:lvlJc w:val="left"/>
      <w:pPr>
        <w:ind w:left="1440" w:hanging="360"/>
      </w:pPr>
    </w:lvl>
    <w:lvl w:ilvl="2" w:tplc="5F8AA532" w:tentative="1">
      <w:start w:val="1"/>
      <w:numFmt w:val="lowerRoman"/>
      <w:lvlText w:val="%3."/>
      <w:lvlJc w:val="right"/>
      <w:pPr>
        <w:ind w:left="2160" w:hanging="180"/>
      </w:pPr>
    </w:lvl>
    <w:lvl w:ilvl="3" w:tplc="F22E5294" w:tentative="1">
      <w:start w:val="1"/>
      <w:numFmt w:val="decimal"/>
      <w:lvlText w:val="%4."/>
      <w:lvlJc w:val="left"/>
      <w:pPr>
        <w:ind w:left="2880" w:hanging="360"/>
      </w:pPr>
    </w:lvl>
    <w:lvl w:ilvl="4" w:tplc="7F8804D2" w:tentative="1">
      <w:start w:val="1"/>
      <w:numFmt w:val="lowerLetter"/>
      <w:lvlText w:val="%5."/>
      <w:lvlJc w:val="left"/>
      <w:pPr>
        <w:ind w:left="3600" w:hanging="360"/>
      </w:pPr>
    </w:lvl>
    <w:lvl w:ilvl="5" w:tplc="3E2A6314" w:tentative="1">
      <w:start w:val="1"/>
      <w:numFmt w:val="lowerRoman"/>
      <w:lvlText w:val="%6."/>
      <w:lvlJc w:val="right"/>
      <w:pPr>
        <w:ind w:left="4320" w:hanging="180"/>
      </w:pPr>
    </w:lvl>
    <w:lvl w:ilvl="6" w:tplc="5D2CE73A" w:tentative="1">
      <w:start w:val="1"/>
      <w:numFmt w:val="decimal"/>
      <w:lvlText w:val="%7."/>
      <w:lvlJc w:val="left"/>
      <w:pPr>
        <w:ind w:left="5040" w:hanging="360"/>
      </w:pPr>
    </w:lvl>
    <w:lvl w:ilvl="7" w:tplc="63563D66" w:tentative="1">
      <w:start w:val="1"/>
      <w:numFmt w:val="lowerLetter"/>
      <w:lvlText w:val="%8."/>
      <w:lvlJc w:val="left"/>
      <w:pPr>
        <w:ind w:left="5760" w:hanging="360"/>
      </w:pPr>
    </w:lvl>
    <w:lvl w:ilvl="8" w:tplc="F552D25A" w:tentative="1">
      <w:start w:val="1"/>
      <w:numFmt w:val="lowerRoman"/>
      <w:lvlText w:val="%9."/>
      <w:lvlJc w:val="right"/>
      <w:pPr>
        <w:ind w:left="6480" w:hanging="180"/>
      </w:pPr>
    </w:lvl>
  </w:abstractNum>
  <w:abstractNum w:abstractNumId="19">
    <w:nsid w:val="38FA0B79"/>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395B2622"/>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nsid w:val="3A977119"/>
    <w:multiLevelType w:val="hybridMultilevel"/>
    <w:tmpl w:val="3C0C1B5E"/>
    <w:lvl w:ilvl="0" w:tplc="0CF08D9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D2E55C1"/>
    <w:multiLevelType w:val="hybridMultilevel"/>
    <w:tmpl w:val="D82CA650"/>
    <w:lvl w:ilvl="0" w:tplc="777A091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E8E171E"/>
    <w:multiLevelType w:val="hybridMultilevel"/>
    <w:tmpl w:val="746A7988"/>
    <w:lvl w:ilvl="0" w:tplc="43EC2AA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3100D6"/>
    <w:multiLevelType w:val="hybridMultilevel"/>
    <w:tmpl w:val="AA143696"/>
    <w:lvl w:ilvl="0" w:tplc="9214A8AE">
      <w:start w:val="201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83C5E30"/>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6">
    <w:nsid w:val="48BD2DCC"/>
    <w:multiLevelType w:val="multilevel"/>
    <w:tmpl w:val="3B12AF1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color w:val="auto"/>
        <w:sz w:val="22"/>
        <w:szCs w:val="22"/>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7">
    <w:nsid w:val="4CCC64F0"/>
    <w:multiLevelType w:val="hybridMultilevel"/>
    <w:tmpl w:val="4DFE8428"/>
    <w:lvl w:ilvl="0" w:tplc="43EC2AAC">
      <w:numFmt w:val="bullet"/>
      <w:lvlText w:val="-"/>
      <w:lvlJc w:val="left"/>
      <w:pPr>
        <w:ind w:left="720" w:hanging="360"/>
      </w:pPr>
      <w:rPr>
        <w:rFonts w:ascii="Times New Roman" w:eastAsia="Times New Roman" w:hAnsi="Times New Roman" w:cs="Times New Roman" w:hint="default"/>
      </w:rPr>
    </w:lvl>
    <w:lvl w:ilvl="1" w:tplc="D8B092F4">
      <w:start w:val="1"/>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78648D"/>
    <w:multiLevelType w:val="hybridMultilevel"/>
    <w:tmpl w:val="8A52D38A"/>
    <w:lvl w:ilvl="0" w:tplc="E9AC095C">
      <w:start w:val="1"/>
      <w:numFmt w:val="low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0A31C7"/>
    <w:multiLevelType w:val="hybridMultilevel"/>
    <w:tmpl w:val="B4768034"/>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0">
    <w:nsid w:val="589F08F7"/>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1">
    <w:nsid w:val="5A1D623B"/>
    <w:multiLevelType w:val="hybridMultilevel"/>
    <w:tmpl w:val="087CC8D6"/>
    <w:lvl w:ilvl="0" w:tplc="B97A04DE">
      <w:start w:val="5"/>
      <w:numFmt w:val="bullet"/>
      <w:lvlText w:val="-"/>
      <w:lvlJc w:val="left"/>
      <w:pPr>
        <w:ind w:left="1065" w:hanging="360"/>
      </w:pPr>
      <w:rPr>
        <w:rFonts w:ascii="Calibri" w:eastAsiaTheme="minorHAnsi" w:hAnsi="Calibri" w:cs="Calibri"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32">
    <w:nsid w:val="5AA65AEB"/>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3">
    <w:nsid w:val="5D166D94"/>
    <w:multiLevelType w:val="multilevel"/>
    <w:tmpl w:val="2ACC2E46"/>
    <w:lvl w:ilvl="0">
      <w:start w:val="2"/>
      <w:numFmt w:val="upperRoman"/>
      <w:lvlText w:val="%1."/>
      <w:lvlJc w:val="center"/>
      <w:pPr>
        <w:tabs>
          <w:tab w:val="num" w:pos="648"/>
        </w:tabs>
        <w:ind w:left="0" w:firstLine="288"/>
      </w:pPr>
      <w:rPr>
        <w:rFonts w:hint="default"/>
        <w:b/>
        <w:i w:val="0"/>
      </w:rPr>
    </w:lvl>
    <w:lvl w:ilvl="1">
      <w:start w:val="15"/>
      <w:numFmt w:val="decimal"/>
      <w:isLgl/>
      <w:lvlText w:val="%1.%2"/>
      <w:lvlJc w:val="left"/>
      <w:pPr>
        <w:tabs>
          <w:tab w:val="num" w:pos="720"/>
        </w:tabs>
        <w:ind w:left="72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4">
    <w:nsid w:val="5EB761B1"/>
    <w:multiLevelType w:val="multilevel"/>
    <w:tmpl w:val="47D4E6D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i w:val="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5">
    <w:nsid w:val="62884D7F"/>
    <w:multiLevelType w:val="multilevel"/>
    <w:tmpl w:val="F2CACB16"/>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6">
    <w:nsid w:val="65F401F3"/>
    <w:multiLevelType w:val="hybridMultilevel"/>
    <w:tmpl w:val="F7F61B2E"/>
    <w:lvl w:ilvl="0" w:tplc="B4220A0E">
      <w:start w:val="1"/>
      <w:numFmt w:val="lowerRoman"/>
      <w:lvlText w:val="%1)"/>
      <w:lvlJc w:val="left"/>
      <w:pPr>
        <w:ind w:left="862" w:hanging="72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7">
    <w:nsid w:val="6D1B6AF4"/>
    <w:multiLevelType w:val="multilevel"/>
    <w:tmpl w:val="FC20EA18"/>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8">
    <w:nsid w:val="74036838"/>
    <w:multiLevelType w:val="hybridMultilevel"/>
    <w:tmpl w:val="568A7B72"/>
    <w:lvl w:ilvl="0" w:tplc="40567956">
      <w:start w:val="1"/>
      <w:numFmt w:val="lowerRoman"/>
      <w:lvlText w:val="(%1)"/>
      <w:lvlJc w:val="left"/>
      <w:pPr>
        <w:ind w:left="2136" w:hanging="72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9">
    <w:nsid w:val="74D13A2E"/>
    <w:multiLevelType w:val="hybridMultilevel"/>
    <w:tmpl w:val="8A52D38A"/>
    <w:lvl w:ilvl="0" w:tplc="E9AC095C">
      <w:start w:val="1"/>
      <w:numFmt w:val="low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9F57016"/>
    <w:multiLevelType w:val="hybridMultilevel"/>
    <w:tmpl w:val="39B07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412102"/>
    <w:multiLevelType w:val="hybridMultilevel"/>
    <w:tmpl w:val="D5EA058C"/>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1D801AD6">
      <w:start w:val="27"/>
      <w:numFmt w:val="bullet"/>
      <w:lvlText w:val="-"/>
      <w:lvlJc w:val="left"/>
      <w:pPr>
        <w:ind w:left="2520" w:hanging="360"/>
      </w:pPr>
      <w:rPr>
        <w:rFonts w:ascii="Times New Roman" w:eastAsia="Times New Roman" w:hAnsi="Times New Roman" w:cs="Times New Roman"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2">
    <w:nsid w:val="7E1241CB"/>
    <w:multiLevelType w:val="multilevel"/>
    <w:tmpl w:val="08ECAA3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color w:val="auto"/>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3">
    <w:nsid w:val="7E960831"/>
    <w:multiLevelType w:val="multilevel"/>
    <w:tmpl w:val="B3D0E72A"/>
    <w:lvl w:ilvl="0">
      <w:start w:val="5"/>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31"/>
  </w:num>
  <w:num w:numId="2">
    <w:abstractNumId w:val="11"/>
  </w:num>
  <w:num w:numId="3">
    <w:abstractNumId w:val="16"/>
  </w:num>
  <w:num w:numId="4">
    <w:abstractNumId w:val="22"/>
  </w:num>
  <w:num w:numId="5">
    <w:abstractNumId w:val="17"/>
  </w:num>
  <w:num w:numId="6">
    <w:abstractNumId w:val="3"/>
  </w:num>
  <w:num w:numId="7">
    <w:abstractNumId w:val="5"/>
  </w:num>
  <w:num w:numId="8">
    <w:abstractNumId w:val="24"/>
  </w:num>
  <w:num w:numId="9">
    <w:abstractNumId w:val="41"/>
  </w:num>
  <w:num w:numId="10">
    <w:abstractNumId w:val="26"/>
  </w:num>
  <w:num w:numId="11">
    <w:abstractNumId w:val="21"/>
  </w:num>
  <w:num w:numId="12">
    <w:abstractNumId w:val="10"/>
  </w:num>
  <w:num w:numId="13">
    <w:abstractNumId w:val="28"/>
  </w:num>
  <w:num w:numId="14">
    <w:abstractNumId w:val="12"/>
  </w:num>
  <w:num w:numId="15">
    <w:abstractNumId w:val="6"/>
  </w:num>
  <w:num w:numId="16">
    <w:abstractNumId w:val="23"/>
  </w:num>
  <w:num w:numId="17">
    <w:abstractNumId w:val="8"/>
  </w:num>
  <w:num w:numId="18">
    <w:abstractNumId w:val="20"/>
  </w:num>
  <w:num w:numId="19">
    <w:abstractNumId w:val="39"/>
  </w:num>
  <w:num w:numId="20">
    <w:abstractNumId w:val="19"/>
  </w:num>
  <w:num w:numId="21">
    <w:abstractNumId w:val="18"/>
  </w:num>
  <w:num w:numId="2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4"/>
  </w:num>
  <w:num w:numId="2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8"/>
  </w:num>
  <w:num w:numId="29">
    <w:abstractNumId w:val="4"/>
  </w:num>
  <w:num w:numId="30">
    <w:abstractNumId w:val="35"/>
  </w:num>
  <w:num w:numId="31">
    <w:abstractNumId w:val="15"/>
  </w:num>
  <w:num w:numId="32">
    <w:abstractNumId w:val="42"/>
  </w:num>
  <w:num w:numId="33">
    <w:abstractNumId w:val="37"/>
  </w:num>
  <w:num w:numId="34">
    <w:abstractNumId w:val="7"/>
  </w:num>
  <w:num w:numId="35">
    <w:abstractNumId w:val="9"/>
  </w:num>
  <w:num w:numId="36">
    <w:abstractNumId w:val="1"/>
  </w:num>
  <w:num w:numId="37">
    <w:abstractNumId w:val="43"/>
  </w:num>
  <w:num w:numId="38">
    <w:abstractNumId w:val="33"/>
  </w:num>
  <w:num w:numId="39">
    <w:abstractNumId w:val="2"/>
  </w:num>
  <w:num w:numId="40">
    <w:abstractNumId w:val="30"/>
  </w:num>
  <w:num w:numId="41">
    <w:abstractNumId w:val="13"/>
  </w:num>
  <w:num w:numId="42">
    <w:abstractNumId w:val="32"/>
  </w:num>
  <w:num w:numId="43">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0"/>
  </w:num>
  <w:num w:numId="46">
    <w:abstractNumId w:val="40"/>
  </w:num>
  <w:num w:numId="47">
    <w:abstractNumId w:val="25"/>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E0"/>
    <w:rsid w:val="00004110"/>
    <w:rsid w:val="00006AF5"/>
    <w:rsid w:val="0001158D"/>
    <w:rsid w:val="00026AAB"/>
    <w:rsid w:val="00037A8C"/>
    <w:rsid w:val="00040938"/>
    <w:rsid w:val="00042A4D"/>
    <w:rsid w:val="000437F9"/>
    <w:rsid w:val="00043E7D"/>
    <w:rsid w:val="0005377B"/>
    <w:rsid w:val="00070AF4"/>
    <w:rsid w:val="00073365"/>
    <w:rsid w:val="00077BB0"/>
    <w:rsid w:val="000805E6"/>
    <w:rsid w:val="0008271B"/>
    <w:rsid w:val="00084CEF"/>
    <w:rsid w:val="000858BA"/>
    <w:rsid w:val="00086F2A"/>
    <w:rsid w:val="0009135B"/>
    <w:rsid w:val="000914FA"/>
    <w:rsid w:val="000934D9"/>
    <w:rsid w:val="0009753A"/>
    <w:rsid w:val="000A1BE6"/>
    <w:rsid w:val="000A2FE5"/>
    <w:rsid w:val="000A6742"/>
    <w:rsid w:val="000A6C83"/>
    <w:rsid w:val="000B044A"/>
    <w:rsid w:val="000B6625"/>
    <w:rsid w:val="000C28E9"/>
    <w:rsid w:val="000D0F46"/>
    <w:rsid w:val="000D3EC2"/>
    <w:rsid w:val="000D6CC8"/>
    <w:rsid w:val="000D7A2E"/>
    <w:rsid w:val="000E28CA"/>
    <w:rsid w:val="000E3347"/>
    <w:rsid w:val="000E5B00"/>
    <w:rsid w:val="000F064E"/>
    <w:rsid w:val="000F13B4"/>
    <w:rsid w:val="000F24BC"/>
    <w:rsid w:val="000F40BC"/>
    <w:rsid w:val="000F5EB0"/>
    <w:rsid w:val="000F678E"/>
    <w:rsid w:val="000F754B"/>
    <w:rsid w:val="000F7E9B"/>
    <w:rsid w:val="00100274"/>
    <w:rsid w:val="0011042C"/>
    <w:rsid w:val="001142D5"/>
    <w:rsid w:val="0011546A"/>
    <w:rsid w:val="0011699A"/>
    <w:rsid w:val="00116A60"/>
    <w:rsid w:val="00116BA3"/>
    <w:rsid w:val="001175C0"/>
    <w:rsid w:val="00124D4F"/>
    <w:rsid w:val="00125EDF"/>
    <w:rsid w:val="00132ADD"/>
    <w:rsid w:val="001331D8"/>
    <w:rsid w:val="001343D3"/>
    <w:rsid w:val="00134F93"/>
    <w:rsid w:val="001367F2"/>
    <w:rsid w:val="00137ED1"/>
    <w:rsid w:val="00146497"/>
    <w:rsid w:val="001516D9"/>
    <w:rsid w:val="00152CCE"/>
    <w:rsid w:val="00157BCC"/>
    <w:rsid w:val="00163082"/>
    <w:rsid w:val="0016416B"/>
    <w:rsid w:val="00170EC7"/>
    <w:rsid w:val="00171C52"/>
    <w:rsid w:val="0018595D"/>
    <w:rsid w:val="00187233"/>
    <w:rsid w:val="00195033"/>
    <w:rsid w:val="001A01D7"/>
    <w:rsid w:val="001A2D6D"/>
    <w:rsid w:val="001A44F9"/>
    <w:rsid w:val="001B5B71"/>
    <w:rsid w:val="001B6CA7"/>
    <w:rsid w:val="001C51C2"/>
    <w:rsid w:val="001C56F4"/>
    <w:rsid w:val="001C779D"/>
    <w:rsid w:val="001D7098"/>
    <w:rsid w:val="001E1E94"/>
    <w:rsid w:val="001E2260"/>
    <w:rsid w:val="001E4466"/>
    <w:rsid w:val="001E6853"/>
    <w:rsid w:val="001E7406"/>
    <w:rsid w:val="001E7F9C"/>
    <w:rsid w:val="001F346E"/>
    <w:rsid w:val="001F6C0F"/>
    <w:rsid w:val="00200D0C"/>
    <w:rsid w:val="00200DA7"/>
    <w:rsid w:val="002025D6"/>
    <w:rsid w:val="0020306C"/>
    <w:rsid w:val="00205619"/>
    <w:rsid w:val="00210B17"/>
    <w:rsid w:val="00213D7D"/>
    <w:rsid w:val="00215F0B"/>
    <w:rsid w:val="00220BA4"/>
    <w:rsid w:val="00224617"/>
    <w:rsid w:val="0023278E"/>
    <w:rsid w:val="00233661"/>
    <w:rsid w:val="00234B31"/>
    <w:rsid w:val="002366E1"/>
    <w:rsid w:val="00240498"/>
    <w:rsid w:val="00241514"/>
    <w:rsid w:val="002447B1"/>
    <w:rsid w:val="0025281D"/>
    <w:rsid w:val="00253080"/>
    <w:rsid w:val="00253A37"/>
    <w:rsid w:val="0025496C"/>
    <w:rsid w:val="002557BD"/>
    <w:rsid w:val="0025712F"/>
    <w:rsid w:val="0026134E"/>
    <w:rsid w:val="002630F7"/>
    <w:rsid w:val="00270346"/>
    <w:rsid w:val="00273265"/>
    <w:rsid w:val="00273408"/>
    <w:rsid w:val="002738EA"/>
    <w:rsid w:val="002765C8"/>
    <w:rsid w:val="002814E8"/>
    <w:rsid w:val="00285BEF"/>
    <w:rsid w:val="00285EFE"/>
    <w:rsid w:val="002902C7"/>
    <w:rsid w:val="00290CB6"/>
    <w:rsid w:val="00291858"/>
    <w:rsid w:val="0029361E"/>
    <w:rsid w:val="002971E9"/>
    <w:rsid w:val="00297E0C"/>
    <w:rsid w:val="002A1E30"/>
    <w:rsid w:val="002A3FB4"/>
    <w:rsid w:val="002A6244"/>
    <w:rsid w:val="002A6A0F"/>
    <w:rsid w:val="002A6EE5"/>
    <w:rsid w:val="002B2BD3"/>
    <w:rsid w:val="002B3024"/>
    <w:rsid w:val="002B4E45"/>
    <w:rsid w:val="002C1D36"/>
    <w:rsid w:val="002C2FEC"/>
    <w:rsid w:val="002C3F20"/>
    <w:rsid w:val="002C4EE8"/>
    <w:rsid w:val="002C7AAB"/>
    <w:rsid w:val="002E0BDD"/>
    <w:rsid w:val="002E2DA8"/>
    <w:rsid w:val="002E36E1"/>
    <w:rsid w:val="002E5197"/>
    <w:rsid w:val="002E5624"/>
    <w:rsid w:val="002E5A78"/>
    <w:rsid w:val="002F3F06"/>
    <w:rsid w:val="002F466B"/>
    <w:rsid w:val="002F6E4E"/>
    <w:rsid w:val="002F7BF9"/>
    <w:rsid w:val="00300689"/>
    <w:rsid w:val="003024B7"/>
    <w:rsid w:val="00304E1D"/>
    <w:rsid w:val="003055DE"/>
    <w:rsid w:val="00305919"/>
    <w:rsid w:val="00306742"/>
    <w:rsid w:val="00306C59"/>
    <w:rsid w:val="003128DA"/>
    <w:rsid w:val="00321D5F"/>
    <w:rsid w:val="00322D18"/>
    <w:rsid w:val="00323419"/>
    <w:rsid w:val="00325BE0"/>
    <w:rsid w:val="00331AD3"/>
    <w:rsid w:val="003337C0"/>
    <w:rsid w:val="003360BD"/>
    <w:rsid w:val="003433CB"/>
    <w:rsid w:val="003460C5"/>
    <w:rsid w:val="00346505"/>
    <w:rsid w:val="00346684"/>
    <w:rsid w:val="003475F3"/>
    <w:rsid w:val="0035269B"/>
    <w:rsid w:val="00356BAC"/>
    <w:rsid w:val="00361BF1"/>
    <w:rsid w:val="00365867"/>
    <w:rsid w:val="00366F38"/>
    <w:rsid w:val="00377CF8"/>
    <w:rsid w:val="00384804"/>
    <w:rsid w:val="00385D6B"/>
    <w:rsid w:val="0039234E"/>
    <w:rsid w:val="003951C7"/>
    <w:rsid w:val="00396739"/>
    <w:rsid w:val="0039797E"/>
    <w:rsid w:val="00397F23"/>
    <w:rsid w:val="003A076D"/>
    <w:rsid w:val="003A5DBF"/>
    <w:rsid w:val="003A7EF1"/>
    <w:rsid w:val="003B19B3"/>
    <w:rsid w:val="003B4BB0"/>
    <w:rsid w:val="003B4D4D"/>
    <w:rsid w:val="003C0574"/>
    <w:rsid w:val="003C3DB2"/>
    <w:rsid w:val="003C438B"/>
    <w:rsid w:val="003C7D3A"/>
    <w:rsid w:val="003D493F"/>
    <w:rsid w:val="003D5047"/>
    <w:rsid w:val="003D59BA"/>
    <w:rsid w:val="003E0EF7"/>
    <w:rsid w:val="003E2E72"/>
    <w:rsid w:val="003E4C73"/>
    <w:rsid w:val="003E5204"/>
    <w:rsid w:val="0040297F"/>
    <w:rsid w:val="00403219"/>
    <w:rsid w:val="0040329E"/>
    <w:rsid w:val="00405A71"/>
    <w:rsid w:val="00407BB1"/>
    <w:rsid w:val="00414225"/>
    <w:rsid w:val="00415B96"/>
    <w:rsid w:val="00421002"/>
    <w:rsid w:val="00422FCD"/>
    <w:rsid w:val="00426FE2"/>
    <w:rsid w:val="00436995"/>
    <w:rsid w:val="00436D21"/>
    <w:rsid w:val="00436E67"/>
    <w:rsid w:val="004417BB"/>
    <w:rsid w:val="0044343E"/>
    <w:rsid w:val="00445F69"/>
    <w:rsid w:val="00446419"/>
    <w:rsid w:val="00446BF6"/>
    <w:rsid w:val="0045327C"/>
    <w:rsid w:val="00453F7B"/>
    <w:rsid w:val="00454872"/>
    <w:rsid w:val="004575ED"/>
    <w:rsid w:val="00457AE5"/>
    <w:rsid w:val="00457B42"/>
    <w:rsid w:val="00460878"/>
    <w:rsid w:val="00462801"/>
    <w:rsid w:val="004639E8"/>
    <w:rsid w:val="00470ABD"/>
    <w:rsid w:val="0047270F"/>
    <w:rsid w:val="00472716"/>
    <w:rsid w:val="004727B1"/>
    <w:rsid w:val="00473CB2"/>
    <w:rsid w:val="004744A0"/>
    <w:rsid w:val="004825EE"/>
    <w:rsid w:val="004841E2"/>
    <w:rsid w:val="00491564"/>
    <w:rsid w:val="00492144"/>
    <w:rsid w:val="004934FD"/>
    <w:rsid w:val="004968E5"/>
    <w:rsid w:val="004A1690"/>
    <w:rsid w:val="004A1B66"/>
    <w:rsid w:val="004A2D9A"/>
    <w:rsid w:val="004A3EE8"/>
    <w:rsid w:val="004A582D"/>
    <w:rsid w:val="004B2D7D"/>
    <w:rsid w:val="004B3CB6"/>
    <w:rsid w:val="004B60B9"/>
    <w:rsid w:val="004B6443"/>
    <w:rsid w:val="004B6898"/>
    <w:rsid w:val="004B7ECA"/>
    <w:rsid w:val="004C183F"/>
    <w:rsid w:val="004C7415"/>
    <w:rsid w:val="004D04FF"/>
    <w:rsid w:val="004D2CB4"/>
    <w:rsid w:val="004D541D"/>
    <w:rsid w:val="004E2239"/>
    <w:rsid w:val="004E3743"/>
    <w:rsid w:val="004E3A18"/>
    <w:rsid w:val="004F5A68"/>
    <w:rsid w:val="004F6D13"/>
    <w:rsid w:val="00503731"/>
    <w:rsid w:val="00506CC6"/>
    <w:rsid w:val="0050773D"/>
    <w:rsid w:val="00515D2A"/>
    <w:rsid w:val="0051681B"/>
    <w:rsid w:val="00527F5B"/>
    <w:rsid w:val="00533543"/>
    <w:rsid w:val="0054145F"/>
    <w:rsid w:val="0054268A"/>
    <w:rsid w:val="00545479"/>
    <w:rsid w:val="005466EC"/>
    <w:rsid w:val="0054779B"/>
    <w:rsid w:val="00551097"/>
    <w:rsid w:val="00555967"/>
    <w:rsid w:val="0055653D"/>
    <w:rsid w:val="00556A11"/>
    <w:rsid w:val="00556EAB"/>
    <w:rsid w:val="005625A0"/>
    <w:rsid w:val="00567E48"/>
    <w:rsid w:val="00575F43"/>
    <w:rsid w:val="00582126"/>
    <w:rsid w:val="005821E4"/>
    <w:rsid w:val="0058230C"/>
    <w:rsid w:val="00582FA3"/>
    <w:rsid w:val="00586A52"/>
    <w:rsid w:val="005951E5"/>
    <w:rsid w:val="005A0F00"/>
    <w:rsid w:val="005A3769"/>
    <w:rsid w:val="005A4E57"/>
    <w:rsid w:val="005A537E"/>
    <w:rsid w:val="005A57E2"/>
    <w:rsid w:val="005A5EE1"/>
    <w:rsid w:val="005A62E7"/>
    <w:rsid w:val="005A6729"/>
    <w:rsid w:val="005B1A77"/>
    <w:rsid w:val="005B382F"/>
    <w:rsid w:val="005B554E"/>
    <w:rsid w:val="005C10D3"/>
    <w:rsid w:val="005C675E"/>
    <w:rsid w:val="005C7870"/>
    <w:rsid w:val="005C7A6C"/>
    <w:rsid w:val="005D2232"/>
    <w:rsid w:val="005D42F4"/>
    <w:rsid w:val="005D4C77"/>
    <w:rsid w:val="005D647D"/>
    <w:rsid w:val="005D6730"/>
    <w:rsid w:val="005D6844"/>
    <w:rsid w:val="005D7C06"/>
    <w:rsid w:val="005E27F0"/>
    <w:rsid w:val="005E4012"/>
    <w:rsid w:val="005E546F"/>
    <w:rsid w:val="00601A49"/>
    <w:rsid w:val="006034FD"/>
    <w:rsid w:val="006049BC"/>
    <w:rsid w:val="00604F1B"/>
    <w:rsid w:val="006119D2"/>
    <w:rsid w:val="00614170"/>
    <w:rsid w:val="0062127F"/>
    <w:rsid w:val="00624FAE"/>
    <w:rsid w:val="00631327"/>
    <w:rsid w:val="00632037"/>
    <w:rsid w:val="00632A74"/>
    <w:rsid w:val="00632DBD"/>
    <w:rsid w:val="00633030"/>
    <w:rsid w:val="0064138F"/>
    <w:rsid w:val="006477F3"/>
    <w:rsid w:val="00647894"/>
    <w:rsid w:val="0065386A"/>
    <w:rsid w:val="006542FB"/>
    <w:rsid w:val="006551F7"/>
    <w:rsid w:val="006578BC"/>
    <w:rsid w:val="006579C1"/>
    <w:rsid w:val="00662B6B"/>
    <w:rsid w:val="006669FF"/>
    <w:rsid w:val="00667E5C"/>
    <w:rsid w:val="00677B46"/>
    <w:rsid w:val="00680B75"/>
    <w:rsid w:val="00682FF8"/>
    <w:rsid w:val="006867AE"/>
    <w:rsid w:val="0068704E"/>
    <w:rsid w:val="00691CCD"/>
    <w:rsid w:val="006940C2"/>
    <w:rsid w:val="00694E98"/>
    <w:rsid w:val="0069530C"/>
    <w:rsid w:val="006968CB"/>
    <w:rsid w:val="006A0A9C"/>
    <w:rsid w:val="006B2209"/>
    <w:rsid w:val="006C5219"/>
    <w:rsid w:val="006C634E"/>
    <w:rsid w:val="006D12AD"/>
    <w:rsid w:val="006D2CA3"/>
    <w:rsid w:val="006D2CAD"/>
    <w:rsid w:val="006D314E"/>
    <w:rsid w:val="006E1CF2"/>
    <w:rsid w:val="006E2FE2"/>
    <w:rsid w:val="006F3678"/>
    <w:rsid w:val="006F64EC"/>
    <w:rsid w:val="006F6EF9"/>
    <w:rsid w:val="007000F5"/>
    <w:rsid w:val="00704DBF"/>
    <w:rsid w:val="00704EC8"/>
    <w:rsid w:val="0070505B"/>
    <w:rsid w:val="00710216"/>
    <w:rsid w:val="00712793"/>
    <w:rsid w:val="00720842"/>
    <w:rsid w:val="00720F6B"/>
    <w:rsid w:val="00723A7E"/>
    <w:rsid w:val="00723E8B"/>
    <w:rsid w:val="00726E88"/>
    <w:rsid w:val="00727302"/>
    <w:rsid w:val="00731565"/>
    <w:rsid w:val="00733D2E"/>
    <w:rsid w:val="00735D47"/>
    <w:rsid w:val="00735E9B"/>
    <w:rsid w:val="00735F8D"/>
    <w:rsid w:val="007429C9"/>
    <w:rsid w:val="00744CD0"/>
    <w:rsid w:val="00747F22"/>
    <w:rsid w:val="00750ED0"/>
    <w:rsid w:val="00752678"/>
    <w:rsid w:val="00752DD9"/>
    <w:rsid w:val="00753859"/>
    <w:rsid w:val="00754588"/>
    <w:rsid w:val="0076671B"/>
    <w:rsid w:val="00766793"/>
    <w:rsid w:val="00772E0F"/>
    <w:rsid w:val="00780140"/>
    <w:rsid w:val="007809AA"/>
    <w:rsid w:val="00781F5C"/>
    <w:rsid w:val="0078365F"/>
    <w:rsid w:val="00785CF9"/>
    <w:rsid w:val="007864CD"/>
    <w:rsid w:val="00790CFE"/>
    <w:rsid w:val="0079340B"/>
    <w:rsid w:val="00797D49"/>
    <w:rsid w:val="007A1930"/>
    <w:rsid w:val="007A19C6"/>
    <w:rsid w:val="007A1B42"/>
    <w:rsid w:val="007A24AB"/>
    <w:rsid w:val="007A3283"/>
    <w:rsid w:val="007A366D"/>
    <w:rsid w:val="007A4179"/>
    <w:rsid w:val="007A56FB"/>
    <w:rsid w:val="007B29F9"/>
    <w:rsid w:val="007B3226"/>
    <w:rsid w:val="007B3F96"/>
    <w:rsid w:val="007B6033"/>
    <w:rsid w:val="007C0C08"/>
    <w:rsid w:val="007C0FD4"/>
    <w:rsid w:val="007C1C3A"/>
    <w:rsid w:val="007C1D28"/>
    <w:rsid w:val="007C1EE7"/>
    <w:rsid w:val="007C4639"/>
    <w:rsid w:val="007C7C46"/>
    <w:rsid w:val="007D349D"/>
    <w:rsid w:val="007D3BEB"/>
    <w:rsid w:val="007D3E25"/>
    <w:rsid w:val="007D71B7"/>
    <w:rsid w:val="007E0F0C"/>
    <w:rsid w:val="007E2E82"/>
    <w:rsid w:val="007E35BF"/>
    <w:rsid w:val="007F2D6E"/>
    <w:rsid w:val="00801D09"/>
    <w:rsid w:val="0080237B"/>
    <w:rsid w:val="008035C9"/>
    <w:rsid w:val="0080439D"/>
    <w:rsid w:val="00811F1B"/>
    <w:rsid w:val="008138BB"/>
    <w:rsid w:val="00816F52"/>
    <w:rsid w:val="00817783"/>
    <w:rsid w:val="00823372"/>
    <w:rsid w:val="008254CE"/>
    <w:rsid w:val="0082616C"/>
    <w:rsid w:val="00835506"/>
    <w:rsid w:val="0083685E"/>
    <w:rsid w:val="00836EB6"/>
    <w:rsid w:val="0083704B"/>
    <w:rsid w:val="008414B0"/>
    <w:rsid w:val="008476FD"/>
    <w:rsid w:val="00847837"/>
    <w:rsid w:val="00847F4D"/>
    <w:rsid w:val="008509F7"/>
    <w:rsid w:val="00852832"/>
    <w:rsid w:val="00855436"/>
    <w:rsid w:val="008576B5"/>
    <w:rsid w:val="008618B4"/>
    <w:rsid w:val="008640B8"/>
    <w:rsid w:val="00865187"/>
    <w:rsid w:val="00865F10"/>
    <w:rsid w:val="0087741B"/>
    <w:rsid w:val="008807D8"/>
    <w:rsid w:val="008809B6"/>
    <w:rsid w:val="008816B2"/>
    <w:rsid w:val="00887FD8"/>
    <w:rsid w:val="00890AD0"/>
    <w:rsid w:val="0089363C"/>
    <w:rsid w:val="008943F8"/>
    <w:rsid w:val="008944A5"/>
    <w:rsid w:val="00896F5C"/>
    <w:rsid w:val="0089706B"/>
    <w:rsid w:val="008A14D6"/>
    <w:rsid w:val="008A604A"/>
    <w:rsid w:val="008A7B2B"/>
    <w:rsid w:val="008B2024"/>
    <w:rsid w:val="008B5583"/>
    <w:rsid w:val="008B5D8F"/>
    <w:rsid w:val="008B5E90"/>
    <w:rsid w:val="008C4733"/>
    <w:rsid w:val="008C62C4"/>
    <w:rsid w:val="008C6E76"/>
    <w:rsid w:val="008D2491"/>
    <w:rsid w:val="008D45EA"/>
    <w:rsid w:val="008D4799"/>
    <w:rsid w:val="008E1DC7"/>
    <w:rsid w:val="008E20E6"/>
    <w:rsid w:val="008E36BB"/>
    <w:rsid w:val="008E4C2F"/>
    <w:rsid w:val="008E524F"/>
    <w:rsid w:val="008E5B76"/>
    <w:rsid w:val="008E5C5F"/>
    <w:rsid w:val="008E7F11"/>
    <w:rsid w:val="008F04A3"/>
    <w:rsid w:val="008F15C8"/>
    <w:rsid w:val="008F28BD"/>
    <w:rsid w:val="008F7EC1"/>
    <w:rsid w:val="0091179F"/>
    <w:rsid w:val="009137B3"/>
    <w:rsid w:val="00920E8D"/>
    <w:rsid w:val="009225DB"/>
    <w:rsid w:val="00922B4A"/>
    <w:rsid w:val="009264E1"/>
    <w:rsid w:val="00927C45"/>
    <w:rsid w:val="00935B20"/>
    <w:rsid w:val="00936A95"/>
    <w:rsid w:val="0093725F"/>
    <w:rsid w:val="00937958"/>
    <w:rsid w:val="00942193"/>
    <w:rsid w:val="00942459"/>
    <w:rsid w:val="00943DD4"/>
    <w:rsid w:val="00945214"/>
    <w:rsid w:val="009501C4"/>
    <w:rsid w:val="00951EDB"/>
    <w:rsid w:val="00955EAE"/>
    <w:rsid w:val="00957B47"/>
    <w:rsid w:val="0096121F"/>
    <w:rsid w:val="009618F3"/>
    <w:rsid w:val="00961990"/>
    <w:rsid w:val="00962DC5"/>
    <w:rsid w:val="0096422B"/>
    <w:rsid w:val="009642AE"/>
    <w:rsid w:val="0097450E"/>
    <w:rsid w:val="00980124"/>
    <w:rsid w:val="00980827"/>
    <w:rsid w:val="00991A9A"/>
    <w:rsid w:val="00992B2B"/>
    <w:rsid w:val="00993B3D"/>
    <w:rsid w:val="0099592A"/>
    <w:rsid w:val="0099659B"/>
    <w:rsid w:val="00996A35"/>
    <w:rsid w:val="009A10F0"/>
    <w:rsid w:val="009A52D2"/>
    <w:rsid w:val="009A647E"/>
    <w:rsid w:val="009A7282"/>
    <w:rsid w:val="009B1B26"/>
    <w:rsid w:val="009B500C"/>
    <w:rsid w:val="009C37DA"/>
    <w:rsid w:val="009C44CA"/>
    <w:rsid w:val="009C47F2"/>
    <w:rsid w:val="009C49B0"/>
    <w:rsid w:val="009C5517"/>
    <w:rsid w:val="009C7E97"/>
    <w:rsid w:val="009D1A71"/>
    <w:rsid w:val="009D22CE"/>
    <w:rsid w:val="009D2479"/>
    <w:rsid w:val="009D590C"/>
    <w:rsid w:val="009D5C75"/>
    <w:rsid w:val="009D783E"/>
    <w:rsid w:val="009E0EC2"/>
    <w:rsid w:val="009E18E2"/>
    <w:rsid w:val="009E2019"/>
    <w:rsid w:val="009E4D87"/>
    <w:rsid w:val="009E4EF3"/>
    <w:rsid w:val="009E79C7"/>
    <w:rsid w:val="009E7F17"/>
    <w:rsid w:val="009F1CE9"/>
    <w:rsid w:val="009F5D0C"/>
    <w:rsid w:val="009F68EC"/>
    <w:rsid w:val="00A01987"/>
    <w:rsid w:val="00A03B81"/>
    <w:rsid w:val="00A03C08"/>
    <w:rsid w:val="00A04470"/>
    <w:rsid w:val="00A05C80"/>
    <w:rsid w:val="00A06A3A"/>
    <w:rsid w:val="00A16387"/>
    <w:rsid w:val="00A22158"/>
    <w:rsid w:val="00A248F9"/>
    <w:rsid w:val="00A3385E"/>
    <w:rsid w:val="00A36119"/>
    <w:rsid w:val="00A40048"/>
    <w:rsid w:val="00A411B8"/>
    <w:rsid w:val="00A430AE"/>
    <w:rsid w:val="00A4597A"/>
    <w:rsid w:val="00A471BF"/>
    <w:rsid w:val="00A47D2F"/>
    <w:rsid w:val="00A47EB3"/>
    <w:rsid w:val="00A50863"/>
    <w:rsid w:val="00A5393C"/>
    <w:rsid w:val="00A55E0B"/>
    <w:rsid w:val="00A6124D"/>
    <w:rsid w:val="00A616F0"/>
    <w:rsid w:val="00A62283"/>
    <w:rsid w:val="00A6284B"/>
    <w:rsid w:val="00A64BA7"/>
    <w:rsid w:val="00A65057"/>
    <w:rsid w:val="00A73A87"/>
    <w:rsid w:val="00A73D59"/>
    <w:rsid w:val="00A76509"/>
    <w:rsid w:val="00A776A8"/>
    <w:rsid w:val="00A80499"/>
    <w:rsid w:val="00A81346"/>
    <w:rsid w:val="00A85329"/>
    <w:rsid w:val="00A85AD7"/>
    <w:rsid w:val="00A86D4E"/>
    <w:rsid w:val="00A92315"/>
    <w:rsid w:val="00AA3350"/>
    <w:rsid w:val="00AA5B3C"/>
    <w:rsid w:val="00AA6CF7"/>
    <w:rsid w:val="00AA7F88"/>
    <w:rsid w:val="00AB06C2"/>
    <w:rsid w:val="00AB26CA"/>
    <w:rsid w:val="00AB735E"/>
    <w:rsid w:val="00AD1A7C"/>
    <w:rsid w:val="00AD37AC"/>
    <w:rsid w:val="00AD6620"/>
    <w:rsid w:val="00AE3AF3"/>
    <w:rsid w:val="00AE6950"/>
    <w:rsid w:val="00AE78A1"/>
    <w:rsid w:val="00AF01BD"/>
    <w:rsid w:val="00AF2719"/>
    <w:rsid w:val="00AF4119"/>
    <w:rsid w:val="00AF46AE"/>
    <w:rsid w:val="00AF4A24"/>
    <w:rsid w:val="00AF59CE"/>
    <w:rsid w:val="00AF698A"/>
    <w:rsid w:val="00B014F8"/>
    <w:rsid w:val="00B065B6"/>
    <w:rsid w:val="00B12D7D"/>
    <w:rsid w:val="00B132EB"/>
    <w:rsid w:val="00B133CE"/>
    <w:rsid w:val="00B15CBB"/>
    <w:rsid w:val="00B24807"/>
    <w:rsid w:val="00B258B6"/>
    <w:rsid w:val="00B26C83"/>
    <w:rsid w:val="00B358EF"/>
    <w:rsid w:val="00B40E20"/>
    <w:rsid w:val="00B45229"/>
    <w:rsid w:val="00B4645B"/>
    <w:rsid w:val="00B46628"/>
    <w:rsid w:val="00B50FE6"/>
    <w:rsid w:val="00B557F4"/>
    <w:rsid w:val="00B62D2E"/>
    <w:rsid w:val="00B65777"/>
    <w:rsid w:val="00B65BFA"/>
    <w:rsid w:val="00B66668"/>
    <w:rsid w:val="00B66BAA"/>
    <w:rsid w:val="00B7136B"/>
    <w:rsid w:val="00B72327"/>
    <w:rsid w:val="00B72C3F"/>
    <w:rsid w:val="00B80AAF"/>
    <w:rsid w:val="00B83811"/>
    <w:rsid w:val="00B96F80"/>
    <w:rsid w:val="00BA12CD"/>
    <w:rsid w:val="00BA6040"/>
    <w:rsid w:val="00BA6280"/>
    <w:rsid w:val="00BB3F72"/>
    <w:rsid w:val="00BB4613"/>
    <w:rsid w:val="00BB59A5"/>
    <w:rsid w:val="00BC0738"/>
    <w:rsid w:val="00BC677C"/>
    <w:rsid w:val="00BC7CFD"/>
    <w:rsid w:val="00BC7D95"/>
    <w:rsid w:val="00BD171C"/>
    <w:rsid w:val="00BD4CD7"/>
    <w:rsid w:val="00BE06DF"/>
    <w:rsid w:val="00BE0C5A"/>
    <w:rsid w:val="00BE11C5"/>
    <w:rsid w:val="00BE25F6"/>
    <w:rsid w:val="00BE4F5C"/>
    <w:rsid w:val="00BE622A"/>
    <w:rsid w:val="00BE6C84"/>
    <w:rsid w:val="00BF24D5"/>
    <w:rsid w:val="00BF472A"/>
    <w:rsid w:val="00BF5442"/>
    <w:rsid w:val="00C00A44"/>
    <w:rsid w:val="00C02260"/>
    <w:rsid w:val="00C025EE"/>
    <w:rsid w:val="00C04498"/>
    <w:rsid w:val="00C052E0"/>
    <w:rsid w:val="00C11503"/>
    <w:rsid w:val="00C121F7"/>
    <w:rsid w:val="00C13A2C"/>
    <w:rsid w:val="00C13F7A"/>
    <w:rsid w:val="00C142D2"/>
    <w:rsid w:val="00C17B66"/>
    <w:rsid w:val="00C25385"/>
    <w:rsid w:val="00C2605C"/>
    <w:rsid w:val="00C31561"/>
    <w:rsid w:val="00C33E68"/>
    <w:rsid w:val="00C35789"/>
    <w:rsid w:val="00C40B45"/>
    <w:rsid w:val="00C424D8"/>
    <w:rsid w:val="00C42511"/>
    <w:rsid w:val="00C437DB"/>
    <w:rsid w:val="00C4387D"/>
    <w:rsid w:val="00C44946"/>
    <w:rsid w:val="00C45DFF"/>
    <w:rsid w:val="00C52278"/>
    <w:rsid w:val="00C540FF"/>
    <w:rsid w:val="00C55379"/>
    <w:rsid w:val="00C57E15"/>
    <w:rsid w:val="00C60ACD"/>
    <w:rsid w:val="00C64E85"/>
    <w:rsid w:val="00C66A40"/>
    <w:rsid w:val="00C70CD8"/>
    <w:rsid w:val="00C72B9B"/>
    <w:rsid w:val="00C72D2E"/>
    <w:rsid w:val="00C73450"/>
    <w:rsid w:val="00C73C2E"/>
    <w:rsid w:val="00C75A56"/>
    <w:rsid w:val="00C77856"/>
    <w:rsid w:val="00C809CF"/>
    <w:rsid w:val="00C81B3E"/>
    <w:rsid w:val="00C81CA8"/>
    <w:rsid w:val="00C8240C"/>
    <w:rsid w:val="00C83F6F"/>
    <w:rsid w:val="00C84FB5"/>
    <w:rsid w:val="00C86351"/>
    <w:rsid w:val="00C94CDE"/>
    <w:rsid w:val="00C95E54"/>
    <w:rsid w:val="00CA4314"/>
    <w:rsid w:val="00CA5681"/>
    <w:rsid w:val="00CA5D11"/>
    <w:rsid w:val="00CA6D6C"/>
    <w:rsid w:val="00CB0FE4"/>
    <w:rsid w:val="00CB2913"/>
    <w:rsid w:val="00CC2C6B"/>
    <w:rsid w:val="00CC3F04"/>
    <w:rsid w:val="00CC5C38"/>
    <w:rsid w:val="00CC6C96"/>
    <w:rsid w:val="00CD1204"/>
    <w:rsid w:val="00CD213E"/>
    <w:rsid w:val="00CD5F87"/>
    <w:rsid w:val="00CE59FA"/>
    <w:rsid w:val="00CF235C"/>
    <w:rsid w:val="00CF671B"/>
    <w:rsid w:val="00CF7EB5"/>
    <w:rsid w:val="00D00A9C"/>
    <w:rsid w:val="00D0284E"/>
    <w:rsid w:val="00D0632A"/>
    <w:rsid w:val="00D0710F"/>
    <w:rsid w:val="00D12091"/>
    <w:rsid w:val="00D1266E"/>
    <w:rsid w:val="00D22A34"/>
    <w:rsid w:val="00D2321C"/>
    <w:rsid w:val="00D27B50"/>
    <w:rsid w:val="00D34733"/>
    <w:rsid w:val="00D35E4D"/>
    <w:rsid w:val="00D427FF"/>
    <w:rsid w:val="00D46D84"/>
    <w:rsid w:val="00D51AA5"/>
    <w:rsid w:val="00D54E94"/>
    <w:rsid w:val="00D57882"/>
    <w:rsid w:val="00D65DC3"/>
    <w:rsid w:val="00D65E78"/>
    <w:rsid w:val="00D66737"/>
    <w:rsid w:val="00D669A4"/>
    <w:rsid w:val="00D73254"/>
    <w:rsid w:val="00D73B02"/>
    <w:rsid w:val="00D73FE2"/>
    <w:rsid w:val="00D74DD5"/>
    <w:rsid w:val="00D76ACD"/>
    <w:rsid w:val="00D77AB9"/>
    <w:rsid w:val="00D8063C"/>
    <w:rsid w:val="00D92EA7"/>
    <w:rsid w:val="00D95F53"/>
    <w:rsid w:val="00D97C88"/>
    <w:rsid w:val="00DA26BD"/>
    <w:rsid w:val="00DA3968"/>
    <w:rsid w:val="00DA4599"/>
    <w:rsid w:val="00DA5049"/>
    <w:rsid w:val="00DA54E2"/>
    <w:rsid w:val="00DB223D"/>
    <w:rsid w:val="00DB2C18"/>
    <w:rsid w:val="00DB3AFB"/>
    <w:rsid w:val="00DB476E"/>
    <w:rsid w:val="00DC22D1"/>
    <w:rsid w:val="00DC7CC3"/>
    <w:rsid w:val="00DD1E67"/>
    <w:rsid w:val="00DD3E61"/>
    <w:rsid w:val="00DD4F96"/>
    <w:rsid w:val="00DE0157"/>
    <w:rsid w:val="00DE01CB"/>
    <w:rsid w:val="00DE30DB"/>
    <w:rsid w:val="00DF18BA"/>
    <w:rsid w:val="00DF1AFD"/>
    <w:rsid w:val="00DF1D94"/>
    <w:rsid w:val="00DF26C3"/>
    <w:rsid w:val="00DF2DE2"/>
    <w:rsid w:val="00DF4359"/>
    <w:rsid w:val="00DF5711"/>
    <w:rsid w:val="00E000C2"/>
    <w:rsid w:val="00E0143D"/>
    <w:rsid w:val="00E01B1E"/>
    <w:rsid w:val="00E032FD"/>
    <w:rsid w:val="00E0388A"/>
    <w:rsid w:val="00E048DE"/>
    <w:rsid w:val="00E04F13"/>
    <w:rsid w:val="00E10883"/>
    <w:rsid w:val="00E17D54"/>
    <w:rsid w:val="00E200BC"/>
    <w:rsid w:val="00E21860"/>
    <w:rsid w:val="00E2237C"/>
    <w:rsid w:val="00E26CCF"/>
    <w:rsid w:val="00E27F29"/>
    <w:rsid w:val="00E3344C"/>
    <w:rsid w:val="00E3574C"/>
    <w:rsid w:val="00E360DC"/>
    <w:rsid w:val="00E3719E"/>
    <w:rsid w:val="00E404A0"/>
    <w:rsid w:val="00E42F90"/>
    <w:rsid w:val="00E45DDD"/>
    <w:rsid w:val="00E46534"/>
    <w:rsid w:val="00E50C6C"/>
    <w:rsid w:val="00E51990"/>
    <w:rsid w:val="00E541FF"/>
    <w:rsid w:val="00E55A24"/>
    <w:rsid w:val="00E66962"/>
    <w:rsid w:val="00E7102E"/>
    <w:rsid w:val="00E711C0"/>
    <w:rsid w:val="00E74A87"/>
    <w:rsid w:val="00E76879"/>
    <w:rsid w:val="00E77AD9"/>
    <w:rsid w:val="00E84A6A"/>
    <w:rsid w:val="00E8596B"/>
    <w:rsid w:val="00E91789"/>
    <w:rsid w:val="00E93456"/>
    <w:rsid w:val="00E96733"/>
    <w:rsid w:val="00E96826"/>
    <w:rsid w:val="00EA1B3F"/>
    <w:rsid w:val="00EA2966"/>
    <w:rsid w:val="00EA4A3F"/>
    <w:rsid w:val="00EB2041"/>
    <w:rsid w:val="00EB3E3A"/>
    <w:rsid w:val="00EB6B78"/>
    <w:rsid w:val="00EC10FB"/>
    <w:rsid w:val="00EC14B7"/>
    <w:rsid w:val="00EC1B4C"/>
    <w:rsid w:val="00EC422F"/>
    <w:rsid w:val="00EC4D50"/>
    <w:rsid w:val="00EC4D7A"/>
    <w:rsid w:val="00EC5F33"/>
    <w:rsid w:val="00EC71FA"/>
    <w:rsid w:val="00EE4B85"/>
    <w:rsid w:val="00EE5309"/>
    <w:rsid w:val="00EF2748"/>
    <w:rsid w:val="00EF31B2"/>
    <w:rsid w:val="00EF3207"/>
    <w:rsid w:val="00EF56FC"/>
    <w:rsid w:val="00F0019B"/>
    <w:rsid w:val="00F00347"/>
    <w:rsid w:val="00F00471"/>
    <w:rsid w:val="00F057AE"/>
    <w:rsid w:val="00F06F52"/>
    <w:rsid w:val="00F15F12"/>
    <w:rsid w:val="00F1656E"/>
    <w:rsid w:val="00F168BF"/>
    <w:rsid w:val="00F17F89"/>
    <w:rsid w:val="00F210F3"/>
    <w:rsid w:val="00F22506"/>
    <w:rsid w:val="00F2411C"/>
    <w:rsid w:val="00F2528E"/>
    <w:rsid w:val="00F26E5D"/>
    <w:rsid w:val="00F302BB"/>
    <w:rsid w:val="00F30C51"/>
    <w:rsid w:val="00F3273D"/>
    <w:rsid w:val="00F3659D"/>
    <w:rsid w:val="00F37E78"/>
    <w:rsid w:val="00F40F63"/>
    <w:rsid w:val="00F43ABE"/>
    <w:rsid w:val="00F44441"/>
    <w:rsid w:val="00F47CE6"/>
    <w:rsid w:val="00F60B7F"/>
    <w:rsid w:val="00F7184F"/>
    <w:rsid w:val="00F7188D"/>
    <w:rsid w:val="00F731FE"/>
    <w:rsid w:val="00F74E64"/>
    <w:rsid w:val="00F82572"/>
    <w:rsid w:val="00F82A4E"/>
    <w:rsid w:val="00F82C31"/>
    <w:rsid w:val="00F836F1"/>
    <w:rsid w:val="00F84743"/>
    <w:rsid w:val="00F85C96"/>
    <w:rsid w:val="00F9121A"/>
    <w:rsid w:val="00F92B4D"/>
    <w:rsid w:val="00F92D0B"/>
    <w:rsid w:val="00F93AF4"/>
    <w:rsid w:val="00F93B47"/>
    <w:rsid w:val="00FA2E64"/>
    <w:rsid w:val="00FA2F61"/>
    <w:rsid w:val="00FA5CDF"/>
    <w:rsid w:val="00FA5E6F"/>
    <w:rsid w:val="00FA6BF3"/>
    <w:rsid w:val="00FA6EF6"/>
    <w:rsid w:val="00FB2FBB"/>
    <w:rsid w:val="00FB37B2"/>
    <w:rsid w:val="00FB53F0"/>
    <w:rsid w:val="00FB6BD6"/>
    <w:rsid w:val="00FC7C87"/>
    <w:rsid w:val="00FD011A"/>
    <w:rsid w:val="00FD259D"/>
    <w:rsid w:val="00FD4C44"/>
    <w:rsid w:val="00FD7251"/>
    <w:rsid w:val="00FE0452"/>
    <w:rsid w:val="00FE0C5F"/>
    <w:rsid w:val="00FE1532"/>
    <w:rsid w:val="00FE1799"/>
    <w:rsid w:val="00FE2AE2"/>
    <w:rsid w:val="00FE3FEB"/>
    <w:rsid w:val="00FE5F06"/>
    <w:rsid w:val="00FE68F6"/>
    <w:rsid w:val="00FF0DA1"/>
    <w:rsid w:val="00FF120C"/>
    <w:rsid w:val="00FF2A6F"/>
    <w:rsid w:val="00FF61A1"/>
    <w:rsid w:val="00FF69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BC7CFD"/>
    <w:pPr>
      <w:widowControl w:val="0"/>
      <w:suppressAutoHyphens/>
      <w:autoSpaceDN w:val="0"/>
      <w:spacing w:line="240" w:lineRule="auto"/>
      <w:jc w:val="center"/>
      <w:textAlignment w:val="baseline"/>
    </w:pPr>
    <w:rPr>
      <w:rFonts w:ascii="Liberation Serif" w:eastAsia="DejaVu Sans" w:hAnsi="Liberation Serif" w:cs="DejaVu Sans"/>
      <w:kern w:val="3"/>
      <w:sz w:val="24"/>
      <w:szCs w:val="24"/>
      <w:lang w:val="pt-BR" w:eastAsia="zh-CN" w:bidi="hi-IN"/>
    </w:rPr>
  </w:style>
  <w:style w:type="character" w:styleId="Hyperlink">
    <w:name w:val="Hyperlink"/>
    <w:basedOn w:val="DefaultParagraphFont"/>
    <w:uiPriority w:val="99"/>
    <w:unhideWhenUsed/>
    <w:rsid w:val="000E5B00"/>
    <w:rPr>
      <w:color w:val="0000FF" w:themeColor="hyperlink"/>
      <w:u w:val="single"/>
    </w:rPr>
  </w:style>
  <w:style w:type="paragraph" w:styleId="Caption">
    <w:name w:val="caption"/>
    <w:basedOn w:val="Normal"/>
    <w:next w:val="Normal"/>
    <w:unhideWhenUsed/>
    <w:qFormat/>
    <w:rsid w:val="00B66668"/>
    <w:pPr>
      <w:spacing w:line="240" w:lineRule="auto"/>
      <w:jc w:val="center"/>
    </w:pPr>
    <w:rPr>
      <w:rFonts w:ascii="Times New Roman" w:eastAsia="Times New Roman" w:hAnsi="Times New Roman" w:cs="Times New Roman"/>
      <w:b/>
      <w:bCs/>
      <w:sz w:val="20"/>
      <w:szCs w:val="20"/>
      <w:lang w:val="es-ES_tradnl" w:eastAsia="es-ES_tradnl"/>
    </w:rPr>
  </w:style>
  <w:style w:type="paragraph" w:styleId="TOCHeading">
    <w:name w:val="TOC Heading"/>
    <w:basedOn w:val="Heading1"/>
    <w:next w:val="Normal"/>
    <w:uiPriority w:val="39"/>
    <w:semiHidden/>
    <w:unhideWhenUsed/>
    <w:qFormat/>
    <w:rsid w:val="00CA5D11"/>
    <w:pPr>
      <w:outlineLvl w:val="9"/>
    </w:pPr>
    <w:rPr>
      <w:lang w:eastAsia="es-ES"/>
    </w:rPr>
  </w:style>
  <w:style w:type="paragraph" w:styleId="TOC1">
    <w:name w:val="toc 1"/>
    <w:basedOn w:val="Normal"/>
    <w:next w:val="Normal"/>
    <w:autoRedefine/>
    <w:uiPriority w:val="39"/>
    <w:unhideWhenUsed/>
    <w:rsid w:val="006579C1"/>
    <w:pPr>
      <w:tabs>
        <w:tab w:val="left" w:pos="567"/>
        <w:tab w:val="right" w:leader="dot" w:pos="8828"/>
      </w:tabs>
      <w:spacing w:after="100" w:line="360" w:lineRule="auto"/>
    </w:pPr>
  </w:style>
  <w:style w:type="paragraph" w:styleId="TOC2">
    <w:name w:val="toc 2"/>
    <w:basedOn w:val="Normal"/>
    <w:next w:val="Normal"/>
    <w:autoRedefine/>
    <w:uiPriority w:val="39"/>
    <w:unhideWhenUsed/>
    <w:rsid w:val="00CA5D11"/>
    <w:pPr>
      <w:spacing w:after="100"/>
      <w:ind w:left="220"/>
    </w:pPr>
  </w:style>
  <w:style w:type="character" w:styleId="FollowedHyperlink">
    <w:name w:val="FollowedHyperlink"/>
    <w:basedOn w:val="DefaultParagraphFont"/>
    <w:uiPriority w:val="99"/>
    <w:semiHidden/>
    <w:unhideWhenUsed/>
    <w:rsid w:val="00C13F7A"/>
    <w:rPr>
      <w:color w:val="800080" w:themeColor="followedHyperlink"/>
      <w:u w:val="single"/>
    </w:rPr>
  </w:style>
  <w:style w:type="paragraph" w:customStyle="1" w:styleId="Default">
    <w:name w:val="Default"/>
    <w:rsid w:val="00297E0C"/>
    <w:pPr>
      <w:autoSpaceDE w:val="0"/>
      <w:autoSpaceDN w:val="0"/>
      <w:adjustRightInd w:val="0"/>
      <w:spacing w:line="240" w:lineRule="auto"/>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iPriority w:val="99"/>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BC7CFD"/>
    <w:pPr>
      <w:widowControl w:val="0"/>
      <w:suppressAutoHyphens/>
      <w:autoSpaceDN w:val="0"/>
      <w:spacing w:line="240" w:lineRule="auto"/>
      <w:jc w:val="center"/>
      <w:textAlignment w:val="baseline"/>
    </w:pPr>
    <w:rPr>
      <w:rFonts w:ascii="Liberation Serif" w:eastAsia="DejaVu Sans" w:hAnsi="Liberation Serif" w:cs="DejaVu Sans"/>
      <w:kern w:val="3"/>
      <w:sz w:val="24"/>
      <w:szCs w:val="24"/>
      <w:lang w:val="pt-BR" w:eastAsia="zh-CN" w:bidi="hi-IN"/>
    </w:rPr>
  </w:style>
  <w:style w:type="character" w:styleId="Hyperlink">
    <w:name w:val="Hyperlink"/>
    <w:basedOn w:val="DefaultParagraphFont"/>
    <w:uiPriority w:val="99"/>
    <w:unhideWhenUsed/>
    <w:rsid w:val="000E5B00"/>
    <w:rPr>
      <w:color w:val="0000FF" w:themeColor="hyperlink"/>
      <w:u w:val="single"/>
    </w:rPr>
  </w:style>
  <w:style w:type="paragraph" w:styleId="Caption">
    <w:name w:val="caption"/>
    <w:basedOn w:val="Normal"/>
    <w:next w:val="Normal"/>
    <w:unhideWhenUsed/>
    <w:qFormat/>
    <w:rsid w:val="00B66668"/>
    <w:pPr>
      <w:spacing w:line="240" w:lineRule="auto"/>
      <w:jc w:val="center"/>
    </w:pPr>
    <w:rPr>
      <w:rFonts w:ascii="Times New Roman" w:eastAsia="Times New Roman" w:hAnsi="Times New Roman" w:cs="Times New Roman"/>
      <w:b/>
      <w:bCs/>
      <w:sz w:val="20"/>
      <w:szCs w:val="20"/>
      <w:lang w:val="es-ES_tradnl" w:eastAsia="es-ES_tradnl"/>
    </w:rPr>
  </w:style>
  <w:style w:type="paragraph" w:styleId="TOCHeading">
    <w:name w:val="TOC Heading"/>
    <w:basedOn w:val="Heading1"/>
    <w:next w:val="Normal"/>
    <w:uiPriority w:val="39"/>
    <w:semiHidden/>
    <w:unhideWhenUsed/>
    <w:qFormat/>
    <w:rsid w:val="00CA5D11"/>
    <w:pPr>
      <w:outlineLvl w:val="9"/>
    </w:pPr>
    <w:rPr>
      <w:lang w:eastAsia="es-ES"/>
    </w:rPr>
  </w:style>
  <w:style w:type="paragraph" w:styleId="TOC1">
    <w:name w:val="toc 1"/>
    <w:basedOn w:val="Normal"/>
    <w:next w:val="Normal"/>
    <w:autoRedefine/>
    <w:uiPriority w:val="39"/>
    <w:unhideWhenUsed/>
    <w:rsid w:val="006579C1"/>
    <w:pPr>
      <w:tabs>
        <w:tab w:val="left" w:pos="567"/>
        <w:tab w:val="right" w:leader="dot" w:pos="8828"/>
      </w:tabs>
      <w:spacing w:after="100" w:line="360" w:lineRule="auto"/>
    </w:pPr>
  </w:style>
  <w:style w:type="paragraph" w:styleId="TOC2">
    <w:name w:val="toc 2"/>
    <w:basedOn w:val="Normal"/>
    <w:next w:val="Normal"/>
    <w:autoRedefine/>
    <w:uiPriority w:val="39"/>
    <w:unhideWhenUsed/>
    <w:rsid w:val="00CA5D11"/>
    <w:pPr>
      <w:spacing w:after="100"/>
      <w:ind w:left="220"/>
    </w:pPr>
  </w:style>
  <w:style w:type="character" w:styleId="FollowedHyperlink">
    <w:name w:val="FollowedHyperlink"/>
    <w:basedOn w:val="DefaultParagraphFont"/>
    <w:uiPriority w:val="99"/>
    <w:semiHidden/>
    <w:unhideWhenUsed/>
    <w:rsid w:val="00C13F7A"/>
    <w:rPr>
      <w:color w:val="800080" w:themeColor="followedHyperlink"/>
      <w:u w:val="single"/>
    </w:rPr>
  </w:style>
  <w:style w:type="paragraph" w:customStyle="1" w:styleId="Default">
    <w:name w:val="Default"/>
    <w:rsid w:val="00297E0C"/>
    <w:pPr>
      <w:autoSpaceDE w:val="0"/>
      <w:autoSpaceDN w:val="0"/>
      <w:adjustRightInd w:val="0"/>
      <w:spacing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5200">
      <w:bodyDiv w:val="1"/>
      <w:marLeft w:val="0"/>
      <w:marRight w:val="0"/>
      <w:marTop w:val="0"/>
      <w:marBottom w:val="0"/>
      <w:divBdr>
        <w:top w:val="none" w:sz="0" w:space="0" w:color="auto"/>
        <w:left w:val="none" w:sz="0" w:space="0" w:color="auto"/>
        <w:bottom w:val="none" w:sz="0" w:space="0" w:color="auto"/>
        <w:right w:val="none" w:sz="0" w:space="0" w:color="auto"/>
      </w:divBdr>
    </w:div>
    <w:div w:id="797068934">
      <w:bodyDiv w:val="1"/>
      <w:marLeft w:val="0"/>
      <w:marRight w:val="0"/>
      <w:marTop w:val="0"/>
      <w:marBottom w:val="0"/>
      <w:divBdr>
        <w:top w:val="none" w:sz="0" w:space="0" w:color="auto"/>
        <w:left w:val="none" w:sz="0" w:space="0" w:color="auto"/>
        <w:bottom w:val="none" w:sz="0" w:space="0" w:color="auto"/>
        <w:right w:val="none" w:sz="0" w:space="0" w:color="auto"/>
      </w:divBdr>
    </w:div>
    <w:div w:id="1375543537">
      <w:bodyDiv w:val="1"/>
      <w:marLeft w:val="0"/>
      <w:marRight w:val="0"/>
      <w:marTop w:val="0"/>
      <w:marBottom w:val="0"/>
      <w:divBdr>
        <w:top w:val="none" w:sz="0" w:space="0" w:color="auto"/>
        <w:left w:val="none" w:sz="0" w:space="0" w:color="auto"/>
        <w:bottom w:val="none" w:sz="0" w:space="0" w:color="auto"/>
        <w:right w:val="none" w:sz="0" w:space="0" w:color="auto"/>
      </w:divBdr>
    </w:div>
    <w:div w:id="1376586831">
      <w:bodyDiv w:val="1"/>
      <w:marLeft w:val="0"/>
      <w:marRight w:val="0"/>
      <w:marTop w:val="0"/>
      <w:marBottom w:val="0"/>
      <w:divBdr>
        <w:top w:val="none" w:sz="0" w:space="0" w:color="auto"/>
        <w:left w:val="none" w:sz="0" w:space="0" w:color="auto"/>
        <w:bottom w:val="none" w:sz="0" w:space="0" w:color="auto"/>
        <w:right w:val="none" w:sz="0" w:space="0" w:color="auto"/>
      </w:divBdr>
    </w:div>
    <w:div w:id="1504322808">
      <w:bodyDiv w:val="1"/>
      <w:marLeft w:val="0"/>
      <w:marRight w:val="0"/>
      <w:marTop w:val="0"/>
      <w:marBottom w:val="0"/>
      <w:divBdr>
        <w:top w:val="none" w:sz="0" w:space="0" w:color="auto"/>
        <w:left w:val="none" w:sz="0" w:space="0" w:color="auto"/>
        <w:bottom w:val="none" w:sz="0" w:space="0" w:color="auto"/>
        <w:right w:val="none" w:sz="0" w:space="0" w:color="auto"/>
      </w:divBdr>
    </w:div>
    <w:div w:id="196419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hyperlink" Target="http://www.sdn.mefhaiti.gouv.ht/" TargetMode="External"/><Relationship Id="rId21" Type="http://schemas.openxmlformats.org/officeDocument/2006/relationships/image" Target="media/image12.emf"/><Relationship Id="rId34" Type="http://schemas.openxmlformats.org/officeDocument/2006/relationships/image" Target="media/image18.emf"/><Relationship Id="rId42" Type="http://schemas.openxmlformats.org/officeDocument/2006/relationships/image" Target="media/image22.emf"/><Relationship Id="rId47" Type="http://schemas.openxmlformats.org/officeDocument/2006/relationships/customXml" Target="../customXml/item3.xml"/><Relationship Id="rId50"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header" Target="header1.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footer" Target="footer2.xml"/><Relationship Id="rId37" Type="http://schemas.openxmlformats.org/officeDocument/2006/relationships/hyperlink" Target="http://www.wto.org" TargetMode="External"/><Relationship Id="rId40" Type="http://schemas.openxmlformats.org/officeDocument/2006/relationships/image" Target="media/image20.e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hyperlink" Target="http://www.wto.org" TargetMode="External"/><Relationship Id="rId36" Type="http://schemas.openxmlformats.org/officeDocument/2006/relationships/hyperlink" Target="http://faostat.fao.org/" TargetMode="External"/><Relationship Id="rId49" Type="http://schemas.openxmlformats.org/officeDocument/2006/relationships/customXml" Target="../customXml/item5.xml"/><Relationship Id="rId10" Type="http://schemas.openxmlformats.org/officeDocument/2006/relationships/oleObject" Target="embeddings/oleObject1.bin"/><Relationship Id="rId19" Type="http://schemas.openxmlformats.org/officeDocument/2006/relationships/image" Target="media/image10.emf"/><Relationship Id="rId31" Type="http://schemas.openxmlformats.org/officeDocument/2006/relationships/header" Target="header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yperlink" Target="http://www.brh.net" TargetMode="External"/><Relationship Id="rId30" Type="http://schemas.openxmlformats.org/officeDocument/2006/relationships/footer" Target="footer1.xml"/><Relationship Id="rId35" Type="http://schemas.openxmlformats.org/officeDocument/2006/relationships/hyperlink" Target="http://www.brh.net/tauxdujour.htm" TargetMode="External"/><Relationship Id="rId43" Type="http://schemas.openxmlformats.org/officeDocument/2006/relationships/image" Target="media/image23.emf"/><Relationship Id="rId48"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hyperlink" Target="http://faostat.fao.org/" TargetMode="External"/><Relationship Id="rId38" Type="http://schemas.openxmlformats.org/officeDocument/2006/relationships/image" Target="media/image19.emf"/><Relationship Id="rId46" Type="http://schemas.openxmlformats.org/officeDocument/2006/relationships/customXml" Target="../customXml/item2.xml"/><Relationship Id="rId20" Type="http://schemas.openxmlformats.org/officeDocument/2006/relationships/image" Target="media/image11.emf"/><Relationship Id="rId41"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rh.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F65162EE4AE946B1B03F12037A46C0" ma:contentTypeVersion="0" ma:contentTypeDescription="A content type to manage public (operations) IDB documents" ma:contentTypeScope="" ma:versionID="3112414245d14e63aaea75a238d3909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38776304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De Salvo, Carmine Paolo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Alexis de Agueda Corneloup</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sa-nut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218C6A56-5FEA-43E1-B37B-02BF803D7B66}"/>
</file>

<file path=customXml/itemProps2.xml><?xml version="1.0" encoding="utf-8"?>
<ds:datastoreItem xmlns:ds="http://schemas.openxmlformats.org/officeDocument/2006/customXml" ds:itemID="{6C6C79AA-9D8B-4CC0-8E5D-93384D4B6E88}"/>
</file>

<file path=customXml/itemProps3.xml><?xml version="1.0" encoding="utf-8"?>
<ds:datastoreItem xmlns:ds="http://schemas.openxmlformats.org/officeDocument/2006/customXml" ds:itemID="{85741ACE-993E-434B-AE5B-E2110A1746C9}"/>
</file>

<file path=customXml/itemProps4.xml><?xml version="1.0" encoding="utf-8"?>
<ds:datastoreItem xmlns:ds="http://schemas.openxmlformats.org/officeDocument/2006/customXml" ds:itemID="{A053A172-5C75-4AD2-BB73-F39D316A3CDA}"/>
</file>

<file path=customXml/itemProps5.xml><?xml version="1.0" encoding="utf-8"?>
<ds:datastoreItem xmlns:ds="http://schemas.openxmlformats.org/officeDocument/2006/customXml" ds:itemID="{3509695F-C6EB-4B85-9C79-23AD431B99AF}"/>
</file>

<file path=customXml/itemProps6.xml><?xml version="1.0" encoding="utf-8"?>
<ds:datastoreItem xmlns:ds="http://schemas.openxmlformats.org/officeDocument/2006/customXml" ds:itemID="{4B051189-7EB1-4127-8209-9E01B1FB621C}"/>
</file>

<file path=docProps/app.xml><?xml version="1.0" encoding="utf-8"?>
<Properties xmlns="http://schemas.openxmlformats.org/officeDocument/2006/extended-properties" xmlns:vt="http://schemas.openxmlformats.org/officeDocument/2006/docPropsVTypes">
  <Template>Normal.dotm</Template>
  <TotalTime>1</TotalTime>
  <Pages>39</Pages>
  <Words>9500</Words>
  <Characters>54154</Characters>
  <Application>Microsoft Office Word</Application>
  <DocSecurity>4</DocSecurity>
  <Lines>451</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Economic Analysis (HA-L1094) </dc:title>
  <dc:creator>Alexis</dc:creator>
  <cp:lastModifiedBy>Inter-American Development Bank</cp:lastModifiedBy>
  <cp:revision>2</cp:revision>
  <cp:lastPrinted>2014-05-03T11:59:00Z</cp:lastPrinted>
  <dcterms:created xsi:type="dcterms:W3CDTF">2014-05-06T14:04:00Z</dcterms:created>
  <dcterms:modified xsi:type="dcterms:W3CDTF">2014-05-06T14:04:00Z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0x01010046CF21643EE8D14686A648AA6DAD089200D6F65162EE4AE946B1B03F12037A46C0</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Alexis de Agueda Corneloup</vt:lpwstr>
  </property>
  <property fmtid="{D5CDD505-2E9C-101B-9397-08002B2CF9AE}" pid="14" name="Sector IDB">
    <vt:lpwstr/>
  </property>
  <property fmtid="{D5CDD505-2E9C-101B-9397-08002B2CF9AE}" pid="15" name="Sub-Sector">
    <vt:lpwstr/>
  </property>
</Properties>
</file>