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CE6" w:rsidRPr="00690F6B" w:rsidRDefault="0088267E" w:rsidP="006672AD">
      <w:pPr>
        <w:spacing w:after="0" w:line="240" w:lineRule="auto"/>
        <w:jc w:val="center"/>
        <w:rPr>
          <w:rFonts w:ascii="Times New Roman" w:eastAsia="Calibri" w:hAnsi="Times New Roman" w:cs="Times New Roman"/>
          <w:b/>
          <w:smallCaps/>
          <w:sz w:val="20"/>
          <w:szCs w:val="20"/>
        </w:rPr>
      </w:pPr>
      <w:r w:rsidRPr="00690F6B">
        <w:rPr>
          <w:rFonts w:ascii="Times New Roman" w:eastAsia="Calibri" w:hAnsi="Times New Roman" w:cs="Times New Roman"/>
          <w:b/>
          <w:smallCaps/>
          <w:sz w:val="20"/>
          <w:szCs w:val="20"/>
        </w:rPr>
        <w:t>Results Matrix</w:t>
      </w:r>
      <w:r w:rsidR="00394F81">
        <w:rPr>
          <w:rFonts w:ascii="Times New Roman" w:eastAsia="Calibri" w:hAnsi="Times New Roman" w:cs="Times New Roman"/>
          <w:b/>
          <w:smallCaps/>
          <w:sz w:val="20"/>
          <w:szCs w:val="20"/>
        </w:rPr>
        <w:t xml:space="preserve"> – FULL VERSION</w:t>
      </w:r>
      <w:bookmarkStart w:id="0" w:name="_GoBack"/>
      <w:bookmarkEnd w:id="0"/>
    </w:p>
    <w:p w:rsidR="00C33880" w:rsidRPr="00A448DE" w:rsidRDefault="00C33880" w:rsidP="006672AD">
      <w:pPr>
        <w:tabs>
          <w:tab w:val="left" w:pos="2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:rsidR="00816E31" w:rsidRPr="00A448DE" w:rsidRDefault="004C2CE6" w:rsidP="006672AD">
      <w:pPr>
        <w:tabs>
          <w:tab w:val="left" w:pos="2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448DE">
        <w:rPr>
          <w:rFonts w:ascii="Times New Roman" w:eastAsia="Calibri" w:hAnsi="Times New Roman" w:cs="Times New Roman"/>
          <w:b/>
          <w:sz w:val="20"/>
          <w:szCs w:val="20"/>
        </w:rPr>
        <w:t>Objecti</w:t>
      </w:r>
      <w:r w:rsidR="00617088" w:rsidRPr="00A448DE">
        <w:rPr>
          <w:rFonts w:ascii="Times New Roman" w:eastAsia="Calibri" w:hAnsi="Times New Roman" w:cs="Times New Roman"/>
          <w:b/>
          <w:sz w:val="20"/>
          <w:szCs w:val="20"/>
        </w:rPr>
        <w:t>ve</w:t>
      </w:r>
      <w:r w:rsidRPr="00A448DE">
        <w:rPr>
          <w:rFonts w:ascii="Times New Roman" w:eastAsia="Calibri" w:hAnsi="Times New Roman" w:cs="Times New Roman"/>
          <w:b/>
          <w:sz w:val="20"/>
          <w:szCs w:val="20"/>
        </w:rPr>
        <w:t>:</w:t>
      </w:r>
      <w:r w:rsidRPr="00A448DE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456253">
        <w:rPr>
          <w:rFonts w:ascii="Times New Roman" w:hAnsi="Times New Roman" w:cs="Times New Roman"/>
          <w:sz w:val="20"/>
          <w:szCs w:val="20"/>
        </w:rPr>
        <w:t>T</w:t>
      </w:r>
      <w:r w:rsidR="0088267E" w:rsidRPr="00A448DE">
        <w:rPr>
          <w:rFonts w:ascii="Times New Roman" w:hAnsi="Times New Roman" w:cs="Times New Roman"/>
          <w:sz w:val="20"/>
          <w:szCs w:val="20"/>
        </w:rPr>
        <w:t xml:space="preserve">he general objectives of the program are </w:t>
      </w:r>
      <w:r w:rsidR="00605365">
        <w:rPr>
          <w:rFonts w:ascii="Times New Roman" w:hAnsi="Times New Roman" w:cs="Times New Roman"/>
          <w:sz w:val="20"/>
          <w:szCs w:val="20"/>
        </w:rPr>
        <w:t xml:space="preserve">reduce agricultural and livestock losses </w:t>
      </w:r>
      <w:r w:rsidR="00605365" w:rsidRPr="00A448DE">
        <w:rPr>
          <w:rFonts w:ascii="Times New Roman" w:hAnsi="Times New Roman" w:cs="Times New Roman"/>
          <w:sz w:val="20"/>
          <w:szCs w:val="20"/>
        </w:rPr>
        <w:t>a</w:t>
      </w:r>
      <w:r w:rsidR="00605365">
        <w:rPr>
          <w:rFonts w:ascii="Times New Roman" w:hAnsi="Times New Roman" w:cs="Times New Roman"/>
          <w:sz w:val="20"/>
          <w:szCs w:val="20"/>
        </w:rPr>
        <w:t xml:space="preserve">s well as to increase exports of </w:t>
      </w:r>
      <w:r w:rsidR="00EE1B65">
        <w:rPr>
          <w:rFonts w:ascii="Times New Roman" w:hAnsi="Times New Roman" w:cs="Times New Roman"/>
          <w:sz w:val="20"/>
          <w:szCs w:val="20"/>
        </w:rPr>
        <w:t xml:space="preserve">Haitian </w:t>
      </w:r>
      <w:r w:rsidR="00605365">
        <w:rPr>
          <w:rFonts w:ascii="Times New Roman" w:hAnsi="Times New Roman" w:cs="Times New Roman"/>
          <w:sz w:val="20"/>
          <w:szCs w:val="20"/>
        </w:rPr>
        <w:t>agricultural products</w:t>
      </w:r>
      <w:proofErr w:type="gramStart"/>
      <w:r w:rsidR="00605365" w:rsidRPr="00A448DE">
        <w:rPr>
          <w:rFonts w:ascii="Times New Roman" w:hAnsi="Times New Roman" w:cs="Times New Roman"/>
          <w:sz w:val="20"/>
          <w:szCs w:val="20"/>
        </w:rPr>
        <w:t>.</w:t>
      </w:r>
      <w:r w:rsidR="0088267E" w:rsidRPr="00A448DE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="0088267E" w:rsidRPr="00A448DE">
        <w:rPr>
          <w:rFonts w:ascii="Times New Roman" w:hAnsi="Times New Roman" w:cs="Times New Roman"/>
          <w:sz w:val="20"/>
          <w:szCs w:val="20"/>
        </w:rPr>
        <w:t xml:space="preserve"> </w:t>
      </w:r>
      <w:r w:rsidR="0088267E" w:rsidRPr="00D57473">
        <w:rPr>
          <w:rFonts w:ascii="Times New Roman" w:hAnsi="Times New Roman" w:cs="Times New Roman"/>
          <w:sz w:val="20"/>
          <w:szCs w:val="20"/>
        </w:rPr>
        <w:t>The specific objective</w:t>
      </w:r>
      <w:r w:rsidR="00961D20">
        <w:rPr>
          <w:rFonts w:ascii="Times New Roman" w:hAnsi="Times New Roman" w:cs="Times New Roman"/>
          <w:sz w:val="20"/>
          <w:szCs w:val="20"/>
        </w:rPr>
        <w:t>s</w:t>
      </w:r>
      <w:r w:rsidR="0088267E" w:rsidRPr="00D57473">
        <w:rPr>
          <w:rFonts w:ascii="Times New Roman" w:hAnsi="Times New Roman" w:cs="Times New Roman"/>
          <w:sz w:val="20"/>
          <w:szCs w:val="20"/>
        </w:rPr>
        <w:t xml:space="preserve"> </w:t>
      </w:r>
      <w:r w:rsidR="00D57473">
        <w:rPr>
          <w:rFonts w:ascii="Times New Roman" w:hAnsi="Times New Roman" w:cs="Times New Roman"/>
          <w:sz w:val="20"/>
          <w:szCs w:val="20"/>
        </w:rPr>
        <w:t xml:space="preserve">are </w:t>
      </w:r>
      <w:r w:rsidR="00D57473" w:rsidRPr="00D57473">
        <w:rPr>
          <w:rFonts w:ascii="Times New Roman" w:hAnsi="Times New Roman" w:cs="Times New Roman"/>
          <w:sz w:val="20"/>
          <w:szCs w:val="20"/>
        </w:rPr>
        <w:t xml:space="preserve">to strengthen the government’s capacity to provide integrated, decentralized and sustainable agricultural health services, and </w:t>
      </w:r>
      <w:r w:rsidR="00D57473">
        <w:rPr>
          <w:rFonts w:ascii="Times New Roman" w:hAnsi="Times New Roman" w:cs="Times New Roman"/>
          <w:sz w:val="20"/>
          <w:szCs w:val="20"/>
        </w:rPr>
        <w:t xml:space="preserve">to </w:t>
      </w:r>
      <w:r w:rsidR="00D57473" w:rsidRPr="00D57473">
        <w:rPr>
          <w:rFonts w:ascii="Times New Roman" w:hAnsi="Times New Roman" w:cs="Times New Roman"/>
          <w:sz w:val="20"/>
          <w:szCs w:val="20"/>
        </w:rPr>
        <w:t>improve the plant and animal health conditions in the country</w:t>
      </w:r>
      <w:r w:rsidR="00961D20">
        <w:rPr>
          <w:rFonts w:ascii="Times New Roman" w:hAnsi="Times New Roman" w:cs="Times New Roman"/>
          <w:sz w:val="20"/>
          <w:szCs w:val="20"/>
        </w:rPr>
        <w:t>.</w:t>
      </w:r>
    </w:p>
    <w:p w:rsidR="008C657B" w:rsidRPr="00690F6B" w:rsidRDefault="008C657B" w:rsidP="006672AD">
      <w:pPr>
        <w:tabs>
          <w:tab w:val="left" w:pos="2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4C2CE6" w:rsidRPr="00690F6B" w:rsidRDefault="004C2CE6" w:rsidP="006672AD">
      <w:pPr>
        <w:tabs>
          <w:tab w:val="left" w:pos="266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14529" w:type="dxa"/>
        <w:jc w:val="center"/>
        <w:tblInd w:w="-1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1"/>
        <w:gridCol w:w="1620"/>
        <w:gridCol w:w="1710"/>
        <w:gridCol w:w="7248"/>
      </w:tblGrid>
      <w:tr w:rsidR="004C2CE6" w:rsidRPr="00690F6B" w:rsidTr="00562DB7">
        <w:trPr>
          <w:trHeight w:val="364"/>
          <w:tblHeader/>
          <w:jc w:val="center"/>
        </w:trPr>
        <w:tc>
          <w:tcPr>
            <w:tcW w:w="3951" w:type="dxa"/>
            <w:shd w:val="clear" w:color="auto" w:fill="95B3D7"/>
          </w:tcPr>
          <w:p w:rsidR="004C2CE6" w:rsidRPr="00690F6B" w:rsidRDefault="004C2CE6" w:rsidP="006672A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IMPACTS</w:t>
            </w:r>
          </w:p>
        </w:tc>
        <w:tc>
          <w:tcPr>
            <w:tcW w:w="1620" w:type="dxa"/>
            <w:shd w:val="clear" w:color="auto" w:fill="95B3D7"/>
          </w:tcPr>
          <w:p w:rsidR="004C2CE6" w:rsidRDefault="0088267E" w:rsidP="00882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Baseline</w:t>
            </w:r>
          </w:p>
          <w:p w:rsidR="00456253" w:rsidRPr="00690F6B" w:rsidRDefault="00456253" w:rsidP="00882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2014</w:t>
            </w:r>
          </w:p>
        </w:tc>
        <w:tc>
          <w:tcPr>
            <w:tcW w:w="1710" w:type="dxa"/>
            <w:shd w:val="clear" w:color="auto" w:fill="95B3D7"/>
          </w:tcPr>
          <w:p w:rsidR="004C2CE6" w:rsidRPr="00690F6B" w:rsidRDefault="0088267E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End of project target</w:t>
            </w:r>
          </w:p>
        </w:tc>
        <w:tc>
          <w:tcPr>
            <w:tcW w:w="7248" w:type="dxa"/>
            <w:shd w:val="clear" w:color="auto" w:fill="95B3D7"/>
          </w:tcPr>
          <w:p w:rsidR="004C2CE6" w:rsidRPr="00690F6B" w:rsidRDefault="0088267E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Comments</w:t>
            </w:r>
          </w:p>
        </w:tc>
      </w:tr>
      <w:tr w:rsidR="00AE5F8D" w:rsidRPr="00690F6B" w:rsidTr="00562DB7">
        <w:trPr>
          <w:trHeight w:val="758"/>
          <w:jc w:val="center"/>
        </w:trPr>
        <w:tc>
          <w:tcPr>
            <w:tcW w:w="3951" w:type="dxa"/>
            <w:tcBorders>
              <w:bottom w:val="single" w:sz="4" w:space="0" w:color="auto"/>
            </w:tcBorders>
            <w:shd w:val="clear" w:color="auto" w:fill="auto"/>
          </w:tcPr>
          <w:p w:rsidR="004C2CE6" w:rsidRPr="00374262" w:rsidRDefault="004C2CE6" w:rsidP="00605365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7426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IMPACT 1: </w:t>
            </w:r>
            <w:r w:rsidR="006053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Increase exports </w:t>
            </w:r>
            <w:r w:rsidR="002B399F" w:rsidRPr="00374262">
              <w:rPr>
                <w:rFonts w:ascii="Times New Roman" w:hAnsi="Times New Roman" w:cs="Times New Roman"/>
                <w:b/>
                <w:sz w:val="20"/>
                <w:szCs w:val="20"/>
              </w:rPr>
              <w:t>of Haitian agricultural products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4C2CE6" w:rsidRPr="00374262" w:rsidRDefault="004C2CE6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4C2CE6" w:rsidRPr="00374262" w:rsidRDefault="004C2CE6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248" w:type="dxa"/>
            <w:tcBorders>
              <w:bottom w:val="single" w:sz="4" w:space="0" w:color="auto"/>
            </w:tcBorders>
          </w:tcPr>
          <w:p w:rsidR="004C2CE6" w:rsidRPr="00374262" w:rsidRDefault="004C2CE6" w:rsidP="006672AD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AE5F8D" w:rsidRPr="00690F6B" w:rsidTr="00562DB7">
        <w:trPr>
          <w:trHeight w:val="740"/>
          <w:jc w:val="center"/>
        </w:trPr>
        <w:tc>
          <w:tcPr>
            <w:tcW w:w="3951" w:type="dxa"/>
            <w:tcBorders>
              <w:bottom w:val="single" w:sz="4" w:space="0" w:color="auto"/>
            </w:tcBorders>
            <w:shd w:val="clear" w:color="auto" w:fill="auto"/>
          </w:tcPr>
          <w:p w:rsidR="004C2CE6" w:rsidRPr="008716E2" w:rsidRDefault="004C2CE6" w:rsidP="00A51FB2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716E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Indicat</w:t>
            </w:r>
            <w:r w:rsidR="0088267E" w:rsidRPr="008716E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o</w:t>
            </w:r>
            <w:r w:rsidRPr="008716E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r</w:t>
            </w:r>
            <w:r w:rsidR="006528E1" w:rsidRPr="008716E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1</w:t>
            </w:r>
            <w:r w:rsidRPr="008716E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: </w:t>
            </w:r>
            <w:r w:rsidR="00950FEB" w:rsidRPr="008716E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Quantity </w:t>
            </w:r>
            <w:r w:rsidR="0088267E" w:rsidRPr="008716E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of mango </w:t>
            </w:r>
            <w:r w:rsidR="002B399F" w:rsidRPr="008716E2">
              <w:rPr>
                <w:rFonts w:ascii="Times New Roman" w:eastAsia="Calibri" w:hAnsi="Times New Roman" w:cs="Times New Roman"/>
                <w:sz w:val="20"/>
                <w:szCs w:val="20"/>
              </w:rPr>
              <w:t>“</w:t>
            </w:r>
            <w:proofErr w:type="spellStart"/>
            <w:r w:rsidR="002B399F" w:rsidRPr="008716E2">
              <w:rPr>
                <w:rFonts w:ascii="Times New Roman" w:eastAsia="Calibri" w:hAnsi="Times New Roman" w:cs="Times New Roman"/>
                <w:sz w:val="20"/>
                <w:szCs w:val="20"/>
              </w:rPr>
              <w:t>Francisque</w:t>
            </w:r>
            <w:proofErr w:type="spellEnd"/>
            <w:r w:rsidR="002B399F" w:rsidRPr="008716E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” </w:t>
            </w:r>
            <w:r w:rsidR="0088267E" w:rsidRPr="008716E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exports to the </w:t>
            </w:r>
            <w:r w:rsidR="000C0D25" w:rsidRPr="008716E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USA </w:t>
            </w:r>
            <w:r w:rsidRPr="008716E2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</w:t>
            </w:r>
            <w:r w:rsidR="0088267E" w:rsidRPr="008716E2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in </w:t>
            </w:r>
            <w:r w:rsidR="00950FEB" w:rsidRPr="008716E2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Tons/H</w:t>
            </w:r>
            <w:r w:rsidR="00A51FB2" w:rsidRPr="008716E2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a</w:t>
            </w:r>
            <w:r w:rsidR="00950FEB" w:rsidRPr="008716E2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4C2CE6" w:rsidRPr="008716E2" w:rsidRDefault="00950FEB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E2">
              <w:rPr>
                <w:rFonts w:ascii="Times New Roman" w:eastAsia="Calibri" w:hAnsi="Times New Roman" w:cs="Times New Roman"/>
                <w:sz w:val="20"/>
                <w:szCs w:val="20"/>
              </w:rPr>
              <w:t>10,600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4C2CE6" w:rsidRPr="008716E2" w:rsidRDefault="00950FEB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16E2">
              <w:rPr>
                <w:rFonts w:ascii="Times New Roman" w:eastAsia="Calibri" w:hAnsi="Times New Roman" w:cs="Times New Roman"/>
                <w:sz w:val="20"/>
                <w:szCs w:val="20"/>
              </w:rPr>
              <w:t>11,639</w:t>
            </w:r>
          </w:p>
        </w:tc>
        <w:tc>
          <w:tcPr>
            <w:tcW w:w="7248" w:type="dxa"/>
            <w:tcBorders>
              <w:bottom w:val="single" w:sz="4" w:space="0" w:color="auto"/>
            </w:tcBorders>
          </w:tcPr>
          <w:p w:rsidR="004C2CE6" w:rsidRPr="008716E2" w:rsidRDefault="004C2CE6" w:rsidP="006672AD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716E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Source </w:t>
            </w:r>
            <w:r w:rsidR="0088267E" w:rsidRPr="008716E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and year of baseline</w:t>
            </w:r>
            <w:r w:rsidRPr="008716E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: </w:t>
            </w:r>
            <w:r w:rsidR="00950FEB" w:rsidRPr="008716E2">
              <w:rPr>
                <w:rFonts w:ascii="Times New Roman" w:eastAsia="Calibri" w:hAnsi="Times New Roman" w:cs="Times New Roman"/>
                <w:sz w:val="20"/>
                <w:szCs w:val="20"/>
              </w:rPr>
              <w:t>MARNDR(2014) and USDA (2014)</w:t>
            </w:r>
          </w:p>
          <w:p w:rsidR="00950FEB" w:rsidRPr="008716E2" w:rsidRDefault="00950FEB" w:rsidP="006672AD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716E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Source of Target:</w:t>
            </w:r>
            <w:r w:rsidRPr="008716E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Economic Analysis of the project.</w:t>
            </w:r>
          </w:p>
          <w:p w:rsidR="004C2CE6" w:rsidRPr="008716E2" w:rsidRDefault="0088267E" w:rsidP="006672AD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716E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Ve</w:t>
            </w:r>
            <w:r w:rsidR="004C2CE6" w:rsidRPr="008716E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rification</w:t>
            </w:r>
            <w:r w:rsidRPr="008716E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means</w:t>
            </w:r>
            <w:r w:rsidR="004C2CE6" w:rsidRPr="008716E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: </w:t>
            </w:r>
            <w:r w:rsidR="00F37CE6" w:rsidRPr="008716E2">
              <w:rPr>
                <w:rFonts w:ascii="Times New Roman" w:eastAsia="Calibri" w:hAnsi="Times New Roman" w:cs="Times New Roman"/>
                <w:sz w:val="20"/>
                <w:szCs w:val="20"/>
              </w:rPr>
              <w:t>BRH Website and Impact Evaluation.</w:t>
            </w:r>
          </w:p>
        </w:tc>
      </w:tr>
      <w:tr w:rsidR="00605365" w:rsidRPr="00374262" w:rsidTr="00605365">
        <w:trPr>
          <w:trHeight w:val="470"/>
          <w:jc w:val="center"/>
        </w:trPr>
        <w:tc>
          <w:tcPr>
            <w:tcW w:w="3951" w:type="dxa"/>
            <w:tcBorders>
              <w:bottom w:val="dotted" w:sz="4" w:space="0" w:color="auto"/>
            </w:tcBorders>
            <w:shd w:val="clear" w:color="auto" w:fill="auto"/>
          </w:tcPr>
          <w:p w:rsidR="00605365" w:rsidRPr="008716E2" w:rsidRDefault="00605365" w:rsidP="00605365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716E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IMPACT 2: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Reduce losses of agricultural crops 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605365" w:rsidRPr="008716E2" w:rsidRDefault="00605365" w:rsidP="006053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710" w:type="dxa"/>
            <w:tcBorders>
              <w:bottom w:val="dotted" w:sz="4" w:space="0" w:color="auto"/>
            </w:tcBorders>
          </w:tcPr>
          <w:p w:rsidR="00605365" w:rsidRPr="008716E2" w:rsidRDefault="00605365" w:rsidP="006053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248" w:type="dxa"/>
            <w:tcBorders>
              <w:bottom w:val="dotted" w:sz="4" w:space="0" w:color="auto"/>
            </w:tcBorders>
          </w:tcPr>
          <w:p w:rsidR="00605365" w:rsidRPr="008716E2" w:rsidRDefault="00605365" w:rsidP="00605365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32747F" w:rsidRPr="00374262" w:rsidTr="00EE1B65">
        <w:trPr>
          <w:trHeight w:val="695"/>
          <w:jc w:val="center"/>
        </w:trPr>
        <w:tc>
          <w:tcPr>
            <w:tcW w:w="3951" w:type="dxa"/>
            <w:tcBorders>
              <w:bottom w:val="dotted" w:sz="4" w:space="0" w:color="auto"/>
            </w:tcBorders>
            <w:shd w:val="clear" w:color="auto" w:fill="auto"/>
          </w:tcPr>
          <w:p w:rsidR="0032747F" w:rsidRDefault="0032747F" w:rsidP="00605365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Indicator 1: </w:t>
            </w:r>
            <w:r w:rsidRPr="0079563D">
              <w:rPr>
                <w:rFonts w:ascii="Times New Roman" w:eastAsia="Calibri" w:hAnsi="Times New Roman" w:cs="Times New Roman"/>
                <w:sz w:val="20"/>
                <w:szCs w:val="20"/>
              </w:rPr>
              <w:t>Percentage of agricultural crops lost by crazy ants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’</w:t>
            </w:r>
            <w:r w:rsidRPr="007956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infestation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884E3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(in %)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32747F" w:rsidRDefault="0032747F" w:rsidP="006053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93,9</w:t>
            </w:r>
          </w:p>
        </w:tc>
        <w:tc>
          <w:tcPr>
            <w:tcW w:w="1710" w:type="dxa"/>
            <w:tcBorders>
              <w:bottom w:val="dotted" w:sz="4" w:space="0" w:color="auto"/>
            </w:tcBorders>
          </w:tcPr>
          <w:p w:rsidR="0032747F" w:rsidRDefault="0032747F" w:rsidP="006053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70,5</w:t>
            </w:r>
          </w:p>
        </w:tc>
        <w:tc>
          <w:tcPr>
            <w:tcW w:w="7248" w:type="dxa"/>
            <w:vMerge w:val="restart"/>
          </w:tcPr>
          <w:p w:rsidR="0032747F" w:rsidRDefault="0032747F" w:rsidP="0032747F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Source and year of baseline: </w:t>
            </w:r>
            <w:r w:rsidRPr="00790581">
              <w:rPr>
                <w:rFonts w:ascii="Times New Roman" w:eastAsia="Calibri" w:hAnsi="Times New Roman" w:cs="Times New Roman"/>
                <w:sz w:val="20"/>
                <w:szCs w:val="20"/>
              </w:rPr>
              <w:t>Assessment of Haitian Mango Value Chain (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CRS, </w:t>
            </w:r>
            <w:r w:rsidRPr="00790581">
              <w:rPr>
                <w:rFonts w:ascii="Times New Roman" w:eastAsia="Calibri" w:hAnsi="Times New Roman" w:cs="Times New Roman"/>
                <w:sz w:val="20"/>
                <w:szCs w:val="20"/>
              </w:rPr>
              <w:t>2010)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and baseline surveys for crazy ant diagnosis (IDB/MARNDR, 2014)</w:t>
            </w:r>
            <w:r w:rsidRPr="007905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This </w:t>
            </w:r>
            <w:r w:rsidRPr="007905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will be corroborated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in 2015 </w:t>
            </w:r>
            <w:r w:rsidRPr="00790581">
              <w:rPr>
                <w:rFonts w:ascii="Times New Roman" w:eastAsia="Calibri" w:hAnsi="Times New Roman" w:cs="Times New Roman"/>
                <w:sz w:val="20"/>
                <w:szCs w:val="20"/>
              </w:rPr>
              <w:t>with baseline surveys for the Impact Evaluation.</w:t>
            </w:r>
          </w:p>
          <w:p w:rsidR="0032747F" w:rsidRDefault="0032747F" w:rsidP="0032747F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Source of Target: </w:t>
            </w:r>
            <w:r w:rsidRPr="00790581">
              <w:rPr>
                <w:rFonts w:ascii="Times New Roman" w:eastAsia="Calibri" w:hAnsi="Times New Roman" w:cs="Times New Roman"/>
                <w:sz w:val="20"/>
                <w:szCs w:val="20"/>
              </w:rPr>
              <w:t>Economic Analysis of the project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for the case of crazy ants. For fruit fly is based on same estimates used for crazy ants. </w:t>
            </w:r>
          </w:p>
          <w:p w:rsidR="0032747F" w:rsidRDefault="0032747F" w:rsidP="0032747F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9058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Verification means: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Impact Evaluation surveys.</w:t>
            </w:r>
          </w:p>
        </w:tc>
      </w:tr>
      <w:tr w:rsidR="0032747F" w:rsidRPr="00374262" w:rsidTr="00605365">
        <w:trPr>
          <w:trHeight w:val="695"/>
          <w:jc w:val="center"/>
        </w:trPr>
        <w:tc>
          <w:tcPr>
            <w:tcW w:w="3951" w:type="dxa"/>
            <w:tcBorders>
              <w:bottom w:val="dotted" w:sz="4" w:space="0" w:color="auto"/>
            </w:tcBorders>
            <w:shd w:val="clear" w:color="auto" w:fill="auto"/>
          </w:tcPr>
          <w:p w:rsidR="0032747F" w:rsidRDefault="0032747F" w:rsidP="00605365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Indicator 2: </w:t>
            </w:r>
            <w:r w:rsidRPr="00790581">
              <w:rPr>
                <w:rFonts w:ascii="Times New Roman" w:eastAsia="Calibri" w:hAnsi="Times New Roman" w:cs="Times New Roman"/>
                <w:sz w:val="20"/>
                <w:szCs w:val="20"/>
              </w:rPr>
              <w:t>Percentage of agricultural crops lost by fruit-fly infestation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884E3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(in %)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32747F" w:rsidRDefault="0032747F" w:rsidP="006053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710" w:type="dxa"/>
            <w:tcBorders>
              <w:bottom w:val="dotted" w:sz="4" w:space="0" w:color="auto"/>
            </w:tcBorders>
          </w:tcPr>
          <w:p w:rsidR="0032747F" w:rsidRDefault="0032747F" w:rsidP="006053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37.5</w:t>
            </w:r>
          </w:p>
        </w:tc>
        <w:tc>
          <w:tcPr>
            <w:tcW w:w="7248" w:type="dxa"/>
            <w:vMerge/>
            <w:tcBorders>
              <w:bottom w:val="dotted" w:sz="4" w:space="0" w:color="auto"/>
            </w:tcBorders>
          </w:tcPr>
          <w:p w:rsidR="0032747F" w:rsidRPr="00790581" w:rsidRDefault="0032747F" w:rsidP="0032747F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747F" w:rsidRPr="00562DB7" w:rsidTr="00562DB7">
        <w:trPr>
          <w:trHeight w:val="713"/>
          <w:jc w:val="center"/>
        </w:trPr>
        <w:tc>
          <w:tcPr>
            <w:tcW w:w="39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32747F" w:rsidRPr="008716E2" w:rsidRDefault="0032747F" w:rsidP="00457567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716E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IMPACT 3: Reduce losses of livestock production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32747F" w:rsidRPr="008716E2" w:rsidRDefault="0032747F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</w:tcPr>
          <w:p w:rsidR="0032747F" w:rsidRPr="008716E2" w:rsidRDefault="0032747F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48" w:type="dxa"/>
            <w:tcBorders>
              <w:top w:val="dotted" w:sz="4" w:space="0" w:color="auto"/>
              <w:bottom w:val="dotted" w:sz="4" w:space="0" w:color="auto"/>
            </w:tcBorders>
          </w:tcPr>
          <w:p w:rsidR="0032747F" w:rsidRPr="008716E2" w:rsidRDefault="0032747F" w:rsidP="00457567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32747F" w:rsidRPr="00374262" w:rsidTr="001006C5">
        <w:trPr>
          <w:trHeight w:val="713"/>
          <w:jc w:val="center"/>
        </w:trPr>
        <w:tc>
          <w:tcPr>
            <w:tcW w:w="39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32747F" w:rsidRPr="008716E2" w:rsidRDefault="0032747F" w:rsidP="001006C5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Indicator 4</w:t>
            </w:r>
            <w:r w:rsidRPr="008716E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: </w:t>
            </w:r>
            <w:r w:rsidRPr="008716E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Average annual loss of pigs caused by the classical swine fever </w:t>
            </w:r>
            <w:r w:rsidRPr="008716E2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(in US$)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32747F" w:rsidRPr="008716E2" w:rsidRDefault="0032747F" w:rsidP="001006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716E2">
              <w:rPr>
                <w:rFonts w:ascii="Times New Roman" w:eastAsia="Calibri" w:hAnsi="Times New Roman" w:cs="Times New Roman"/>
                <w:sz w:val="20"/>
                <w:szCs w:val="20"/>
              </w:rPr>
              <w:t>593,685</w:t>
            </w: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</w:tcPr>
          <w:p w:rsidR="0032747F" w:rsidRPr="008716E2" w:rsidRDefault="0032747F" w:rsidP="001006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716E2">
              <w:rPr>
                <w:rFonts w:ascii="Times New Roman" w:eastAsia="Calibri" w:hAnsi="Times New Roman" w:cs="Times New Roman"/>
                <w:sz w:val="20"/>
                <w:szCs w:val="20"/>
              </w:rPr>
              <w:t>148,421</w:t>
            </w:r>
          </w:p>
        </w:tc>
        <w:tc>
          <w:tcPr>
            <w:tcW w:w="7248" w:type="dxa"/>
            <w:tcBorders>
              <w:top w:val="dotted" w:sz="4" w:space="0" w:color="auto"/>
              <w:bottom w:val="dotted" w:sz="4" w:space="0" w:color="auto"/>
            </w:tcBorders>
          </w:tcPr>
          <w:p w:rsidR="0032747F" w:rsidRPr="008716E2" w:rsidRDefault="0032747F" w:rsidP="00457567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716E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Source and year of baseline:</w:t>
            </w:r>
            <w:r w:rsidRPr="008716E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Economic Analysis and </w:t>
            </w:r>
            <w:proofErr w:type="gramStart"/>
            <w:r w:rsidRPr="008716E2">
              <w:rPr>
                <w:rFonts w:ascii="Times New Roman" w:eastAsia="Calibri" w:hAnsi="Times New Roman" w:cs="Times New Roman"/>
                <w:sz w:val="20"/>
                <w:szCs w:val="20"/>
              </w:rPr>
              <w:t>MARNDR(</w:t>
            </w:r>
            <w:proofErr w:type="gramEnd"/>
            <w:r w:rsidRPr="008716E2">
              <w:rPr>
                <w:rFonts w:ascii="Times New Roman" w:eastAsia="Calibri" w:hAnsi="Times New Roman" w:cs="Times New Roman"/>
                <w:sz w:val="20"/>
                <w:szCs w:val="20"/>
              </w:rPr>
              <w:t>2013).</w:t>
            </w:r>
            <w:r w:rsidRPr="008716E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8716E2">
              <w:rPr>
                <w:rFonts w:ascii="Times New Roman" w:eastAsia="Calibri" w:hAnsi="Times New Roman" w:cs="Times New Roman"/>
                <w:sz w:val="20"/>
                <w:szCs w:val="20"/>
              </w:rPr>
              <w:t>Will be revised before the vaccination campaign through an epidemiological survey (see output 3.3) in 2015.</w:t>
            </w:r>
          </w:p>
          <w:p w:rsidR="0032747F" w:rsidRPr="008716E2" w:rsidRDefault="0032747F" w:rsidP="00457567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716E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Source of Target:</w:t>
            </w:r>
            <w:r w:rsidRPr="008716E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Economic Analysis</w:t>
            </w:r>
          </w:p>
          <w:p w:rsidR="0032747F" w:rsidRPr="008716E2" w:rsidRDefault="0032747F" w:rsidP="00EC0F44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716E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Verification means: </w:t>
            </w:r>
            <w:r w:rsidRPr="008716E2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Pr="008716E2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nd</w:t>
            </w:r>
            <w:r w:rsidRPr="008716E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epidemiological survey, after the vaccination campaign. </w:t>
            </w:r>
          </w:p>
        </w:tc>
      </w:tr>
      <w:tr w:rsidR="0032747F" w:rsidRPr="00254C57" w:rsidTr="00E878B6">
        <w:trPr>
          <w:trHeight w:val="713"/>
          <w:jc w:val="center"/>
        </w:trPr>
        <w:tc>
          <w:tcPr>
            <w:tcW w:w="3951" w:type="dxa"/>
            <w:tcBorders>
              <w:top w:val="dotted" w:sz="4" w:space="0" w:color="auto"/>
            </w:tcBorders>
            <w:shd w:val="clear" w:color="auto" w:fill="auto"/>
          </w:tcPr>
          <w:p w:rsidR="0032747F" w:rsidRPr="008716E2" w:rsidRDefault="0032747F" w:rsidP="00457567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Indicator 5</w:t>
            </w:r>
            <w:r w:rsidRPr="008716E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: </w:t>
            </w:r>
            <w:r w:rsidRPr="008716E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Average annual loss of pigs caused by the </w:t>
            </w:r>
            <w:proofErr w:type="spellStart"/>
            <w:r w:rsidRPr="008716E2">
              <w:rPr>
                <w:rFonts w:ascii="Times New Roman" w:eastAsia="Calibri" w:hAnsi="Times New Roman" w:cs="Times New Roman"/>
                <w:sz w:val="20"/>
                <w:szCs w:val="20"/>
              </w:rPr>
              <w:t>Teschen</w:t>
            </w:r>
            <w:proofErr w:type="spellEnd"/>
            <w:r w:rsidRPr="008716E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disease </w:t>
            </w:r>
            <w:r w:rsidRPr="008716E2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(in US$)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32747F" w:rsidRPr="008716E2" w:rsidRDefault="0032747F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716E2">
              <w:rPr>
                <w:rFonts w:ascii="Times New Roman" w:eastAsia="Calibri" w:hAnsi="Times New Roman" w:cs="Times New Roman"/>
                <w:sz w:val="20"/>
                <w:szCs w:val="20"/>
              </w:rPr>
              <w:t>449,421</w:t>
            </w:r>
          </w:p>
        </w:tc>
        <w:tc>
          <w:tcPr>
            <w:tcW w:w="1710" w:type="dxa"/>
            <w:tcBorders>
              <w:top w:val="dotted" w:sz="4" w:space="0" w:color="auto"/>
            </w:tcBorders>
          </w:tcPr>
          <w:p w:rsidR="0032747F" w:rsidRPr="008716E2" w:rsidRDefault="0032747F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716E2">
              <w:rPr>
                <w:rFonts w:ascii="Times New Roman" w:eastAsia="Calibri" w:hAnsi="Times New Roman" w:cs="Times New Roman"/>
                <w:sz w:val="20"/>
                <w:szCs w:val="20"/>
              </w:rPr>
              <w:t>112,355</w:t>
            </w:r>
          </w:p>
        </w:tc>
        <w:tc>
          <w:tcPr>
            <w:tcW w:w="7248" w:type="dxa"/>
            <w:tcBorders>
              <w:top w:val="dotted" w:sz="4" w:space="0" w:color="auto"/>
            </w:tcBorders>
          </w:tcPr>
          <w:p w:rsidR="0032747F" w:rsidRPr="008716E2" w:rsidRDefault="0032747F" w:rsidP="00457567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716E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Source and year of baseline:</w:t>
            </w:r>
            <w:r w:rsidRPr="008716E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Economic Analysis and </w:t>
            </w:r>
            <w:proofErr w:type="gramStart"/>
            <w:r w:rsidRPr="008716E2">
              <w:rPr>
                <w:rFonts w:ascii="Times New Roman" w:eastAsia="Calibri" w:hAnsi="Times New Roman" w:cs="Times New Roman"/>
                <w:sz w:val="20"/>
                <w:szCs w:val="20"/>
              </w:rPr>
              <w:t>MARNDR(</w:t>
            </w:r>
            <w:proofErr w:type="gramEnd"/>
            <w:r w:rsidRPr="008716E2">
              <w:rPr>
                <w:rFonts w:ascii="Times New Roman" w:eastAsia="Calibri" w:hAnsi="Times New Roman" w:cs="Times New Roman"/>
                <w:sz w:val="20"/>
                <w:szCs w:val="20"/>
              </w:rPr>
              <w:t>2013).</w:t>
            </w:r>
            <w:r w:rsidRPr="008716E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8716E2">
              <w:rPr>
                <w:rFonts w:ascii="Times New Roman" w:eastAsia="Calibri" w:hAnsi="Times New Roman" w:cs="Times New Roman"/>
                <w:sz w:val="20"/>
                <w:szCs w:val="20"/>
              </w:rPr>
              <w:t>Will be revised before the vaccination campaign through an epidemiological survey (see output 3.3) in 2015.</w:t>
            </w:r>
          </w:p>
          <w:p w:rsidR="0032747F" w:rsidRPr="008716E2" w:rsidRDefault="0032747F" w:rsidP="00457567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716E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Source of Target:</w:t>
            </w:r>
            <w:r w:rsidRPr="008716E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Economic Analysis</w:t>
            </w:r>
          </w:p>
          <w:p w:rsidR="0032747F" w:rsidRPr="008716E2" w:rsidRDefault="0032747F" w:rsidP="00D55C72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716E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Verification means: </w:t>
            </w:r>
            <w:r w:rsidRPr="008716E2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Pr="008716E2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nd</w:t>
            </w:r>
            <w:r w:rsidRPr="008716E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epidemiological survey, after the vaccination campaign. </w:t>
            </w:r>
          </w:p>
        </w:tc>
      </w:tr>
    </w:tbl>
    <w:p w:rsidR="0032747F" w:rsidRDefault="0032747F" w:rsidP="006672A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2747F" w:rsidRDefault="0032747F" w:rsidP="006672A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2747F" w:rsidRDefault="0032747F" w:rsidP="006672A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2747F" w:rsidRPr="00374262" w:rsidRDefault="0032747F" w:rsidP="006672A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562DB7" w:rsidRDefault="00562DB7" w:rsidP="006672A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562DB7" w:rsidRPr="00690F6B" w:rsidRDefault="00562DB7" w:rsidP="006672A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151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20"/>
        <w:gridCol w:w="902"/>
        <w:gridCol w:w="881"/>
        <w:gridCol w:w="936"/>
        <w:gridCol w:w="900"/>
        <w:gridCol w:w="900"/>
        <w:gridCol w:w="900"/>
        <w:gridCol w:w="900"/>
        <w:gridCol w:w="5220"/>
      </w:tblGrid>
      <w:tr w:rsidR="004C2CE6" w:rsidRPr="00690F6B" w:rsidTr="00884E3B">
        <w:trPr>
          <w:trHeight w:val="48"/>
          <w:jc w:val="center"/>
        </w:trPr>
        <w:tc>
          <w:tcPr>
            <w:tcW w:w="15159" w:type="dxa"/>
            <w:gridSpan w:val="9"/>
            <w:tcBorders>
              <w:bottom w:val="single" w:sz="4" w:space="0" w:color="auto"/>
            </w:tcBorders>
            <w:shd w:val="clear" w:color="auto" w:fill="95B3D7"/>
            <w:vAlign w:val="center"/>
          </w:tcPr>
          <w:p w:rsidR="004C2CE6" w:rsidRPr="00690F6B" w:rsidRDefault="004C2CE6" w:rsidP="0088267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COMPO</w:t>
            </w:r>
            <w:r w:rsidR="0088267E"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NENT</w:t>
            </w:r>
            <w:r w:rsidR="00143252"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I: </w:t>
            </w:r>
            <w:r w:rsidR="0088267E"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INSTITUTIONA</w:t>
            </w:r>
            <w:r w:rsidR="00AE5F8D"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L</w:t>
            </w:r>
            <w:r w:rsidR="0088267E"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MANAGEMENT</w:t>
            </w:r>
          </w:p>
        </w:tc>
      </w:tr>
      <w:tr w:rsidR="004C2CE6" w:rsidRPr="00690F6B" w:rsidTr="00884E3B">
        <w:trPr>
          <w:trHeight w:val="533"/>
          <w:tblHeader/>
          <w:jc w:val="center"/>
        </w:trPr>
        <w:tc>
          <w:tcPr>
            <w:tcW w:w="3620" w:type="dxa"/>
            <w:shd w:val="clear" w:color="auto" w:fill="95B3D7"/>
            <w:vAlign w:val="center"/>
          </w:tcPr>
          <w:p w:rsidR="004C2CE6" w:rsidRPr="00690F6B" w:rsidRDefault="002C1428" w:rsidP="006672A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OUTCOMES</w:t>
            </w:r>
          </w:p>
        </w:tc>
        <w:tc>
          <w:tcPr>
            <w:tcW w:w="902" w:type="dxa"/>
            <w:shd w:val="clear" w:color="auto" w:fill="95B3D7"/>
            <w:vAlign w:val="center"/>
          </w:tcPr>
          <w:p w:rsidR="00632EA6" w:rsidRDefault="0088267E" w:rsidP="00632EA6">
            <w:pPr>
              <w:spacing w:after="0" w:line="240" w:lineRule="auto"/>
              <w:ind w:left="69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Base</w:t>
            </w:r>
          </w:p>
          <w:p w:rsidR="004C2CE6" w:rsidRPr="00690F6B" w:rsidRDefault="0088267E" w:rsidP="00632EA6">
            <w:pPr>
              <w:spacing w:after="0" w:line="240" w:lineRule="auto"/>
              <w:ind w:left="69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line</w:t>
            </w:r>
          </w:p>
        </w:tc>
        <w:tc>
          <w:tcPr>
            <w:tcW w:w="881" w:type="dxa"/>
            <w:shd w:val="clear" w:color="auto" w:fill="95B3D7"/>
            <w:vAlign w:val="center"/>
          </w:tcPr>
          <w:p w:rsidR="004C2CE6" w:rsidRPr="00690F6B" w:rsidRDefault="004C2CE6" w:rsidP="006672AD">
            <w:pPr>
              <w:spacing w:after="0" w:line="240" w:lineRule="auto"/>
              <w:ind w:left="15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Y1</w:t>
            </w:r>
          </w:p>
        </w:tc>
        <w:tc>
          <w:tcPr>
            <w:tcW w:w="936" w:type="dxa"/>
            <w:shd w:val="clear" w:color="auto" w:fill="95B3D7"/>
            <w:vAlign w:val="center"/>
          </w:tcPr>
          <w:p w:rsidR="004C2CE6" w:rsidRPr="00690F6B" w:rsidRDefault="004C2CE6" w:rsidP="006672AD">
            <w:pPr>
              <w:spacing w:after="0" w:line="240" w:lineRule="auto"/>
              <w:ind w:left="15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Y2</w:t>
            </w:r>
          </w:p>
        </w:tc>
        <w:tc>
          <w:tcPr>
            <w:tcW w:w="900" w:type="dxa"/>
            <w:shd w:val="clear" w:color="auto" w:fill="95B3D7"/>
            <w:vAlign w:val="center"/>
          </w:tcPr>
          <w:p w:rsidR="004C2CE6" w:rsidRPr="00690F6B" w:rsidRDefault="004C2CE6" w:rsidP="006672AD">
            <w:pPr>
              <w:spacing w:after="0" w:line="240" w:lineRule="auto"/>
              <w:ind w:left="15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Y3</w:t>
            </w:r>
          </w:p>
        </w:tc>
        <w:tc>
          <w:tcPr>
            <w:tcW w:w="900" w:type="dxa"/>
            <w:shd w:val="clear" w:color="auto" w:fill="95B3D7"/>
            <w:vAlign w:val="center"/>
          </w:tcPr>
          <w:p w:rsidR="004C2CE6" w:rsidRPr="00690F6B" w:rsidRDefault="004C2CE6" w:rsidP="006672AD">
            <w:pPr>
              <w:spacing w:after="0" w:line="240" w:lineRule="auto"/>
              <w:ind w:left="15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Y4</w:t>
            </w:r>
          </w:p>
        </w:tc>
        <w:tc>
          <w:tcPr>
            <w:tcW w:w="900" w:type="dxa"/>
            <w:shd w:val="clear" w:color="auto" w:fill="95B3D7"/>
            <w:vAlign w:val="center"/>
          </w:tcPr>
          <w:p w:rsidR="004C2CE6" w:rsidRPr="00690F6B" w:rsidRDefault="004C2CE6" w:rsidP="00632E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Y5</w:t>
            </w:r>
          </w:p>
        </w:tc>
        <w:tc>
          <w:tcPr>
            <w:tcW w:w="900" w:type="dxa"/>
            <w:shd w:val="clear" w:color="auto" w:fill="95B3D7"/>
            <w:vAlign w:val="center"/>
          </w:tcPr>
          <w:p w:rsidR="004C2CE6" w:rsidRPr="00690F6B" w:rsidRDefault="0088267E" w:rsidP="006672A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End of Project</w:t>
            </w:r>
          </w:p>
        </w:tc>
        <w:tc>
          <w:tcPr>
            <w:tcW w:w="5220" w:type="dxa"/>
            <w:shd w:val="clear" w:color="auto" w:fill="95B3D7"/>
            <w:vAlign w:val="center"/>
          </w:tcPr>
          <w:p w:rsidR="004C2CE6" w:rsidRPr="00690F6B" w:rsidRDefault="0088267E" w:rsidP="006672A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Comments</w:t>
            </w:r>
          </w:p>
        </w:tc>
      </w:tr>
      <w:tr w:rsidR="00EC0F44" w:rsidRPr="00D84FAD" w:rsidTr="00884E3B">
        <w:trPr>
          <w:trHeight w:val="380"/>
          <w:jc w:val="center"/>
        </w:trPr>
        <w:tc>
          <w:tcPr>
            <w:tcW w:w="3620" w:type="dxa"/>
            <w:tcBorders>
              <w:bottom w:val="nil"/>
            </w:tcBorders>
            <w:shd w:val="clear" w:color="auto" w:fill="auto"/>
            <w:vAlign w:val="center"/>
          </w:tcPr>
          <w:p w:rsidR="004C2CE6" w:rsidRPr="00D84FAD" w:rsidRDefault="007A1924" w:rsidP="00D101E9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84FA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OUTCOME</w:t>
            </w:r>
            <w:r w:rsidR="004C2CE6" w:rsidRPr="00D84FA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1</w:t>
            </w:r>
            <w:r w:rsidR="00BC383E" w:rsidRPr="00D84FA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 </w:t>
            </w:r>
            <w:r w:rsidR="004C2CE6" w:rsidRPr="00D84FA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: </w:t>
            </w:r>
            <w:r w:rsidR="00DB1497" w:rsidRPr="00D84FA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A</w:t>
            </w:r>
            <w:r w:rsidR="002F5824" w:rsidRPr="00D84FA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gricultural health </w:t>
            </w:r>
            <w:r w:rsidR="00DB1497" w:rsidRPr="00D84FA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services </w:t>
            </w:r>
            <w:r w:rsidR="00687747" w:rsidRPr="00D84FA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decentralized</w:t>
            </w:r>
            <w:r w:rsidR="00D84FAD" w:rsidRPr="00D84FA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to the field</w:t>
            </w:r>
          </w:p>
        </w:tc>
        <w:tc>
          <w:tcPr>
            <w:tcW w:w="902" w:type="dxa"/>
            <w:tcBorders>
              <w:bottom w:val="nil"/>
            </w:tcBorders>
            <w:vAlign w:val="center"/>
          </w:tcPr>
          <w:p w:rsidR="004C2CE6" w:rsidRPr="00D84FAD" w:rsidRDefault="004C2CE6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81" w:type="dxa"/>
            <w:tcBorders>
              <w:bottom w:val="nil"/>
            </w:tcBorders>
            <w:vAlign w:val="center"/>
          </w:tcPr>
          <w:p w:rsidR="004C2CE6" w:rsidRPr="00D84FAD" w:rsidRDefault="004C2CE6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tcBorders>
              <w:bottom w:val="nil"/>
            </w:tcBorders>
            <w:vAlign w:val="center"/>
          </w:tcPr>
          <w:p w:rsidR="004C2CE6" w:rsidRPr="00D84FAD" w:rsidRDefault="004C2CE6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nil"/>
            </w:tcBorders>
            <w:vAlign w:val="center"/>
          </w:tcPr>
          <w:p w:rsidR="004C2CE6" w:rsidRPr="00D84FAD" w:rsidRDefault="004C2CE6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nil"/>
            </w:tcBorders>
            <w:vAlign w:val="center"/>
          </w:tcPr>
          <w:p w:rsidR="004C2CE6" w:rsidRPr="00D84FAD" w:rsidRDefault="004C2CE6" w:rsidP="00667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nil"/>
            </w:tcBorders>
            <w:vAlign w:val="center"/>
          </w:tcPr>
          <w:p w:rsidR="004C2CE6" w:rsidRPr="00D84FAD" w:rsidRDefault="004C2CE6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nil"/>
            </w:tcBorders>
            <w:vAlign w:val="center"/>
          </w:tcPr>
          <w:p w:rsidR="004C2CE6" w:rsidRPr="00D84FAD" w:rsidRDefault="004C2CE6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220" w:type="dxa"/>
            <w:vAlign w:val="center"/>
          </w:tcPr>
          <w:p w:rsidR="004C2CE6" w:rsidRPr="00D84FAD" w:rsidRDefault="004C2CE6" w:rsidP="006672A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  <w:tr w:rsidR="008F2F9F" w:rsidRPr="00690F6B" w:rsidTr="00884E3B">
        <w:trPr>
          <w:trHeight w:val="1352"/>
          <w:jc w:val="center"/>
        </w:trPr>
        <w:tc>
          <w:tcPr>
            <w:tcW w:w="3620" w:type="dxa"/>
            <w:tcBorders>
              <w:bottom w:val="nil"/>
            </w:tcBorders>
            <w:shd w:val="clear" w:color="auto" w:fill="auto"/>
            <w:vAlign w:val="center"/>
          </w:tcPr>
          <w:p w:rsidR="000A1849" w:rsidRPr="00690F6B" w:rsidRDefault="00605365" w:rsidP="00144663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Indicator 1.1. </w:t>
            </w:r>
            <w:r w:rsidRPr="000A3A9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Number of farmers who will benefit from provision of </w:t>
            </w:r>
            <w:proofErr w:type="spellStart"/>
            <w:r w:rsidRPr="000A3A9B">
              <w:rPr>
                <w:rFonts w:ascii="Times New Roman" w:eastAsia="Calibri" w:hAnsi="Times New Roman" w:cs="Times New Roman"/>
                <w:sz w:val="20"/>
                <w:szCs w:val="20"/>
              </w:rPr>
              <w:t>descentralized</w:t>
            </w:r>
            <w:proofErr w:type="spellEnd"/>
            <w:r w:rsidRPr="000A3A9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plant and animal health services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(in: # of farmers)</w:t>
            </w:r>
          </w:p>
        </w:tc>
        <w:tc>
          <w:tcPr>
            <w:tcW w:w="902" w:type="dxa"/>
            <w:tcBorders>
              <w:bottom w:val="nil"/>
            </w:tcBorders>
            <w:vAlign w:val="center"/>
          </w:tcPr>
          <w:p w:rsidR="000A1849" w:rsidRPr="00690F6B" w:rsidRDefault="000A1849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81" w:type="dxa"/>
            <w:tcBorders>
              <w:bottom w:val="nil"/>
            </w:tcBorders>
            <w:vAlign w:val="center"/>
          </w:tcPr>
          <w:p w:rsidR="000A1849" w:rsidRPr="00690F6B" w:rsidRDefault="000A1849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tcBorders>
              <w:bottom w:val="nil"/>
            </w:tcBorders>
            <w:vAlign w:val="center"/>
          </w:tcPr>
          <w:p w:rsidR="000A1849" w:rsidRPr="00690F6B" w:rsidRDefault="000A1849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nil"/>
            </w:tcBorders>
            <w:vAlign w:val="center"/>
          </w:tcPr>
          <w:p w:rsidR="000A1849" w:rsidRPr="00690F6B" w:rsidRDefault="000A1849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nil"/>
            </w:tcBorders>
            <w:vAlign w:val="center"/>
          </w:tcPr>
          <w:p w:rsidR="000A1849" w:rsidRPr="005B3C49" w:rsidRDefault="000A1849" w:rsidP="00562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nil"/>
            </w:tcBorders>
            <w:vAlign w:val="center"/>
          </w:tcPr>
          <w:p w:rsidR="000A1849" w:rsidRPr="005B3C49" w:rsidRDefault="005B3C49" w:rsidP="00884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3C49">
              <w:rPr>
                <w:rFonts w:ascii="Times New Roman" w:eastAsia="Calibri" w:hAnsi="Times New Roman" w:cs="Times New Roman"/>
                <w:sz w:val="20"/>
                <w:szCs w:val="20"/>
              </w:rPr>
              <w:t>640,000</w:t>
            </w:r>
          </w:p>
        </w:tc>
        <w:tc>
          <w:tcPr>
            <w:tcW w:w="900" w:type="dxa"/>
            <w:tcBorders>
              <w:bottom w:val="nil"/>
            </w:tcBorders>
            <w:vAlign w:val="center"/>
          </w:tcPr>
          <w:p w:rsidR="000A1849" w:rsidRPr="005B3C49" w:rsidRDefault="005B3C49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3C49">
              <w:rPr>
                <w:rFonts w:ascii="Times New Roman" w:eastAsia="Calibri" w:hAnsi="Times New Roman" w:cs="Times New Roman"/>
                <w:sz w:val="20"/>
                <w:szCs w:val="20"/>
              </w:rPr>
              <w:t>640,000</w:t>
            </w:r>
          </w:p>
        </w:tc>
        <w:tc>
          <w:tcPr>
            <w:tcW w:w="5220" w:type="dxa"/>
            <w:vAlign w:val="center"/>
          </w:tcPr>
          <w:p w:rsidR="0088267E" w:rsidRPr="00690F6B" w:rsidRDefault="0088267E" w:rsidP="0088267E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Source and year of baseline: </w:t>
            </w:r>
            <w:r w:rsidR="00D84FAD">
              <w:rPr>
                <w:rFonts w:ascii="Times New Roman" w:eastAsia="Calibri" w:hAnsi="Times New Roman" w:cs="Times New Roman"/>
                <w:sz w:val="20"/>
                <w:szCs w:val="20"/>
              </w:rPr>
              <w:t>2009</w:t>
            </w:r>
            <w:r w:rsidR="00562DB7">
              <w:rPr>
                <w:rFonts w:ascii="Times New Roman" w:eastAsia="Calibri" w:hAnsi="Times New Roman" w:cs="Times New Roman"/>
                <w:sz w:val="20"/>
                <w:szCs w:val="20"/>
              </w:rPr>
              <w:t>, General Agricultural Census (for the number of farmers)</w:t>
            </w:r>
          </w:p>
          <w:p w:rsidR="000A1849" w:rsidRDefault="0088267E" w:rsidP="00562DB7">
            <w:pPr>
              <w:tabs>
                <w:tab w:val="left" w:pos="103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Verification means:</w:t>
            </w:r>
            <w:r w:rsidR="00B91393"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="00562DB7">
              <w:rPr>
                <w:rFonts w:ascii="Times New Roman" w:eastAsia="Calibri" w:hAnsi="Times New Roman" w:cs="Times New Roman"/>
                <w:sz w:val="20"/>
                <w:szCs w:val="20"/>
              </w:rPr>
              <w:t>independent final evaluation</w:t>
            </w:r>
            <w:r w:rsidR="00D84FAD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EC0F44" w:rsidRPr="00690F6B" w:rsidRDefault="00EC0F44" w:rsidP="005B3C49">
            <w:pPr>
              <w:tabs>
                <w:tab w:val="left" w:pos="103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Observation: the target corresponds to the number of farmers in the 5 departments</w:t>
            </w:r>
            <w:r w:rsidR="005B3C4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5B3C49">
              <w:rPr>
                <w:rFonts w:ascii="Times New Roman" w:eastAsia="Calibri" w:hAnsi="Times New Roman" w:cs="Times New Roman"/>
                <w:sz w:val="20"/>
                <w:szCs w:val="20"/>
              </w:rPr>
              <w:t>Ouest</w:t>
            </w:r>
            <w:proofErr w:type="spellEnd"/>
            <w:r w:rsidR="005B3C4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5B3C49">
              <w:rPr>
                <w:rFonts w:ascii="Times New Roman" w:eastAsia="Calibri" w:hAnsi="Times New Roman" w:cs="Times New Roman"/>
                <w:sz w:val="20"/>
                <w:szCs w:val="20"/>
              </w:rPr>
              <w:t>Artibonite</w:t>
            </w:r>
            <w:proofErr w:type="spellEnd"/>
            <w:r w:rsidR="005B3C4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Centre, </w:t>
            </w:r>
            <w:proofErr w:type="spellStart"/>
            <w:r w:rsidR="005B3C49">
              <w:rPr>
                <w:rFonts w:ascii="Times New Roman" w:eastAsia="Calibri" w:hAnsi="Times New Roman" w:cs="Times New Roman"/>
                <w:sz w:val="20"/>
                <w:szCs w:val="20"/>
              </w:rPr>
              <w:t>Sud</w:t>
            </w:r>
            <w:proofErr w:type="spellEnd"/>
            <w:r w:rsidR="005B3C4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5B3C49">
              <w:rPr>
                <w:rFonts w:ascii="Times New Roman" w:eastAsia="Calibri" w:hAnsi="Times New Roman" w:cs="Times New Roman"/>
                <w:sz w:val="20"/>
                <w:szCs w:val="20"/>
              </w:rPr>
              <w:t>Nord’Ouest</w:t>
            </w:r>
            <w:proofErr w:type="spellEnd"/>
            <w:r w:rsidR="005B3C49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were a decentralized agricultural health</w:t>
            </w:r>
            <w:r w:rsidR="003867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center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will be operating.</w:t>
            </w:r>
          </w:p>
        </w:tc>
      </w:tr>
      <w:tr w:rsidR="00DB1497" w:rsidRPr="00D07AFE" w:rsidTr="00884E3B">
        <w:trPr>
          <w:trHeight w:val="380"/>
          <w:jc w:val="center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497" w:rsidRPr="00D07AFE" w:rsidRDefault="007A1924" w:rsidP="00AC6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07AF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OUTCOME</w:t>
            </w:r>
            <w:r w:rsidR="00DB1497" w:rsidRPr="00D07AF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2: Cost recovery system established </w:t>
            </w:r>
            <w:r w:rsidR="00AC64AB" w:rsidRPr="00D07AF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for</w:t>
            </w:r>
            <w:r w:rsidR="00DB1497" w:rsidRPr="00D07AF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key </w:t>
            </w:r>
            <w:r w:rsidR="00AC64AB" w:rsidRPr="00D07AF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functions</w:t>
            </w:r>
            <w:r w:rsidR="00E9370F" w:rsidRPr="00D07AF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/programs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497" w:rsidRPr="00D07AFE" w:rsidRDefault="00D21CBE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7AFE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497" w:rsidRPr="00D07AFE" w:rsidRDefault="00DB1497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497" w:rsidRPr="00D07AFE" w:rsidRDefault="00DB1497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497" w:rsidRPr="00D07AFE" w:rsidRDefault="00DB1497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497" w:rsidRPr="00D07AFE" w:rsidRDefault="00DB1497" w:rsidP="00667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497" w:rsidRPr="00D07AFE" w:rsidRDefault="00DB1497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497" w:rsidRPr="00D07AFE" w:rsidRDefault="00DB1497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497" w:rsidRPr="00D07AFE" w:rsidRDefault="00EC0F44" w:rsidP="00D101E9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07AF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T</w:t>
            </w:r>
            <w:r w:rsidR="004D5C10" w:rsidRPr="00D07AF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argets for indicators 2.1 to 2.5</w:t>
            </w:r>
            <w:r w:rsidR="007F13AE" w:rsidRPr="00D07AF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are based on the average cost recovery rate observed in other countries of the region, but they may </w:t>
            </w:r>
            <w:r w:rsidR="004D5C10" w:rsidRPr="00D07AF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be revised </w:t>
            </w:r>
            <w:r w:rsidR="002C2EC6" w:rsidRPr="00D07AF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in Y2 </w:t>
            </w:r>
            <w:r w:rsidR="004D5C10" w:rsidRPr="00D07AF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following the </w:t>
            </w:r>
            <w:r w:rsidR="007F13AE" w:rsidRPr="00D07AF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recommendations</w:t>
            </w:r>
            <w:r w:rsidR="004D5C10" w:rsidRPr="00D07AF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of </w:t>
            </w:r>
            <w:r w:rsidR="007F13AE" w:rsidRPr="00D07AF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the firm that will</w:t>
            </w:r>
            <w:r w:rsidR="002C2EC6" w:rsidRPr="00D07AF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="004D5C10" w:rsidRPr="00D07AF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d</w:t>
            </w:r>
            <w:r w:rsidR="002C2EC6" w:rsidRPr="00D07AF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esign </w:t>
            </w:r>
            <w:r w:rsidR="004D5C10" w:rsidRPr="00D07AF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the cost recovery system.</w:t>
            </w:r>
            <w:r w:rsidR="00BC48C9" w:rsidRPr="00D07AF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="00E878B6" w:rsidRPr="00D07AF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Fees should cover most consumables and activities </w:t>
            </w:r>
            <w:r w:rsidR="005D01C7" w:rsidRPr="00D07AF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performed </w:t>
            </w:r>
            <w:r w:rsidR="00E878B6" w:rsidRPr="00D07AF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by private sector agents; </w:t>
            </w:r>
            <w:r w:rsidR="00BC48C9" w:rsidRPr="00D07AF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remaining costs will be covered</w:t>
            </w:r>
            <w:r w:rsidR="00E878B6" w:rsidRPr="00D07AF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by Public Treasury</w:t>
            </w:r>
            <w:r w:rsidR="005D01C7" w:rsidRPr="00D07AF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(i.e. salaries of </w:t>
            </w:r>
            <w:r w:rsidR="00BC6B89" w:rsidRPr="00D07AF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MARNDR’s </w:t>
            </w:r>
            <w:r w:rsidR="00BC48C9" w:rsidRPr="00D07AF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staff</w:t>
            </w:r>
            <w:r w:rsidR="00D101E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</w:t>
            </w:r>
            <w:r w:rsidR="005D01C7" w:rsidRPr="00D07AF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fuel…)</w:t>
            </w:r>
          </w:p>
        </w:tc>
      </w:tr>
      <w:tr w:rsidR="00EC0F44" w:rsidRPr="00D07AFE" w:rsidTr="00884E3B">
        <w:trPr>
          <w:trHeight w:val="380"/>
          <w:jc w:val="center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44" w:rsidRPr="00D07AFE" w:rsidRDefault="00EC0F44" w:rsidP="00031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7AF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Indicator 2.1: </w:t>
            </w:r>
            <w:r w:rsidRPr="00D07AFE">
              <w:rPr>
                <w:rFonts w:ascii="Times New Roman" w:eastAsia="Calibri" w:hAnsi="Times New Roman" w:cs="Times New Roman"/>
                <w:sz w:val="20"/>
                <w:szCs w:val="20"/>
              </w:rPr>
              <w:t>Percentage of operational</w:t>
            </w:r>
            <w:r w:rsidRPr="00D07AF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D07AF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cost covered by fees in the Fruit Fly monitoring and control program </w:t>
            </w:r>
            <w:r w:rsidRPr="00D07AFE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(in: % of total costs)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44" w:rsidRPr="00D07AFE" w:rsidRDefault="00EC0F44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7AFE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44" w:rsidRPr="00D07AFE" w:rsidRDefault="00EC0F44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44" w:rsidRPr="00D07AFE" w:rsidRDefault="00EC0F44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44" w:rsidRPr="00D07AFE" w:rsidRDefault="00EC0F44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44" w:rsidRPr="00D07AFE" w:rsidRDefault="00EC0F44" w:rsidP="00667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44" w:rsidRPr="00D07AFE" w:rsidRDefault="00EC0F44" w:rsidP="001006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7AFE">
              <w:rPr>
                <w:rFonts w:ascii="Times New Roman" w:eastAsia="Calibri" w:hAnsi="Times New Roman" w:cs="Times New Roman"/>
                <w:sz w:val="20"/>
                <w:szCs w:val="20"/>
              </w:rPr>
              <w:t>50%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44" w:rsidRPr="00D07AFE" w:rsidRDefault="00EC0F44" w:rsidP="001006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7AFE">
              <w:rPr>
                <w:rFonts w:ascii="Times New Roman" w:eastAsia="Calibri" w:hAnsi="Times New Roman" w:cs="Times New Roman"/>
                <w:sz w:val="20"/>
                <w:szCs w:val="20"/>
              </w:rPr>
              <w:t>50%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44" w:rsidRPr="00D07AFE" w:rsidRDefault="00EC0F44" w:rsidP="0088267E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7AF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Operation HA-L1094 will finance the Fruit Fly control program for 2 years only. Cost recovery </w:t>
            </w:r>
            <w:r w:rsidR="006A14E3" w:rsidRPr="00D07AF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(and Public Treasury) </w:t>
            </w:r>
            <w:r w:rsidRPr="00D07AFE">
              <w:rPr>
                <w:rFonts w:ascii="Times New Roman" w:eastAsia="Calibri" w:hAnsi="Times New Roman" w:cs="Times New Roman"/>
                <w:sz w:val="20"/>
                <w:szCs w:val="20"/>
              </w:rPr>
              <w:t>should finance the program for the subsequent years.</w:t>
            </w:r>
            <w:r w:rsidR="00BC48C9" w:rsidRPr="00D07AF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EC0F44" w:rsidRPr="00D07AFE" w:rsidRDefault="00EC0F44" w:rsidP="0088267E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07AF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Source and year of baseline: </w:t>
            </w:r>
            <w:r w:rsidRPr="00D07AFE">
              <w:rPr>
                <w:rFonts w:ascii="Times New Roman" w:eastAsia="Calibri" w:hAnsi="Times New Roman" w:cs="Times New Roman"/>
                <w:sz w:val="20"/>
                <w:szCs w:val="20"/>
              </w:rPr>
              <w:t>2014</w:t>
            </w:r>
          </w:p>
          <w:p w:rsidR="00EC0F44" w:rsidRPr="00D07AFE" w:rsidRDefault="00EC0F44" w:rsidP="0088267E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07AF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Verification means: </w:t>
            </w:r>
            <w:r w:rsidRPr="00D07AFE">
              <w:rPr>
                <w:rFonts w:ascii="Times New Roman" w:eastAsia="Calibri" w:hAnsi="Times New Roman" w:cs="Times New Roman"/>
                <w:sz w:val="20"/>
                <w:szCs w:val="20"/>
              </w:rPr>
              <w:t>internal reports by the financial service of the Agricultural Health Unit.</w:t>
            </w:r>
          </w:p>
        </w:tc>
      </w:tr>
      <w:tr w:rsidR="00EC0F44" w:rsidRPr="00690F6B" w:rsidTr="00884E3B">
        <w:trPr>
          <w:trHeight w:val="380"/>
          <w:jc w:val="center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44" w:rsidRPr="00D07AFE" w:rsidRDefault="00EC0F44" w:rsidP="00031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07AF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Indicator 2.2: </w:t>
            </w:r>
            <w:r w:rsidRPr="00D07AFE">
              <w:rPr>
                <w:rFonts w:ascii="Times New Roman" w:eastAsia="Calibri" w:hAnsi="Times New Roman" w:cs="Times New Roman"/>
                <w:sz w:val="20"/>
                <w:szCs w:val="20"/>
              </w:rPr>
              <w:t>Percentage of operational</w:t>
            </w:r>
            <w:r w:rsidRPr="00D07AFE" w:rsidDel="000310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07AF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cost covered by fees in the Classical Swine Fever and </w:t>
            </w:r>
            <w:proofErr w:type="spellStart"/>
            <w:r w:rsidRPr="00D07AFE">
              <w:rPr>
                <w:rFonts w:ascii="Times New Roman" w:eastAsia="Calibri" w:hAnsi="Times New Roman" w:cs="Times New Roman"/>
                <w:sz w:val="20"/>
                <w:szCs w:val="20"/>
              </w:rPr>
              <w:t>Teschen</w:t>
            </w:r>
            <w:proofErr w:type="spellEnd"/>
            <w:r w:rsidRPr="00D07AF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disease control and pig identification program </w:t>
            </w:r>
            <w:r w:rsidRPr="00D07AFE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(in: % of total costs)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44" w:rsidRPr="00D07AFE" w:rsidRDefault="00EC0F44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7AFE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44" w:rsidRPr="00D07AFE" w:rsidRDefault="00EC0F44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44" w:rsidRPr="00D07AFE" w:rsidRDefault="00EC0F44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44" w:rsidRPr="00D07AFE" w:rsidRDefault="00EC0F44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44" w:rsidRPr="00D07AFE" w:rsidRDefault="00EC0F44" w:rsidP="00667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44" w:rsidRPr="00D07AFE" w:rsidRDefault="00EC0F44" w:rsidP="001006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7AFE">
              <w:rPr>
                <w:rFonts w:ascii="Times New Roman" w:eastAsia="Calibri" w:hAnsi="Times New Roman" w:cs="Times New Roman"/>
                <w:sz w:val="20"/>
                <w:szCs w:val="20"/>
              </w:rPr>
              <w:t>50%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44" w:rsidRPr="00D07AFE" w:rsidRDefault="00EC0F44" w:rsidP="001006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7AFE">
              <w:rPr>
                <w:rFonts w:ascii="Times New Roman" w:eastAsia="Calibri" w:hAnsi="Times New Roman" w:cs="Times New Roman"/>
                <w:sz w:val="20"/>
                <w:szCs w:val="20"/>
              </w:rPr>
              <w:t>50%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44" w:rsidRPr="00D07AFE" w:rsidRDefault="00EC0F44" w:rsidP="00DA6D0F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7AF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Operation HA-L1094 will finance the Classical Swine Fever and </w:t>
            </w:r>
            <w:proofErr w:type="spellStart"/>
            <w:r w:rsidRPr="00D07AFE">
              <w:rPr>
                <w:rFonts w:ascii="Times New Roman" w:eastAsia="Calibri" w:hAnsi="Times New Roman" w:cs="Times New Roman"/>
                <w:sz w:val="20"/>
                <w:szCs w:val="20"/>
              </w:rPr>
              <w:t>Teschen</w:t>
            </w:r>
            <w:proofErr w:type="spellEnd"/>
            <w:r w:rsidRPr="00D07AF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disease control and pig identification program for the 1</w:t>
            </w:r>
            <w:r w:rsidRPr="00D07AFE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st</w:t>
            </w:r>
            <w:r w:rsidRPr="00D07AF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year only. Cost recovery </w:t>
            </w:r>
            <w:r w:rsidR="006A14E3" w:rsidRPr="00D07AF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(and Public Treasury) </w:t>
            </w:r>
            <w:r w:rsidRPr="00D07AFE">
              <w:rPr>
                <w:rFonts w:ascii="Times New Roman" w:eastAsia="Calibri" w:hAnsi="Times New Roman" w:cs="Times New Roman"/>
                <w:sz w:val="20"/>
                <w:szCs w:val="20"/>
              </w:rPr>
              <w:t>should finance the program for the subsequent years</w:t>
            </w:r>
          </w:p>
          <w:p w:rsidR="00EC0F44" w:rsidRPr="00D07AFE" w:rsidRDefault="00EC0F44" w:rsidP="004D5C10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07AF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Source and year of baseline: </w:t>
            </w:r>
            <w:r w:rsidRPr="00D07AFE">
              <w:rPr>
                <w:rFonts w:ascii="Times New Roman" w:eastAsia="Calibri" w:hAnsi="Times New Roman" w:cs="Times New Roman"/>
                <w:sz w:val="20"/>
                <w:szCs w:val="20"/>
              </w:rPr>
              <w:t>2014</w:t>
            </w:r>
          </w:p>
          <w:p w:rsidR="00EC0F44" w:rsidRPr="00DA6D0F" w:rsidRDefault="00EC0F44" w:rsidP="004D5C10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7AF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Verification means: </w:t>
            </w:r>
            <w:r w:rsidRPr="00D07AFE">
              <w:rPr>
                <w:rFonts w:ascii="Times New Roman" w:eastAsia="Calibri" w:hAnsi="Times New Roman" w:cs="Times New Roman"/>
                <w:sz w:val="20"/>
                <w:szCs w:val="20"/>
              </w:rPr>
              <w:t>internal reports by the financial service of the Agricultural Health Unit.</w:t>
            </w:r>
          </w:p>
        </w:tc>
      </w:tr>
      <w:tr w:rsidR="00EC0F44" w:rsidRPr="00690F6B" w:rsidTr="00884E3B">
        <w:trPr>
          <w:trHeight w:val="380"/>
          <w:jc w:val="center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44" w:rsidRPr="00BC48C9" w:rsidRDefault="00EC0F44" w:rsidP="00031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C48C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Indicator 2.3: </w:t>
            </w:r>
            <w:r w:rsidRPr="00BC48C9">
              <w:rPr>
                <w:rFonts w:ascii="Times New Roman" w:eastAsia="Calibri" w:hAnsi="Times New Roman" w:cs="Times New Roman"/>
                <w:sz w:val="20"/>
                <w:szCs w:val="20"/>
              </w:rPr>
              <w:t>Percentage of operational</w:t>
            </w:r>
            <w:r w:rsidRPr="00BC48C9" w:rsidDel="000310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C48C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cost covered by fees in the Anthrax control and cattle identification program </w:t>
            </w:r>
            <w:r w:rsidRPr="00BC48C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(in: % of total costs)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44" w:rsidRPr="00BC48C9" w:rsidRDefault="00EC0F44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C48C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44" w:rsidRPr="00BC48C9" w:rsidRDefault="00EC0F44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44" w:rsidRPr="00BC48C9" w:rsidRDefault="00EC0F44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44" w:rsidRPr="00BC48C9" w:rsidRDefault="00EC0F44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44" w:rsidRPr="00BC48C9" w:rsidRDefault="00EC0F44" w:rsidP="00667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44" w:rsidRPr="00BC48C9" w:rsidRDefault="00EC0F44" w:rsidP="001006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C48C9">
              <w:rPr>
                <w:rFonts w:ascii="Times New Roman" w:eastAsia="Calibri" w:hAnsi="Times New Roman" w:cs="Times New Roman"/>
                <w:sz w:val="20"/>
                <w:szCs w:val="20"/>
              </w:rPr>
              <w:t>50%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44" w:rsidRPr="00BC48C9" w:rsidRDefault="00EC0F44" w:rsidP="001006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C48C9">
              <w:rPr>
                <w:rFonts w:ascii="Times New Roman" w:eastAsia="Calibri" w:hAnsi="Times New Roman" w:cs="Times New Roman"/>
                <w:sz w:val="20"/>
                <w:szCs w:val="20"/>
              </w:rPr>
              <w:t>50%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44" w:rsidRPr="00DA6D0F" w:rsidRDefault="00EC0F44" w:rsidP="004D5C10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A6D0F">
              <w:rPr>
                <w:rFonts w:ascii="Times New Roman" w:eastAsia="Calibri" w:hAnsi="Times New Roman" w:cs="Times New Roman"/>
                <w:sz w:val="20"/>
                <w:szCs w:val="20"/>
              </w:rPr>
              <w:t>Anthrax control and cattle identification will be financed by the World Bank but operation HA-L1094 will finance the cost recovery mechanism.</w:t>
            </w:r>
          </w:p>
          <w:p w:rsidR="00EC0F44" w:rsidRPr="00DA6D0F" w:rsidRDefault="00EC0F44" w:rsidP="004D5C10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A6D0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Source and year of baseline: </w:t>
            </w:r>
            <w:r w:rsidRPr="00DA6D0F">
              <w:rPr>
                <w:rFonts w:ascii="Times New Roman" w:eastAsia="Calibri" w:hAnsi="Times New Roman" w:cs="Times New Roman"/>
                <w:sz w:val="20"/>
                <w:szCs w:val="20"/>
              </w:rPr>
              <w:t>2014</w:t>
            </w:r>
          </w:p>
          <w:p w:rsidR="00EC0F44" w:rsidRPr="00DA6D0F" w:rsidRDefault="00EC0F44" w:rsidP="004D5C10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A6D0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Verification means: </w:t>
            </w:r>
            <w:r w:rsidRPr="00DA6D0F">
              <w:rPr>
                <w:rFonts w:ascii="Times New Roman" w:eastAsia="Calibri" w:hAnsi="Times New Roman" w:cs="Times New Roman"/>
                <w:sz w:val="20"/>
                <w:szCs w:val="20"/>
              </w:rPr>
              <w:t>internal reports by the financial service of the Agricultural Health Unit.</w:t>
            </w:r>
          </w:p>
        </w:tc>
      </w:tr>
      <w:tr w:rsidR="00EC0F44" w:rsidRPr="00690F6B" w:rsidTr="00884E3B">
        <w:trPr>
          <w:trHeight w:val="380"/>
          <w:jc w:val="center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44" w:rsidRPr="00144663" w:rsidRDefault="00EC0F44" w:rsidP="00D011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466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Indicator 2.4: </w:t>
            </w:r>
            <w:r w:rsidRPr="00144663">
              <w:rPr>
                <w:rFonts w:ascii="Times New Roman" w:eastAsia="Calibri" w:hAnsi="Times New Roman" w:cs="Times New Roman"/>
                <w:sz w:val="20"/>
                <w:szCs w:val="20"/>
              </w:rPr>
              <w:t>Percentage of operational</w:t>
            </w:r>
            <w:r w:rsidRPr="00144663" w:rsidDel="000310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44663">
              <w:rPr>
                <w:rFonts w:ascii="Times New Roman" w:eastAsia="Calibri" w:hAnsi="Times New Roman" w:cs="Times New Roman"/>
                <w:sz w:val="20"/>
                <w:szCs w:val="20"/>
              </w:rPr>
              <w:t>costs covered by fees at LVCQAT</w:t>
            </w:r>
            <w:r w:rsidRPr="00144663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(in: % of total costs)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44" w:rsidRPr="00690F6B" w:rsidRDefault="00EC0F44" w:rsidP="002B59E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44" w:rsidRPr="00690F6B" w:rsidRDefault="00EC0F44" w:rsidP="002B59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44" w:rsidRPr="00690F6B" w:rsidRDefault="00EC0F44" w:rsidP="002B59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44" w:rsidRPr="00690F6B" w:rsidRDefault="00EC0F44" w:rsidP="002B59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44" w:rsidRPr="00690F6B" w:rsidRDefault="00EC0F44" w:rsidP="002B5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44" w:rsidRPr="00EC0F44" w:rsidRDefault="00EC0F44" w:rsidP="001006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C0F44">
              <w:rPr>
                <w:rFonts w:ascii="Times New Roman" w:eastAsia="Calibri" w:hAnsi="Times New Roman" w:cs="Times New Roman"/>
                <w:sz w:val="20"/>
                <w:szCs w:val="20"/>
              </w:rPr>
              <w:t>50%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44" w:rsidRPr="00EC0F44" w:rsidRDefault="00EC0F44" w:rsidP="001006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C0F44">
              <w:rPr>
                <w:rFonts w:ascii="Times New Roman" w:eastAsia="Calibri" w:hAnsi="Times New Roman" w:cs="Times New Roman"/>
                <w:sz w:val="20"/>
                <w:szCs w:val="20"/>
              </w:rPr>
              <w:t>50%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44" w:rsidRPr="00690F6B" w:rsidRDefault="00EC0F44" w:rsidP="004D5C10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Source and year of baseline: </w:t>
            </w: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2014</w:t>
            </w:r>
          </w:p>
          <w:p w:rsidR="00EC0F44" w:rsidRPr="00690F6B" w:rsidRDefault="00EC0F44" w:rsidP="004D5C10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Verification means: </w:t>
            </w: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internal reports by the financial service of the Agricultural Health Unit.</w:t>
            </w:r>
          </w:p>
        </w:tc>
      </w:tr>
      <w:tr w:rsidR="00EC0F44" w:rsidRPr="00690F6B" w:rsidTr="00884E3B">
        <w:trPr>
          <w:trHeight w:val="380"/>
          <w:jc w:val="center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44" w:rsidRPr="00144663" w:rsidRDefault="00EC0F44" w:rsidP="002F51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466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 xml:space="preserve">Indicator 2.5: </w:t>
            </w:r>
            <w:r w:rsidRPr="0014466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Percentage of operational costs covered by fees in the Quarantine services </w:t>
            </w:r>
            <w:r w:rsidRPr="00144663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(in: % of total costs)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44" w:rsidRPr="00690F6B" w:rsidRDefault="00EC0F44" w:rsidP="002B59E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44" w:rsidRPr="00690F6B" w:rsidRDefault="00EC0F44" w:rsidP="002B59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44" w:rsidRPr="00690F6B" w:rsidRDefault="00EC0F44" w:rsidP="002B5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44" w:rsidRPr="00690F6B" w:rsidRDefault="00EC0F44" w:rsidP="002B59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44" w:rsidRPr="00690F6B" w:rsidRDefault="00EC0F44" w:rsidP="002B5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44" w:rsidRPr="00EC0F44" w:rsidRDefault="00EC0F44" w:rsidP="001006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C0F44">
              <w:rPr>
                <w:rFonts w:ascii="Times New Roman" w:eastAsia="Calibri" w:hAnsi="Times New Roman" w:cs="Times New Roman"/>
                <w:sz w:val="20"/>
                <w:szCs w:val="20"/>
              </w:rPr>
              <w:t>50%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44" w:rsidRPr="00EC0F44" w:rsidRDefault="00EC0F44" w:rsidP="002B59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C0F44">
              <w:rPr>
                <w:rFonts w:ascii="Times New Roman" w:eastAsia="Calibri" w:hAnsi="Times New Roman" w:cs="Times New Roman"/>
                <w:sz w:val="20"/>
                <w:szCs w:val="20"/>
              </w:rPr>
              <w:t>50%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44" w:rsidRPr="00DA6D0F" w:rsidRDefault="00EC0F44" w:rsidP="00DA6D0F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A6D0F">
              <w:rPr>
                <w:rFonts w:ascii="Times New Roman" w:eastAsia="Calibri" w:hAnsi="Times New Roman" w:cs="Times New Roman"/>
                <w:sz w:val="20"/>
                <w:szCs w:val="20"/>
              </w:rPr>
              <w:t>Quarantine services will be financed by the World Bank but operation HA-L1094 will finance the cost recovery mechanism.</w:t>
            </w:r>
          </w:p>
          <w:p w:rsidR="00EC0F44" w:rsidRPr="00690F6B" w:rsidRDefault="00EC0F44" w:rsidP="004D5C10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Source and year of baseline: </w:t>
            </w: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2014</w:t>
            </w:r>
          </w:p>
          <w:p w:rsidR="00EC0F44" w:rsidRPr="00690F6B" w:rsidRDefault="00EC0F44" w:rsidP="004D5C10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Verification means: </w:t>
            </w: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internal reports by the financial service of the Agricultural Health Unit.</w:t>
            </w:r>
          </w:p>
        </w:tc>
      </w:tr>
      <w:tr w:rsidR="00EC0F44" w:rsidRPr="00690F6B" w:rsidTr="00884E3B">
        <w:trPr>
          <w:trHeight w:val="533"/>
          <w:tblHeader/>
          <w:jc w:val="center"/>
        </w:trPr>
        <w:tc>
          <w:tcPr>
            <w:tcW w:w="3620" w:type="dxa"/>
            <w:shd w:val="clear" w:color="auto" w:fill="95B3D7"/>
            <w:vAlign w:val="center"/>
          </w:tcPr>
          <w:p w:rsidR="00EC0F44" w:rsidRPr="00690F6B" w:rsidRDefault="00EC0F44" w:rsidP="002B59E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OUTPUTS</w:t>
            </w:r>
          </w:p>
        </w:tc>
        <w:tc>
          <w:tcPr>
            <w:tcW w:w="902" w:type="dxa"/>
            <w:shd w:val="clear" w:color="auto" w:fill="95B3D7"/>
            <w:vAlign w:val="center"/>
          </w:tcPr>
          <w:p w:rsidR="00EC0F44" w:rsidRPr="00690F6B" w:rsidRDefault="00EC0F44" w:rsidP="002B59E8">
            <w:pPr>
              <w:spacing w:after="0" w:line="240" w:lineRule="auto"/>
              <w:ind w:left="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Baseline</w:t>
            </w:r>
          </w:p>
        </w:tc>
        <w:tc>
          <w:tcPr>
            <w:tcW w:w="881" w:type="dxa"/>
            <w:shd w:val="clear" w:color="auto" w:fill="95B3D7"/>
            <w:vAlign w:val="center"/>
          </w:tcPr>
          <w:p w:rsidR="00EC0F44" w:rsidRPr="00690F6B" w:rsidRDefault="00EC0F44" w:rsidP="002B59E8">
            <w:pPr>
              <w:spacing w:after="0" w:line="240" w:lineRule="auto"/>
              <w:ind w:left="15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Y1</w:t>
            </w:r>
          </w:p>
        </w:tc>
        <w:tc>
          <w:tcPr>
            <w:tcW w:w="936" w:type="dxa"/>
            <w:shd w:val="clear" w:color="auto" w:fill="95B3D7"/>
            <w:vAlign w:val="center"/>
          </w:tcPr>
          <w:p w:rsidR="00EC0F44" w:rsidRPr="00690F6B" w:rsidRDefault="00EC0F44" w:rsidP="002B59E8">
            <w:pPr>
              <w:spacing w:after="0" w:line="240" w:lineRule="auto"/>
              <w:ind w:left="15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Y2</w:t>
            </w:r>
          </w:p>
        </w:tc>
        <w:tc>
          <w:tcPr>
            <w:tcW w:w="900" w:type="dxa"/>
            <w:shd w:val="clear" w:color="auto" w:fill="95B3D7"/>
            <w:vAlign w:val="center"/>
          </w:tcPr>
          <w:p w:rsidR="00EC0F44" w:rsidRPr="00690F6B" w:rsidRDefault="00EC0F44" w:rsidP="002B59E8">
            <w:pPr>
              <w:spacing w:after="0" w:line="240" w:lineRule="auto"/>
              <w:ind w:left="15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Y3</w:t>
            </w:r>
          </w:p>
        </w:tc>
        <w:tc>
          <w:tcPr>
            <w:tcW w:w="900" w:type="dxa"/>
            <w:shd w:val="clear" w:color="auto" w:fill="95B3D7"/>
            <w:vAlign w:val="center"/>
          </w:tcPr>
          <w:p w:rsidR="00EC0F44" w:rsidRPr="00690F6B" w:rsidRDefault="00EC0F44" w:rsidP="002B59E8">
            <w:pPr>
              <w:spacing w:after="0" w:line="240" w:lineRule="auto"/>
              <w:ind w:left="15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Y4</w:t>
            </w:r>
          </w:p>
        </w:tc>
        <w:tc>
          <w:tcPr>
            <w:tcW w:w="900" w:type="dxa"/>
            <w:shd w:val="clear" w:color="auto" w:fill="95B3D7"/>
            <w:vAlign w:val="center"/>
          </w:tcPr>
          <w:p w:rsidR="00EC0F44" w:rsidRPr="00690F6B" w:rsidRDefault="00EC0F44" w:rsidP="002B59E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Y5</w:t>
            </w:r>
          </w:p>
        </w:tc>
        <w:tc>
          <w:tcPr>
            <w:tcW w:w="900" w:type="dxa"/>
            <w:shd w:val="clear" w:color="auto" w:fill="95B3D7"/>
            <w:vAlign w:val="center"/>
          </w:tcPr>
          <w:p w:rsidR="00EC0F44" w:rsidRPr="00690F6B" w:rsidRDefault="00EC0F44" w:rsidP="002B59E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End of Project</w:t>
            </w:r>
          </w:p>
        </w:tc>
        <w:tc>
          <w:tcPr>
            <w:tcW w:w="5220" w:type="dxa"/>
            <w:shd w:val="clear" w:color="auto" w:fill="95B3D7"/>
            <w:vAlign w:val="center"/>
          </w:tcPr>
          <w:p w:rsidR="00EC0F44" w:rsidRPr="00690F6B" w:rsidRDefault="00EC0F44" w:rsidP="002B59E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Comments</w:t>
            </w:r>
          </w:p>
        </w:tc>
      </w:tr>
      <w:tr w:rsidR="00EC0F44" w:rsidRPr="00690F6B" w:rsidTr="00884E3B">
        <w:trPr>
          <w:trHeight w:val="335"/>
          <w:jc w:val="center"/>
        </w:trPr>
        <w:tc>
          <w:tcPr>
            <w:tcW w:w="3620" w:type="dxa"/>
            <w:shd w:val="clear" w:color="auto" w:fill="auto"/>
            <w:vAlign w:val="center"/>
          </w:tcPr>
          <w:p w:rsidR="00EC0F44" w:rsidRPr="00690F6B" w:rsidRDefault="00EC0F44" w:rsidP="00BE17C3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OUTPUT 1.1:</w:t>
            </w: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Departmental agricultural health and food safety centers built </w:t>
            </w:r>
            <w:r w:rsidRPr="00690F6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(Unit: </w:t>
            </w:r>
            <w:r w:rsidR="00FA0D0C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c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enters</w:t>
            </w:r>
            <w:r w:rsidRPr="00690F6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902" w:type="dxa"/>
            <w:vAlign w:val="center"/>
          </w:tcPr>
          <w:p w:rsidR="00EC0F44" w:rsidRPr="00690F6B" w:rsidRDefault="00EC0F44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81" w:type="dxa"/>
            <w:vAlign w:val="center"/>
          </w:tcPr>
          <w:p w:rsidR="00EC0F44" w:rsidRPr="00690F6B" w:rsidRDefault="008716E2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6" w:type="dxa"/>
            <w:vAlign w:val="center"/>
          </w:tcPr>
          <w:p w:rsidR="00EC0F44" w:rsidRPr="00690F6B" w:rsidRDefault="008716E2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EC0F44" w:rsidRPr="00690F6B" w:rsidRDefault="001006C5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00" w:type="dxa"/>
            <w:vAlign w:val="center"/>
          </w:tcPr>
          <w:p w:rsidR="00EC0F44" w:rsidRPr="00690F6B" w:rsidRDefault="001006C5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00" w:type="dxa"/>
            <w:vAlign w:val="center"/>
          </w:tcPr>
          <w:p w:rsidR="00EC0F44" w:rsidRPr="00690F6B" w:rsidRDefault="001006C5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0" w:type="dxa"/>
            <w:vAlign w:val="center"/>
          </w:tcPr>
          <w:p w:rsidR="00EC0F44" w:rsidRPr="00690F6B" w:rsidRDefault="001006C5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220" w:type="dxa"/>
            <w:vAlign w:val="center"/>
          </w:tcPr>
          <w:p w:rsidR="000A4767" w:rsidRPr="000A4767" w:rsidRDefault="000A4767" w:rsidP="006672AD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F7AF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The </w:t>
            </w:r>
            <w:r w:rsidRPr="000A4767">
              <w:rPr>
                <w:rFonts w:ascii="Times New Roman" w:eastAsia="Calibri" w:hAnsi="Times New Roman" w:cs="Times New Roman"/>
                <w:sz w:val="20"/>
                <w:szCs w:val="20"/>
              </w:rPr>
              <w:t>5 departments</w:t>
            </w:r>
            <w:r w:rsidRPr="002F7AF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are: </w:t>
            </w:r>
            <w:proofErr w:type="spellStart"/>
            <w:r w:rsidRPr="000A4767">
              <w:rPr>
                <w:rFonts w:ascii="Times New Roman" w:eastAsia="Calibri" w:hAnsi="Times New Roman" w:cs="Times New Roman"/>
                <w:sz w:val="20"/>
                <w:szCs w:val="20"/>
              </w:rPr>
              <w:t>Ouest</w:t>
            </w:r>
            <w:proofErr w:type="spellEnd"/>
            <w:r w:rsidRPr="000A47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A4767">
              <w:rPr>
                <w:rFonts w:ascii="Times New Roman" w:eastAsia="Calibri" w:hAnsi="Times New Roman" w:cs="Times New Roman"/>
                <w:sz w:val="20"/>
                <w:szCs w:val="20"/>
              </w:rPr>
              <w:t>Arti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bonite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Centre, </w:t>
            </w:r>
            <w:r w:rsidR="000B6D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and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Sud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Nord’Ouest</w:t>
            </w:r>
            <w:proofErr w:type="spellEnd"/>
          </w:p>
          <w:p w:rsidR="00EC0F44" w:rsidRPr="00690F6B" w:rsidRDefault="00EC0F44" w:rsidP="006672AD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Year of baseline</w:t>
            </w: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: 2014</w:t>
            </w:r>
          </w:p>
          <w:p w:rsidR="00EC0F44" w:rsidRPr="00690F6B" w:rsidRDefault="00EC0F44" w:rsidP="00AA2F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Verification means:</w:t>
            </w: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work acceptance report + visual observation during IDB field inspection visit</w:t>
            </w:r>
          </w:p>
        </w:tc>
      </w:tr>
      <w:tr w:rsidR="001006C5" w:rsidRPr="00690F6B" w:rsidTr="00884E3B">
        <w:trPr>
          <w:trHeight w:val="758"/>
          <w:jc w:val="center"/>
        </w:trPr>
        <w:tc>
          <w:tcPr>
            <w:tcW w:w="3620" w:type="dxa"/>
            <w:shd w:val="clear" w:color="auto" w:fill="auto"/>
            <w:vAlign w:val="center"/>
          </w:tcPr>
          <w:p w:rsidR="001006C5" w:rsidRPr="00690F6B" w:rsidRDefault="001006C5" w:rsidP="00BE17C3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OUTPUT 1.2 :</w:t>
            </w: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Departmental agricultural health and food safety centers equipped </w:t>
            </w:r>
            <w:r w:rsidRPr="00690F6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(Unit: 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centers</w:t>
            </w:r>
            <w:r w:rsidRPr="00690F6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902" w:type="dxa"/>
            <w:vAlign w:val="center"/>
          </w:tcPr>
          <w:p w:rsidR="001006C5" w:rsidRPr="00690F6B" w:rsidRDefault="001006C5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81" w:type="dxa"/>
            <w:vAlign w:val="center"/>
          </w:tcPr>
          <w:p w:rsidR="001006C5" w:rsidRPr="00690F6B" w:rsidRDefault="008716E2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6" w:type="dxa"/>
            <w:vAlign w:val="center"/>
          </w:tcPr>
          <w:p w:rsidR="001006C5" w:rsidRPr="00690F6B" w:rsidRDefault="008716E2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1006C5" w:rsidRPr="00690F6B" w:rsidRDefault="001006C5" w:rsidP="001006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00" w:type="dxa"/>
            <w:vAlign w:val="center"/>
          </w:tcPr>
          <w:p w:rsidR="001006C5" w:rsidRPr="00690F6B" w:rsidRDefault="001006C5" w:rsidP="001006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00" w:type="dxa"/>
            <w:vAlign w:val="center"/>
          </w:tcPr>
          <w:p w:rsidR="001006C5" w:rsidRPr="00690F6B" w:rsidRDefault="001006C5" w:rsidP="001006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0" w:type="dxa"/>
            <w:vAlign w:val="center"/>
          </w:tcPr>
          <w:p w:rsidR="001006C5" w:rsidRPr="00690F6B" w:rsidRDefault="001006C5" w:rsidP="001006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220" w:type="dxa"/>
            <w:vAlign w:val="center"/>
          </w:tcPr>
          <w:p w:rsidR="000A4767" w:rsidRPr="002F7AF5" w:rsidRDefault="0019315C" w:rsidP="006672AD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="000A4767" w:rsidRPr="000A47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quipment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are</w:t>
            </w:r>
            <w:proofErr w:type="gramEnd"/>
            <w:r w:rsidR="000A4767" w:rsidRPr="002F7AF5"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  <w:r w:rsidR="000B6D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vehicles, motorcycles, furniture, IT equipment, incinerators, and generators.</w:t>
            </w:r>
          </w:p>
          <w:p w:rsidR="001006C5" w:rsidRPr="00690F6B" w:rsidRDefault="001006C5" w:rsidP="006672AD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Year of baseline</w:t>
            </w: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: 2014</w:t>
            </w:r>
          </w:p>
          <w:p w:rsidR="001006C5" w:rsidRPr="00690F6B" w:rsidRDefault="001006C5" w:rsidP="008F36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Verification means:</w:t>
            </w: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assets inventory register + visual observation of equipment during IDB field inspection visit</w:t>
            </w:r>
          </w:p>
        </w:tc>
      </w:tr>
      <w:tr w:rsidR="001006C5" w:rsidRPr="00690F6B" w:rsidTr="00884E3B">
        <w:trPr>
          <w:trHeight w:val="1073"/>
          <w:jc w:val="center"/>
        </w:trPr>
        <w:tc>
          <w:tcPr>
            <w:tcW w:w="3620" w:type="dxa"/>
            <w:shd w:val="clear" w:color="auto" w:fill="auto"/>
            <w:vAlign w:val="center"/>
          </w:tcPr>
          <w:p w:rsidR="001006C5" w:rsidRPr="00690F6B" w:rsidRDefault="001006C5" w:rsidP="00BE17C3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OUTPUT 1.3:</w:t>
            </w: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Administrative and financial procedures, plans and manuals prepared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officially approved and published on the MARNDR Website </w:t>
            </w:r>
            <w:r w:rsidRPr="00690F6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(Unit: procedures/ plans/ manuals)</w:t>
            </w:r>
          </w:p>
        </w:tc>
        <w:tc>
          <w:tcPr>
            <w:tcW w:w="902" w:type="dxa"/>
            <w:vAlign w:val="center"/>
          </w:tcPr>
          <w:p w:rsidR="001006C5" w:rsidRPr="00690F6B" w:rsidRDefault="001006C5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81" w:type="dxa"/>
            <w:vAlign w:val="center"/>
          </w:tcPr>
          <w:p w:rsidR="001006C5" w:rsidRPr="00690F6B" w:rsidRDefault="001006C5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36" w:type="dxa"/>
            <w:vAlign w:val="center"/>
          </w:tcPr>
          <w:p w:rsidR="001006C5" w:rsidRPr="00690F6B" w:rsidRDefault="008716E2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1006C5" w:rsidRPr="00690F6B" w:rsidRDefault="008716E2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1006C5" w:rsidRPr="00690F6B" w:rsidRDefault="008716E2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1006C5" w:rsidRPr="00690F6B" w:rsidRDefault="008716E2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1006C5" w:rsidRPr="00690F6B" w:rsidRDefault="001006C5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220" w:type="dxa"/>
            <w:vAlign w:val="center"/>
          </w:tcPr>
          <w:p w:rsidR="001006C5" w:rsidRPr="00690F6B" w:rsidRDefault="001006C5" w:rsidP="006672AD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Year of baseline</w:t>
            </w: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: 2014</w:t>
            </w:r>
          </w:p>
          <w:p w:rsidR="001006C5" w:rsidRPr="00690F6B" w:rsidRDefault="001006C5" w:rsidP="006877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Verification means:</w:t>
            </w: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MARNDR Website</w:t>
            </w:r>
          </w:p>
        </w:tc>
      </w:tr>
      <w:tr w:rsidR="001006C5" w:rsidRPr="00690F6B" w:rsidTr="00884E3B">
        <w:trPr>
          <w:trHeight w:val="1307"/>
          <w:jc w:val="center"/>
        </w:trPr>
        <w:tc>
          <w:tcPr>
            <w:tcW w:w="3620" w:type="dxa"/>
            <w:shd w:val="clear" w:color="auto" w:fill="auto"/>
            <w:vAlign w:val="center"/>
          </w:tcPr>
          <w:p w:rsidR="001006C5" w:rsidRPr="00D07AFE" w:rsidRDefault="001006C5" w:rsidP="00BE17C3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7AF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OUTPUT 1.4:</w:t>
            </w:r>
            <w:r w:rsidRPr="00D07AFE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r w:rsidRPr="00D07AF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Key functions/programs of the Agricultural Health Unit (UPS) with a cost recovery mechanism defined, officially approved and published (with applicable fees) on the MARNDR Website </w:t>
            </w:r>
            <w:r w:rsidRPr="00D07AFE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(Unit: functions/programs)</w:t>
            </w:r>
          </w:p>
        </w:tc>
        <w:tc>
          <w:tcPr>
            <w:tcW w:w="902" w:type="dxa"/>
            <w:vAlign w:val="center"/>
          </w:tcPr>
          <w:p w:rsidR="001006C5" w:rsidRPr="00D07AFE" w:rsidRDefault="001006C5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7AFE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81" w:type="dxa"/>
            <w:vAlign w:val="center"/>
          </w:tcPr>
          <w:p w:rsidR="001006C5" w:rsidRPr="00D07AFE" w:rsidRDefault="001006C5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7AFE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6" w:type="dxa"/>
            <w:vAlign w:val="center"/>
          </w:tcPr>
          <w:p w:rsidR="001006C5" w:rsidRPr="00D07AFE" w:rsidRDefault="001006C5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7AFE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0" w:type="dxa"/>
            <w:vAlign w:val="center"/>
          </w:tcPr>
          <w:p w:rsidR="001006C5" w:rsidRPr="00D07AFE" w:rsidRDefault="001006C5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7AFE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0" w:type="dxa"/>
            <w:vAlign w:val="center"/>
          </w:tcPr>
          <w:p w:rsidR="001006C5" w:rsidRPr="00D07AFE" w:rsidRDefault="001006C5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7AFE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00" w:type="dxa"/>
            <w:vAlign w:val="center"/>
          </w:tcPr>
          <w:p w:rsidR="001006C5" w:rsidRPr="00D07AFE" w:rsidRDefault="008716E2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7AFE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1006C5" w:rsidRPr="00D07AFE" w:rsidRDefault="001006C5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7AFE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220" w:type="dxa"/>
            <w:vAlign w:val="center"/>
          </w:tcPr>
          <w:p w:rsidR="008716E2" w:rsidRPr="00D07AFE" w:rsidRDefault="008716E2" w:rsidP="00667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7A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Y1: Classical Swine Fever and </w:t>
            </w:r>
            <w:proofErr w:type="spellStart"/>
            <w:r w:rsidRPr="00D07AFE">
              <w:rPr>
                <w:rFonts w:ascii="Times New Roman" w:eastAsia="Times New Roman" w:hAnsi="Times New Roman" w:cs="Times New Roman"/>
                <w:sz w:val="20"/>
                <w:szCs w:val="20"/>
              </w:rPr>
              <w:t>Teschen</w:t>
            </w:r>
            <w:proofErr w:type="spellEnd"/>
            <w:r w:rsidRPr="00D07A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Disease control program; Y2: </w:t>
            </w:r>
            <w:r w:rsidRPr="00D07AFE">
              <w:rPr>
                <w:rFonts w:ascii="Times New Roman" w:eastAsia="Calibri" w:hAnsi="Times New Roman" w:cs="Times New Roman"/>
                <w:sz w:val="20"/>
                <w:szCs w:val="20"/>
              </w:rPr>
              <w:t>Anthrax control and cattle identification program; Y3: Fruit Fly monitoring and control program; Y4: Quarantine and LVCQAT.</w:t>
            </w:r>
          </w:p>
          <w:p w:rsidR="001006C5" w:rsidRPr="00D07AFE" w:rsidRDefault="001006C5" w:rsidP="00667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7AF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Year of baseline</w:t>
            </w:r>
            <w:r w:rsidRPr="00D07AFE">
              <w:rPr>
                <w:rFonts w:ascii="Times New Roman" w:eastAsia="Times New Roman" w:hAnsi="Times New Roman" w:cs="Times New Roman"/>
                <w:sz w:val="20"/>
                <w:szCs w:val="20"/>
              </w:rPr>
              <w:t>: 2014</w:t>
            </w:r>
          </w:p>
          <w:p w:rsidR="001006C5" w:rsidRPr="00D07AFE" w:rsidRDefault="001006C5" w:rsidP="00667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7AF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Verification means: </w:t>
            </w:r>
            <w:r w:rsidRPr="00D07AFE">
              <w:rPr>
                <w:rFonts w:ascii="Times New Roman" w:eastAsia="Calibri" w:hAnsi="Times New Roman" w:cs="Times New Roman"/>
                <w:sz w:val="20"/>
                <w:szCs w:val="20"/>
              </w:rPr>
              <w:t>MARNDR Website</w:t>
            </w:r>
          </w:p>
        </w:tc>
      </w:tr>
      <w:tr w:rsidR="001006C5" w:rsidRPr="00690F6B" w:rsidTr="00884E3B">
        <w:trPr>
          <w:trHeight w:val="1199"/>
          <w:jc w:val="center"/>
        </w:trPr>
        <w:tc>
          <w:tcPr>
            <w:tcW w:w="3620" w:type="dxa"/>
            <w:shd w:val="clear" w:color="auto" w:fill="auto"/>
            <w:vAlign w:val="center"/>
          </w:tcPr>
          <w:p w:rsidR="001006C5" w:rsidRPr="00690F6B" w:rsidRDefault="001006C5" w:rsidP="005651C2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OUTPUT 1.5:</w:t>
            </w: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Integrated Information System (plant health, animal health, quarantine, laboratory)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available</w:t>
            </w: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on the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MARNDR</w:t>
            </w: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Website </w:t>
            </w:r>
            <w:r w:rsidRPr="00690F6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(Unit: information system)</w:t>
            </w:r>
          </w:p>
        </w:tc>
        <w:tc>
          <w:tcPr>
            <w:tcW w:w="902" w:type="dxa"/>
            <w:vAlign w:val="center"/>
          </w:tcPr>
          <w:p w:rsidR="001006C5" w:rsidRPr="00690F6B" w:rsidRDefault="001006C5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81" w:type="dxa"/>
            <w:vAlign w:val="center"/>
          </w:tcPr>
          <w:p w:rsidR="001006C5" w:rsidRPr="00690F6B" w:rsidRDefault="008716E2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6" w:type="dxa"/>
            <w:vAlign w:val="center"/>
          </w:tcPr>
          <w:p w:rsidR="001006C5" w:rsidRPr="00690F6B" w:rsidRDefault="008716E2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1006C5" w:rsidRPr="00690F6B" w:rsidRDefault="001006C5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0" w:type="dxa"/>
            <w:vAlign w:val="center"/>
          </w:tcPr>
          <w:p w:rsidR="001006C5" w:rsidRPr="00690F6B" w:rsidRDefault="008716E2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1006C5" w:rsidRPr="00690F6B" w:rsidRDefault="008716E2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1006C5" w:rsidRPr="00690F6B" w:rsidRDefault="001006C5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20" w:type="dxa"/>
            <w:vAlign w:val="center"/>
          </w:tcPr>
          <w:p w:rsidR="001006C5" w:rsidRPr="00690F6B" w:rsidRDefault="001006C5" w:rsidP="00667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0F6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Year of baseline</w:t>
            </w:r>
            <w:r w:rsidRPr="00690F6B">
              <w:rPr>
                <w:rFonts w:ascii="Times New Roman" w:eastAsia="Times New Roman" w:hAnsi="Times New Roman" w:cs="Times New Roman"/>
                <w:sz w:val="20"/>
                <w:szCs w:val="20"/>
              </w:rPr>
              <w:t>: 2014</w:t>
            </w:r>
          </w:p>
          <w:p w:rsidR="001006C5" w:rsidRPr="00690F6B" w:rsidRDefault="001006C5" w:rsidP="00667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690F6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Verification means: </w:t>
            </w: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MARNDR Website</w:t>
            </w:r>
          </w:p>
        </w:tc>
      </w:tr>
      <w:tr w:rsidR="001006C5" w:rsidRPr="00690F6B" w:rsidTr="00884E3B">
        <w:trPr>
          <w:trHeight w:val="335"/>
          <w:jc w:val="center"/>
        </w:trPr>
        <w:tc>
          <w:tcPr>
            <w:tcW w:w="15159" w:type="dxa"/>
            <w:gridSpan w:val="9"/>
            <w:shd w:val="clear" w:color="auto" w:fill="95B3D7"/>
            <w:vAlign w:val="center"/>
          </w:tcPr>
          <w:p w:rsidR="001006C5" w:rsidRPr="00690F6B" w:rsidRDefault="001006C5" w:rsidP="002C1428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COMPONENT II: PLANT HEALTH</w:t>
            </w:r>
          </w:p>
        </w:tc>
      </w:tr>
      <w:tr w:rsidR="001006C5" w:rsidRPr="00690F6B" w:rsidTr="00884E3B">
        <w:trPr>
          <w:trHeight w:val="533"/>
          <w:tblHeader/>
          <w:jc w:val="center"/>
        </w:trPr>
        <w:tc>
          <w:tcPr>
            <w:tcW w:w="3620" w:type="dxa"/>
            <w:shd w:val="clear" w:color="auto" w:fill="95B3D7"/>
            <w:vAlign w:val="center"/>
          </w:tcPr>
          <w:p w:rsidR="001006C5" w:rsidRPr="00690F6B" w:rsidRDefault="001006C5" w:rsidP="002B59E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OUTCOMES</w:t>
            </w:r>
          </w:p>
        </w:tc>
        <w:tc>
          <w:tcPr>
            <w:tcW w:w="902" w:type="dxa"/>
            <w:shd w:val="clear" w:color="auto" w:fill="95B3D7"/>
            <w:vAlign w:val="center"/>
          </w:tcPr>
          <w:p w:rsidR="001006C5" w:rsidRPr="00690F6B" w:rsidRDefault="001006C5" w:rsidP="002B59E8">
            <w:pPr>
              <w:spacing w:after="0" w:line="240" w:lineRule="auto"/>
              <w:ind w:left="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Baseline</w:t>
            </w:r>
          </w:p>
        </w:tc>
        <w:tc>
          <w:tcPr>
            <w:tcW w:w="881" w:type="dxa"/>
            <w:shd w:val="clear" w:color="auto" w:fill="95B3D7"/>
            <w:vAlign w:val="center"/>
          </w:tcPr>
          <w:p w:rsidR="001006C5" w:rsidRPr="00690F6B" w:rsidRDefault="001006C5" w:rsidP="002B59E8">
            <w:pPr>
              <w:spacing w:after="0" w:line="240" w:lineRule="auto"/>
              <w:ind w:left="15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Y1</w:t>
            </w:r>
          </w:p>
        </w:tc>
        <w:tc>
          <w:tcPr>
            <w:tcW w:w="936" w:type="dxa"/>
            <w:shd w:val="clear" w:color="auto" w:fill="95B3D7"/>
            <w:vAlign w:val="center"/>
          </w:tcPr>
          <w:p w:rsidR="001006C5" w:rsidRPr="00690F6B" w:rsidRDefault="001006C5" w:rsidP="002B59E8">
            <w:pPr>
              <w:spacing w:after="0" w:line="240" w:lineRule="auto"/>
              <w:ind w:left="15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Y2</w:t>
            </w:r>
          </w:p>
        </w:tc>
        <w:tc>
          <w:tcPr>
            <w:tcW w:w="900" w:type="dxa"/>
            <w:shd w:val="clear" w:color="auto" w:fill="95B3D7"/>
            <w:vAlign w:val="center"/>
          </w:tcPr>
          <w:p w:rsidR="001006C5" w:rsidRPr="00690F6B" w:rsidRDefault="001006C5" w:rsidP="002B59E8">
            <w:pPr>
              <w:spacing w:after="0" w:line="240" w:lineRule="auto"/>
              <w:ind w:left="15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Y3</w:t>
            </w:r>
          </w:p>
        </w:tc>
        <w:tc>
          <w:tcPr>
            <w:tcW w:w="900" w:type="dxa"/>
            <w:shd w:val="clear" w:color="auto" w:fill="95B3D7"/>
            <w:vAlign w:val="center"/>
          </w:tcPr>
          <w:p w:rsidR="001006C5" w:rsidRPr="00690F6B" w:rsidRDefault="001006C5" w:rsidP="002B59E8">
            <w:pPr>
              <w:spacing w:after="0" w:line="240" w:lineRule="auto"/>
              <w:ind w:left="15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Y4</w:t>
            </w:r>
          </w:p>
        </w:tc>
        <w:tc>
          <w:tcPr>
            <w:tcW w:w="900" w:type="dxa"/>
            <w:shd w:val="clear" w:color="auto" w:fill="95B3D7"/>
            <w:vAlign w:val="center"/>
          </w:tcPr>
          <w:p w:rsidR="001006C5" w:rsidRPr="00690F6B" w:rsidRDefault="001006C5" w:rsidP="002B59E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Y5</w:t>
            </w:r>
          </w:p>
        </w:tc>
        <w:tc>
          <w:tcPr>
            <w:tcW w:w="900" w:type="dxa"/>
            <w:shd w:val="clear" w:color="auto" w:fill="95B3D7"/>
            <w:vAlign w:val="center"/>
          </w:tcPr>
          <w:p w:rsidR="001006C5" w:rsidRPr="00690F6B" w:rsidRDefault="001006C5" w:rsidP="002B59E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End of Project</w:t>
            </w:r>
          </w:p>
        </w:tc>
        <w:tc>
          <w:tcPr>
            <w:tcW w:w="5220" w:type="dxa"/>
            <w:shd w:val="clear" w:color="auto" w:fill="95B3D7"/>
            <w:vAlign w:val="center"/>
          </w:tcPr>
          <w:p w:rsidR="001006C5" w:rsidRPr="00690F6B" w:rsidRDefault="001006C5" w:rsidP="002B59E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Comments</w:t>
            </w:r>
          </w:p>
        </w:tc>
      </w:tr>
      <w:tr w:rsidR="001006C5" w:rsidRPr="00690F6B" w:rsidTr="00884E3B">
        <w:trPr>
          <w:trHeight w:val="560"/>
          <w:jc w:val="center"/>
        </w:trPr>
        <w:tc>
          <w:tcPr>
            <w:tcW w:w="362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006C5" w:rsidRPr="00690F6B" w:rsidRDefault="001006C5" w:rsidP="000F18B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OUTCOME 3: </w:t>
            </w:r>
            <w:r w:rsidR="000F18B5">
              <w:rPr>
                <w:rFonts w:ascii="Times New Roman" w:hAnsi="Times New Roman" w:cs="Times New Roman"/>
                <w:b/>
                <w:sz w:val="20"/>
                <w:szCs w:val="20"/>
              </w:rPr>
              <w:t>Improved p</w:t>
            </w:r>
            <w:r w:rsidRPr="00690F6B">
              <w:rPr>
                <w:rFonts w:ascii="Times New Roman" w:hAnsi="Times New Roman" w:cs="Times New Roman"/>
                <w:b/>
                <w:sz w:val="20"/>
                <w:szCs w:val="20"/>
              </w:rPr>
              <w:t>erformance of plant health services</w:t>
            </w:r>
          </w:p>
        </w:tc>
        <w:tc>
          <w:tcPr>
            <w:tcW w:w="902" w:type="dxa"/>
            <w:tcBorders>
              <w:bottom w:val="dotted" w:sz="4" w:space="0" w:color="auto"/>
            </w:tcBorders>
            <w:vAlign w:val="center"/>
          </w:tcPr>
          <w:p w:rsidR="001006C5" w:rsidRPr="001006C5" w:rsidRDefault="001006C5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81" w:type="dxa"/>
            <w:tcBorders>
              <w:bottom w:val="dotted" w:sz="4" w:space="0" w:color="auto"/>
            </w:tcBorders>
            <w:vAlign w:val="center"/>
          </w:tcPr>
          <w:p w:rsidR="001006C5" w:rsidRPr="001006C5" w:rsidRDefault="001006C5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tcBorders>
              <w:bottom w:val="dotted" w:sz="4" w:space="0" w:color="auto"/>
            </w:tcBorders>
            <w:vAlign w:val="center"/>
          </w:tcPr>
          <w:p w:rsidR="001006C5" w:rsidRPr="001006C5" w:rsidRDefault="001006C5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dotted" w:sz="4" w:space="0" w:color="auto"/>
            </w:tcBorders>
            <w:vAlign w:val="center"/>
          </w:tcPr>
          <w:p w:rsidR="001006C5" w:rsidRPr="001006C5" w:rsidRDefault="001006C5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dotted" w:sz="4" w:space="0" w:color="auto"/>
            </w:tcBorders>
            <w:vAlign w:val="center"/>
          </w:tcPr>
          <w:p w:rsidR="001006C5" w:rsidRPr="001006C5" w:rsidRDefault="001006C5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dotted" w:sz="4" w:space="0" w:color="auto"/>
            </w:tcBorders>
            <w:vAlign w:val="center"/>
          </w:tcPr>
          <w:p w:rsidR="001006C5" w:rsidRPr="001006C5" w:rsidRDefault="001006C5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dotted" w:sz="4" w:space="0" w:color="auto"/>
            </w:tcBorders>
            <w:vAlign w:val="center"/>
          </w:tcPr>
          <w:p w:rsidR="001006C5" w:rsidRPr="001006C5" w:rsidRDefault="001006C5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220" w:type="dxa"/>
            <w:vAlign w:val="center"/>
          </w:tcPr>
          <w:p w:rsidR="001006C5" w:rsidRPr="00690F6B" w:rsidRDefault="001006C5" w:rsidP="006672AD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006C5" w:rsidRPr="00690F6B" w:rsidTr="00884E3B">
        <w:trPr>
          <w:trHeight w:val="578"/>
          <w:jc w:val="center"/>
        </w:trPr>
        <w:tc>
          <w:tcPr>
            <w:tcW w:w="362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006C5" w:rsidRPr="00961D20" w:rsidDel="00B80E3A" w:rsidRDefault="001006C5" w:rsidP="006672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proofErr w:type="spellStart"/>
            <w:r w:rsidRPr="00961D20">
              <w:rPr>
                <w:rFonts w:ascii="Times New Roman" w:eastAsia="Calibri" w:hAnsi="Times New Roman" w:cs="Times New Roman"/>
                <w:b/>
                <w:sz w:val="20"/>
                <w:szCs w:val="20"/>
                <w:lang w:val="it-IT"/>
              </w:rPr>
              <w:t>Indicator</w:t>
            </w:r>
            <w:proofErr w:type="spellEnd"/>
            <w:r w:rsidRPr="00961D20">
              <w:rPr>
                <w:rFonts w:ascii="Times New Roman" w:eastAsia="Calibri" w:hAnsi="Times New Roman" w:cs="Times New Roman"/>
                <w:b/>
                <w:sz w:val="20"/>
                <w:szCs w:val="20"/>
                <w:lang w:val="it-IT"/>
              </w:rPr>
              <w:t xml:space="preserve"> 3.1: </w:t>
            </w:r>
            <w:r w:rsidRPr="00961D20"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  <w:t>Score PVS/IICA (</w:t>
            </w:r>
            <w:r w:rsidRPr="00961D20">
              <w:rPr>
                <w:rFonts w:ascii="Times New Roman" w:eastAsia="Calibri" w:hAnsi="Times New Roman" w:cs="Times New Roman"/>
                <w:i/>
                <w:sz w:val="20"/>
                <w:szCs w:val="20"/>
                <w:lang w:val="it-IT"/>
              </w:rPr>
              <w:t>in %)</w:t>
            </w:r>
          </w:p>
        </w:tc>
        <w:tc>
          <w:tcPr>
            <w:tcW w:w="902" w:type="dxa"/>
            <w:tcBorders>
              <w:bottom w:val="dotted" w:sz="4" w:space="0" w:color="auto"/>
            </w:tcBorders>
            <w:vAlign w:val="center"/>
          </w:tcPr>
          <w:p w:rsidR="001006C5" w:rsidRPr="001006C5" w:rsidRDefault="001006C5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</w:pPr>
            <w:r w:rsidRPr="001006C5"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  <w:t>12.5</w:t>
            </w:r>
          </w:p>
        </w:tc>
        <w:tc>
          <w:tcPr>
            <w:tcW w:w="881" w:type="dxa"/>
            <w:tcBorders>
              <w:bottom w:val="dotted" w:sz="4" w:space="0" w:color="auto"/>
            </w:tcBorders>
            <w:vAlign w:val="center"/>
          </w:tcPr>
          <w:p w:rsidR="001006C5" w:rsidRPr="001006C5" w:rsidRDefault="001006C5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936" w:type="dxa"/>
            <w:tcBorders>
              <w:bottom w:val="dotted" w:sz="4" w:space="0" w:color="auto"/>
            </w:tcBorders>
            <w:vAlign w:val="center"/>
          </w:tcPr>
          <w:p w:rsidR="001006C5" w:rsidRPr="001006C5" w:rsidRDefault="001006C5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900" w:type="dxa"/>
            <w:tcBorders>
              <w:bottom w:val="dotted" w:sz="4" w:space="0" w:color="auto"/>
            </w:tcBorders>
            <w:vAlign w:val="center"/>
          </w:tcPr>
          <w:p w:rsidR="001006C5" w:rsidRPr="001006C5" w:rsidRDefault="001006C5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900" w:type="dxa"/>
            <w:tcBorders>
              <w:bottom w:val="dotted" w:sz="4" w:space="0" w:color="auto"/>
            </w:tcBorders>
            <w:vAlign w:val="center"/>
          </w:tcPr>
          <w:p w:rsidR="001006C5" w:rsidRPr="001006C5" w:rsidRDefault="001006C5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900" w:type="dxa"/>
            <w:tcBorders>
              <w:bottom w:val="dotted" w:sz="4" w:space="0" w:color="auto"/>
            </w:tcBorders>
            <w:vAlign w:val="center"/>
          </w:tcPr>
          <w:p w:rsidR="001006C5" w:rsidRPr="001006C5" w:rsidRDefault="00506EBD" w:rsidP="005B3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  <w:t>40</w:t>
            </w:r>
          </w:p>
        </w:tc>
        <w:tc>
          <w:tcPr>
            <w:tcW w:w="900" w:type="dxa"/>
            <w:tcBorders>
              <w:bottom w:val="dotted" w:sz="4" w:space="0" w:color="auto"/>
            </w:tcBorders>
            <w:vAlign w:val="center"/>
          </w:tcPr>
          <w:p w:rsidR="001006C5" w:rsidRPr="001006C5" w:rsidRDefault="00506EBD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  <w:t>40</w:t>
            </w:r>
          </w:p>
        </w:tc>
        <w:tc>
          <w:tcPr>
            <w:tcW w:w="5220" w:type="dxa"/>
            <w:vAlign w:val="center"/>
          </w:tcPr>
          <w:p w:rsidR="001006C5" w:rsidRPr="00690F6B" w:rsidRDefault="001006C5" w:rsidP="006672AD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Source and year of baseline: </w:t>
            </w: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IICA, 2011</w:t>
            </w:r>
          </w:p>
          <w:p w:rsidR="001006C5" w:rsidRDefault="001006C5" w:rsidP="007A1924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Verification means: </w:t>
            </w: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PVS/IICA evaluation</w:t>
            </w:r>
          </w:p>
          <w:p w:rsidR="000A4767" w:rsidRPr="00690F6B" w:rsidDel="00B80E3A" w:rsidRDefault="00156A1F" w:rsidP="00C54488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The target has been calculated based on the assumption that</w:t>
            </w:r>
            <w:r w:rsidR="002362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(i) 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the proposed project </w:t>
            </w:r>
            <w:r w:rsidR="00C54488">
              <w:rPr>
                <w:rFonts w:ascii="Times New Roman" w:eastAsia="Calibri" w:hAnsi="Times New Roman" w:cs="Times New Roman"/>
                <w:sz w:val="20"/>
                <w:szCs w:val="20"/>
              </w:rPr>
              <w:t>and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the series of</w:t>
            </w:r>
            <w:r w:rsidR="00C5448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PBG</w:t>
            </w:r>
            <w:r w:rsidR="00C54488">
              <w:rPr>
                <w:rFonts w:ascii="Times New Roman" w:eastAsia="Calibri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will allow to improve several of the 28 IICA criteria</w:t>
            </w:r>
            <w:r w:rsidR="002362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(ii) e</w:t>
            </w:r>
            <w:r w:rsidRPr="00DC6B9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ach criteria </w:t>
            </w:r>
            <w:r w:rsidRPr="005863A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benefitting </w:t>
            </w:r>
            <w:r w:rsidR="002362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from </w:t>
            </w:r>
            <w:r w:rsidRPr="005863A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an intervention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included</w:t>
            </w:r>
            <w:r w:rsidRPr="005863A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in the project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or the PBGs </w:t>
            </w:r>
            <w:r w:rsidR="002362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will improve its individual score between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  <w:r w:rsidRPr="000A13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2362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to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100%</w:t>
            </w:r>
            <w:r w:rsidR="002362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depending on </w:t>
            </w:r>
            <w:r w:rsidR="00C54488">
              <w:rPr>
                <w:rFonts w:ascii="Times New Roman" w:eastAsia="Calibri" w:hAnsi="Times New Roman" w:cs="Times New Roman"/>
                <w:sz w:val="20"/>
                <w:szCs w:val="20"/>
              </w:rPr>
              <w:t>the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effect expected from the specific intervention</w:t>
            </w:r>
            <w:r w:rsidR="0023621A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</w:tr>
      <w:tr w:rsidR="00605365" w:rsidRPr="002A13BC" w:rsidTr="00884E3B">
        <w:trPr>
          <w:trHeight w:val="308"/>
          <w:jc w:val="center"/>
        </w:trPr>
        <w:tc>
          <w:tcPr>
            <w:tcW w:w="3620" w:type="dxa"/>
            <w:shd w:val="clear" w:color="auto" w:fill="auto"/>
            <w:vAlign w:val="center"/>
          </w:tcPr>
          <w:p w:rsidR="00605365" w:rsidRPr="002A13BC" w:rsidRDefault="00605365" w:rsidP="00605365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 xml:space="preserve">Indicator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3.2</w:t>
            </w: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: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r w:rsidRPr="00562DB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umber of farmers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who benefit from improved plant health (fruit fly and crazy ant pilots) </w:t>
            </w:r>
            <w:r w:rsidR="0032747F" w:rsidRPr="00884E3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(in: # of farmers)</w:t>
            </w:r>
          </w:p>
        </w:tc>
        <w:tc>
          <w:tcPr>
            <w:tcW w:w="902" w:type="dxa"/>
            <w:vAlign w:val="center"/>
          </w:tcPr>
          <w:p w:rsidR="00605365" w:rsidRPr="002A13BC" w:rsidRDefault="00605365" w:rsidP="0060536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81" w:type="dxa"/>
            <w:vAlign w:val="center"/>
          </w:tcPr>
          <w:p w:rsidR="00605365" w:rsidRPr="002A13BC" w:rsidRDefault="00605365" w:rsidP="006053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605365" w:rsidRPr="002A13BC" w:rsidRDefault="00605365" w:rsidP="006053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605365" w:rsidRPr="002A13BC" w:rsidRDefault="0032747F" w:rsidP="006053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27,000</w:t>
            </w:r>
          </w:p>
        </w:tc>
        <w:tc>
          <w:tcPr>
            <w:tcW w:w="900" w:type="dxa"/>
            <w:vAlign w:val="center"/>
          </w:tcPr>
          <w:p w:rsidR="00605365" w:rsidRPr="002A13BC" w:rsidRDefault="00605365" w:rsidP="006053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605365" w:rsidRPr="002A13BC" w:rsidRDefault="00605365" w:rsidP="006053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605365" w:rsidRPr="002A13BC" w:rsidRDefault="00605365" w:rsidP="006053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27,000</w:t>
            </w:r>
          </w:p>
        </w:tc>
        <w:tc>
          <w:tcPr>
            <w:tcW w:w="5220" w:type="dxa"/>
            <w:vAlign w:val="center"/>
          </w:tcPr>
          <w:p w:rsidR="0032747F" w:rsidRPr="002A13BC" w:rsidRDefault="0032747F" w:rsidP="0032747F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13B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Source and year of baseline: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General Agricultural Census</w:t>
            </w:r>
            <w:r w:rsidRPr="002A13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2009</w:t>
            </w:r>
          </w:p>
          <w:p w:rsidR="00605365" w:rsidRPr="002A13BC" w:rsidRDefault="0032747F" w:rsidP="0032747F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13B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Verification means: </w:t>
            </w:r>
            <w:r w:rsidRPr="002A13BC">
              <w:rPr>
                <w:rFonts w:ascii="Times New Roman" w:eastAsia="Calibri" w:hAnsi="Times New Roman" w:cs="Times New Roman"/>
                <w:sz w:val="20"/>
                <w:szCs w:val="20"/>
              </w:rPr>
              <w:t>Plant Health Directorate supervision/monitoring reports</w:t>
            </w:r>
          </w:p>
        </w:tc>
      </w:tr>
      <w:tr w:rsidR="001006C5" w:rsidRPr="00690F6B" w:rsidTr="00884E3B">
        <w:trPr>
          <w:trHeight w:val="470"/>
          <w:jc w:val="center"/>
        </w:trPr>
        <w:tc>
          <w:tcPr>
            <w:tcW w:w="3620" w:type="dxa"/>
            <w:shd w:val="clear" w:color="auto" w:fill="auto"/>
            <w:vAlign w:val="center"/>
          </w:tcPr>
          <w:p w:rsidR="001006C5" w:rsidRPr="00690F6B" w:rsidRDefault="001006C5" w:rsidP="000F18B5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OUTCOME 4: </w:t>
            </w:r>
            <w:r w:rsidR="000F18B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Improved </w:t>
            </w:r>
            <w:r w:rsidR="000F18B5">
              <w:rPr>
                <w:rFonts w:ascii="Times New Roman" w:hAnsi="Times New Roman" w:cs="Times New Roman"/>
                <w:b/>
                <w:sz w:val="20"/>
                <w:szCs w:val="20"/>
              </w:rPr>
              <w:t>plant health conditions</w:t>
            </w:r>
          </w:p>
        </w:tc>
        <w:tc>
          <w:tcPr>
            <w:tcW w:w="902" w:type="dxa"/>
            <w:vAlign w:val="center"/>
          </w:tcPr>
          <w:p w:rsidR="001006C5" w:rsidRPr="001006C5" w:rsidRDefault="001006C5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81" w:type="dxa"/>
            <w:vAlign w:val="center"/>
          </w:tcPr>
          <w:p w:rsidR="001006C5" w:rsidRPr="001006C5" w:rsidRDefault="001006C5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1006C5" w:rsidRPr="001006C5" w:rsidRDefault="001006C5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1006C5" w:rsidRPr="001006C5" w:rsidRDefault="001006C5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1006C5" w:rsidRPr="001006C5" w:rsidRDefault="001006C5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1006C5" w:rsidRPr="001006C5" w:rsidRDefault="001006C5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1006C5" w:rsidRPr="001006C5" w:rsidRDefault="001006C5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220" w:type="dxa"/>
            <w:vAlign w:val="center"/>
          </w:tcPr>
          <w:p w:rsidR="001006C5" w:rsidRPr="00690F6B" w:rsidRDefault="001006C5" w:rsidP="006672AD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32EA6" w:rsidRPr="002A13BC" w:rsidTr="00884E3B">
        <w:trPr>
          <w:trHeight w:val="308"/>
          <w:jc w:val="center"/>
        </w:trPr>
        <w:tc>
          <w:tcPr>
            <w:tcW w:w="3620" w:type="dxa"/>
            <w:shd w:val="clear" w:color="auto" w:fill="auto"/>
            <w:vAlign w:val="center"/>
          </w:tcPr>
          <w:p w:rsidR="001006C5" w:rsidRPr="002A13BC" w:rsidRDefault="001006C5" w:rsidP="00FA0D0C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A13B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Indicator 4.1</w:t>
            </w:r>
            <w:r w:rsidRPr="002A13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: Maximum Fruit Fly infestation rate </w:t>
            </w:r>
            <w:r w:rsidRPr="002A13BC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(in flies per</w:t>
            </w:r>
            <w:r w:rsidRPr="002A13B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2A13BC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trap per day)</w:t>
            </w:r>
          </w:p>
        </w:tc>
        <w:tc>
          <w:tcPr>
            <w:tcW w:w="902" w:type="dxa"/>
            <w:vAlign w:val="center"/>
          </w:tcPr>
          <w:p w:rsidR="001006C5" w:rsidRPr="002A13BC" w:rsidRDefault="00176B9C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13BC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81" w:type="dxa"/>
            <w:vAlign w:val="center"/>
          </w:tcPr>
          <w:p w:rsidR="001006C5" w:rsidRPr="002A13BC" w:rsidRDefault="001006C5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1006C5" w:rsidRPr="002A13BC" w:rsidRDefault="001006C5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1006C5" w:rsidRPr="002A13BC" w:rsidRDefault="001006C5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13BC">
              <w:rPr>
                <w:rFonts w:ascii="Times New Roman" w:eastAsia="Calibri" w:hAnsi="Times New Roman" w:cs="Times New Roman"/>
                <w:sz w:val="20"/>
                <w:szCs w:val="20"/>
              </w:rPr>
              <w:t>&lt; 2</w:t>
            </w:r>
          </w:p>
        </w:tc>
        <w:tc>
          <w:tcPr>
            <w:tcW w:w="900" w:type="dxa"/>
            <w:vAlign w:val="center"/>
          </w:tcPr>
          <w:p w:rsidR="001006C5" w:rsidRPr="002A13BC" w:rsidRDefault="001006C5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13BC">
              <w:rPr>
                <w:rFonts w:ascii="Times New Roman" w:eastAsia="Calibri" w:hAnsi="Times New Roman" w:cs="Times New Roman"/>
                <w:sz w:val="20"/>
                <w:szCs w:val="20"/>
              </w:rPr>
              <w:t>&lt; 2</w:t>
            </w:r>
          </w:p>
        </w:tc>
        <w:tc>
          <w:tcPr>
            <w:tcW w:w="900" w:type="dxa"/>
            <w:vAlign w:val="center"/>
          </w:tcPr>
          <w:p w:rsidR="001006C5" w:rsidRPr="002A13BC" w:rsidRDefault="001006C5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13BC">
              <w:rPr>
                <w:rFonts w:ascii="Times New Roman" w:eastAsia="Calibri" w:hAnsi="Times New Roman" w:cs="Times New Roman"/>
                <w:sz w:val="20"/>
                <w:szCs w:val="20"/>
              </w:rPr>
              <w:t>&lt; 2</w:t>
            </w:r>
          </w:p>
        </w:tc>
        <w:tc>
          <w:tcPr>
            <w:tcW w:w="900" w:type="dxa"/>
            <w:vAlign w:val="center"/>
          </w:tcPr>
          <w:p w:rsidR="001006C5" w:rsidRPr="002A13BC" w:rsidRDefault="00325D08" w:rsidP="00FA0D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13BC">
              <w:rPr>
                <w:rFonts w:ascii="Times New Roman" w:eastAsia="Calibri" w:hAnsi="Times New Roman" w:cs="Times New Roman"/>
                <w:sz w:val="20"/>
                <w:szCs w:val="20"/>
              </w:rPr>
              <w:t>&lt; 2</w:t>
            </w:r>
          </w:p>
        </w:tc>
        <w:tc>
          <w:tcPr>
            <w:tcW w:w="5220" w:type="dxa"/>
            <w:vAlign w:val="center"/>
          </w:tcPr>
          <w:p w:rsidR="001006C5" w:rsidRPr="002A13BC" w:rsidRDefault="001006C5" w:rsidP="006672AD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13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Above 2 flies per trap per day, the infestation rate makes the exports too risky. This will be measured in the area of intervention: </w:t>
            </w:r>
            <w:proofErr w:type="spellStart"/>
            <w:r w:rsidRPr="002A13BC">
              <w:rPr>
                <w:rFonts w:ascii="Times New Roman" w:eastAsia="Calibri" w:hAnsi="Times New Roman" w:cs="Times New Roman"/>
                <w:sz w:val="20"/>
                <w:szCs w:val="20"/>
              </w:rPr>
              <w:t>Gros</w:t>
            </w:r>
            <w:proofErr w:type="spellEnd"/>
            <w:r w:rsidRPr="002A13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13BC">
              <w:rPr>
                <w:rFonts w:ascii="Times New Roman" w:eastAsia="Calibri" w:hAnsi="Times New Roman" w:cs="Times New Roman"/>
                <w:sz w:val="20"/>
                <w:szCs w:val="20"/>
              </w:rPr>
              <w:t>Morne</w:t>
            </w:r>
            <w:proofErr w:type="spellEnd"/>
            <w:r w:rsidRPr="002A13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and Terre </w:t>
            </w:r>
            <w:proofErr w:type="spellStart"/>
            <w:r w:rsidRPr="002A13BC">
              <w:rPr>
                <w:rFonts w:ascii="Times New Roman" w:eastAsia="Calibri" w:hAnsi="Times New Roman" w:cs="Times New Roman"/>
                <w:sz w:val="20"/>
                <w:szCs w:val="20"/>
              </w:rPr>
              <w:t>Neuve</w:t>
            </w:r>
            <w:proofErr w:type="spellEnd"/>
            <w:r w:rsidRPr="002A13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municipalities</w:t>
            </w:r>
          </w:p>
          <w:p w:rsidR="001006C5" w:rsidRPr="002A13BC" w:rsidRDefault="001006C5" w:rsidP="00212C33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13B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Source and year of baseline: </w:t>
            </w:r>
            <w:r w:rsidRPr="002A13BC">
              <w:rPr>
                <w:rFonts w:ascii="Times New Roman" w:eastAsia="Calibri" w:hAnsi="Times New Roman" w:cs="Times New Roman"/>
                <w:sz w:val="20"/>
                <w:szCs w:val="20"/>
              </w:rPr>
              <w:t>Plant Health Directorate and USDA, 2014</w:t>
            </w:r>
          </w:p>
          <w:p w:rsidR="001006C5" w:rsidRPr="002A13BC" w:rsidRDefault="001006C5" w:rsidP="00FA0D0C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13B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Verification means: </w:t>
            </w:r>
            <w:r w:rsidRPr="002A13BC">
              <w:rPr>
                <w:rFonts w:ascii="Times New Roman" w:eastAsia="Calibri" w:hAnsi="Times New Roman" w:cs="Times New Roman"/>
                <w:sz w:val="20"/>
                <w:szCs w:val="20"/>
              </w:rPr>
              <w:t>Plant Health Directorate supervision/monitoring reports + specific surveys</w:t>
            </w:r>
          </w:p>
        </w:tc>
      </w:tr>
      <w:tr w:rsidR="00605365" w:rsidRPr="00690F6B" w:rsidTr="00884E3B">
        <w:trPr>
          <w:trHeight w:val="533"/>
          <w:tblHeader/>
          <w:jc w:val="center"/>
        </w:trPr>
        <w:tc>
          <w:tcPr>
            <w:tcW w:w="3620" w:type="dxa"/>
            <w:shd w:val="clear" w:color="auto" w:fill="95B3D7"/>
            <w:vAlign w:val="center"/>
          </w:tcPr>
          <w:p w:rsidR="00605365" w:rsidRPr="00690F6B" w:rsidRDefault="00605365" w:rsidP="002B59E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OUTPUTS</w:t>
            </w:r>
          </w:p>
        </w:tc>
        <w:tc>
          <w:tcPr>
            <w:tcW w:w="902" w:type="dxa"/>
            <w:shd w:val="clear" w:color="auto" w:fill="95B3D7"/>
            <w:vAlign w:val="center"/>
          </w:tcPr>
          <w:p w:rsidR="00605365" w:rsidRPr="00690F6B" w:rsidRDefault="00605365" w:rsidP="002B59E8">
            <w:pPr>
              <w:spacing w:after="0" w:line="240" w:lineRule="auto"/>
              <w:ind w:left="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Baseline</w:t>
            </w:r>
          </w:p>
        </w:tc>
        <w:tc>
          <w:tcPr>
            <w:tcW w:w="881" w:type="dxa"/>
            <w:shd w:val="clear" w:color="auto" w:fill="95B3D7"/>
            <w:vAlign w:val="center"/>
          </w:tcPr>
          <w:p w:rsidR="00605365" w:rsidRPr="00690F6B" w:rsidRDefault="00605365" w:rsidP="002B59E8">
            <w:pPr>
              <w:spacing w:after="0" w:line="240" w:lineRule="auto"/>
              <w:ind w:left="15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Y1</w:t>
            </w:r>
          </w:p>
        </w:tc>
        <w:tc>
          <w:tcPr>
            <w:tcW w:w="936" w:type="dxa"/>
            <w:shd w:val="clear" w:color="auto" w:fill="95B3D7"/>
            <w:vAlign w:val="center"/>
          </w:tcPr>
          <w:p w:rsidR="00605365" w:rsidRPr="00690F6B" w:rsidRDefault="00605365" w:rsidP="002B59E8">
            <w:pPr>
              <w:spacing w:after="0" w:line="240" w:lineRule="auto"/>
              <w:ind w:left="15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Y2</w:t>
            </w:r>
          </w:p>
        </w:tc>
        <w:tc>
          <w:tcPr>
            <w:tcW w:w="900" w:type="dxa"/>
            <w:shd w:val="clear" w:color="auto" w:fill="95B3D7"/>
            <w:vAlign w:val="center"/>
          </w:tcPr>
          <w:p w:rsidR="00605365" w:rsidRPr="00690F6B" w:rsidRDefault="00605365" w:rsidP="002B59E8">
            <w:pPr>
              <w:spacing w:after="0" w:line="240" w:lineRule="auto"/>
              <w:ind w:left="15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Y3</w:t>
            </w:r>
          </w:p>
        </w:tc>
        <w:tc>
          <w:tcPr>
            <w:tcW w:w="900" w:type="dxa"/>
            <w:shd w:val="clear" w:color="auto" w:fill="95B3D7"/>
            <w:vAlign w:val="center"/>
          </w:tcPr>
          <w:p w:rsidR="00605365" w:rsidRPr="00690F6B" w:rsidRDefault="00605365" w:rsidP="002B59E8">
            <w:pPr>
              <w:spacing w:after="0" w:line="240" w:lineRule="auto"/>
              <w:ind w:left="15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Y4</w:t>
            </w:r>
          </w:p>
        </w:tc>
        <w:tc>
          <w:tcPr>
            <w:tcW w:w="900" w:type="dxa"/>
            <w:shd w:val="clear" w:color="auto" w:fill="95B3D7"/>
            <w:vAlign w:val="center"/>
          </w:tcPr>
          <w:p w:rsidR="00605365" w:rsidRPr="00690F6B" w:rsidRDefault="00605365" w:rsidP="002B59E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Y5</w:t>
            </w:r>
          </w:p>
        </w:tc>
        <w:tc>
          <w:tcPr>
            <w:tcW w:w="900" w:type="dxa"/>
            <w:shd w:val="clear" w:color="auto" w:fill="95B3D7"/>
            <w:vAlign w:val="center"/>
          </w:tcPr>
          <w:p w:rsidR="00605365" w:rsidRPr="00690F6B" w:rsidRDefault="00605365" w:rsidP="002B59E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End of Project</w:t>
            </w:r>
          </w:p>
        </w:tc>
        <w:tc>
          <w:tcPr>
            <w:tcW w:w="5220" w:type="dxa"/>
            <w:shd w:val="clear" w:color="auto" w:fill="95B3D7"/>
            <w:vAlign w:val="center"/>
          </w:tcPr>
          <w:p w:rsidR="00605365" w:rsidRPr="00690F6B" w:rsidRDefault="00605365" w:rsidP="002B59E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Comments</w:t>
            </w:r>
          </w:p>
        </w:tc>
      </w:tr>
      <w:tr w:rsidR="00605365" w:rsidRPr="00690F6B" w:rsidTr="00884E3B">
        <w:trPr>
          <w:trHeight w:val="740"/>
          <w:jc w:val="center"/>
        </w:trPr>
        <w:tc>
          <w:tcPr>
            <w:tcW w:w="3620" w:type="dxa"/>
            <w:shd w:val="clear" w:color="auto" w:fill="auto"/>
            <w:vAlign w:val="center"/>
          </w:tcPr>
          <w:p w:rsidR="00605365" w:rsidRPr="00690F6B" w:rsidRDefault="00605365" w:rsidP="00196D61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OUTPUT 2.1.:</w:t>
            </w: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List of plant pests and diseases prepared/updated, submitted to the IPPC and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published</w:t>
            </w: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on the MARNDR’s Website </w:t>
            </w:r>
            <w:r w:rsidRPr="00690F6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(Unit: List)</w:t>
            </w:r>
          </w:p>
        </w:tc>
        <w:tc>
          <w:tcPr>
            <w:tcW w:w="902" w:type="dxa"/>
            <w:vAlign w:val="center"/>
          </w:tcPr>
          <w:p w:rsidR="00605365" w:rsidRPr="00690F6B" w:rsidRDefault="00605365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81" w:type="dxa"/>
            <w:vAlign w:val="center"/>
          </w:tcPr>
          <w:p w:rsidR="00605365" w:rsidRPr="00690F6B" w:rsidRDefault="00605365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6" w:type="dxa"/>
            <w:vAlign w:val="center"/>
          </w:tcPr>
          <w:p w:rsidR="00605365" w:rsidRPr="00690F6B" w:rsidRDefault="00605365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605365" w:rsidRPr="00690F6B" w:rsidRDefault="00605365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0" w:type="dxa"/>
            <w:vAlign w:val="center"/>
          </w:tcPr>
          <w:p w:rsidR="00605365" w:rsidRPr="00690F6B" w:rsidRDefault="00605365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0" w:type="dxa"/>
            <w:vAlign w:val="center"/>
          </w:tcPr>
          <w:p w:rsidR="00605365" w:rsidRPr="00690F6B" w:rsidRDefault="00605365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0" w:type="dxa"/>
            <w:vAlign w:val="center"/>
          </w:tcPr>
          <w:p w:rsidR="00605365" w:rsidRPr="00690F6B" w:rsidRDefault="00605365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20" w:type="dxa"/>
            <w:vAlign w:val="center"/>
          </w:tcPr>
          <w:p w:rsidR="00605365" w:rsidRPr="00690F6B" w:rsidRDefault="00605365" w:rsidP="00A1399A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Year of baseline: </w:t>
            </w: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2014</w:t>
            </w:r>
          </w:p>
          <w:p w:rsidR="00605365" w:rsidRPr="00690F6B" w:rsidRDefault="00605365" w:rsidP="00A1399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Verification means: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MARNDR’s Website</w:t>
            </w:r>
          </w:p>
        </w:tc>
      </w:tr>
      <w:tr w:rsidR="00605365" w:rsidRPr="00690F6B" w:rsidTr="00884E3B">
        <w:trPr>
          <w:trHeight w:val="740"/>
          <w:jc w:val="center"/>
        </w:trPr>
        <w:tc>
          <w:tcPr>
            <w:tcW w:w="3620" w:type="dxa"/>
            <w:shd w:val="clear" w:color="auto" w:fill="auto"/>
            <w:vAlign w:val="center"/>
          </w:tcPr>
          <w:p w:rsidR="00605365" w:rsidRPr="00690F6B" w:rsidRDefault="00605365" w:rsidP="008B3282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OUTPUT 2.2.:</w:t>
            </w: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Farmers members of the voluntary plant surveillance network, trained </w:t>
            </w:r>
            <w:r w:rsidRPr="00690F6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(Unit: Farmers)</w:t>
            </w:r>
          </w:p>
        </w:tc>
        <w:tc>
          <w:tcPr>
            <w:tcW w:w="902" w:type="dxa"/>
            <w:vAlign w:val="center"/>
          </w:tcPr>
          <w:p w:rsidR="00605365" w:rsidRPr="00690F6B" w:rsidRDefault="00605365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81" w:type="dxa"/>
            <w:vAlign w:val="center"/>
          </w:tcPr>
          <w:p w:rsidR="00605365" w:rsidRPr="00690F6B" w:rsidRDefault="00605365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6" w:type="dxa"/>
            <w:vAlign w:val="center"/>
          </w:tcPr>
          <w:p w:rsidR="00605365" w:rsidRPr="00690F6B" w:rsidRDefault="00605365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5,500</w:t>
            </w:r>
          </w:p>
        </w:tc>
        <w:tc>
          <w:tcPr>
            <w:tcW w:w="900" w:type="dxa"/>
            <w:vAlign w:val="center"/>
          </w:tcPr>
          <w:p w:rsidR="00605365" w:rsidRPr="00690F6B" w:rsidRDefault="00605365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5,500</w:t>
            </w:r>
          </w:p>
        </w:tc>
        <w:tc>
          <w:tcPr>
            <w:tcW w:w="900" w:type="dxa"/>
            <w:vAlign w:val="center"/>
          </w:tcPr>
          <w:p w:rsidR="00605365" w:rsidRPr="00690F6B" w:rsidRDefault="00605365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5,500</w:t>
            </w:r>
          </w:p>
        </w:tc>
        <w:tc>
          <w:tcPr>
            <w:tcW w:w="900" w:type="dxa"/>
            <w:vAlign w:val="center"/>
          </w:tcPr>
          <w:p w:rsidR="00605365" w:rsidRPr="00690F6B" w:rsidRDefault="00605365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5,500</w:t>
            </w:r>
          </w:p>
        </w:tc>
        <w:tc>
          <w:tcPr>
            <w:tcW w:w="900" w:type="dxa"/>
            <w:vAlign w:val="center"/>
          </w:tcPr>
          <w:p w:rsidR="00605365" w:rsidRPr="00690F6B" w:rsidRDefault="00605365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22,000</w:t>
            </w:r>
          </w:p>
        </w:tc>
        <w:tc>
          <w:tcPr>
            <w:tcW w:w="5220" w:type="dxa"/>
            <w:vAlign w:val="center"/>
          </w:tcPr>
          <w:p w:rsidR="00A70E43" w:rsidRPr="00882A5B" w:rsidRDefault="00A70E43" w:rsidP="00A70E43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Farmers will be trained on the </w:t>
            </w:r>
            <w:r w:rsidR="00A97F9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identification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of pests and diseases included in the list (output 2.1) and on the procedure to </w:t>
            </w:r>
            <w:r w:rsidR="00F278C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follow to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notify the Ministry</w:t>
            </w:r>
            <w:r w:rsidR="00F278CF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in case of suspicion.</w:t>
            </w:r>
          </w:p>
          <w:p w:rsidR="00605365" w:rsidRPr="00690F6B" w:rsidRDefault="00605365" w:rsidP="00A1399A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Year of baseline: </w:t>
            </w: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2014</w:t>
            </w:r>
          </w:p>
          <w:p w:rsidR="00605365" w:rsidRPr="00690F6B" w:rsidRDefault="00605365" w:rsidP="00A1399A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Verification means: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Plant Health Directorate reports</w:t>
            </w:r>
          </w:p>
        </w:tc>
      </w:tr>
      <w:tr w:rsidR="00605365" w:rsidRPr="00690F6B" w:rsidTr="00884E3B">
        <w:trPr>
          <w:trHeight w:val="740"/>
          <w:jc w:val="center"/>
        </w:trPr>
        <w:tc>
          <w:tcPr>
            <w:tcW w:w="3620" w:type="dxa"/>
            <w:shd w:val="clear" w:color="auto" w:fill="auto"/>
            <w:vAlign w:val="center"/>
          </w:tcPr>
          <w:p w:rsidR="00605365" w:rsidRPr="00690F6B" w:rsidRDefault="00605365" w:rsidP="00AD4149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OUTPUT 2.3.: </w:t>
            </w: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Monthly plant health surveillance bulletin distributed on the field and available on the MARNDR Website through the UPS information system (</w:t>
            </w:r>
            <w:r w:rsidRPr="00690F6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Unit: Monthly bulletin</w:t>
            </w: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2" w:type="dxa"/>
            <w:vAlign w:val="center"/>
          </w:tcPr>
          <w:p w:rsidR="00605365" w:rsidRPr="00690F6B" w:rsidRDefault="00605365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81" w:type="dxa"/>
            <w:vAlign w:val="center"/>
          </w:tcPr>
          <w:p w:rsidR="00605365" w:rsidRPr="00690F6B" w:rsidRDefault="00605365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6" w:type="dxa"/>
            <w:vAlign w:val="center"/>
          </w:tcPr>
          <w:p w:rsidR="00605365" w:rsidRPr="00690F6B" w:rsidRDefault="00605365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605365" w:rsidRPr="00690F6B" w:rsidRDefault="00605365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605365" w:rsidRPr="00690F6B" w:rsidRDefault="00605365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00" w:type="dxa"/>
            <w:vAlign w:val="center"/>
          </w:tcPr>
          <w:p w:rsidR="00605365" w:rsidRPr="00690F6B" w:rsidRDefault="00605365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00" w:type="dxa"/>
            <w:vAlign w:val="center"/>
          </w:tcPr>
          <w:p w:rsidR="00605365" w:rsidRPr="00690F6B" w:rsidRDefault="00605365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220" w:type="dxa"/>
            <w:vAlign w:val="center"/>
          </w:tcPr>
          <w:p w:rsidR="00605365" w:rsidRPr="00690F6B" w:rsidRDefault="00605365" w:rsidP="0025478C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Year of baseline: </w:t>
            </w: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2014</w:t>
            </w:r>
          </w:p>
          <w:p w:rsidR="00605365" w:rsidRPr="00690F6B" w:rsidRDefault="00605365" w:rsidP="0025478C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Verification means: </w:t>
            </w: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MARNDR Website + IDB field supervision visits</w:t>
            </w:r>
          </w:p>
        </w:tc>
      </w:tr>
      <w:tr w:rsidR="00605365" w:rsidRPr="00690F6B" w:rsidTr="00884E3B">
        <w:trPr>
          <w:trHeight w:val="740"/>
          <w:jc w:val="center"/>
        </w:trPr>
        <w:tc>
          <w:tcPr>
            <w:tcW w:w="3620" w:type="dxa"/>
            <w:shd w:val="clear" w:color="auto" w:fill="auto"/>
            <w:vAlign w:val="center"/>
          </w:tcPr>
          <w:p w:rsidR="00605365" w:rsidRPr="00690F6B" w:rsidRDefault="00605365" w:rsidP="00781990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OUTPUT 2.4: </w:t>
            </w: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Traps for Fruit Fly control installed and refilled every week with baits without discontinuity during the entire control campaign </w:t>
            </w:r>
            <w:r w:rsidRPr="00690F6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(Unit: Traps)</w:t>
            </w:r>
          </w:p>
        </w:tc>
        <w:tc>
          <w:tcPr>
            <w:tcW w:w="902" w:type="dxa"/>
            <w:vAlign w:val="center"/>
          </w:tcPr>
          <w:p w:rsidR="00605365" w:rsidRPr="00690F6B" w:rsidRDefault="00605365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81" w:type="dxa"/>
            <w:vAlign w:val="center"/>
          </w:tcPr>
          <w:p w:rsidR="00605365" w:rsidRPr="00690F6B" w:rsidRDefault="00605365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98,000</w:t>
            </w:r>
          </w:p>
        </w:tc>
        <w:tc>
          <w:tcPr>
            <w:tcW w:w="936" w:type="dxa"/>
            <w:vAlign w:val="center"/>
          </w:tcPr>
          <w:p w:rsidR="00605365" w:rsidRPr="00690F6B" w:rsidRDefault="00605365" w:rsidP="00884E3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196,000</w:t>
            </w:r>
          </w:p>
        </w:tc>
        <w:tc>
          <w:tcPr>
            <w:tcW w:w="900" w:type="dxa"/>
            <w:vAlign w:val="center"/>
          </w:tcPr>
          <w:p w:rsidR="00605365" w:rsidRPr="00690F6B" w:rsidRDefault="00605365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605365" w:rsidRPr="00690F6B" w:rsidRDefault="00605365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605365" w:rsidRPr="00690F6B" w:rsidRDefault="00605365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605365" w:rsidRPr="00690F6B" w:rsidRDefault="00605365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196,000</w:t>
            </w:r>
          </w:p>
        </w:tc>
        <w:tc>
          <w:tcPr>
            <w:tcW w:w="5220" w:type="dxa"/>
            <w:vAlign w:val="center"/>
          </w:tcPr>
          <w:p w:rsidR="00605365" w:rsidRPr="00690F6B" w:rsidRDefault="00605365" w:rsidP="00A1399A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Year of baseline: </w:t>
            </w: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2014</w:t>
            </w:r>
          </w:p>
          <w:p w:rsidR="00605365" w:rsidRPr="00690F6B" w:rsidRDefault="00605365" w:rsidP="00A1399A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Verification means: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F11B95">
              <w:rPr>
                <w:rFonts w:ascii="Times New Roman" w:eastAsia="Calibri" w:hAnsi="Times New Roman" w:cs="Times New Roman"/>
                <w:sz w:val="20"/>
                <w:szCs w:val="20"/>
              </w:rPr>
              <w:t>Plant Health Directorate supervision/monitoring reports</w:t>
            </w:r>
          </w:p>
          <w:p w:rsidR="00605365" w:rsidRPr="00690F6B" w:rsidRDefault="00605365" w:rsidP="00F11B95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Nb</w:t>
            </w:r>
            <w:proofErr w:type="spellEnd"/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: during the second year, 98,000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additional</w:t>
            </w: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traps will be installed but the totality of the traps installed (196,000) will have to be refilled</w:t>
            </w:r>
            <w:r w:rsidRPr="00690F6B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(operation that represents most of the efforts and costs)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605365" w:rsidRPr="00690F6B" w:rsidTr="00884E3B">
        <w:trPr>
          <w:trHeight w:val="875"/>
          <w:jc w:val="center"/>
        </w:trPr>
        <w:tc>
          <w:tcPr>
            <w:tcW w:w="3620" w:type="dxa"/>
            <w:shd w:val="clear" w:color="auto" w:fill="auto"/>
            <w:vAlign w:val="center"/>
          </w:tcPr>
          <w:p w:rsidR="00605365" w:rsidRPr="00690F6B" w:rsidRDefault="00605365" w:rsidP="001C10F9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 xml:space="preserve">OUTPUT 2.5: </w:t>
            </w: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Traps for “Crazy Ant” control installed and refilled every week with baits without discontinuity during the entire control campaign </w:t>
            </w:r>
            <w:r w:rsidRPr="00690F6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(Unit: Traps)</w:t>
            </w:r>
          </w:p>
        </w:tc>
        <w:tc>
          <w:tcPr>
            <w:tcW w:w="902" w:type="dxa"/>
            <w:vAlign w:val="center"/>
          </w:tcPr>
          <w:p w:rsidR="00605365" w:rsidRPr="00E878B6" w:rsidRDefault="00605365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8B6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81" w:type="dxa"/>
            <w:vAlign w:val="center"/>
          </w:tcPr>
          <w:p w:rsidR="00605365" w:rsidRPr="00E878B6" w:rsidRDefault="00605365" w:rsidP="00680B6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8B6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6" w:type="dxa"/>
            <w:vAlign w:val="center"/>
          </w:tcPr>
          <w:p w:rsidR="00605365" w:rsidRPr="00E878B6" w:rsidRDefault="00605365" w:rsidP="00884E3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8B6">
              <w:rPr>
                <w:rFonts w:ascii="Times New Roman" w:eastAsia="Calibri" w:hAnsi="Times New Roman" w:cs="Times New Roman"/>
                <w:sz w:val="20"/>
                <w:szCs w:val="20"/>
              </w:rPr>
              <w:t>109,125</w:t>
            </w:r>
          </w:p>
        </w:tc>
        <w:tc>
          <w:tcPr>
            <w:tcW w:w="900" w:type="dxa"/>
            <w:vAlign w:val="center"/>
          </w:tcPr>
          <w:p w:rsidR="00605365" w:rsidRPr="005E7ED4" w:rsidRDefault="00605365" w:rsidP="00884E3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7ED4">
              <w:rPr>
                <w:rFonts w:ascii="Times New Roman" w:eastAsia="Calibri" w:hAnsi="Times New Roman" w:cs="Times New Roman"/>
                <w:sz w:val="20"/>
                <w:szCs w:val="20"/>
              </w:rPr>
              <w:t>218,250</w:t>
            </w:r>
          </w:p>
        </w:tc>
        <w:tc>
          <w:tcPr>
            <w:tcW w:w="900" w:type="dxa"/>
            <w:vAlign w:val="center"/>
          </w:tcPr>
          <w:p w:rsidR="00605365" w:rsidRPr="005E7ED4" w:rsidRDefault="00605365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605365" w:rsidRPr="00690F6B" w:rsidRDefault="00605365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605365" w:rsidRPr="00690F6B" w:rsidRDefault="00605365" w:rsidP="00680B6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218,250</w:t>
            </w:r>
          </w:p>
        </w:tc>
        <w:tc>
          <w:tcPr>
            <w:tcW w:w="5220" w:type="dxa"/>
            <w:vAlign w:val="center"/>
          </w:tcPr>
          <w:p w:rsidR="00605365" w:rsidRPr="00690F6B" w:rsidRDefault="00605365" w:rsidP="00A1399A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Year of baseline: </w:t>
            </w: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2014</w:t>
            </w:r>
          </w:p>
          <w:p w:rsidR="00605365" w:rsidRDefault="00605365" w:rsidP="00F11B95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Verification means: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F11B95">
              <w:rPr>
                <w:rFonts w:ascii="Times New Roman" w:eastAsia="Calibri" w:hAnsi="Times New Roman" w:cs="Times New Roman"/>
                <w:sz w:val="20"/>
                <w:szCs w:val="20"/>
              </w:rPr>
              <w:t>Plant Health Directorate supervision/monitoring reports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</w:p>
          <w:p w:rsidR="00605365" w:rsidRPr="00690F6B" w:rsidRDefault="00605365" w:rsidP="00F11B95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Nb</w:t>
            </w:r>
            <w:proofErr w:type="spellEnd"/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 : during the </w:t>
            </w:r>
            <w:r w:rsidRPr="00680B6F">
              <w:rPr>
                <w:rFonts w:ascii="Times New Roman" w:eastAsia="Calibri" w:hAnsi="Times New Roman" w:cs="Times New Roman"/>
                <w:sz w:val="20"/>
                <w:szCs w:val="20"/>
              </w:rPr>
              <w:t>second year, 109,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125 additional </w:t>
            </w:r>
            <w:r w:rsidRPr="00680B6F">
              <w:rPr>
                <w:rFonts w:ascii="Times New Roman" w:eastAsia="Calibri" w:hAnsi="Times New Roman" w:cs="Times New Roman"/>
                <w:sz w:val="20"/>
                <w:szCs w:val="20"/>
              </w:rPr>
              <w:t>traps will be installed but the totality of the traps installed (218,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250</w:t>
            </w:r>
            <w:r w:rsidRPr="00680B6F">
              <w:rPr>
                <w:rFonts w:ascii="Times New Roman" w:eastAsia="Calibri" w:hAnsi="Times New Roman" w:cs="Times New Roman"/>
                <w:sz w:val="20"/>
                <w:szCs w:val="20"/>
              </w:rPr>
              <w:t>) will have to be refilled (operation that represents most of the efforts and costs)</w:t>
            </w:r>
          </w:p>
        </w:tc>
      </w:tr>
      <w:tr w:rsidR="00605365" w:rsidRPr="00690F6B" w:rsidTr="00884E3B">
        <w:trPr>
          <w:trHeight w:val="218"/>
          <w:jc w:val="center"/>
        </w:trPr>
        <w:tc>
          <w:tcPr>
            <w:tcW w:w="3620" w:type="dxa"/>
            <w:shd w:val="clear" w:color="auto" w:fill="auto"/>
            <w:vAlign w:val="center"/>
          </w:tcPr>
          <w:p w:rsidR="00605365" w:rsidRPr="00690F6B" w:rsidRDefault="00605365" w:rsidP="00212C33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OUTPUT 2.6:</w:t>
            </w: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Phytopathology and virology sections of the Plant Health Laboratory equipped </w:t>
            </w:r>
            <w:r w:rsidRPr="00690F6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(Unit: Sections)</w:t>
            </w:r>
          </w:p>
        </w:tc>
        <w:tc>
          <w:tcPr>
            <w:tcW w:w="902" w:type="dxa"/>
            <w:vAlign w:val="center"/>
          </w:tcPr>
          <w:p w:rsidR="00605365" w:rsidRPr="00690F6B" w:rsidRDefault="00605365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81" w:type="dxa"/>
            <w:vAlign w:val="center"/>
          </w:tcPr>
          <w:p w:rsidR="00605365" w:rsidRPr="005E7ED4" w:rsidRDefault="00605365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6" w:type="dxa"/>
            <w:vAlign w:val="center"/>
          </w:tcPr>
          <w:p w:rsidR="00605365" w:rsidRPr="005E7ED4" w:rsidRDefault="00605365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7ED4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00" w:type="dxa"/>
            <w:vAlign w:val="center"/>
          </w:tcPr>
          <w:p w:rsidR="00605365" w:rsidRPr="00690F6B" w:rsidRDefault="00605365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605365" w:rsidRPr="00690F6B" w:rsidRDefault="00605365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605365" w:rsidRPr="00690F6B" w:rsidRDefault="00605365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605365" w:rsidRPr="00690F6B" w:rsidRDefault="00605365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20" w:type="dxa"/>
            <w:vAlign w:val="center"/>
          </w:tcPr>
          <w:p w:rsidR="00605365" w:rsidRPr="00374262" w:rsidRDefault="00605365" w:rsidP="00A1399A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0B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The laboratory will be equipped with binoculars,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autoclave, centrifuge,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etc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(exact list already defined).</w:t>
            </w:r>
          </w:p>
          <w:p w:rsidR="00605365" w:rsidRPr="00690F6B" w:rsidRDefault="00605365" w:rsidP="00A1399A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Year of baseline: </w:t>
            </w: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2014</w:t>
            </w:r>
          </w:p>
          <w:p w:rsidR="00605365" w:rsidRPr="00690F6B" w:rsidRDefault="00605365" w:rsidP="00680B6F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Verification means: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assets inventory register + </w:t>
            </w: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visual observation during IDB field inspection visit</w:t>
            </w:r>
          </w:p>
        </w:tc>
      </w:tr>
      <w:tr w:rsidR="00605365" w:rsidRPr="00690F6B" w:rsidTr="00884E3B">
        <w:trPr>
          <w:trHeight w:val="542"/>
          <w:jc w:val="center"/>
        </w:trPr>
        <w:tc>
          <w:tcPr>
            <w:tcW w:w="3620" w:type="dxa"/>
            <w:shd w:val="clear" w:color="auto" w:fill="auto"/>
            <w:vAlign w:val="center"/>
          </w:tcPr>
          <w:p w:rsidR="00605365" w:rsidRPr="00690F6B" w:rsidRDefault="00605365" w:rsidP="003E1061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OUTPUT 2.7.:</w:t>
            </w: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Biosecurity and Quality Plan and Laboratory Protocols prepared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officially approved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by MARNDR authorities </w:t>
            </w: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and published on the MARNDR Website </w:t>
            </w:r>
            <w:r w:rsidRPr="00690F6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(Unit: Plan/Protocol)</w:t>
            </w:r>
          </w:p>
        </w:tc>
        <w:tc>
          <w:tcPr>
            <w:tcW w:w="902" w:type="dxa"/>
            <w:vAlign w:val="center"/>
          </w:tcPr>
          <w:p w:rsidR="00605365" w:rsidRPr="00690F6B" w:rsidRDefault="00605365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81" w:type="dxa"/>
            <w:vAlign w:val="center"/>
          </w:tcPr>
          <w:p w:rsidR="00605365" w:rsidRPr="005E7ED4" w:rsidRDefault="00605365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6" w:type="dxa"/>
            <w:vAlign w:val="center"/>
          </w:tcPr>
          <w:p w:rsidR="00605365" w:rsidRPr="005E7ED4" w:rsidRDefault="00605365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7ED4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00" w:type="dxa"/>
            <w:vAlign w:val="center"/>
          </w:tcPr>
          <w:p w:rsidR="00605365" w:rsidRPr="005E7ED4" w:rsidRDefault="00605365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605365" w:rsidRPr="00690F6B" w:rsidRDefault="00605365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605365" w:rsidRPr="00690F6B" w:rsidRDefault="00605365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605365" w:rsidRPr="00690F6B" w:rsidRDefault="00605365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20" w:type="dxa"/>
            <w:vAlign w:val="center"/>
          </w:tcPr>
          <w:p w:rsidR="00605365" w:rsidRPr="00690F6B" w:rsidRDefault="00605365" w:rsidP="00A1399A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Year of baseline: </w:t>
            </w: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2014</w:t>
            </w:r>
          </w:p>
          <w:p w:rsidR="00605365" w:rsidRPr="00690F6B" w:rsidRDefault="00605365" w:rsidP="00A1399A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Verification means: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MARNDR Website</w:t>
            </w:r>
          </w:p>
        </w:tc>
      </w:tr>
      <w:tr w:rsidR="00605365" w:rsidRPr="00690F6B" w:rsidTr="00884E3B">
        <w:trPr>
          <w:trHeight w:val="542"/>
          <w:jc w:val="center"/>
        </w:trPr>
        <w:tc>
          <w:tcPr>
            <w:tcW w:w="3620" w:type="dxa"/>
            <w:shd w:val="clear" w:color="auto" w:fill="auto"/>
            <w:vAlign w:val="center"/>
          </w:tcPr>
          <w:p w:rsidR="00605365" w:rsidRPr="00690F6B" w:rsidRDefault="00605365" w:rsidP="006672AD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OUTPUT 2.8. :</w:t>
            </w: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Staff of the Plant Health Laboratory trained </w:t>
            </w:r>
            <w:r w:rsidRPr="00690F6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(Unit: Staff)</w:t>
            </w:r>
          </w:p>
        </w:tc>
        <w:tc>
          <w:tcPr>
            <w:tcW w:w="902" w:type="dxa"/>
            <w:vAlign w:val="center"/>
          </w:tcPr>
          <w:p w:rsidR="00605365" w:rsidRPr="00690F6B" w:rsidRDefault="00605365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81" w:type="dxa"/>
            <w:vAlign w:val="center"/>
          </w:tcPr>
          <w:p w:rsidR="00605365" w:rsidRPr="00690F6B" w:rsidRDefault="00605365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6" w:type="dxa"/>
            <w:vAlign w:val="center"/>
          </w:tcPr>
          <w:p w:rsidR="00605365" w:rsidRPr="00BE17C3" w:rsidRDefault="00605365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00" w:type="dxa"/>
            <w:vAlign w:val="center"/>
          </w:tcPr>
          <w:p w:rsidR="00605365" w:rsidRPr="00BE17C3" w:rsidRDefault="00605365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605365" w:rsidRPr="00BE17C3" w:rsidRDefault="00605365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605365" w:rsidRPr="00BE17C3" w:rsidRDefault="00605365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605365" w:rsidRPr="00BE17C3" w:rsidRDefault="00605365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17C3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220" w:type="dxa"/>
            <w:vAlign w:val="center"/>
          </w:tcPr>
          <w:p w:rsidR="00F278CF" w:rsidRPr="00882A5B" w:rsidRDefault="00F278CF" w:rsidP="00F278CF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Staff will be trained on the proper implementation of the biosecurity and quality plan and laboratory p</w:t>
            </w: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rotocols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(output 2.7).</w:t>
            </w:r>
          </w:p>
          <w:p w:rsidR="00605365" w:rsidRPr="00690F6B" w:rsidRDefault="00605365" w:rsidP="00A1399A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Year of baseline: </w:t>
            </w: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2014</w:t>
            </w:r>
          </w:p>
          <w:p w:rsidR="00605365" w:rsidRPr="00690F6B" w:rsidRDefault="00605365" w:rsidP="00A1399A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Verification means: </w:t>
            </w: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Plant Health Directorate reports</w:t>
            </w:r>
          </w:p>
        </w:tc>
      </w:tr>
      <w:tr w:rsidR="00605365" w:rsidRPr="00690F6B" w:rsidTr="00884E3B">
        <w:trPr>
          <w:trHeight w:val="308"/>
          <w:jc w:val="center"/>
        </w:trPr>
        <w:tc>
          <w:tcPr>
            <w:tcW w:w="3620" w:type="dxa"/>
            <w:shd w:val="clear" w:color="auto" w:fill="auto"/>
            <w:vAlign w:val="center"/>
          </w:tcPr>
          <w:p w:rsidR="00605365" w:rsidRPr="00690F6B" w:rsidRDefault="00605365" w:rsidP="00900835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OUTPUT 2.8. : </w:t>
            </w: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Staff of the Plant Health Risk Analysis Unit trained </w:t>
            </w:r>
            <w:r w:rsidRPr="00690F6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(Unit: Staff)</w:t>
            </w:r>
          </w:p>
        </w:tc>
        <w:tc>
          <w:tcPr>
            <w:tcW w:w="902" w:type="dxa"/>
            <w:vAlign w:val="center"/>
          </w:tcPr>
          <w:p w:rsidR="00605365" w:rsidRPr="00690F6B" w:rsidRDefault="00605365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81" w:type="dxa"/>
            <w:vAlign w:val="center"/>
          </w:tcPr>
          <w:p w:rsidR="00605365" w:rsidRPr="00690F6B" w:rsidRDefault="00605365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6" w:type="dxa"/>
            <w:vAlign w:val="center"/>
          </w:tcPr>
          <w:p w:rsidR="00605365" w:rsidRPr="00690F6B" w:rsidRDefault="00605365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605365" w:rsidRPr="005E7ED4" w:rsidRDefault="00605365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7ED4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00" w:type="dxa"/>
            <w:vAlign w:val="center"/>
          </w:tcPr>
          <w:p w:rsidR="00605365" w:rsidRPr="005E7ED4" w:rsidRDefault="00605365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605365" w:rsidRPr="005E7ED4" w:rsidRDefault="00605365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605365" w:rsidRPr="005E7ED4" w:rsidRDefault="00605365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7ED4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20" w:type="dxa"/>
            <w:vAlign w:val="center"/>
          </w:tcPr>
          <w:p w:rsidR="00F278CF" w:rsidRPr="00882A5B" w:rsidRDefault="00F278CF" w:rsidP="00F278CF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Staff will be trained on epidemiology and risk analysis methodologies.</w:t>
            </w:r>
          </w:p>
          <w:p w:rsidR="00605365" w:rsidRPr="00690F6B" w:rsidRDefault="00605365" w:rsidP="00A1399A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Year of baseline: </w:t>
            </w: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2014</w:t>
            </w:r>
          </w:p>
          <w:p w:rsidR="00605365" w:rsidRPr="00690F6B" w:rsidRDefault="00605365" w:rsidP="00A1399A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Verification means: </w:t>
            </w: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Plant Health Directorate reports</w:t>
            </w:r>
          </w:p>
        </w:tc>
      </w:tr>
      <w:tr w:rsidR="00605365" w:rsidRPr="00690F6B" w:rsidTr="00884E3B">
        <w:trPr>
          <w:trHeight w:val="335"/>
          <w:jc w:val="center"/>
        </w:trPr>
        <w:tc>
          <w:tcPr>
            <w:tcW w:w="15159" w:type="dxa"/>
            <w:gridSpan w:val="9"/>
            <w:shd w:val="clear" w:color="auto" w:fill="95B3D7"/>
            <w:vAlign w:val="center"/>
          </w:tcPr>
          <w:p w:rsidR="00605365" w:rsidRPr="00690F6B" w:rsidRDefault="00605365" w:rsidP="00CB535E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COMPONENT III: ANIMAL HEALTH</w:t>
            </w:r>
          </w:p>
        </w:tc>
      </w:tr>
      <w:tr w:rsidR="00605365" w:rsidRPr="00690F6B" w:rsidTr="00884E3B">
        <w:trPr>
          <w:trHeight w:val="533"/>
          <w:tblHeader/>
          <w:jc w:val="center"/>
        </w:trPr>
        <w:tc>
          <w:tcPr>
            <w:tcW w:w="3620" w:type="dxa"/>
            <w:shd w:val="clear" w:color="auto" w:fill="95B3D7"/>
            <w:vAlign w:val="center"/>
          </w:tcPr>
          <w:p w:rsidR="00605365" w:rsidRPr="00690F6B" w:rsidRDefault="00605365" w:rsidP="002B59E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OUTCOMES</w:t>
            </w:r>
          </w:p>
        </w:tc>
        <w:tc>
          <w:tcPr>
            <w:tcW w:w="902" w:type="dxa"/>
            <w:shd w:val="clear" w:color="auto" w:fill="95B3D7"/>
            <w:vAlign w:val="center"/>
          </w:tcPr>
          <w:p w:rsidR="00605365" w:rsidRPr="00690F6B" w:rsidRDefault="00605365" w:rsidP="002B59E8">
            <w:pPr>
              <w:spacing w:after="0" w:line="240" w:lineRule="auto"/>
              <w:ind w:left="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Baseline</w:t>
            </w:r>
          </w:p>
        </w:tc>
        <w:tc>
          <w:tcPr>
            <w:tcW w:w="881" w:type="dxa"/>
            <w:shd w:val="clear" w:color="auto" w:fill="95B3D7"/>
            <w:vAlign w:val="center"/>
          </w:tcPr>
          <w:p w:rsidR="00605365" w:rsidRPr="00690F6B" w:rsidRDefault="00605365" w:rsidP="002B59E8">
            <w:pPr>
              <w:spacing w:after="0" w:line="240" w:lineRule="auto"/>
              <w:ind w:left="15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Y1</w:t>
            </w:r>
          </w:p>
        </w:tc>
        <w:tc>
          <w:tcPr>
            <w:tcW w:w="936" w:type="dxa"/>
            <w:shd w:val="clear" w:color="auto" w:fill="95B3D7"/>
            <w:vAlign w:val="center"/>
          </w:tcPr>
          <w:p w:rsidR="00605365" w:rsidRPr="00690F6B" w:rsidRDefault="00605365" w:rsidP="002B59E8">
            <w:pPr>
              <w:spacing w:after="0" w:line="240" w:lineRule="auto"/>
              <w:ind w:left="15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Y2</w:t>
            </w:r>
          </w:p>
        </w:tc>
        <w:tc>
          <w:tcPr>
            <w:tcW w:w="900" w:type="dxa"/>
            <w:shd w:val="clear" w:color="auto" w:fill="95B3D7"/>
            <w:vAlign w:val="center"/>
          </w:tcPr>
          <w:p w:rsidR="00605365" w:rsidRPr="00690F6B" w:rsidRDefault="00605365" w:rsidP="002B59E8">
            <w:pPr>
              <w:spacing w:after="0" w:line="240" w:lineRule="auto"/>
              <w:ind w:left="15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Y3</w:t>
            </w:r>
          </w:p>
        </w:tc>
        <w:tc>
          <w:tcPr>
            <w:tcW w:w="900" w:type="dxa"/>
            <w:shd w:val="clear" w:color="auto" w:fill="95B3D7"/>
            <w:vAlign w:val="center"/>
          </w:tcPr>
          <w:p w:rsidR="00605365" w:rsidRPr="00690F6B" w:rsidRDefault="00605365" w:rsidP="002B59E8">
            <w:pPr>
              <w:spacing w:after="0" w:line="240" w:lineRule="auto"/>
              <w:ind w:left="15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Y4</w:t>
            </w:r>
          </w:p>
        </w:tc>
        <w:tc>
          <w:tcPr>
            <w:tcW w:w="900" w:type="dxa"/>
            <w:shd w:val="clear" w:color="auto" w:fill="95B3D7"/>
            <w:vAlign w:val="center"/>
          </w:tcPr>
          <w:p w:rsidR="00605365" w:rsidRPr="00690F6B" w:rsidRDefault="00605365" w:rsidP="009143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Y5</w:t>
            </w:r>
          </w:p>
        </w:tc>
        <w:tc>
          <w:tcPr>
            <w:tcW w:w="900" w:type="dxa"/>
            <w:shd w:val="clear" w:color="auto" w:fill="95B3D7"/>
            <w:vAlign w:val="center"/>
          </w:tcPr>
          <w:p w:rsidR="00605365" w:rsidRPr="00690F6B" w:rsidRDefault="00605365" w:rsidP="002B59E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End of Project</w:t>
            </w:r>
          </w:p>
        </w:tc>
        <w:tc>
          <w:tcPr>
            <w:tcW w:w="5220" w:type="dxa"/>
            <w:shd w:val="clear" w:color="auto" w:fill="95B3D7"/>
            <w:vAlign w:val="center"/>
          </w:tcPr>
          <w:p w:rsidR="00605365" w:rsidRPr="00690F6B" w:rsidRDefault="00605365" w:rsidP="002B59E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Comments</w:t>
            </w:r>
          </w:p>
        </w:tc>
      </w:tr>
      <w:tr w:rsidR="00605365" w:rsidRPr="00690F6B" w:rsidTr="00884E3B">
        <w:trPr>
          <w:trHeight w:val="560"/>
          <w:jc w:val="center"/>
        </w:trPr>
        <w:tc>
          <w:tcPr>
            <w:tcW w:w="362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05365" w:rsidRPr="00690F6B" w:rsidRDefault="00605365" w:rsidP="001A5563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OUTCOME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: </w:t>
            </w:r>
            <w:r w:rsidRPr="00690F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Improved performance of animal health services </w:t>
            </w:r>
          </w:p>
        </w:tc>
        <w:tc>
          <w:tcPr>
            <w:tcW w:w="902" w:type="dxa"/>
            <w:tcBorders>
              <w:bottom w:val="dotted" w:sz="4" w:space="0" w:color="auto"/>
            </w:tcBorders>
            <w:vAlign w:val="center"/>
          </w:tcPr>
          <w:p w:rsidR="00605365" w:rsidRPr="005E7ED4" w:rsidRDefault="00605365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81" w:type="dxa"/>
            <w:tcBorders>
              <w:bottom w:val="dotted" w:sz="4" w:space="0" w:color="auto"/>
            </w:tcBorders>
            <w:vAlign w:val="center"/>
          </w:tcPr>
          <w:p w:rsidR="00605365" w:rsidRPr="005E7ED4" w:rsidRDefault="00605365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tcBorders>
              <w:bottom w:val="dotted" w:sz="4" w:space="0" w:color="auto"/>
            </w:tcBorders>
            <w:vAlign w:val="center"/>
          </w:tcPr>
          <w:p w:rsidR="00605365" w:rsidRPr="005E7ED4" w:rsidRDefault="00605365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dotted" w:sz="4" w:space="0" w:color="auto"/>
            </w:tcBorders>
            <w:vAlign w:val="center"/>
          </w:tcPr>
          <w:p w:rsidR="00605365" w:rsidRPr="005E7ED4" w:rsidRDefault="00605365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dotted" w:sz="4" w:space="0" w:color="auto"/>
            </w:tcBorders>
            <w:vAlign w:val="center"/>
          </w:tcPr>
          <w:p w:rsidR="00605365" w:rsidRPr="005E7ED4" w:rsidRDefault="00605365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dotted" w:sz="4" w:space="0" w:color="auto"/>
            </w:tcBorders>
            <w:vAlign w:val="center"/>
          </w:tcPr>
          <w:p w:rsidR="00605365" w:rsidRPr="005E7ED4" w:rsidRDefault="00605365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dotted" w:sz="4" w:space="0" w:color="auto"/>
            </w:tcBorders>
            <w:vAlign w:val="center"/>
          </w:tcPr>
          <w:p w:rsidR="00605365" w:rsidRPr="005E7ED4" w:rsidRDefault="00605365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220" w:type="dxa"/>
            <w:vAlign w:val="center"/>
          </w:tcPr>
          <w:p w:rsidR="00605365" w:rsidRPr="00690F6B" w:rsidRDefault="00605365" w:rsidP="006672AD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05365" w:rsidRPr="00690F6B" w:rsidTr="00884E3B">
        <w:trPr>
          <w:trHeight w:val="542"/>
          <w:jc w:val="center"/>
        </w:trPr>
        <w:tc>
          <w:tcPr>
            <w:tcW w:w="362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05365" w:rsidRPr="00690F6B" w:rsidDel="00B80E3A" w:rsidRDefault="00605365" w:rsidP="006672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Indicator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.1: </w:t>
            </w: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Score PVS/OIE (</w:t>
            </w:r>
            <w:r w:rsidRPr="00690F6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in points/5</w:t>
            </w: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2" w:type="dxa"/>
            <w:tcBorders>
              <w:bottom w:val="dotted" w:sz="4" w:space="0" w:color="auto"/>
            </w:tcBorders>
            <w:vAlign w:val="center"/>
          </w:tcPr>
          <w:p w:rsidR="00605365" w:rsidRPr="005E7ED4" w:rsidRDefault="00605365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7ED4">
              <w:rPr>
                <w:rFonts w:ascii="Times New Roman" w:eastAsia="Calibri" w:hAnsi="Times New Roman" w:cs="Times New Roman"/>
                <w:sz w:val="20"/>
                <w:szCs w:val="20"/>
              </w:rPr>
              <w:t>1.58</w:t>
            </w:r>
          </w:p>
        </w:tc>
        <w:tc>
          <w:tcPr>
            <w:tcW w:w="881" w:type="dxa"/>
            <w:tcBorders>
              <w:bottom w:val="dotted" w:sz="4" w:space="0" w:color="auto"/>
            </w:tcBorders>
            <w:vAlign w:val="center"/>
          </w:tcPr>
          <w:p w:rsidR="00605365" w:rsidRPr="005E7ED4" w:rsidRDefault="00605365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tcBorders>
              <w:bottom w:val="dotted" w:sz="4" w:space="0" w:color="auto"/>
            </w:tcBorders>
            <w:vAlign w:val="center"/>
          </w:tcPr>
          <w:p w:rsidR="00605365" w:rsidRPr="005E7ED4" w:rsidRDefault="00605365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dotted" w:sz="4" w:space="0" w:color="auto"/>
            </w:tcBorders>
            <w:vAlign w:val="center"/>
          </w:tcPr>
          <w:p w:rsidR="00605365" w:rsidRPr="005E7ED4" w:rsidRDefault="00605365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dotted" w:sz="4" w:space="0" w:color="auto"/>
            </w:tcBorders>
            <w:vAlign w:val="center"/>
          </w:tcPr>
          <w:p w:rsidR="00605365" w:rsidRPr="005E7ED4" w:rsidRDefault="00605365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dotted" w:sz="4" w:space="0" w:color="auto"/>
            </w:tcBorders>
            <w:vAlign w:val="center"/>
          </w:tcPr>
          <w:p w:rsidR="00605365" w:rsidRPr="005E7ED4" w:rsidRDefault="00605365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900" w:type="dxa"/>
            <w:tcBorders>
              <w:bottom w:val="dotted" w:sz="4" w:space="0" w:color="auto"/>
            </w:tcBorders>
            <w:vAlign w:val="center"/>
          </w:tcPr>
          <w:p w:rsidR="00605365" w:rsidRPr="005E7ED4" w:rsidRDefault="00605365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5220" w:type="dxa"/>
            <w:vAlign w:val="center"/>
          </w:tcPr>
          <w:p w:rsidR="00605365" w:rsidRPr="00690F6B" w:rsidRDefault="00605365" w:rsidP="006672AD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Source and year of baseline: </w:t>
            </w: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OIE, 2010</w:t>
            </w:r>
          </w:p>
          <w:p w:rsidR="00605365" w:rsidRDefault="00605365" w:rsidP="0006385D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Verification means: </w:t>
            </w: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PVS/OIE evaluation</w:t>
            </w:r>
          </w:p>
          <w:p w:rsidR="005863A5" w:rsidRPr="00690F6B" w:rsidDel="00B80E3A" w:rsidRDefault="0023621A" w:rsidP="00A97F9B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The target has been calculated based on the assumption that (i) the proposed project </w:t>
            </w:r>
            <w:r w:rsidR="00A97F9B">
              <w:rPr>
                <w:rFonts w:ascii="Times New Roman" w:eastAsia="Calibri" w:hAnsi="Times New Roman" w:cs="Times New Roman"/>
                <w:sz w:val="20"/>
                <w:szCs w:val="20"/>
              </w:rPr>
              <w:t>and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the series of PBG will allow to improve several of the 46 OIE criteria (ii) e</w:t>
            </w:r>
            <w:r w:rsidRPr="00DC6B9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ach criteria </w:t>
            </w:r>
            <w:r w:rsidRPr="005863A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benefitting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from </w:t>
            </w:r>
            <w:r w:rsidRPr="005863A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an intervention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included</w:t>
            </w:r>
            <w:r w:rsidRPr="005863A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in the project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or the PBGs will improve its individual score between 1 and 5 points (depending on the effect expected from the specific intervention).</w:t>
            </w:r>
          </w:p>
        </w:tc>
      </w:tr>
      <w:tr w:rsidR="0032747F" w:rsidRPr="00690F6B" w:rsidTr="00884E3B">
        <w:trPr>
          <w:trHeight w:val="470"/>
          <w:jc w:val="center"/>
        </w:trPr>
        <w:tc>
          <w:tcPr>
            <w:tcW w:w="3620" w:type="dxa"/>
            <w:shd w:val="clear" w:color="auto" w:fill="auto"/>
            <w:vAlign w:val="center"/>
          </w:tcPr>
          <w:p w:rsidR="0032747F" w:rsidRPr="00690F6B" w:rsidRDefault="0032747F" w:rsidP="0032747F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Indicator 5.2</w:t>
            </w:r>
            <w:r w:rsidRPr="000A3A9B">
              <w:rPr>
                <w:rFonts w:ascii="Times New Roman" w:eastAsia="Calibri" w:hAnsi="Times New Roman" w:cs="Times New Roman"/>
                <w:sz w:val="20"/>
                <w:szCs w:val="20"/>
              </w:rPr>
              <w:t>. Number of farmers who will benefit from improved animal health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0A3A9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(CSF and </w:t>
            </w:r>
            <w:proofErr w:type="spellStart"/>
            <w:r w:rsidRPr="000A3A9B">
              <w:rPr>
                <w:rFonts w:ascii="Times New Roman" w:eastAsia="Calibri" w:hAnsi="Times New Roman" w:cs="Times New Roman"/>
                <w:sz w:val="20"/>
                <w:szCs w:val="20"/>
              </w:rPr>
              <w:t>Teschen</w:t>
            </w:r>
            <w:proofErr w:type="spellEnd"/>
            <w:r w:rsidRPr="000A3A9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disease vaccination campaign)</w:t>
            </w:r>
          </w:p>
        </w:tc>
        <w:tc>
          <w:tcPr>
            <w:tcW w:w="902" w:type="dxa"/>
            <w:vAlign w:val="center"/>
          </w:tcPr>
          <w:p w:rsidR="0032747F" w:rsidRPr="005E7ED4" w:rsidRDefault="0032747F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881" w:type="dxa"/>
            <w:vAlign w:val="center"/>
          </w:tcPr>
          <w:p w:rsidR="0032747F" w:rsidRPr="005E7ED4" w:rsidRDefault="0032747F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32747F" w:rsidRPr="005E7ED4" w:rsidRDefault="0032747F" w:rsidP="00884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611,000</w:t>
            </w:r>
          </w:p>
        </w:tc>
        <w:tc>
          <w:tcPr>
            <w:tcW w:w="900" w:type="dxa"/>
            <w:vAlign w:val="center"/>
          </w:tcPr>
          <w:p w:rsidR="0032747F" w:rsidRPr="005E7ED4" w:rsidRDefault="0032747F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32747F" w:rsidRPr="005E7ED4" w:rsidRDefault="0032747F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32747F" w:rsidRPr="005E7ED4" w:rsidRDefault="0032747F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32747F" w:rsidRPr="005E7ED4" w:rsidRDefault="0032747F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611,000</w:t>
            </w:r>
          </w:p>
        </w:tc>
        <w:tc>
          <w:tcPr>
            <w:tcW w:w="5220" w:type="dxa"/>
            <w:vAlign w:val="center"/>
          </w:tcPr>
          <w:p w:rsidR="0032747F" w:rsidRPr="002A13BC" w:rsidRDefault="0032747F" w:rsidP="0032747F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13B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Source and year of baseline: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General Agricultural Census</w:t>
            </w:r>
            <w:r w:rsidRPr="002A13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2009</w:t>
            </w:r>
          </w:p>
          <w:p w:rsidR="0032747F" w:rsidRPr="00690F6B" w:rsidRDefault="0032747F" w:rsidP="0032747F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13B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 xml:space="preserve">Verification means: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Animal Health Directorate, </w:t>
            </w:r>
            <w:r w:rsidRPr="002A13BC">
              <w:rPr>
                <w:rFonts w:ascii="Times New Roman" w:eastAsia="Calibri" w:hAnsi="Times New Roman" w:cs="Times New Roman"/>
                <w:sz w:val="20"/>
                <w:szCs w:val="20"/>
              </w:rPr>
              <w:t>supervision/monitoring reports</w:t>
            </w:r>
          </w:p>
        </w:tc>
      </w:tr>
      <w:tr w:rsidR="0032747F" w:rsidRPr="00690F6B" w:rsidTr="00884E3B">
        <w:trPr>
          <w:trHeight w:val="470"/>
          <w:jc w:val="center"/>
        </w:trPr>
        <w:tc>
          <w:tcPr>
            <w:tcW w:w="3620" w:type="dxa"/>
            <w:shd w:val="clear" w:color="auto" w:fill="auto"/>
            <w:vAlign w:val="center"/>
          </w:tcPr>
          <w:p w:rsidR="0032747F" w:rsidRPr="00690F6B" w:rsidRDefault="0032747F" w:rsidP="001A5563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 xml:space="preserve">OUTCOME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</w:t>
            </w: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: </w:t>
            </w:r>
            <w:r w:rsidRPr="00690F6B">
              <w:rPr>
                <w:rFonts w:ascii="Times New Roman" w:hAnsi="Times New Roman" w:cs="Times New Roman"/>
                <w:b/>
                <w:sz w:val="20"/>
                <w:szCs w:val="20"/>
              </w:rPr>
              <w:t>Improved animal health conditions in the country</w:t>
            </w:r>
          </w:p>
        </w:tc>
        <w:tc>
          <w:tcPr>
            <w:tcW w:w="902" w:type="dxa"/>
            <w:vAlign w:val="center"/>
          </w:tcPr>
          <w:p w:rsidR="0032747F" w:rsidRPr="005E7ED4" w:rsidRDefault="0032747F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81" w:type="dxa"/>
            <w:vAlign w:val="center"/>
          </w:tcPr>
          <w:p w:rsidR="0032747F" w:rsidRPr="005E7ED4" w:rsidRDefault="0032747F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32747F" w:rsidRPr="005E7ED4" w:rsidRDefault="0032747F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32747F" w:rsidRPr="005E7ED4" w:rsidRDefault="0032747F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32747F" w:rsidRPr="005E7ED4" w:rsidRDefault="0032747F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32747F" w:rsidRPr="005E7ED4" w:rsidRDefault="0032747F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32747F" w:rsidRPr="005E7ED4" w:rsidRDefault="0032747F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220" w:type="dxa"/>
            <w:vAlign w:val="center"/>
          </w:tcPr>
          <w:p w:rsidR="0032747F" w:rsidRPr="00690F6B" w:rsidRDefault="0032747F" w:rsidP="006672AD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747F" w:rsidRPr="00E878B6" w:rsidDel="00B80E3A" w:rsidTr="00884E3B">
        <w:trPr>
          <w:trHeight w:val="785"/>
          <w:jc w:val="center"/>
        </w:trPr>
        <w:tc>
          <w:tcPr>
            <w:tcW w:w="362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32747F" w:rsidRPr="00E878B6" w:rsidDel="00B80E3A" w:rsidRDefault="0032747F" w:rsidP="00F278CF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78B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Indicator 6.1: </w:t>
            </w:r>
            <w:r w:rsidRPr="00E878B6">
              <w:rPr>
                <w:rFonts w:ascii="Times New Roman" w:eastAsia="Calibri" w:hAnsi="Times New Roman" w:cs="Times New Roman"/>
                <w:sz w:val="20"/>
                <w:szCs w:val="20"/>
              </w:rPr>
              <w:t>Prevalence rate of the Classical Swine Fever</w:t>
            </w:r>
            <w:r w:rsidR="00F278C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at national level</w:t>
            </w:r>
            <w:r w:rsidRPr="00E878B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E878B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(in: %)</w:t>
            </w:r>
          </w:p>
        </w:tc>
        <w:tc>
          <w:tcPr>
            <w:tcW w:w="902" w:type="dxa"/>
            <w:tcBorders>
              <w:bottom w:val="dotted" w:sz="4" w:space="0" w:color="auto"/>
            </w:tcBorders>
            <w:vAlign w:val="center"/>
          </w:tcPr>
          <w:p w:rsidR="0032747F" w:rsidRPr="00E878B6" w:rsidRDefault="0032747F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8B6">
              <w:rPr>
                <w:rFonts w:ascii="Times New Roman" w:eastAsia="Calibri" w:hAnsi="Times New Roman" w:cs="Times New Roman"/>
                <w:sz w:val="20"/>
                <w:szCs w:val="20"/>
              </w:rPr>
              <w:t>4%</w:t>
            </w:r>
          </w:p>
        </w:tc>
        <w:tc>
          <w:tcPr>
            <w:tcW w:w="881" w:type="dxa"/>
            <w:tcBorders>
              <w:bottom w:val="dotted" w:sz="4" w:space="0" w:color="auto"/>
            </w:tcBorders>
            <w:vAlign w:val="center"/>
          </w:tcPr>
          <w:p w:rsidR="0032747F" w:rsidRPr="00E878B6" w:rsidRDefault="0032747F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tcBorders>
              <w:bottom w:val="dotted" w:sz="4" w:space="0" w:color="auto"/>
            </w:tcBorders>
            <w:vAlign w:val="center"/>
          </w:tcPr>
          <w:p w:rsidR="0032747F" w:rsidRPr="00E878B6" w:rsidRDefault="0032747F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dotted" w:sz="4" w:space="0" w:color="auto"/>
            </w:tcBorders>
            <w:vAlign w:val="center"/>
          </w:tcPr>
          <w:p w:rsidR="0032747F" w:rsidRPr="00E878B6" w:rsidRDefault="0032747F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dotted" w:sz="4" w:space="0" w:color="auto"/>
            </w:tcBorders>
            <w:vAlign w:val="center"/>
          </w:tcPr>
          <w:p w:rsidR="0032747F" w:rsidRPr="00E878B6" w:rsidRDefault="0032747F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dotted" w:sz="4" w:space="0" w:color="auto"/>
            </w:tcBorders>
            <w:vAlign w:val="center"/>
          </w:tcPr>
          <w:p w:rsidR="0032747F" w:rsidRPr="00E878B6" w:rsidRDefault="0032747F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8B6">
              <w:rPr>
                <w:rFonts w:ascii="Times New Roman" w:eastAsia="Calibri" w:hAnsi="Times New Roman" w:cs="Times New Roman"/>
                <w:sz w:val="20"/>
                <w:szCs w:val="20"/>
              </w:rPr>
              <w:t>1%</w:t>
            </w:r>
          </w:p>
        </w:tc>
        <w:tc>
          <w:tcPr>
            <w:tcW w:w="900" w:type="dxa"/>
            <w:tcBorders>
              <w:bottom w:val="dotted" w:sz="4" w:space="0" w:color="auto"/>
            </w:tcBorders>
            <w:vAlign w:val="center"/>
          </w:tcPr>
          <w:p w:rsidR="0032747F" w:rsidRPr="00E878B6" w:rsidRDefault="0032747F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8B6">
              <w:rPr>
                <w:rFonts w:ascii="Times New Roman" w:eastAsia="Calibri" w:hAnsi="Times New Roman" w:cs="Times New Roman"/>
                <w:sz w:val="20"/>
                <w:szCs w:val="20"/>
              </w:rPr>
              <w:t>1%</w:t>
            </w:r>
          </w:p>
        </w:tc>
        <w:tc>
          <w:tcPr>
            <w:tcW w:w="5220" w:type="dxa"/>
            <w:vAlign w:val="center"/>
          </w:tcPr>
          <w:p w:rsidR="0032747F" w:rsidRPr="00E878B6" w:rsidRDefault="0032747F" w:rsidP="006672AD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8B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Source and year of baseline: </w:t>
            </w:r>
            <w:r w:rsidRPr="00E878B6">
              <w:rPr>
                <w:rFonts w:ascii="Times New Roman" w:eastAsia="Calibri" w:hAnsi="Times New Roman" w:cs="Times New Roman"/>
                <w:sz w:val="20"/>
                <w:szCs w:val="20"/>
              </w:rPr>
              <w:t>Cuban veterinary mission at LVCQAT (2014) and MARNDR (2013). Will be revised before the vaccination campaign through an epidemiological survey (see output 3.3)</w:t>
            </w:r>
          </w:p>
          <w:p w:rsidR="0032747F" w:rsidRPr="00E878B6" w:rsidDel="00B80E3A" w:rsidRDefault="0032747F" w:rsidP="00374262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8B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Verification means</w:t>
            </w:r>
            <w:r w:rsidRPr="00E878B6">
              <w:rPr>
                <w:rFonts w:ascii="Times New Roman" w:eastAsia="Calibri" w:hAnsi="Times New Roman" w:cs="Times New Roman"/>
                <w:sz w:val="20"/>
                <w:szCs w:val="20"/>
              </w:rPr>
              <w:t>: control survey, after the vaccination campaign.</w:t>
            </w:r>
          </w:p>
        </w:tc>
      </w:tr>
      <w:tr w:rsidR="0032747F" w:rsidRPr="00E878B6" w:rsidTr="00884E3B">
        <w:trPr>
          <w:trHeight w:val="848"/>
          <w:jc w:val="center"/>
        </w:trPr>
        <w:tc>
          <w:tcPr>
            <w:tcW w:w="362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32747F" w:rsidRPr="00E878B6" w:rsidRDefault="0032747F" w:rsidP="00534F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78B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Indicator 6.2</w:t>
            </w:r>
            <w:r w:rsidRPr="00E878B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: Prevalence rate of the </w:t>
            </w:r>
            <w:proofErr w:type="spellStart"/>
            <w:r w:rsidRPr="00E878B6">
              <w:rPr>
                <w:rFonts w:ascii="Times New Roman" w:eastAsia="Calibri" w:hAnsi="Times New Roman" w:cs="Times New Roman"/>
                <w:sz w:val="20"/>
                <w:szCs w:val="20"/>
              </w:rPr>
              <w:t>Teschen</w:t>
            </w:r>
            <w:proofErr w:type="spellEnd"/>
            <w:r w:rsidRPr="00E878B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disease</w:t>
            </w:r>
            <w:r w:rsidR="00F278C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at national level</w:t>
            </w:r>
            <w:r w:rsidRPr="00E878B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E878B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(in: %)</w:t>
            </w:r>
          </w:p>
        </w:tc>
        <w:tc>
          <w:tcPr>
            <w:tcW w:w="902" w:type="dxa"/>
            <w:tcBorders>
              <w:bottom w:val="dotted" w:sz="4" w:space="0" w:color="auto"/>
            </w:tcBorders>
            <w:vAlign w:val="center"/>
          </w:tcPr>
          <w:p w:rsidR="0032747F" w:rsidRPr="00E878B6" w:rsidRDefault="0032747F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8B6">
              <w:rPr>
                <w:rFonts w:ascii="Times New Roman" w:eastAsia="Calibri" w:hAnsi="Times New Roman" w:cs="Times New Roman"/>
                <w:sz w:val="20"/>
                <w:szCs w:val="20"/>
              </w:rPr>
              <w:t>8%</w:t>
            </w:r>
          </w:p>
        </w:tc>
        <w:tc>
          <w:tcPr>
            <w:tcW w:w="881" w:type="dxa"/>
            <w:tcBorders>
              <w:bottom w:val="dotted" w:sz="4" w:space="0" w:color="auto"/>
            </w:tcBorders>
            <w:vAlign w:val="center"/>
          </w:tcPr>
          <w:p w:rsidR="0032747F" w:rsidRPr="00E878B6" w:rsidRDefault="0032747F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tcBorders>
              <w:bottom w:val="dotted" w:sz="4" w:space="0" w:color="auto"/>
            </w:tcBorders>
            <w:vAlign w:val="center"/>
          </w:tcPr>
          <w:p w:rsidR="0032747F" w:rsidRPr="00E878B6" w:rsidRDefault="0032747F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dotted" w:sz="4" w:space="0" w:color="auto"/>
            </w:tcBorders>
            <w:vAlign w:val="center"/>
          </w:tcPr>
          <w:p w:rsidR="0032747F" w:rsidRPr="00E878B6" w:rsidRDefault="0032747F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dotted" w:sz="4" w:space="0" w:color="auto"/>
            </w:tcBorders>
            <w:vAlign w:val="center"/>
          </w:tcPr>
          <w:p w:rsidR="0032747F" w:rsidRPr="00E878B6" w:rsidRDefault="0032747F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dotted" w:sz="4" w:space="0" w:color="auto"/>
            </w:tcBorders>
            <w:vAlign w:val="center"/>
          </w:tcPr>
          <w:p w:rsidR="0032747F" w:rsidRPr="00E878B6" w:rsidRDefault="0032747F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8B6">
              <w:rPr>
                <w:rFonts w:ascii="Times New Roman" w:eastAsia="Calibri" w:hAnsi="Times New Roman" w:cs="Times New Roman"/>
                <w:sz w:val="20"/>
                <w:szCs w:val="20"/>
              </w:rPr>
              <w:t>2%</w:t>
            </w:r>
          </w:p>
        </w:tc>
        <w:tc>
          <w:tcPr>
            <w:tcW w:w="900" w:type="dxa"/>
            <w:tcBorders>
              <w:bottom w:val="dotted" w:sz="4" w:space="0" w:color="auto"/>
            </w:tcBorders>
            <w:vAlign w:val="center"/>
          </w:tcPr>
          <w:p w:rsidR="0032747F" w:rsidRPr="00E878B6" w:rsidRDefault="0032747F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8B6">
              <w:rPr>
                <w:rFonts w:ascii="Times New Roman" w:eastAsia="Calibri" w:hAnsi="Times New Roman" w:cs="Times New Roman"/>
                <w:sz w:val="20"/>
                <w:szCs w:val="20"/>
              </w:rPr>
              <w:t>2%</w:t>
            </w:r>
          </w:p>
        </w:tc>
        <w:tc>
          <w:tcPr>
            <w:tcW w:w="5220" w:type="dxa"/>
            <w:vAlign w:val="center"/>
          </w:tcPr>
          <w:p w:rsidR="0032747F" w:rsidRPr="00E878B6" w:rsidRDefault="0032747F" w:rsidP="009C2CD7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8B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Source and year of baseline: </w:t>
            </w:r>
            <w:r w:rsidRPr="00E878B6">
              <w:rPr>
                <w:rFonts w:ascii="Times New Roman" w:eastAsia="Calibri" w:hAnsi="Times New Roman" w:cs="Times New Roman"/>
                <w:sz w:val="20"/>
                <w:szCs w:val="20"/>
              </w:rPr>
              <w:t>Cuban veterinary mission at LVCQAT, (2014) and MARNDR (2013). Will be revised before the vaccination campaign through an epidemiological survey (see output 3.3)</w:t>
            </w:r>
          </w:p>
          <w:p w:rsidR="0032747F" w:rsidRPr="00E878B6" w:rsidRDefault="0032747F" w:rsidP="00265B00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8B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Verification means</w:t>
            </w:r>
            <w:r w:rsidRPr="00E878B6">
              <w:rPr>
                <w:rFonts w:ascii="Times New Roman" w:eastAsia="Calibri" w:hAnsi="Times New Roman" w:cs="Times New Roman"/>
                <w:sz w:val="20"/>
                <w:szCs w:val="20"/>
              </w:rPr>
              <w:t>: after epidemiological survey, after the vaccination campaign.</w:t>
            </w:r>
          </w:p>
        </w:tc>
      </w:tr>
      <w:tr w:rsidR="0032747F" w:rsidRPr="00690F6B" w:rsidTr="00884E3B">
        <w:trPr>
          <w:trHeight w:val="533"/>
          <w:tblHeader/>
          <w:jc w:val="center"/>
        </w:trPr>
        <w:tc>
          <w:tcPr>
            <w:tcW w:w="3620" w:type="dxa"/>
            <w:shd w:val="clear" w:color="auto" w:fill="95B3D7"/>
            <w:vAlign w:val="center"/>
          </w:tcPr>
          <w:p w:rsidR="0032747F" w:rsidRPr="00690F6B" w:rsidRDefault="0032747F" w:rsidP="002B59E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OUTPUTS</w:t>
            </w:r>
          </w:p>
        </w:tc>
        <w:tc>
          <w:tcPr>
            <w:tcW w:w="902" w:type="dxa"/>
            <w:shd w:val="clear" w:color="auto" w:fill="95B3D7"/>
            <w:vAlign w:val="center"/>
          </w:tcPr>
          <w:p w:rsidR="0032747F" w:rsidRPr="00690F6B" w:rsidRDefault="0032747F" w:rsidP="002B59E8">
            <w:pPr>
              <w:spacing w:after="0" w:line="240" w:lineRule="auto"/>
              <w:ind w:left="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Baseline</w:t>
            </w:r>
          </w:p>
        </w:tc>
        <w:tc>
          <w:tcPr>
            <w:tcW w:w="881" w:type="dxa"/>
            <w:shd w:val="clear" w:color="auto" w:fill="95B3D7"/>
            <w:vAlign w:val="center"/>
          </w:tcPr>
          <w:p w:rsidR="0032747F" w:rsidRPr="00690F6B" w:rsidRDefault="0032747F" w:rsidP="002B59E8">
            <w:pPr>
              <w:spacing w:after="0" w:line="240" w:lineRule="auto"/>
              <w:ind w:left="15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Y1</w:t>
            </w:r>
          </w:p>
        </w:tc>
        <w:tc>
          <w:tcPr>
            <w:tcW w:w="936" w:type="dxa"/>
            <w:shd w:val="clear" w:color="auto" w:fill="95B3D7"/>
            <w:vAlign w:val="center"/>
          </w:tcPr>
          <w:p w:rsidR="0032747F" w:rsidRPr="00690F6B" w:rsidRDefault="0032747F" w:rsidP="002B59E8">
            <w:pPr>
              <w:spacing w:after="0" w:line="240" w:lineRule="auto"/>
              <w:ind w:left="15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Y2</w:t>
            </w:r>
          </w:p>
        </w:tc>
        <w:tc>
          <w:tcPr>
            <w:tcW w:w="900" w:type="dxa"/>
            <w:shd w:val="clear" w:color="auto" w:fill="95B3D7"/>
            <w:vAlign w:val="center"/>
          </w:tcPr>
          <w:p w:rsidR="0032747F" w:rsidRPr="00690F6B" w:rsidRDefault="0032747F" w:rsidP="002B59E8">
            <w:pPr>
              <w:spacing w:after="0" w:line="240" w:lineRule="auto"/>
              <w:ind w:left="15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Y3</w:t>
            </w:r>
          </w:p>
        </w:tc>
        <w:tc>
          <w:tcPr>
            <w:tcW w:w="900" w:type="dxa"/>
            <w:shd w:val="clear" w:color="auto" w:fill="95B3D7"/>
            <w:vAlign w:val="center"/>
          </w:tcPr>
          <w:p w:rsidR="0032747F" w:rsidRPr="00690F6B" w:rsidRDefault="0032747F" w:rsidP="002B59E8">
            <w:pPr>
              <w:spacing w:after="0" w:line="240" w:lineRule="auto"/>
              <w:ind w:left="15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Y4</w:t>
            </w:r>
          </w:p>
        </w:tc>
        <w:tc>
          <w:tcPr>
            <w:tcW w:w="900" w:type="dxa"/>
            <w:shd w:val="clear" w:color="auto" w:fill="95B3D7"/>
            <w:vAlign w:val="center"/>
          </w:tcPr>
          <w:p w:rsidR="0032747F" w:rsidRPr="00690F6B" w:rsidRDefault="0032747F" w:rsidP="002B59E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Y5</w:t>
            </w:r>
          </w:p>
        </w:tc>
        <w:tc>
          <w:tcPr>
            <w:tcW w:w="900" w:type="dxa"/>
            <w:shd w:val="clear" w:color="auto" w:fill="95B3D7"/>
            <w:vAlign w:val="center"/>
          </w:tcPr>
          <w:p w:rsidR="0032747F" w:rsidRPr="00690F6B" w:rsidRDefault="0032747F" w:rsidP="002B59E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End of Project</w:t>
            </w:r>
          </w:p>
        </w:tc>
        <w:tc>
          <w:tcPr>
            <w:tcW w:w="5220" w:type="dxa"/>
            <w:shd w:val="clear" w:color="auto" w:fill="95B3D7"/>
            <w:vAlign w:val="center"/>
          </w:tcPr>
          <w:p w:rsidR="0032747F" w:rsidRPr="00690F6B" w:rsidRDefault="0032747F" w:rsidP="002B59E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Comments</w:t>
            </w:r>
          </w:p>
        </w:tc>
      </w:tr>
      <w:tr w:rsidR="0032747F" w:rsidRPr="00690F6B" w:rsidTr="00884E3B">
        <w:trPr>
          <w:trHeight w:val="758"/>
          <w:jc w:val="center"/>
        </w:trPr>
        <w:tc>
          <w:tcPr>
            <w:tcW w:w="3620" w:type="dxa"/>
            <w:shd w:val="clear" w:color="auto" w:fill="auto"/>
            <w:vAlign w:val="center"/>
          </w:tcPr>
          <w:p w:rsidR="0032747F" w:rsidRPr="00690F6B" w:rsidRDefault="0032747F" w:rsidP="00790F4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F5E5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OUTPUT 3.1.: </w:t>
            </w:r>
            <w:r w:rsidRPr="001F5E5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Farmers members of the voluntary animal surveillance network, trained </w:t>
            </w:r>
            <w:r w:rsidRPr="001F5E5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(Unit: Farmers)</w:t>
            </w:r>
          </w:p>
        </w:tc>
        <w:tc>
          <w:tcPr>
            <w:tcW w:w="902" w:type="dxa"/>
            <w:vAlign w:val="center"/>
          </w:tcPr>
          <w:p w:rsidR="0032747F" w:rsidRPr="00690F6B" w:rsidRDefault="0032747F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81" w:type="dxa"/>
            <w:vAlign w:val="center"/>
          </w:tcPr>
          <w:p w:rsidR="0032747F" w:rsidRPr="00690F6B" w:rsidRDefault="0032747F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6" w:type="dxa"/>
            <w:vAlign w:val="center"/>
          </w:tcPr>
          <w:p w:rsidR="0032747F" w:rsidRPr="00690F6B" w:rsidRDefault="0032747F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5,500</w:t>
            </w:r>
          </w:p>
        </w:tc>
        <w:tc>
          <w:tcPr>
            <w:tcW w:w="900" w:type="dxa"/>
            <w:vAlign w:val="center"/>
          </w:tcPr>
          <w:p w:rsidR="0032747F" w:rsidRPr="00690F6B" w:rsidRDefault="0032747F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5,500</w:t>
            </w:r>
          </w:p>
        </w:tc>
        <w:tc>
          <w:tcPr>
            <w:tcW w:w="900" w:type="dxa"/>
            <w:vAlign w:val="center"/>
          </w:tcPr>
          <w:p w:rsidR="0032747F" w:rsidRPr="00690F6B" w:rsidRDefault="0032747F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5,500</w:t>
            </w:r>
          </w:p>
        </w:tc>
        <w:tc>
          <w:tcPr>
            <w:tcW w:w="900" w:type="dxa"/>
            <w:vAlign w:val="center"/>
          </w:tcPr>
          <w:p w:rsidR="0032747F" w:rsidRPr="00690F6B" w:rsidRDefault="0032747F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5,500</w:t>
            </w:r>
          </w:p>
        </w:tc>
        <w:tc>
          <w:tcPr>
            <w:tcW w:w="900" w:type="dxa"/>
            <w:vAlign w:val="center"/>
          </w:tcPr>
          <w:p w:rsidR="0032747F" w:rsidRPr="00690F6B" w:rsidRDefault="0032747F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22,000</w:t>
            </w:r>
          </w:p>
        </w:tc>
        <w:tc>
          <w:tcPr>
            <w:tcW w:w="5220" w:type="dxa"/>
            <w:vAlign w:val="center"/>
          </w:tcPr>
          <w:p w:rsidR="00F278CF" w:rsidRPr="00882A5B" w:rsidRDefault="00F278CF" w:rsidP="00F278CF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Farmers will be trained on the </w:t>
            </w:r>
            <w:r w:rsidR="00A97F9B">
              <w:rPr>
                <w:rFonts w:ascii="Times New Roman" w:eastAsia="Calibri" w:hAnsi="Times New Roman" w:cs="Times New Roman"/>
                <w:sz w:val="20"/>
                <w:szCs w:val="20"/>
              </w:rPr>
              <w:t>identification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of main animal pests and diseases and on the procedure to follow to notify the Ministry, in case of suspicion.</w:t>
            </w:r>
          </w:p>
          <w:p w:rsidR="0032747F" w:rsidRPr="00690F6B" w:rsidRDefault="0032747F" w:rsidP="00A1399A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Year of baseline: </w:t>
            </w: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2014</w:t>
            </w:r>
          </w:p>
          <w:p w:rsidR="0032747F" w:rsidRPr="00690F6B" w:rsidRDefault="0032747F" w:rsidP="002B59E8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Verification means: </w:t>
            </w: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Animal Health Directorate reports</w:t>
            </w:r>
          </w:p>
        </w:tc>
      </w:tr>
      <w:tr w:rsidR="0032747F" w:rsidRPr="00690F6B" w:rsidTr="00884E3B">
        <w:trPr>
          <w:trHeight w:val="542"/>
          <w:jc w:val="center"/>
        </w:trPr>
        <w:tc>
          <w:tcPr>
            <w:tcW w:w="3620" w:type="dxa"/>
            <w:shd w:val="clear" w:color="auto" w:fill="auto"/>
            <w:vAlign w:val="center"/>
          </w:tcPr>
          <w:p w:rsidR="0032747F" w:rsidRPr="00FA0D0C" w:rsidRDefault="0032747F" w:rsidP="000338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A0D0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OUTPUT 3.2.: </w:t>
            </w:r>
            <w:r w:rsidRPr="00FA0D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Animal blood, tissue and organs samples collected and transmitted to LVCQAT for analysis </w:t>
            </w:r>
            <w:r w:rsidRPr="00FA0D0C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(Unit: Samples)</w:t>
            </w:r>
          </w:p>
        </w:tc>
        <w:tc>
          <w:tcPr>
            <w:tcW w:w="902" w:type="dxa"/>
            <w:vAlign w:val="center"/>
          </w:tcPr>
          <w:p w:rsidR="0032747F" w:rsidRPr="00FA0D0C" w:rsidRDefault="0032747F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A0D0C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81" w:type="dxa"/>
            <w:vAlign w:val="center"/>
          </w:tcPr>
          <w:p w:rsidR="0032747F" w:rsidRPr="00FA0D0C" w:rsidRDefault="0032747F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A0D0C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6" w:type="dxa"/>
            <w:vAlign w:val="center"/>
          </w:tcPr>
          <w:p w:rsidR="0032747F" w:rsidRPr="00FA0D0C" w:rsidRDefault="0032747F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32747F" w:rsidRPr="00FA0D0C" w:rsidRDefault="0032747F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A0D0C">
              <w:rPr>
                <w:rFonts w:ascii="Times New Roman" w:eastAsia="Calibri" w:hAnsi="Times New Roman" w:cs="Times New Roman"/>
                <w:sz w:val="20"/>
                <w:szCs w:val="20"/>
              </w:rPr>
              <w:t>35,000</w:t>
            </w:r>
          </w:p>
        </w:tc>
        <w:tc>
          <w:tcPr>
            <w:tcW w:w="900" w:type="dxa"/>
            <w:vAlign w:val="center"/>
          </w:tcPr>
          <w:p w:rsidR="0032747F" w:rsidRPr="00FA0D0C" w:rsidRDefault="0032747F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A0D0C">
              <w:rPr>
                <w:rFonts w:ascii="Times New Roman" w:eastAsia="Calibri" w:hAnsi="Times New Roman" w:cs="Times New Roman"/>
                <w:sz w:val="20"/>
                <w:szCs w:val="20"/>
              </w:rPr>
              <w:t>35,000</w:t>
            </w:r>
          </w:p>
        </w:tc>
        <w:tc>
          <w:tcPr>
            <w:tcW w:w="900" w:type="dxa"/>
            <w:vAlign w:val="center"/>
          </w:tcPr>
          <w:p w:rsidR="0032747F" w:rsidRPr="00FA0D0C" w:rsidRDefault="0032747F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A0D0C">
              <w:rPr>
                <w:rFonts w:ascii="Times New Roman" w:eastAsia="Calibri" w:hAnsi="Times New Roman" w:cs="Times New Roman"/>
                <w:sz w:val="20"/>
                <w:szCs w:val="20"/>
              </w:rPr>
              <w:t>35,000</w:t>
            </w:r>
          </w:p>
        </w:tc>
        <w:tc>
          <w:tcPr>
            <w:tcW w:w="900" w:type="dxa"/>
            <w:vAlign w:val="center"/>
          </w:tcPr>
          <w:p w:rsidR="0032747F" w:rsidRPr="00FA0D0C" w:rsidRDefault="0032747F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105,000</w:t>
            </w:r>
          </w:p>
        </w:tc>
        <w:tc>
          <w:tcPr>
            <w:tcW w:w="5220" w:type="dxa"/>
            <w:vAlign w:val="center"/>
          </w:tcPr>
          <w:p w:rsidR="0023621A" w:rsidRPr="002F7AF5" w:rsidRDefault="0023621A" w:rsidP="00A1399A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7AF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Passive </w:t>
            </w:r>
            <w:proofErr w:type="spellStart"/>
            <w:r w:rsidRPr="002F7AF5">
              <w:rPr>
                <w:rFonts w:ascii="Times New Roman" w:eastAsia="Calibri" w:hAnsi="Times New Roman" w:cs="Times New Roman"/>
                <w:sz w:val="20"/>
                <w:szCs w:val="20"/>
              </w:rPr>
              <w:t>epidemiov</w:t>
            </w:r>
            <w:r w:rsidRPr="00FC1F2F">
              <w:rPr>
                <w:rFonts w:ascii="Times New Roman" w:eastAsia="Calibri" w:hAnsi="Times New Roman" w:cs="Times New Roman"/>
                <w:sz w:val="20"/>
                <w:szCs w:val="20"/>
              </w:rPr>
              <w:t>igilance</w:t>
            </w:r>
            <w:proofErr w:type="spellEnd"/>
            <w:r w:rsidRPr="00FC1F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will c</w:t>
            </w:r>
            <w:r w:rsidRPr="002F7AF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oncern all animals </w:t>
            </w:r>
            <w:r w:rsidR="00FC1F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suspect of pest or disease </w:t>
            </w:r>
            <w:r w:rsidRPr="002F7AF5">
              <w:rPr>
                <w:rFonts w:ascii="Times New Roman" w:eastAsia="Calibri" w:hAnsi="Times New Roman" w:cs="Times New Roman"/>
                <w:sz w:val="20"/>
                <w:szCs w:val="20"/>
              </w:rPr>
              <w:t>(not only swine)</w:t>
            </w:r>
          </w:p>
          <w:p w:rsidR="0032747F" w:rsidRPr="00690F6B" w:rsidRDefault="0032747F" w:rsidP="00A1399A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Year of baseline: </w:t>
            </w: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2014</w:t>
            </w:r>
          </w:p>
          <w:p w:rsidR="0032747F" w:rsidRPr="00690F6B" w:rsidRDefault="0032747F" w:rsidP="00A1399A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Verification means: </w:t>
            </w: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Animal Health Directorate and LVCQAT records</w:t>
            </w:r>
          </w:p>
        </w:tc>
      </w:tr>
      <w:tr w:rsidR="0032747F" w:rsidRPr="00690F6B" w:rsidTr="00884E3B">
        <w:trPr>
          <w:trHeight w:val="713"/>
          <w:jc w:val="center"/>
        </w:trPr>
        <w:tc>
          <w:tcPr>
            <w:tcW w:w="3620" w:type="dxa"/>
            <w:shd w:val="clear" w:color="auto" w:fill="auto"/>
            <w:vAlign w:val="center"/>
          </w:tcPr>
          <w:p w:rsidR="0032747F" w:rsidRPr="00690F6B" w:rsidRDefault="0032747F" w:rsidP="00984E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OUTPUT 3.3.: </w:t>
            </w: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Classical Swine Fever and </w:t>
            </w:r>
            <w:proofErr w:type="spellStart"/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Teschen</w:t>
            </w:r>
            <w:proofErr w:type="spellEnd"/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disease epidemiological surveys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completed </w:t>
            </w:r>
            <w:r w:rsidRPr="00690F6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(Unit: Surveys)</w:t>
            </w:r>
          </w:p>
        </w:tc>
        <w:tc>
          <w:tcPr>
            <w:tcW w:w="902" w:type="dxa"/>
            <w:vAlign w:val="center"/>
          </w:tcPr>
          <w:p w:rsidR="0032747F" w:rsidRPr="00BD1190" w:rsidRDefault="0032747F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1190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81" w:type="dxa"/>
            <w:vAlign w:val="center"/>
          </w:tcPr>
          <w:p w:rsidR="0032747F" w:rsidRPr="00BD1190" w:rsidRDefault="0032747F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1190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36" w:type="dxa"/>
            <w:vAlign w:val="center"/>
          </w:tcPr>
          <w:p w:rsidR="0032747F" w:rsidRPr="00BD1190" w:rsidRDefault="0032747F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1190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00" w:type="dxa"/>
            <w:vAlign w:val="center"/>
          </w:tcPr>
          <w:p w:rsidR="0032747F" w:rsidRPr="00BD1190" w:rsidRDefault="0032747F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32747F" w:rsidRPr="00BD1190" w:rsidRDefault="0032747F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32747F" w:rsidRPr="00BD1190" w:rsidRDefault="0032747F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32747F" w:rsidRPr="00BD1190" w:rsidRDefault="0032747F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1190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220" w:type="dxa"/>
            <w:vAlign w:val="center"/>
          </w:tcPr>
          <w:p w:rsidR="0032747F" w:rsidRPr="00690F6B" w:rsidRDefault="0032747F" w:rsidP="00A1399A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Year of baseline: </w:t>
            </w: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2014</w:t>
            </w:r>
          </w:p>
          <w:p w:rsidR="0032747F" w:rsidRPr="00690F6B" w:rsidRDefault="0032747F" w:rsidP="00A1399A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Verification means: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Epidemiological s</w:t>
            </w: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urveys reports</w:t>
            </w:r>
          </w:p>
        </w:tc>
      </w:tr>
      <w:tr w:rsidR="0032747F" w:rsidRPr="00690F6B" w:rsidTr="00884E3B">
        <w:trPr>
          <w:trHeight w:val="1208"/>
          <w:jc w:val="center"/>
        </w:trPr>
        <w:tc>
          <w:tcPr>
            <w:tcW w:w="3620" w:type="dxa"/>
            <w:shd w:val="clear" w:color="auto" w:fill="auto"/>
            <w:vAlign w:val="center"/>
          </w:tcPr>
          <w:p w:rsidR="0032747F" w:rsidRPr="00690F6B" w:rsidRDefault="0032747F" w:rsidP="001F5E5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OUTPUT 3.4.:</w:t>
            </w: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Monthly animal health</w:t>
            </w: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surveillance bulletin distributed on the field and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published</w:t>
            </w: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on the MARNDR Website through the UPS information system (</w:t>
            </w:r>
            <w:r w:rsidRPr="00690F6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Unit: Monthly bulletin</w:t>
            </w: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2" w:type="dxa"/>
            <w:vAlign w:val="center"/>
          </w:tcPr>
          <w:p w:rsidR="0032747F" w:rsidRPr="00690F6B" w:rsidRDefault="0032747F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81" w:type="dxa"/>
            <w:vAlign w:val="center"/>
          </w:tcPr>
          <w:p w:rsidR="0032747F" w:rsidRPr="00690F6B" w:rsidRDefault="0032747F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6" w:type="dxa"/>
            <w:vAlign w:val="center"/>
          </w:tcPr>
          <w:p w:rsidR="0032747F" w:rsidRPr="00690F6B" w:rsidRDefault="0032747F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32747F" w:rsidRPr="00690F6B" w:rsidRDefault="0032747F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00" w:type="dxa"/>
            <w:vAlign w:val="center"/>
          </w:tcPr>
          <w:p w:rsidR="0032747F" w:rsidRPr="00690F6B" w:rsidRDefault="0032747F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00" w:type="dxa"/>
            <w:vAlign w:val="center"/>
          </w:tcPr>
          <w:p w:rsidR="0032747F" w:rsidRPr="00690F6B" w:rsidRDefault="0032747F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00" w:type="dxa"/>
            <w:vAlign w:val="center"/>
          </w:tcPr>
          <w:p w:rsidR="0032747F" w:rsidRPr="00690F6B" w:rsidRDefault="0032747F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5220" w:type="dxa"/>
            <w:vAlign w:val="center"/>
          </w:tcPr>
          <w:p w:rsidR="0032747F" w:rsidRPr="00690F6B" w:rsidRDefault="0032747F" w:rsidP="0046173A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Year of baseline: </w:t>
            </w: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2014</w:t>
            </w:r>
          </w:p>
          <w:p w:rsidR="0032747F" w:rsidRPr="00690F6B" w:rsidRDefault="0032747F" w:rsidP="0046173A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Verification means: </w:t>
            </w: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MARNDR Website + IDB field supervision visits</w:t>
            </w:r>
          </w:p>
        </w:tc>
      </w:tr>
      <w:tr w:rsidR="0032747F" w:rsidRPr="00690F6B" w:rsidTr="00884E3B">
        <w:trPr>
          <w:trHeight w:val="713"/>
          <w:jc w:val="center"/>
        </w:trPr>
        <w:tc>
          <w:tcPr>
            <w:tcW w:w="3620" w:type="dxa"/>
            <w:shd w:val="clear" w:color="auto" w:fill="auto"/>
            <w:vAlign w:val="center"/>
          </w:tcPr>
          <w:p w:rsidR="0032747F" w:rsidRPr="00690F6B" w:rsidRDefault="0032747F" w:rsidP="00FA0D0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OUTPUT 3.5.: </w:t>
            </w: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Veterinary private </w:t>
            </w:r>
            <w:r w:rsidR="00F278CF">
              <w:rPr>
                <w:rFonts w:ascii="Times New Roman" w:eastAsia="Calibri" w:hAnsi="Times New Roman" w:cs="Times New Roman"/>
                <w:sz w:val="20"/>
                <w:szCs w:val="20"/>
              </w:rPr>
              <w:t>para</w:t>
            </w: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professionals trained or re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trained </w:t>
            </w:r>
            <w:r w:rsidRPr="00690F6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(Unit : Professionals)</w:t>
            </w:r>
          </w:p>
        </w:tc>
        <w:tc>
          <w:tcPr>
            <w:tcW w:w="902" w:type="dxa"/>
            <w:vAlign w:val="center"/>
          </w:tcPr>
          <w:p w:rsidR="0032747F" w:rsidRPr="00690F6B" w:rsidRDefault="0032747F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81" w:type="dxa"/>
            <w:vAlign w:val="center"/>
          </w:tcPr>
          <w:p w:rsidR="0032747F" w:rsidRPr="00952591" w:rsidRDefault="0032747F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6" w:type="dxa"/>
            <w:vAlign w:val="center"/>
          </w:tcPr>
          <w:p w:rsidR="0032747F" w:rsidRPr="00952591" w:rsidRDefault="0032747F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2591">
              <w:rPr>
                <w:rFonts w:ascii="Times New Roman" w:eastAsia="Calibri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900" w:type="dxa"/>
            <w:vAlign w:val="center"/>
          </w:tcPr>
          <w:p w:rsidR="0032747F" w:rsidRPr="00952591" w:rsidRDefault="0032747F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2591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Pr="00952591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32747F" w:rsidRPr="00952591" w:rsidRDefault="0032747F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  <w:r w:rsidRPr="00952591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32747F" w:rsidRPr="00952591" w:rsidRDefault="0032747F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</w:t>
            </w:r>
            <w:r w:rsidRPr="00952591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32747F" w:rsidRPr="00952591" w:rsidRDefault="0032747F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2591">
              <w:rPr>
                <w:rFonts w:ascii="Times New Roman" w:eastAsia="Calibri" w:hAnsi="Times New Roman" w:cs="Times New Roman"/>
                <w:sz w:val="20"/>
                <w:szCs w:val="20"/>
              </w:rPr>
              <w:t>1250</w:t>
            </w:r>
          </w:p>
        </w:tc>
        <w:tc>
          <w:tcPr>
            <w:tcW w:w="5220" w:type="dxa"/>
            <w:vAlign w:val="center"/>
          </w:tcPr>
          <w:p w:rsidR="00F278CF" w:rsidRPr="00882A5B" w:rsidRDefault="00F278CF" w:rsidP="00F278CF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Veterinary paraprofessionals will be trained on the procedures to follow during the vaccination campaigns and on basic veterinary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medecine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operations.</w:t>
            </w:r>
          </w:p>
          <w:p w:rsidR="0032747F" w:rsidRPr="00690F6B" w:rsidRDefault="0032747F" w:rsidP="00A1399A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Year of baseline: </w:t>
            </w: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2014</w:t>
            </w:r>
          </w:p>
          <w:p w:rsidR="0032747F" w:rsidRPr="00690F6B" w:rsidRDefault="0032747F" w:rsidP="00F802CF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Verification means: </w:t>
            </w: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Animal Health Directorate reports</w:t>
            </w:r>
          </w:p>
        </w:tc>
      </w:tr>
      <w:tr w:rsidR="0032747F" w:rsidRPr="00690F6B" w:rsidTr="00884E3B">
        <w:trPr>
          <w:trHeight w:val="920"/>
          <w:jc w:val="center"/>
        </w:trPr>
        <w:tc>
          <w:tcPr>
            <w:tcW w:w="3620" w:type="dxa"/>
            <w:shd w:val="clear" w:color="auto" w:fill="auto"/>
            <w:vAlign w:val="center"/>
          </w:tcPr>
          <w:p w:rsidR="0032747F" w:rsidRPr="00690F6B" w:rsidRDefault="0032747F" w:rsidP="00AB420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 xml:space="preserve">OUTPUT 3.6.: </w:t>
            </w: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Pigs simultaneously vaccinated against Classical Swine Fever and </w:t>
            </w:r>
            <w:proofErr w:type="spellStart"/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Teschen</w:t>
            </w:r>
            <w:proofErr w:type="spellEnd"/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disease and identified with a tag </w:t>
            </w:r>
            <w:r w:rsidRPr="00690F6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(Unit: Pigs)</w:t>
            </w:r>
          </w:p>
        </w:tc>
        <w:tc>
          <w:tcPr>
            <w:tcW w:w="902" w:type="dxa"/>
            <w:vAlign w:val="center"/>
          </w:tcPr>
          <w:p w:rsidR="0032747F" w:rsidRPr="00690F6B" w:rsidRDefault="0032747F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81" w:type="dxa"/>
            <w:vAlign w:val="center"/>
          </w:tcPr>
          <w:p w:rsidR="0032747F" w:rsidRPr="00690F6B" w:rsidRDefault="0032747F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6" w:type="dxa"/>
            <w:vAlign w:val="center"/>
          </w:tcPr>
          <w:p w:rsidR="0032747F" w:rsidRPr="00690F6B" w:rsidRDefault="0032747F" w:rsidP="00884E3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800,000</w:t>
            </w:r>
          </w:p>
        </w:tc>
        <w:tc>
          <w:tcPr>
            <w:tcW w:w="900" w:type="dxa"/>
            <w:vAlign w:val="center"/>
          </w:tcPr>
          <w:p w:rsidR="0032747F" w:rsidRPr="00690F6B" w:rsidRDefault="0032747F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32747F" w:rsidRPr="00690F6B" w:rsidRDefault="0032747F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32747F" w:rsidRPr="00690F6B" w:rsidRDefault="0032747F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32747F" w:rsidRPr="00690F6B" w:rsidRDefault="0032747F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800,000</w:t>
            </w:r>
          </w:p>
        </w:tc>
        <w:tc>
          <w:tcPr>
            <w:tcW w:w="5220" w:type="dxa"/>
            <w:vAlign w:val="center"/>
          </w:tcPr>
          <w:p w:rsidR="0032747F" w:rsidRPr="00690F6B" w:rsidRDefault="0032747F" w:rsidP="00A1399A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Year of baseline: </w:t>
            </w: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2014</w:t>
            </w:r>
          </w:p>
          <w:p w:rsidR="0032747F" w:rsidRPr="00690F6B" w:rsidRDefault="0032747F" w:rsidP="00F802CF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Verification means: </w:t>
            </w: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Animal Health Directorate records</w:t>
            </w:r>
          </w:p>
        </w:tc>
      </w:tr>
      <w:tr w:rsidR="0032747F" w:rsidRPr="00690F6B" w:rsidTr="00884E3B">
        <w:trPr>
          <w:trHeight w:val="362"/>
          <w:jc w:val="center"/>
        </w:trPr>
        <w:tc>
          <w:tcPr>
            <w:tcW w:w="3620" w:type="dxa"/>
            <w:shd w:val="clear" w:color="auto" w:fill="auto"/>
            <w:vAlign w:val="center"/>
          </w:tcPr>
          <w:p w:rsidR="0032747F" w:rsidRPr="00253FDB" w:rsidRDefault="0032747F" w:rsidP="00253F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A0D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OUTPUT 3.7</w:t>
            </w:r>
            <w:r w:rsidRPr="00253FDB">
              <w:rPr>
                <w:rFonts w:ascii="Times New Roman" w:eastAsia="Times New Roman" w:hAnsi="Times New Roman" w:cs="Times New Roman"/>
                <w:sz w:val="20"/>
                <w:szCs w:val="20"/>
              </w:rPr>
              <w:t>. : Maintenance services of the national network of solar-powered cold chain units completed (</w:t>
            </w:r>
            <w:r w:rsidRPr="00253FD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Unit; Maintenance services)</w:t>
            </w:r>
          </w:p>
        </w:tc>
        <w:tc>
          <w:tcPr>
            <w:tcW w:w="902" w:type="dxa"/>
            <w:vAlign w:val="center"/>
          </w:tcPr>
          <w:p w:rsidR="0032747F" w:rsidRPr="00253FDB" w:rsidRDefault="0032747F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3FD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81" w:type="dxa"/>
            <w:vAlign w:val="center"/>
          </w:tcPr>
          <w:p w:rsidR="0032747F" w:rsidRPr="00253FDB" w:rsidRDefault="0032747F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936" w:type="dxa"/>
            <w:vAlign w:val="center"/>
          </w:tcPr>
          <w:p w:rsidR="0032747F" w:rsidRPr="00253FDB" w:rsidRDefault="0032747F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3FDB">
              <w:rPr>
                <w:rFonts w:ascii="Times New Roman" w:eastAsia="Calibri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900" w:type="dxa"/>
            <w:vAlign w:val="center"/>
          </w:tcPr>
          <w:p w:rsidR="0032747F" w:rsidRPr="00253FDB" w:rsidRDefault="0032747F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3FDB">
              <w:rPr>
                <w:rFonts w:ascii="Times New Roman" w:eastAsia="Calibri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900" w:type="dxa"/>
            <w:vAlign w:val="center"/>
          </w:tcPr>
          <w:p w:rsidR="0032747F" w:rsidRPr="00253FDB" w:rsidRDefault="0032747F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3FDB">
              <w:rPr>
                <w:rFonts w:ascii="Times New Roman" w:eastAsia="Calibri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900" w:type="dxa"/>
            <w:vAlign w:val="center"/>
          </w:tcPr>
          <w:p w:rsidR="0032747F" w:rsidRPr="00253FDB" w:rsidRDefault="0032747F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3FDB">
              <w:rPr>
                <w:rFonts w:ascii="Times New Roman" w:eastAsia="Calibri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900" w:type="dxa"/>
            <w:vAlign w:val="center"/>
          </w:tcPr>
          <w:p w:rsidR="0032747F" w:rsidRPr="00253FDB" w:rsidRDefault="0032747F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3FDB">
              <w:rPr>
                <w:rFonts w:ascii="Times New Roman" w:eastAsia="Calibri" w:hAnsi="Times New Roman" w:cs="Times New Roman"/>
                <w:sz w:val="20"/>
                <w:szCs w:val="20"/>
              </w:rPr>
              <w:t>750</w:t>
            </w:r>
          </w:p>
        </w:tc>
        <w:tc>
          <w:tcPr>
            <w:tcW w:w="5220" w:type="dxa"/>
            <w:vAlign w:val="center"/>
          </w:tcPr>
          <w:p w:rsidR="0032747F" w:rsidRPr="00253FDB" w:rsidRDefault="0032747F" w:rsidP="00A1399A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FD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Year of baseline: </w:t>
            </w:r>
            <w:r w:rsidRPr="00253FDB">
              <w:rPr>
                <w:rFonts w:ascii="Times New Roman" w:eastAsia="Calibri" w:hAnsi="Times New Roman" w:cs="Times New Roman"/>
                <w:sz w:val="20"/>
                <w:szCs w:val="20"/>
              </w:rPr>
              <w:t>2014</w:t>
            </w:r>
          </w:p>
          <w:p w:rsidR="0032747F" w:rsidRPr="00253FDB" w:rsidRDefault="0032747F" w:rsidP="00F802CF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3FD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Verification means: </w:t>
            </w:r>
            <w:r w:rsidRPr="00253FDB">
              <w:rPr>
                <w:rFonts w:ascii="Times New Roman" w:eastAsia="Calibri" w:hAnsi="Times New Roman" w:cs="Times New Roman"/>
                <w:sz w:val="20"/>
                <w:szCs w:val="20"/>
              </w:rPr>
              <w:t>Animal Health Directorate records</w:t>
            </w:r>
          </w:p>
        </w:tc>
      </w:tr>
      <w:tr w:rsidR="0032747F" w:rsidRPr="00690F6B" w:rsidTr="00884E3B">
        <w:trPr>
          <w:trHeight w:val="776"/>
          <w:jc w:val="center"/>
        </w:trPr>
        <w:tc>
          <w:tcPr>
            <w:tcW w:w="3620" w:type="dxa"/>
            <w:shd w:val="clear" w:color="auto" w:fill="auto"/>
            <w:vAlign w:val="center"/>
          </w:tcPr>
          <w:p w:rsidR="0032747F" w:rsidRPr="00690F6B" w:rsidRDefault="0032747F" w:rsidP="005366A6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OUTPUT 3.8.: </w:t>
            </w: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Staff of the Animal Health Risk Analysis Unit trained </w:t>
            </w:r>
            <w:r w:rsidRPr="00690F6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(Unit: Staff)</w:t>
            </w:r>
          </w:p>
        </w:tc>
        <w:tc>
          <w:tcPr>
            <w:tcW w:w="902" w:type="dxa"/>
            <w:vAlign w:val="center"/>
          </w:tcPr>
          <w:p w:rsidR="0032747F" w:rsidRPr="00690F6B" w:rsidRDefault="0032747F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81" w:type="dxa"/>
            <w:vAlign w:val="center"/>
          </w:tcPr>
          <w:p w:rsidR="0032747F" w:rsidRPr="00BB0ACC" w:rsidRDefault="0032747F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6" w:type="dxa"/>
            <w:vAlign w:val="center"/>
          </w:tcPr>
          <w:p w:rsidR="0032747F" w:rsidRPr="00BB0ACC" w:rsidRDefault="0032747F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32747F" w:rsidRPr="00BB0ACC" w:rsidRDefault="0032747F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0ACC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00" w:type="dxa"/>
            <w:vAlign w:val="center"/>
          </w:tcPr>
          <w:p w:rsidR="0032747F" w:rsidRPr="00BB0ACC" w:rsidRDefault="0032747F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32747F" w:rsidRPr="00BB0ACC" w:rsidRDefault="0032747F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32747F" w:rsidRPr="00BB0ACC" w:rsidRDefault="0032747F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0ACC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20" w:type="dxa"/>
            <w:vAlign w:val="center"/>
          </w:tcPr>
          <w:p w:rsidR="00F278CF" w:rsidRPr="002F7AF5" w:rsidRDefault="00F278CF" w:rsidP="00A1399A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Staff will be trained on epidemiology and risk analysis methodologies.</w:t>
            </w:r>
          </w:p>
          <w:p w:rsidR="0032747F" w:rsidRPr="00690F6B" w:rsidRDefault="0032747F" w:rsidP="00A1399A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Year of baseline: </w:t>
            </w: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2014</w:t>
            </w:r>
          </w:p>
          <w:p w:rsidR="0032747F" w:rsidRPr="00690F6B" w:rsidRDefault="0032747F" w:rsidP="00A1399A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Verification means: </w:t>
            </w: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Animal Health Directorate reports</w:t>
            </w:r>
          </w:p>
        </w:tc>
      </w:tr>
      <w:tr w:rsidR="0032747F" w:rsidRPr="00690F6B" w:rsidTr="00884E3B">
        <w:trPr>
          <w:trHeight w:val="1037"/>
          <w:jc w:val="center"/>
        </w:trPr>
        <w:tc>
          <w:tcPr>
            <w:tcW w:w="3620" w:type="dxa"/>
            <w:shd w:val="clear" w:color="auto" w:fill="auto"/>
            <w:vAlign w:val="center"/>
          </w:tcPr>
          <w:p w:rsidR="0032747F" w:rsidRPr="00690F6B" w:rsidRDefault="0032747F" w:rsidP="00CD1B00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OUTPUT 3.9.: </w:t>
            </w: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List of veterinary private professionals (i) identified (ii) accredited by the MARNDR (iii) members of the National Veterinary Council established/updated and published on the MARNDR Website </w:t>
            </w:r>
            <w:r w:rsidRPr="00690F6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(Unit: List)</w:t>
            </w:r>
          </w:p>
        </w:tc>
        <w:tc>
          <w:tcPr>
            <w:tcW w:w="902" w:type="dxa"/>
            <w:vAlign w:val="center"/>
          </w:tcPr>
          <w:p w:rsidR="0032747F" w:rsidRPr="00690F6B" w:rsidRDefault="0032747F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81" w:type="dxa"/>
            <w:vAlign w:val="center"/>
          </w:tcPr>
          <w:p w:rsidR="0032747F" w:rsidRPr="00BB0ACC" w:rsidRDefault="0032747F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0ACC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6" w:type="dxa"/>
            <w:vAlign w:val="center"/>
          </w:tcPr>
          <w:p w:rsidR="0032747F" w:rsidRPr="00BB0ACC" w:rsidRDefault="0032747F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0ACC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0" w:type="dxa"/>
            <w:vAlign w:val="center"/>
          </w:tcPr>
          <w:p w:rsidR="0032747F" w:rsidRPr="00BB0ACC" w:rsidRDefault="0032747F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0ACC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0" w:type="dxa"/>
            <w:vAlign w:val="center"/>
          </w:tcPr>
          <w:p w:rsidR="0032747F" w:rsidRPr="00BB0ACC" w:rsidRDefault="0032747F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0ACC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0" w:type="dxa"/>
            <w:vAlign w:val="center"/>
          </w:tcPr>
          <w:p w:rsidR="0032747F" w:rsidRPr="00BB0ACC" w:rsidRDefault="0032747F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0ACC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0" w:type="dxa"/>
            <w:vAlign w:val="center"/>
          </w:tcPr>
          <w:p w:rsidR="0032747F" w:rsidRPr="00BB0ACC" w:rsidRDefault="0032747F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0ACC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220" w:type="dxa"/>
            <w:vAlign w:val="center"/>
          </w:tcPr>
          <w:p w:rsidR="0032747F" w:rsidRPr="00690F6B" w:rsidRDefault="0032747F" w:rsidP="00A1399A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Year of baseline: </w:t>
            </w: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2014</w:t>
            </w:r>
          </w:p>
          <w:p w:rsidR="0032747F" w:rsidRPr="00690F6B" w:rsidRDefault="0032747F" w:rsidP="00A1399A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Verification means: </w:t>
            </w: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MARNDR Website</w:t>
            </w:r>
          </w:p>
        </w:tc>
      </w:tr>
      <w:tr w:rsidR="0032747F" w:rsidRPr="000338B6" w:rsidTr="00884E3B">
        <w:trPr>
          <w:trHeight w:val="335"/>
          <w:jc w:val="center"/>
        </w:trPr>
        <w:tc>
          <w:tcPr>
            <w:tcW w:w="15159" w:type="dxa"/>
            <w:gridSpan w:val="9"/>
            <w:shd w:val="clear" w:color="auto" w:fill="95B3D7"/>
            <w:vAlign w:val="center"/>
          </w:tcPr>
          <w:p w:rsidR="0032747F" w:rsidRPr="000338B6" w:rsidRDefault="0032747F" w:rsidP="000338B6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38B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COMPONENT IV: TAMARINIER NATIONAL VETERINARY AND FOOD CONTROL LABORATORY</w:t>
            </w:r>
          </w:p>
        </w:tc>
      </w:tr>
      <w:tr w:rsidR="0032747F" w:rsidRPr="00690F6B" w:rsidTr="00884E3B">
        <w:trPr>
          <w:trHeight w:val="533"/>
          <w:tblHeader/>
          <w:jc w:val="center"/>
        </w:trPr>
        <w:tc>
          <w:tcPr>
            <w:tcW w:w="3620" w:type="dxa"/>
            <w:shd w:val="clear" w:color="auto" w:fill="95B3D7"/>
            <w:vAlign w:val="center"/>
          </w:tcPr>
          <w:p w:rsidR="0032747F" w:rsidRPr="00690F6B" w:rsidRDefault="0032747F" w:rsidP="002B59E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OUTCOMES</w:t>
            </w:r>
          </w:p>
        </w:tc>
        <w:tc>
          <w:tcPr>
            <w:tcW w:w="902" w:type="dxa"/>
            <w:shd w:val="clear" w:color="auto" w:fill="95B3D7"/>
            <w:vAlign w:val="center"/>
          </w:tcPr>
          <w:p w:rsidR="0032747F" w:rsidRPr="00690F6B" w:rsidRDefault="0032747F" w:rsidP="002B59E8">
            <w:pPr>
              <w:spacing w:after="0" w:line="240" w:lineRule="auto"/>
              <w:ind w:left="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Baseline</w:t>
            </w:r>
          </w:p>
        </w:tc>
        <w:tc>
          <w:tcPr>
            <w:tcW w:w="881" w:type="dxa"/>
            <w:shd w:val="clear" w:color="auto" w:fill="95B3D7"/>
            <w:vAlign w:val="center"/>
          </w:tcPr>
          <w:p w:rsidR="0032747F" w:rsidRPr="00690F6B" w:rsidRDefault="0032747F" w:rsidP="002B59E8">
            <w:pPr>
              <w:spacing w:after="0" w:line="240" w:lineRule="auto"/>
              <w:ind w:left="15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Y1</w:t>
            </w:r>
          </w:p>
        </w:tc>
        <w:tc>
          <w:tcPr>
            <w:tcW w:w="936" w:type="dxa"/>
            <w:shd w:val="clear" w:color="auto" w:fill="95B3D7"/>
            <w:vAlign w:val="center"/>
          </w:tcPr>
          <w:p w:rsidR="0032747F" w:rsidRPr="00690F6B" w:rsidRDefault="0032747F" w:rsidP="002B59E8">
            <w:pPr>
              <w:spacing w:after="0" w:line="240" w:lineRule="auto"/>
              <w:ind w:left="15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Y2</w:t>
            </w:r>
          </w:p>
        </w:tc>
        <w:tc>
          <w:tcPr>
            <w:tcW w:w="900" w:type="dxa"/>
            <w:shd w:val="clear" w:color="auto" w:fill="95B3D7"/>
            <w:vAlign w:val="center"/>
          </w:tcPr>
          <w:p w:rsidR="0032747F" w:rsidRPr="00690F6B" w:rsidRDefault="0032747F" w:rsidP="002B59E8">
            <w:pPr>
              <w:spacing w:after="0" w:line="240" w:lineRule="auto"/>
              <w:ind w:left="15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Y3</w:t>
            </w:r>
          </w:p>
        </w:tc>
        <w:tc>
          <w:tcPr>
            <w:tcW w:w="900" w:type="dxa"/>
            <w:shd w:val="clear" w:color="auto" w:fill="95B3D7"/>
            <w:vAlign w:val="center"/>
          </w:tcPr>
          <w:p w:rsidR="0032747F" w:rsidRPr="00690F6B" w:rsidRDefault="0032747F" w:rsidP="002B59E8">
            <w:pPr>
              <w:spacing w:after="0" w:line="240" w:lineRule="auto"/>
              <w:ind w:left="15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Y4</w:t>
            </w:r>
          </w:p>
        </w:tc>
        <w:tc>
          <w:tcPr>
            <w:tcW w:w="900" w:type="dxa"/>
            <w:shd w:val="clear" w:color="auto" w:fill="95B3D7"/>
            <w:vAlign w:val="center"/>
          </w:tcPr>
          <w:p w:rsidR="0032747F" w:rsidRPr="00690F6B" w:rsidRDefault="0032747F" w:rsidP="002B59E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Y5</w:t>
            </w:r>
          </w:p>
        </w:tc>
        <w:tc>
          <w:tcPr>
            <w:tcW w:w="900" w:type="dxa"/>
            <w:shd w:val="clear" w:color="auto" w:fill="95B3D7"/>
            <w:vAlign w:val="center"/>
          </w:tcPr>
          <w:p w:rsidR="0032747F" w:rsidRPr="00690F6B" w:rsidRDefault="0032747F" w:rsidP="002B59E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End of Project</w:t>
            </w:r>
          </w:p>
        </w:tc>
        <w:tc>
          <w:tcPr>
            <w:tcW w:w="5220" w:type="dxa"/>
            <w:shd w:val="clear" w:color="auto" w:fill="95B3D7"/>
            <w:vAlign w:val="center"/>
          </w:tcPr>
          <w:p w:rsidR="0032747F" w:rsidRPr="00690F6B" w:rsidRDefault="0032747F" w:rsidP="002B59E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Comments</w:t>
            </w:r>
          </w:p>
        </w:tc>
      </w:tr>
      <w:tr w:rsidR="0032747F" w:rsidRPr="00690F6B" w:rsidTr="00884E3B">
        <w:trPr>
          <w:trHeight w:val="308"/>
          <w:jc w:val="center"/>
        </w:trPr>
        <w:tc>
          <w:tcPr>
            <w:tcW w:w="362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32747F" w:rsidRPr="00690F6B" w:rsidRDefault="0032747F" w:rsidP="00DA7C9F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OUTCOME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</w:t>
            </w: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Performance of the </w:t>
            </w:r>
            <w:proofErr w:type="spellStart"/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Tamarinier</w:t>
            </w:r>
            <w:proofErr w:type="spellEnd"/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National Veterinary and Food Quality Control Laboratory (LVCQAT) improved</w:t>
            </w:r>
          </w:p>
        </w:tc>
        <w:tc>
          <w:tcPr>
            <w:tcW w:w="902" w:type="dxa"/>
            <w:tcBorders>
              <w:bottom w:val="dotted" w:sz="4" w:space="0" w:color="auto"/>
            </w:tcBorders>
            <w:vAlign w:val="center"/>
          </w:tcPr>
          <w:p w:rsidR="0032747F" w:rsidRPr="00690F6B" w:rsidRDefault="0032747F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81" w:type="dxa"/>
            <w:tcBorders>
              <w:bottom w:val="dotted" w:sz="4" w:space="0" w:color="auto"/>
            </w:tcBorders>
            <w:vAlign w:val="center"/>
          </w:tcPr>
          <w:p w:rsidR="0032747F" w:rsidRPr="00690F6B" w:rsidRDefault="0032747F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tcBorders>
              <w:bottom w:val="dotted" w:sz="4" w:space="0" w:color="auto"/>
            </w:tcBorders>
            <w:vAlign w:val="center"/>
          </w:tcPr>
          <w:p w:rsidR="0032747F" w:rsidRPr="00690F6B" w:rsidRDefault="0032747F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dotted" w:sz="4" w:space="0" w:color="auto"/>
            </w:tcBorders>
            <w:vAlign w:val="center"/>
          </w:tcPr>
          <w:p w:rsidR="0032747F" w:rsidRPr="00690F6B" w:rsidRDefault="0032747F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dotted" w:sz="4" w:space="0" w:color="auto"/>
            </w:tcBorders>
            <w:vAlign w:val="center"/>
          </w:tcPr>
          <w:p w:rsidR="0032747F" w:rsidRPr="00690F6B" w:rsidRDefault="0032747F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dotted" w:sz="4" w:space="0" w:color="auto"/>
            </w:tcBorders>
            <w:vAlign w:val="center"/>
          </w:tcPr>
          <w:p w:rsidR="0032747F" w:rsidRPr="00690F6B" w:rsidRDefault="0032747F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dotted" w:sz="4" w:space="0" w:color="auto"/>
            </w:tcBorders>
            <w:vAlign w:val="center"/>
          </w:tcPr>
          <w:p w:rsidR="0032747F" w:rsidRPr="00690F6B" w:rsidRDefault="0032747F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220" w:type="dxa"/>
            <w:vAlign w:val="center"/>
          </w:tcPr>
          <w:p w:rsidR="0032747F" w:rsidRPr="00690F6B" w:rsidRDefault="0032747F" w:rsidP="006672AD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747F" w:rsidRPr="00690F6B" w:rsidDel="00B80E3A" w:rsidTr="00884E3B">
        <w:trPr>
          <w:trHeight w:val="308"/>
          <w:jc w:val="center"/>
        </w:trPr>
        <w:tc>
          <w:tcPr>
            <w:tcW w:w="362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32747F" w:rsidRPr="00690F6B" w:rsidDel="00B80E3A" w:rsidRDefault="0032747F" w:rsidP="00617088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Indicator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</w:t>
            </w: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.1: </w:t>
            </w: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P2 Accreditation obtained (</w:t>
            </w:r>
            <w:r w:rsidRPr="00690F6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in : Accreditation</w:t>
            </w: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2" w:type="dxa"/>
            <w:tcBorders>
              <w:bottom w:val="dotted" w:sz="4" w:space="0" w:color="auto"/>
            </w:tcBorders>
            <w:vAlign w:val="center"/>
          </w:tcPr>
          <w:p w:rsidR="0032747F" w:rsidRPr="00690F6B" w:rsidRDefault="0032747F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81" w:type="dxa"/>
            <w:tcBorders>
              <w:bottom w:val="dotted" w:sz="4" w:space="0" w:color="auto"/>
            </w:tcBorders>
            <w:vAlign w:val="center"/>
          </w:tcPr>
          <w:p w:rsidR="0032747F" w:rsidRPr="00690F6B" w:rsidRDefault="0032747F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tcBorders>
              <w:bottom w:val="dotted" w:sz="4" w:space="0" w:color="auto"/>
            </w:tcBorders>
            <w:vAlign w:val="center"/>
          </w:tcPr>
          <w:p w:rsidR="0032747F" w:rsidRPr="00690F6B" w:rsidRDefault="0032747F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dotted" w:sz="4" w:space="0" w:color="auto"/>
            </w:tcBorders>
            <w:vAlign w:val="center"/>
          </w:tcPr>
          <w:p w:rsidR="0032747F" w:rsidRPr="00690F6B" w:rsidRDefault="0032747F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dotted" w:sz="4" w:space="0" w:color="auto"/>
            </w:tcBorders>
            <w:vAlign w:val="center"/>
          </w:tcPr>
          <w:p w:rsidR="0032747F" w:rsidRPr="00690F6B" w:rsidRDefault="0032747F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dotted" w:sz="4" w:space="0" w:color="auto"/>
            </w:tcBorders>
            <w:vAlign w:val="center"/>
          </w:tcPr>
          <w:p w:rsidR="0032747F" w:rsidRPr="00690F6B" w:rsidRDefault="0032747F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bottom w:val="dotted" w:sz="4" w:space="0" w:color="auto"/>
            </w:tcBorders>
            <w:vAlign w:val="center"/>
          </w:tcPr>
          <w:p w:rsidR="0032747F" w:rsidRPr="00690F6B" w:rsidRDefault="0032747F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20" w:type="dxa"/>
            <w:vAlign w:val="center"/>
          </w:tcPr>
          <w:p w:rsidR="0032747F" w:rsidRPr="00253FDB" w:rsidRDefault="0032747F" w:rsidP="006672AD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3F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P2 </w:t>
            </w:r>
            <w:r w:rsidR="00FC1F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(ISO) </w:t>
            </w:r>
            <w:r w:rsidRPr="00253FDB">
              <w:rPr>
                <w:rFonts w:ascii="Times New Roman" w:eastAsia="Calibri" w:hAnsi="Times New Roman" w:cs="Times New Roman"/>
                <w:sz w:val="20"/>
                <w:szCs w:val="20"/>
              </w:rPr>
              <w:t>accreditation (biosecurity and quality assurance) is delivered by an independent institution if:</w:t>
            </w:r>
          </w:p>
          <w:p w:rsidR="0032747F" w:rsidRPr="00253FDB" w:rsidRDefault="0032747F" w:rsidP="00212C33">
            <w:pPr>
              <w:pStyle w:val="ListParagraph"/>
              <w:numPr>
                <w:ilvl w:val="0"/>
                <w:numId w:val="6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3FDB">
              <w:rPr>
                <w:rFonts w:ascii="Times New Roman" w:eastAsia="Calibri" w:hAnsi="Times New Roman" w:cs="Times New Roman"/>
                <w:sz w:val="20"/>
                <w:szCs w:val="20"/>
              </w:rPr>
              <w:t>Infrastructures are in compliance with the norms</w:t>
            </w:r>
          </w:p>
          <w:p w:rsidR="0032747F" w:rsidRPr="00253FDB" w:rsidRDefault="0032747F" w:rsidP="00212C33">
            <w:pPr>
              <w:pStyle w:val="ListParagraph"/>
              <w:numPr>
                <w:ilvl w:val="0"/>
                <w:numId w:val="6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3FDB">
              <w:rPr>
                <w:rFonts w:ascii="Times New Roman" w:eastAsia="Calibri" w:hAnsi="Times New Roman" w:cs="Times New Roman"/>
                <w:sz w:val="20"/>
                <w:szCs w:val="20"/>
              </w:rPr>
              <w:t>Equipment is in compliance with the norms (in terms of equipment type and calibration frequency)</w:t>
            </w:r>
          </w:p>
          <w:p w:rsidR="0032747F" w:rsidRPr="00253FDB" w:rsidRDefault="0032747F" w:rsidP="00212C33">
            <w:pPr>
              <w:pStyle w:val="ListParagraph"/>
              <w:numPr>
                <w:ilvl w:val="0"/>
                <w:numId w:val="6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3FDB">
              <w:rPr>
                <w:rFonts w:ascii="Times New Roman" w:eastAsia="Calibri" w:hAnsi="Times New Roman" w:cs="Times New Roman"/>
                <w:sz w:val="20"/>
                <w:szCs w:val="20"/>
              </w:rPr>
              <w:t>Proficiency tests are passed (which demonstrates that procedures are in compliance with the norms and that the analyses are reliable)</w:t>
            </w:r>
          </w:p>
          <w:p w:rsidR="0032747F" w:rsidRPr="00690F6B" w:rsidRDefault="0032747F" w:rsidP="006672AD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Source and y</w:t>
            </w: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ear of baseline: </w:t>
            </w:r>
            <w:r w:rsidRPr="0006385D">
              <w:rPr>
                <w:rFonts w:ascii="Times New Roman" w:eastAsia="Calibri" w:hAnsi="Times New Roman" w:cs="Times New Roman"/>
                <w:sz w:val="20"/>
                <w:szCs w:val="20"/>
              </w:rPr>
              <w:t>LVCQAT, 2014</w:t>
            </w:r>
          </w:p>
          <w:p w:rsidR="0032747F" w:rsidRPr="00690F6B" w:rsidDel="00B80E3A" w:rsidRDefault="0032747F" w:rsidP="00666B8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Verification means</w:t>
            </w: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: Accreditation certificate</w:t>
            </w:r>
          </w:p>
        </w:tc>
      </w:tr>
      <w:tr w:rsidR="0032747F" w:rsidRPr="00FA0D0C" w:rsidTr="00884E3B">
        <w:trPr>
          <w:trHeight w:val="1028"/>
          <w:jc w:val="center"/>
        </w:trPr>
        <w:tc>
          <w:tcPr>
            <w:tcW w:w="362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32747F" w:rsidRPr="00FA0D0C" w:rsidRDefault="0032747F" w:rsidP="00FA0D0C">
            <w:pPr>
              <w:tabs>
                <w:tab w:val="left" w:pos="567"/>
                <w:tab w:val="left" w:pos="1162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A0D0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Indicator 7.2: </w:t>
            </w:r>
            <w:r w:rsidRPr="00FA0D0C">
              <w:rPr>
                <w:rFonts w:ascii="Times New Roman" w:eastAsia="Calibri" w:hAnsi="Times New Roman" w:cs="Times New Roman"/>
                <w:sz w:val="20"/>
                <w:szCs w:val="20"/>
              </w:rPr>
              <w:t>Number of different veterinary analyses that the LVCQAT is capable to do (</w:t>
            </w:r>
            <w:r w:rsidRPr="00FA0D0C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in: Number of analysis</w:t>
            </w:r>
            <w:r w:rsidRPr="00FA0D0C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2" w:type="dxa"/>
            <w:tcBorders>
              <w:bottom w:val="dotted" w:sz="4" w:space="0" w:color="auto"/>
            </w:tcBorders>
            <w:vAlign w:val="center"/>
          </w:tcPr>
          <w:p w:rsidR="0032747F" w:rsidRPr="00FA0D0C" w:rsidRDefault="0032747F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A0D0C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81" w:type="dxa"/>
            <w:tcBorders>
              <w:bottom w:val="dotted" w:sz="4" w:space="0" w:color="auto"/>
            </w:tcBorders>
            <w:vAlign w:val="center"/>
          </w:tcPr>
          <w:p w:rsidR="0032747F" w:rsidRPr="00FA0D0C" w:rsidRDefault="0032747F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tcBorders>
              <w:bottom w:val="dotted" w:sz="4" w:space="0" w:color="auto"/>
            </w:tcBorders>
            <w:vAlign w:val="center"/>
          </w:tcPr>
          <w:p w:rsidR="0032747F" w:rsidRPr="00FA0D0C" w:rsidRDefault="0032747F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dotted" w:sz="4" w:space="0" w:color="auto"/>
            </w:tcBorders>
            <w:vAlign w:val="center"/>
          </w:tcPr>
          <w:p w:rsidR="0032747F" w:rsidRPr="00FA0D0C" w:rsidRDefault="0032747F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dotted" w:sz="4" w:space="0" w:color="auto"/>
            </w:tcBorders>
            <w:vAlign w:val="center"/>
          </w:tcPr>
          <w:p w:rsidR="0032747F" w:rsidRPr="00FA0D0C" w:rsidRDefault="0032747F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dotted" w:sz="4" w:space="0" w:color="auto"/>
            </w:tcBorders>
            <w:vAlign w:val="center"/>
          </w:tcPr>
          <w:p w:rsidR="0032747F" w:rsidRPr="00FA0D0C" w:rsidRDefault="0032747F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A0D0C"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900" w:type="dxa"/>
            <w:tcBorders>
              <w:bottom w:val="dotted" w:sz="4" w:space="0" w:color="auto"/>
            </w:tcBorders>
            <w:vAlign w:val="center"/>
          </w:tcPr>
          <w:p w:rsidR="0032747F" w:rsidRPr="00FA0D0C" w:rsidRDefault="0032747F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A0D0C">
              <w:rPr>
                <w:rFonts w:ascii="Times New Roman" w:eastAsia="Calibri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5220" w:type="dxa"/>
            <w:vAlign w:val="center"/>
          </w:tcPr>
          <w:p w:rsidR="00FC1F2F" w:rsidRPr="00882A5B" w:rsidRDefault="00FC1F2F" w:rsidP="00FC1F2F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The LVCQAT is </w:t>
            </w:r>
            <w:r w:rsidRPr="00882A5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currently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capable to conduct analysis on CSF,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Gomboro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NewCastle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disease, Salmonellosis,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ColiBacteriosis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and Avian Flu. The LVCQAT must be able to conduct 30 additional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analysis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to be able to obtain the certification.</w:t>
            </w:r>
          </w:p>
          <w:p w:rsidR="0032747F" w:rsidRPr="00FA0D0C" w:rsidRDefault="0032747F" w:rsidP="00BC70DB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A0D0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Source and year of baseline: </w:t>
            </w:r>
            <w:r w:rsidRPr="00FA0D0C">
              <w:rPr>
                <w:rFonts w:ascii="Times New Roman" w:eastAsia="Calibri" w:hAnsi="Times New Roman" w:cs="Times New Roman"/>
                <w:sz w:val="20"/>
                <w:szCs w:val="20"/>
              </w:rPr>
              <w:t>Cuban veterinary mission report, 2014</w:t>
            </w:r>
          </w:p>
          <w:p w:rsidR="0032747F" w:rsidRPr="00FA0D0C" w:rsidRDefault="0032747F" w:rsidP="00D101E9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A0D0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Verification means</w:t>
            </w:r>
            <w:r w:rsidRPr="00FA0D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Agricultural Health Unit’s</w:t>
            </w:r>
            <w:r w:rsidRPr="00FA0D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Information System; Tuskegee University and Cuban veterinary mission reports.</w:t>
            </w:r>
          </w:p>
        </w:tc>
      </w:tr>
      <w:tr w:rsidR="0032747F" w:rsidRPr="00690F6B" w:rsidTr="00884E3B">
        <w:trPr>
          <w:trHeight w:val="983"/>
          <w:jc w:val="center"/>
        </w:trPr>
        <w:tc>
          <w:tcPr>
            <w:tcW w:w="362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32747F" w:rsidRPr="00690F6B" w:rsidRDefault="0032747F" w:rsidP="0077201B">
            <w:pPr>
              <w:tabs>
                <w:tab w:val="left" w:pos="567"/>
                <w:tab w:val="left" w:pos="1162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 xml:space="preserve">Indicator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</w:t>
            </w: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.3: </w:t>
            </w: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Average time between the reception of a sample and the transmission of the results of the analysis to clients (</w:t>
            </w:r>
            <w:r w:rsidRPr="00690F6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in: 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Working d</w:t>
            </w:r>
            <w:r w:rsidRPr="00690F6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ays</w:t>
            </w: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2" w:type="dxa"/>
            <w:tcBorders>
              <w:bottom w:val="dotted" w:sz="4" w:space="0" w:color="auto"/>
            </w:tcBorders>
            <w:vAlign w:val="center"/>
          </w:tcPr>
          <w:p w:rsidR="0032747F" w:rsidRPr="00BB0ACC" w:rsidRDefault="0032747F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0ACC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81" w:type="dxa"/>
            <w:tcBorders>
              <w:bottom w:val="dotted" w:sz="4" w:space="0" w:color="auto"/>
            </w:tcBorders>
            <w:vAlign w:val="center"/>
          </w:tcPr>
          <w:p w:rsidR="0032747F" w:rsidRPr="00BB0ACC" w:rsidRDefault="0032747F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tcBorders>
              <w:bottom w:val="dotted" w:sz="4" w:space="0" w:color="auto"/>
            </w:tcBorders>
            <w:vAlign w:val="center"/>
          </w:tcPr>
          <w:p w:rsidR="0032747F" w:rsidRPr="00BB0ACC" w:rsidRDefault="0032747F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dotted" w:sz="4" w:space="0" w:color="auto"/>
            </w:tcBorders>
            <w:vAlign w:val="center"/>
          </w:tcPr>
          <w:p w:rsidR="0032747F" w:rsidRPr="00BB0ACC" w:rsidRDefault="0032747F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dotted" w:sz="4" w:space="0" w:color="auto"/>
            </w:tcBorders>
            <w:vAlign w:val="center"/>
          </w:tcPr>
          <w:p w:rsidR="0032747F" w:rsidRPr="00BB0ACC" w:rsidRDefault="0032747F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dotted" w:sz="4" w:space="0" w:color="auto"/>
            </w:tcBorders>
            <w:vAlign w:val="center"/>
          </w:tcPr>
          <w:p w:rsidR="0032747F" w:rsidRPr="00BB0ACC" w:rsidRDefault="0032747F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0ACC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00" w:type="dxa"/>
            <w:tcBorders>
              <w:bottom w:val="dotted" w:sz="4" w:space="0" w:color="auto"/>
            </w:tcBorders>
            <w:vAlign w:val="center"/>
          </w:tcPr>
          <w:p w:rsidR="0032747F" w:rsidRPr="00BB0ACC" w:rsidRDefault="0032747F" w:rsidP="00667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0ACC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20" w:type="dxa"/>
            <w:vAlign w:val="center"/>
          </w:tcPr>
          <w:p w:rsidR="0032747F" w:rsidRPr="00690F6B" w:rsidRDefault="0032747F" w:rsidP="006672AD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Source and year of baseline: </w:t>
            </w: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LVCQAT internal statistics, 2014</w:t>
            </w:r>
          </w:p>
          <w:p w:rsidR="0032747F" w:rsidRPr="00690F6B" w:rsidRDefault="0032747F" w:rsidP="0062056B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Verification means</w:t>
            </w: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Agricultural Health Unit’s</w:t>
            </w: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Information System</w:t>
            </w:r>
          </w:p>
        </w:tc>
      </w:tr>
      <w:tr w:rsidR="0032747F" w:rsidRPr="00690F6B" w:rsidTr="00884E3B">
        <w:trPr>
          <w:trHeight w:val="533"/>
          <w:tblHeader/>
          <w:jc w:val="center"/>
        </w:trPr>
        <w:tc>
          <w:tcPr>
            <w:tcW w:w="3620" w:type="dxa"/>
            <w:shd w:val="clear" w:color="auto" w:fill="95B3D7"/>
            <w:vAlign w:val="center"/>
          </w:tcPr>
          <w:p w:rsidR="0032747F" w:rsidRPr="00690F6B" w:rsidRDefault="0032747F" w:rsidP="002B59E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OUTPUTS</w:t>
            </w:r>
          </w:p>
        </w:tc>
        <w:tc>
          <w:tcPr>
            <w:tcW w:w="902" w:type="dxa"/>
            <w:shd w:val="clear" w:color="auto" w:fill="95B3D7"/>
            <w:vAlign w:val="center"/>
          </w:tcPr>
          <w:p w:rsidR="0032747F" w:rsidRPr="00690F6B" w:rsidRDefault="0032747F" w:rsidP="002B59E8">
            <w:pPr>
              <w:spacing w:after="0" w:line="240" w:lineRule="auto"/>
              <w:ind w:left="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Baseline</w:t>
            </w:r>
          </w:p>
        </w:tc>
        <w:tc>
          <w:tcPr>
            <w:tcW w:w="881" w:type="dxa"/>
            <w:shd w:val="clear" w:color="auto" w:fill="95B3D7"/>
            <w:vAlign w:val="center"/>
          </w:tcPr>
          <w:p w:rsidR="0032747F" w:rsidRPr="00690F6B" w:rsidRDefault="0032747F" w:rsidP="002B59E8">
            <w:pPr>
              <w:spacing w:after="0" w:line="240" w:lineRule="auto"/>
              <w:ind w:left="15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Y1</w:t>
            </w:r>
          </w:p>
        </w:tc>
        <w:tc>
          <w:tcPr>
            <w:tcW w:w="936" w:type="dxa"/>
            <w:shd w:val="clear" w:color="auto" w:fill="95B3D7"/>
            <w:vAlign w:val="center"/>
          </w:tcPr>
          <w:p w:rsidR="0032747F" w:rsidRPr="00690F6B" w:rsidRDefault="0032747F" w:rsidP="002B59E8">
            <w:pPr>
              <w:spacing w:after="0" w:line="240" w:lineRule="auto"/>
              <w:ind w:left="15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Y2</w:t>
            </w:r>
          </w:p>
        </w:tc>
        <w:tc>
          <w:tcPr>
            <w:tcW w:w="900" w:type="dxa"/>
            <w:shd w:val="clear" w:color="auto" w:fill="95B3D7"/>
            <w:vAlign w:val="center"/>
          </w:tcPr>
          <w:p w:rsidR="0032747F" w:rsidRPr="00690F6B" w:rsidRDefault="0032747F" w:rsidP="002B59E8">
            <w:pPr>
              <w:spacing w:after="0" w:line="240" w:lineRule="auto"/>
              <w:ind w:left="15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Y3</w:t>
            </w:r>
          </w:p>
        </w:tc>
        <w:tc>
          <w:tcPr>
            <w:tcW w:w="900" w:type="dxa"/>
            <w:shd w:val="clear" w:color="auto" w:fill="95B3D7"/>
            <w:vAlign w:val="center"/>
          </w:tcPr>
          <w:p w:rsidR="0032747F" w:rsidRPr="00690F6B" w:rsidRDefault="0032747F" w:rsidP="002B59E8">
            <w:pPr>
              <w:spacing w:after="0" w:line="240" w:lineRule="auto"/>
              <w:ind w:left="15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Y4</w:t>
            </w:r>
          </w:p>
        </w:tc>
        <w:tc>
          <w:tcPr>
            <w:tcW w:w="900" w:type="dxa"/>
            <w:shd w:val="clear" w:color="auto" w:fill="95B3D7"/>
            <w:vAlign w:val="center"/>
          </w:tcPr>
          <w:p w:rsidR="0032747F" w:rsidRPr="00690F6B" w:rsidRDefault="0032747F" w:rsidP="002B59E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Y5</w:t>
            </w:r>
          </w:p>
        </w:tc>
        <w:tc>
          <w:tcPr>
            <w:tcW w:w="900" w:type="dxa"/>
            <w:shd w:val="clear" w:color="auto" w:fill="95B3D7"/>
            <w:vAlign w:val="center"/>
          </w:tcPr>
          <w:p w:rsidR="0032747F" w:rsidRPr="00690F6B" w:rsidRDefault="0032747F" w:rsidP="002B59E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End of Project</w:t>
            </w:r>
          </w:p>
        </w:tc>
        <w:tc>
          <w:tcPr>
            <w:tcW w:w="5220" w:type="dxa"/>
            <w:shd w:val="clear" w:color="auto" w:fill="95B3D7"/>
            <w:vAlign w:val="center"/>
          </w:tcPr>
          <w:p w:rsidR="0032747F" w:rsidRPr="00690F6B" w:rsidRDefault="0032747F" w:rsidP="002B59E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Comments</w:t>
            </w:r>
          </w:p>
        </w:tc>
      </w:tr>
      <w:tr w:rsidR="0032747F" w:rsidRPr="00690F6B" w:rsidTr="00884E3B">
        <w:trPr>
          <w:trHeight w:val="740"/>
          <w:jc w:val="center"/>
        </w:trPr>
        <w:tc>
          <w:tcPr>
            <w:tcW w:w="3620" w:type="dxa"/>
            <w:shd w:val="clear" w:color="auto" w:fill="auto"/>
            <w:vAlign w:val="center"/>
          </w:tcPr>
          <w:p w:rsidR="0032747F" w:rsidRPr="00690F6B" w:rsidRDefault="0032747F" w:rsidP="0077201B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OUTPUT 4.1.: </w:t>
            </w: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LVCQAT infrastructures upgraded (</w:t>
            </w:r>
            <w:r w:rsidRPr="00690F6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Unit: Infrastructures)</w:t>
            </w:r>
          </w:p>
        </w:tc>
        <w:tc>
          <w:tcPr>
            <w:tcW w:w="902" w:type="dxa"/>
            <w:vAlign w:val="center"/>
          </w:tcPr>
          <w:p w:rsidR="0032747F" w:rsidRPr="00690F6B" w:rsidRDefault="0032747F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81" w:type="dxa"/>
            <w:vAlign w:val="center"/>
          </w:tcPr>
          <w:p w:rsidR="0032747F" w:rsidRPr="00690F6B" w:rsidRDefault="0032747F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6" w:type="dxa"/>
            <w:vAlign w:val="center"/>
          </w:tcPr>
          <w:p w:rsidR="0032747F" w:rsidRPr="00690F6B" w:rsidRDefault="0032747F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32747F" w:rsidRPr="00952591" w:rsidRDefault="0032747F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2591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0" w:type="dxa"/>
            <w:vAlign w:val="center"/>
          </w:tcPr>
          <w:p w:rsidR="0032747F" w:rsidRPr="00690F6B" w:rsidRDefault="0032747F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32747F" w:rsidRPr="00690F6B" w:rsidRDefault="0032747F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32747F" w:rsidRPr="00690F6B" w:rsidRDefault="0032747F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20" w:type="dxa"/>
            <w:vAlign w:val="center"/>
          </w:tcPr>
          <w:p w:rsidR="0032747F" w:rsidRPr="00C35ED0" w:rsidRDefault="0032747F" w:rsidP="006672AD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5ED0">
              <w:rPr>
                <w:rFonts w:ascii="Times New Roman" w:eastAsia="Calibri" w:hAnsi="Times New Roman" w:cs="Times New Roman"/>
                <w:sz w:val="20"/>
                <w:szCs w:val="20"/>
              </w:rPr>
              <w:t>The whole Laboratory will be entirely rehabilitated in order to meet the accreditation requisites.</w:t>
            </w:r>
          </w:p>
          <w:p w:rsidR="0032747F" w:rsidRPr="00C35ED0" w:rsidRDefault="0032747F" w:rsidP="006672AD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5ED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Year of baseline</w:t>
            </w:r>
            <w:r w:rsidRPr="00C35ED0">
              <w:rPr>
                <w:rFonts w:ascii="Times New Roman" w:eastAsia="Calibri" w:hAnsi="Times New Roman" w:cs="Times New Roman"/>
                <w:sz w:val="20"/>
                <w:szCs w:val="20"/>
              </w:rPr>
              <w:t>: 2014</w:t>
            </w:r>
          </w:p>
          <w:p w:rsidR="0032747F" w:rsidRPr="00C35ED0" w:rsidRDefault="0032747F" w:rsidP="006672AD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5ED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Verification means:</w:t>
            </w:r>
            <w:r w:rsidRPr="00C35E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work acceptance report + visual observation during Banks' field inspection visit</w:t>
            </w:r>
          </w:p>
        </w:tc>
      </w:tr>
      <w:tr w:rsidR="0032747F" w:rsidRPr="00690F6B" w:rsidTr="00884E3B">
        <w:trPr>
          <w:trHeight w:val="803"/>
          <w:jc w:val="center"/>
        </w:trPr>
        <w:tc>
          <w:tcPr>
            <w:tcW w:w="3620" w:type="dxa"/>
            <w:shd w:val="clear" w:color="auto" w:fill="auto"/>
            <w:vAlign w:val="center"/>
          </w:tcPr>
          <w:p w:rsidR="0032747F" w:rsidRPr="00690F6B" w:rsidRDefault="0032747F" w:rsidP="00AB0BFF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OUTPUT 4.2.</w:t>
            </w: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: LVCQAT equipped (</w:t>
            </w:r>
            <w:r w:rsidRPr="00690F6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Unit: Set of laboratory equipment)</w:t>
            </w:r>
          </w:p>
        </w:tc>
        <w:tc>
          <w:tcPr>
            <w:tcW w:w="902" w:type="dxa"/>
            <w:vAlign w:val="center"/>
          </w:tcPr>
          <w:p w:rsidR="0032747F" w:rsidRPr="00690F6B" w:rsidRDefault="0032747F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81" w:type="dxa"/>
            <w:vAlign w:val="center"/>
          </w:tcPr>
          <w:p w:rsidR="0032747F" w:rsidRPr="00690F6B" w:rsidRDefault="0032747F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6" w:type="dxa"/>
            <w:vAlign w:val="center"/>
          </w:tcPr>
          <w:p w:rsidR="0032747F" w:rsidRPr="00690F6B" w:rsidRDefault="0032747F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32747F" w:rsidRPr="00952591" w:rsidRDefault="0032747F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2591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0" w:type="dxa"/>
            <w:vAlign w:val="center"/>
          </w:tcPr>
          <w:p w:rsidR="0032747F" w:rsidRPr="00690F6B" w:rsidRDefault="0032747F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32747F" w:rsidRPr="00690F6B" w:rsidRDefault="0032747F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32747F" w:rsidRPr="00690F6B" w:rsidRDefault="0032747F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20" w:type="dxa"/>
            <w:vAlign w:val="center"/>
          </w:tcPr>
          <w:p w:rsidR="0032747F" w:rsidRPr="00C35ED0" w:rsidRDefault="0032747F" w:rsidP="00680B6F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5ED0">
              <w:rPr>
                <w:rFonts w:ascii="Times New Roman" w:eastAsia="Calibri" w:hAnsi="Times New Roman" w:cs="Times New Roman"/>
                <w:sz w:val="20"/>
                <w:szCs w:val="20"/>
              </w:rPr>
              <w:t>All laboratory equipment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</w:t>
            </w:r>
            <w:r w:rsidRPr="00680B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binoculars,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autoclave, centrifuge, chromatograph, incinerator, water treatment unit…) </w:t>
            </w:r>
            <w:r w:rsidRPr="00C35ED0">
              <w:rPr>
                <w:rFonts w:ascii="Times New Roman" w:eastAsia="Calibri" w:hAnsi="Times New Roman" w:cs="Times New Roman"/>
                <w:sz w:val="20"/>
                <w:szCs w:val="20"/>
              </w:rPr>
              <w:t>and reagents required to conduct the mandatory analysis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(exact list of equipment already prepared by Tuskegee University)</w:t>
            </w:r>
            <w:r w:rsidRPr="00C35ED0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32747F" w:rsidRPr="00C35ED0" w:rsidRDefault="0032747F" w:rsidP="006672AD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5ED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Year of baseline</w:t>
            </w:r>
            <w:r w:rsidRPr="00C35ED0">
              <w:rPr>
                <w:rFonts w:ascii="Times New Roman" w:eastAsia="Calibri" w:hAnsi="Times New Roman" w:cs="Times New Roman"/>
                <w:sz w:val="20"/>
                <w:szCs w:val="20"/>
              </w:rPr>
              <w:t>: 2014</w:t>
            </w:r>
          </w:p>
          <w:p w:rsidR="0032747F" w:rsidRPr="00C35ED0" w:rsidRDefault="0032747F" w:rsidP="006672AD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5ED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Verification means:</w:t>
            </w:r>
            <w:r w:rsidRPr="00C35E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assets inventory register + visual observation of equipment during IDB field inspection visit</w:t>
            </w:r>
          </w:p>
        </w:tc>
      </w:tr>
      <w:tr w:rsidR="0032747F" w:rsidRPr="00690F6B" w:rsidTr="00884E3B">
        <w:trPr>
          <w:trHeight w:val="722"/>
          <w:jc w:val="center"/>
        </w:trPr>
        <w:tc>
          <w:tcPr>
            <w:tcW w:w="3620" w:type="dxa"/>
            <w:shd w:val="clear" w:color="auto" w:fill="auto"/>
            <w:vAlign w:val="center"/>
          </w:tcPr>
          <w:p w:rsidR="0032747F" w:rsidRPr="00690F6B" w:rsidRDefault="0032747F" w:rsidP="00BD1190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OUTPUT 4.3.: </w:t>
            </w: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LVCQAT procedures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and laboratory protocols</w:t>
            </w: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(on biosecurity, quality a</w:t>
            </w:r>
            <w:r w:rsidRPr="00484DCE">
              <w:rPr>
                <w:rFonts w:ascii="Times New Roman" w:eastAsia="Calibri" w:hAnsi="Times New Roman" w:cs="Times New Roman"/>
                <w:sz w:val="20"/>
                <w:szCs w:val="20"/>
              </w:rPr>
              <w:t>ssurance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…) </w:t>
            </w: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prepared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officially approved and published on the MARNDR Website </w:t>
            </w:r>
            <w:r w:rsidRPr="00690F6B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(</w:t>
            </w:r>
            <w:r w:rsidRPr="00690F6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Unit: procedures)</w:t>
            </w:r>
          </w:p>
        </w:tc>
        <w:tc>
          <w:tcPr>
            <w:tcW w:w="902" w:type="dxa"/>
            <w:vAlign w:val="center"/>
          </w:tcPr>
          <w:p w:rsidR="0032747F" w:rsidRPr="00690F6B" w:rsidRDefault="0032747F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81" w:type="dxa"/>
            <w:vAlign w:val="center"/>
          </w:tcPr>
          <w:p w:rsidR="0032747F" w:rsidRPr="00690F6B" w:rsidRDefault="0032747F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6" w:type="dxa"/>
            <w:vAlign w:val="center"/>
          </w:tcPr>
          <w:p w:rsidR="0032747F" w:rsidRPr="007A7E9D" w:rsidRDefault="0032747F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32747F" w:rsidRPr="007A7E9D" w:rsidRDefault="0032747F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A7E9D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00" w:type="dxa"/>
            <w:vAlign w:val="center"/>
          </w:tcPr>
          <w:p w:rsidR="0032747F" w:rsidRPr="007A7E9D" w:rsidRDefault="0032747F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32747F" w:rsidRPr="007A7E9D" w:rsidRDefault="0032747F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32747F" w:rsidRPr="007A7E9D" w:rsidRDefault="0032747F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A7E9D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20" w:type="dxa"/>
            <w:vAlign w:val="center"/>
          </w:tcPr>
          <w:p w:rsidR="0032747F" w:rsidRPr="00690F6B" w:rsidRDefault="0032747F" w:rsidP="006672AD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Year of baseline</w:t>
            </w: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: 2014</w:t>
            </w:r>
          </w:p>
          <w:p w:rsidR="0032747F" w:rsidRPr="00690F6B" w:rsidRDefault="0032747F" w:rsidP="00617088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Verification means:</w:t>
            </w: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MARNDR Website</w:t>
            </w:r>
          </w:p>
        </w:tc>
      </w:tr>
      <w:tr w:rsidR="0032747F" w:rsidRPr="00690F6B" w:rsidTr="00884E3B">
        <w:trPr>
          <w:trHeight w:val="308"/>
          <w:jc w:val="center"/>
        </w:trPr>
        <w:tc>
          <w:tcPr>
            <w:tcW w:w="3620" w:type="dxa"/>
            <w:shd w:val="clear" w:color="auto" w:fill="auto"/>
            <w:vAlign w:val="center"/>
          </w:tcPr>
          <w:p w:rsidR="0032747F" w:rsidRPr="00690F6B" w:rsidRDefault="0032747F" w:rsidP="00751C57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OUTPUT 4.4.: </w:t>
            </w: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LVCQAT staff trained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in quality assurance, biosecurity, laboratory practices, equipment maintenance </w:t>
            </w: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r w:rsidRPr="00690F6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Unit: Staff)</w:t>
            </w:r>
          </w:p>
        </w:tc>
        <w:tc>
          <w:tcPr>
            <w:tcW w:w="902" w:type="dxa"/>
            <w:vAlign w:val="center"/>
          </w:tcPr>
          <w:p w:rsidR="0032747F" w:rsidRPr="007A7E9D" w:rsidRDefault="0032747F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A7E9D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81" w:type="dxa"/>
            <w:vAlign w:val="center"/>
          </w:tcPr>
          <w:p w:rsidR="0032747F" w:rsidRPr="007A7E9D" w:rsidRDefault="0032747F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6" w:type="dxa"/>
            <w:vAlign w:val="center"/>
          </w:tcPr>
          <w:p w:rsidR="0032747F" w:rsidRPr="007A7E9D" w:rsidRDefault="0032747F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32747F" w:rsidRPr="007A7E9D" w:rsidRDefault="0032747F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A7E9D"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900" w:type="dxa"/>
            <w:vAlign w:val="center"/>
          </w:tcPr>
          <w:p w:rsidR="0032747F" w:rsidRPr="007A7E9D" w:rsidRDefault="0032747F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A7E9D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00" w:type="dxa"/>
            <w:vAlign w:val="center"/>
          </w:tcPr>
          <w:p w:rsidR="0032747F" w:rsidRPr="007A7E9D" w:rsidRDefault="0032747F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32747F" w:rsidRPr="007A7E9D" w:rsidRDefault="0032747F" w:rsidP="006672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A7E9D">
              <w:rPr>
                <w:rFonts w:ascii="Times New Roman" w:eastAsia="Calibri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5220" w:type="dxa"/>
            <w:vAlign w:val="center"/>
          </w:tcPr>
          <w:p w:rsidR="0032747F" w:rsidRPr="00690F6B" w:rsidRDefault="0032747F" w:rsidP="006672AD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Year of baseline</w:t>
            </w:r>
            <w:r w:rsidRPr="00690F6B">
              <w:rPr>
                <w:rFonts w:ascii="Times New Roman" w:eastAsia="Calibri" w:hAnsi="Times New Roman" w:cs="Times New Roman"/>
                <w:sz w:val="20"/>
                <w:szCs w:val="20"/>
              </w:rPr>
              <w:t>: 2014</w:t>
            </w:r>
          </w:p>
          <w:p w:rsidR="0032747F" w:rsidRPr="00690F6B" w:rsidRDefault="0032747F" w:rsidP="006672AD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0F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Verification means: </w:t>
            </w:r>
            <w:r w:rsidRPr="001F5E59">
              <w:rPr>
                <w:rFonts w:ascii="Times New Roman" w:eastAsia="Calibri" w:hAnsi="Times New Roman" w:cs="Times New Roman"/>
                <w:sz w:val="20"/>
                <w:szCs w:val="20"/>
              </w:rPr>
              <w:t>LVCQAT reports</w:t>
            </w:r>
          </w:p>
        </w:tc>
      </w:tr>
    </w:tbl>
    <w:p w:rsidR="00981102" w:rsidRPr="00690F6B" w:rsidRDefault="00981102" w:rsidP="006672A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981102" w:rsidRPr="00690F6B" w:rsidSect="00884E3B">
      <w:headerReference w:type="default" r:id="rId9"/>
      <w:pgSz w:w="15840" w:h="12240" w:orient="landscape"/>
      <w:pgMar w:top="1325" w:right="1152" w:bottom="634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D5D" w:rsidRDefault="000B6D5D">
      <w:pPr>
        <w:spacing w:after="0" w:line="240" w:lineRule="auto"/>
      </w:pPr>
      <w:r>
        <w:separator/>
      </w:r>
    </w:p>
  </w:endnote>
  <w:endnote w:type="continuationSeparator" w:id="0">
    <w:p w:rsidR="000B6D5D" w:rsidRDefault="000B6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D5D" w:rsidRDefault="000B6D5D">
      <w:pPr>
        <w:spacing w:after="0" w:line="240" w:lineRule="auto"/>
      </w:pPr>
      <w:r>
        <w:separator/>
      </w:r>
    </w:p>
  </w:footnote>
  <w:footnote w:type="continuationSeparator" w:id="0">
    <w:p w:rsidR="000B6D5D" w:rsidRDefault="000B6D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D5D" w:rsidRPr="008A4B05" w:rsidRDefault="000B6D5D" w:rsidP="008A4B05">
    <w:pPr>
      <w:pStyle w:val="Header"/>
      <w:spacing w:after="0"/>
      <w:jc w:val="right"/>
      <w:rPr>
        <w:rFonts w:ascii="Times New Roman" w:hAnsi="Times New Roman"/>
        <w:sz w:val="20"/>
        <w:szCs w:val="20"/>
      </w:rPr>
    </w:pPr>
    <w:r w:rsidRPr="008A4B05">
      <w:rPr>
        <w:rFonts w:ascii="Times New Roman" w:hAnsi="Times New Roman"/>
        <w:sz w:val="20"/>
        <w:szCs w:val="20"/>
      </w:rPr>
      <w:t>Link – HA-L1094</w:t>
    </w:r>
  </w:p>
  <w:p w:rsidR="000B6D5D" w:rsidRPr="008A4B05" w:rsidRDefault="00394F81" w:rsidP="008A4B05">
    <w:pPr>
      <w:pStyle w:val="Header"/>
      <w:spacing w:after="0"/>
      <w:jc w:val="right"/>
      <w:rPr>
        <w:rFonts w:ascii="Times New Roman" w:hAnsi="Times New Roman"/>
        <w:sz w:val="20"/>
        <w:szCs w:val="20"/>
      </w:rPr>
    </w:pPr>
    <w:sdt>
      <w:sdtPr>
        <w:rPr>
          <w:rFonts w:ascii="Times New Roman" w:hAnsi="Times New Roman"/>
          <w:sz w:val="20"/>
          <w:szCs w:val="20"/>
        </w:rPr>
        <w:id w:val="1477648756"/>
        <w:docPartObj>
          <w:docPartGallery w:val="Page Numbers (Top of Page)"/>
          <w:docPartUnique/>
        </w:docPartObj>
      </w:sdtPr>
      <w:sdtEndPr/>
      <w:sdtContent>
        <w:r w:rsidR="000B6D5D" w:rsidRPr="008A4B05">
          <w:rPr>
            <w:rFonts w:ascii="Times New Roman" w:hAnsi="Times New Roman"/>
            <w:sz w:val="20"/>
            <w:szCs w:val="20"/>
          </w:rPr>
          <w:t xml:space="preserve">Page </w:t>
        </w:r>
        <w:r w:rsidR="000B6D5D" w:rsidRPr="008A4B05">
          <w:rPr>
            <w:rFonts w:ascii="Times New Roman" w:hAnsi="Times New Roman"/>
            <w:b/>
            <w:bCs/>
            <w:sz w:val="20"/>
            <w:szCs w:val="20"/>
          </w:rPr>
          <w:fldChar w:fldCharType="begin"/>
        </w:r>
        <w:r w:rsidR="000B6D5D" w:rsidRPr="008A4B05">
          <w:rPr>
            <w:rFonts w:ascii="Times New Roman" w:hAnsi="Times New Roman"/>
            <w:b/>
            <w:bCs/>
            <w:sz w:val="20"/>
            <w:szCs w:val="20"/>
          </w:rPr>
          <w:instrText xml:space="preserve"> PAGE </w:instrText>
        </w:r>
        <w:r w:rsidR="000B6D5D" w:rsidRPr="008A4B05">
          <w:rPr>
            <w:rFonts w:ascii="Times New Roman" w:hAnsi="Times New Roman"/>
            <w:b/>
            <w:bCs/>
            <w:sz w:val="20"/>
            <w:szCs w:val="20"/>
          </w:rPr>
          <w:fldChar w:fldCharType="separate"/>
        </w:r>
        <w:r>
          <w:rPr>
            <w:rFonts w:ascii="Times New Roman" w:hAnsi="Times New Roman"/>
            <w:b/>
            <w:bCs/>
            <w:noProof/>
            <w:sz w:val="20"/>
            <w:szCs w:val="20"/>
          </w:rPr>
          <w:t>8</w:t>
        </w:r>
        <w:r w:rsidR="000B6D5D" w:rsidRPr="008A4B05">
          <w:rPr>
            <w:rFonts w:ascii="Times New Roman" w:hAnsi="Times New Roman"/>
            <w:b/>
            <w:bCs/>
            <w:sz w:val="20"/>
            <w:szCs w:val="20"/>
          </w:rPr>
          <w:fldChar w:fldCharType="end"/>
        </w:r>
        <w:r w:rsidR="000B6D5D" w:rsidRPr="008A4B05">
          <w:rPr>
            <w:rFonts w:ascii="Times New Roman" w:hAnsi="Times New Roman"/>
            <w:sz w:val="20"/>
            <w:szCs w:val="20"/>
          </w:rPr>
          <w:t xml:space="preserve"> of </w:t>
        </w:r>
        <w:r w:rsidR="000B6D5D" w:rsidRPr="008A4B05">
          <w:rPr>
            <w:rFonts w:ascii="Times New Roman" w:hAnsi="Times New Roman"/>
            <w:b/>
            <w:bCs/>
            <w:sz w:val="20"/>
            <w:szCs w:val="20"/>
          </w:rPr>
          <w:fldChar w:fldCharType="begin"/>
        </w:r>
        <w:r w:rsidR="000B6D5D" w:rsidRPr="008A4B05">
          <w:rPr>
            <w:rFonts w:ascii="Times New Roman" w:hAnsi="Times New Roman"/>
            <w:b/>
            <w:bCs/>
            <w:sz w:val="20"/>
            <w:szCs w:val="20"/>
          </w:rPr>
          <w:instrText xml:space="preserve"> NUMPAGES  </w:instrText>
        </w:r>
        <w:r w:rsidR="000B6D5D" w:rsidRPr="008A4B05">
          <w:rPr>
            <w:rFonts w:ascii="Times New Roman" w:hAnsi="Times New Roman"/>
            <w:b/>
            <w:bCs/>
            <w:sz w:val="20"/>
            <w:szCs w:val="20"/>
          </w:rPr>
          <w:fldChar w:fldCharType="separate"/>
        </w:r>
        <w:r>
          <w:rPr>
            <w:rFonts w:ascii="Times New Roman" w:hAnsi="Times New Roman"/>
            <w:b/>
            <w:bCs/>
            <w:noProof/>
            <w:sz w:val="20"/>
            <w:szCs w:val="20"/>
          </w:rPr>
          <w:t>8</w:t>
        </w:r>
        <w:r w:rsidR="000B6D5D" w:rsidRPr="008A4B05">
          <w:rPr>
            <w:rFonts w:ascii="Times New Roman" w:hAnsi="Times New Roman"/>
            <w:b/>
            <w:bCs/>
            <w:sz w:val="20"/>
            <w:szCs w:val="20"/>
          </w:rPr>
          <w:fldChar w:fldCharType="end"/>
        </w:r>
      </w:sdtContent>
    </w:sdt>
  </w:p>
  <w:p w:rsidR="000B6D5D" w:rsidRPr="00C44DBF" w:rsidRDefault="000B6D5D" w:rsidP="008A4B05">
    <w:pPr>
      <w:pStyle w:val="Header"/>
      <w:tabs>
        <w:tab w:val="left" w:pos="8610"/>
        <w:tab w:val="right" w:pos="12960"/>
      </w:tabs>
      <w:spacing w:after="0"/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A80354"/>
    <w:multiLevelType w:val="hybridMultilevel"/>
    <w:tmpl w:val="6F28D856"/>
    <w:lvl w:ilvl="0" w:tplc="EDF2FDD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585710"/>
    <w:multiLevelType w:val="hybridMultilevel"/>
    <w:tmpl w:val="A8A4473C"/>
    <w:lvl w:ilvl="0" w:tplc="EDF2FDD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E07269"/>
    <w:multiLevelType w:val="hybridMultilevel"/>
    <w:tmpl w:val="828C9D5E"/>
    <w:lvl w:ilvl="0" w:tplc="47A056D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CC3581"/>
    <w:multiLevelType w:val="hybridMultilevel"/>
    <w:tmpl w:val="E30827EA"/>
    <w:lvl w:ilvl="0" w:tplc="79FC259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331CE1"/>
    <w:multiLevelType w:val="hybridMultilevel"/>
    <w:tmpl w:val="4F363346"/>
    <w:lvl w:ilvl="0" w:tplc="DEB2DA5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9D0BC5"/>
    <w:multiLevelType w:val="multilevel"/>
    <w:tmpl w:val="FD66DC74"/>
    <w:lvl w:ilvl="0">
      <w:start w:val="1"/>
      <w:numFmt w:val="upperRoman"/>
      <w:lvlRestart w:val="0"/>
      <w:pStyle w:val="Chapter"/>
      <w:lvlText w:val="%1."/>
      <w:lvlJc w:val="center"/>
      <w:pPr>
        <w:tabs>
          <w:tab w:val="num" w:pos="1368"/>
        </w:tabs>
        <w:ind w:left="720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2016"/>
        </w:tabs>
        <w:ind w:left="2016" w:hanging="1296"/>
      </w:pPr>
    </w:lvl>
    <w:lvl w:ilvl="2">
      <w:start w:val="1"/>
      <w:numFmt w:val="lowerLetter"/>
      <w:pStyle w:val="subpar"/>
      <w:lvlText w:val="%3."/>
      <w:lvlJc w:val="left"/>
      <w:pPr>
        <w:tabs>
          <w:tab w:val="num" w:pos="1872"/>
        </w:tabs>
        <w:ind w:left="1872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2304"/>
        </w:tabs>
        <w:ind w:left="2304" w:hanging="288"/>
      </w:pPr>
    </w:lvl>
    <w:lvl w:ilvl="4">
      <w:start w:val="1"/>
      <w:numFmt w:val="decimal"/>
      <w:lvlText w:val="%1.%2.%3.%4.%5"/>
      <w:lvlJc w:val="left"/>
      <w:pPr>
        <w:ind w:left="1728" w:hanging="1008"/>
      </w:pPr>
    </w:lvl>
    <w:lvl w:ilvl="5">
      <w:start w:val="1"/>
      <w:numFmt w:val="decimal"/>
      <w:lvlText w:val="%1.%2.%3.%4.%5.%6"/>
      <w:lvlJc w:val="left"/>
      <w:pPr>
        <w:ind w:left="1872" w:hanging="1152"/>
      </w:pPr>
    </w:lvl>
    <w:lvl w:ilvl="6">
      <w:start w:val="1"/>
      <w:numFmt w:val="decimal"/>
      <w:lvlText w:val="%1.%2.%3.%4.%5.%6.%7"/>
      <w:lvlJc w:val="left"/>
      <w:pPr>
        <w:ind w:left="2016" w:hanging="1296"/>
      </w:pPr>
    </w:lvl>
    <w:lvl w:ilvl="7">
      <w:start w:val="1"/>
      <w:numFmt w:val="decimal"/>
      <w:lvlText w:val="%1.%2.%3.%4.%5.%6.%7.%8"/>
      <w:lvlJc w:val="left"/>
      <w:pPr>
        <w:ind w:left="2160" w:hanging="1440"/>
      </w:pPr>
    </w:lvl>
    <w:lvl w:ilvl="8">
      <w:start w:val="1"/>
      <w:numFmt w:val="decimal"/>
      <w:lvlText w:val="%1.%2.%3.%4.%5.%6.%7.%8.%9"/>
      <w:lvlJc w:val="left"/>
      <w:pPr>
        <w:ind w:left="2304" w:hanging="1584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F9C"/>
    <w:rsid w:val="0000486E"/>
    <w:rsid w:val="000103B2"/>
    <w:rsid w:val="0001643A"/>
    <w:rsid w:val="000169DE"/>
    <w:rsid w:val="00017105"/>
    <w:rsid w:val="00022AF3"/>
    <w:rsid w:val="000246C0"/>
    <w:rsid w:val="000310E1"/>
    <w:rsid w:val="000338B6"/>
    <w:rsid w:val="0003505C"/>
    <w:rsid w:val="00036365"/>
    <w:rsid w:val="000364DA"/>
    <w:rsid w:val="00043063"/>
    <w:rsid w:val="00043B40"/>
    <w:rsid w:val="00052699"/>
    <w:rsid w:val="0005278B"/>
    <w:rsid w:val="00052808"/>
    <w:rsid w:val="0006093C"/>
    <w:rsid w:val="0006385D"/>
    <w:rsid w:val="00065BFD"/>
    <w:rsid w:val="00071675"/>
    <w:rsid w:val="000735F9"/>
    <w:rsid w:val="00076B09"/>
    <w:rsid w:val="00077041"/>
    <w:rsid w:val="000777DB"/>
    <w:rsid w:val="0008611C"/>
    <w:rsid w:val="00087211"/>
    <w:rsid w:val="000905B6"/>
    <w:rsid w:val="00092A8A"/>
    <w:rsid w:val="00094524"/>
    <w:rsid w:val="00095A13"/>
    <w:rsid w:val="00096765"/>
    <w:rsid w:val="000A13B5"/>
    <w:rsid w:val="000A1849"/>
    <w:rsid w:val="000A265D"/>
    <w:rsid w:val="000A435E"/>
    <w:rsid w:val="000A4767"/>
    <w:rsid w:val="000A6563"/>
    <w:rsid w:val="000B14EA"/>
    <w:rsid w:val="000B33C1"/>
    <w:rsid w:val="000B6D5D"/>
    <w:rsid w:val="000C019F"/>
    <w:rsid w:val="000C0D25"/>
    <w:rsid w:val="000C13BE"/>
    <w:rsid w:val="000C55F7"/>
    <w:rsid w:val="000C5B41"/>
    <w:rsid w:val="000C5BDF"/>
    <w:rsid w:val="000D0892"/>
    <w:rsid w:val="000D3680"/>
    <w:rsid w:val="000E023C"/>
    <w:rsid w:val="000E464E"/>
    <w:rsid w:val="000E54B9"/>
    <w:rsid w:val="000E7168"/>
    <w:rsid w:val="000F142F"/>
    <w:rsid w:val="000F18B5"/>
    <w:rsid w:val="000F21D3"/>
    <w:rsid w:val="000F3BA5"/>
    <w:rsid w:val="000F51B0"/>
    <w:rsid w:val="0010021F"/>
    <w:rsid w:val="001006C5"/>
    <w:rsid w:val="00102E68"/>
    <w:rsid w:val="0010713D"/>
    <w:rsid w:val="00110058"/>
    <w:rsid w:val="00111049"/>
    <w:rsid w:val="0012494C"/>
    <w:rsid w:val="00126933"/>
    <w:rsid w:val="0012736A"/>
    <w:rsid w:val="00131E14"/>
    <w:rsid w:val="0013349C"/>
    <w:rsid w:val="0013446E"/>
    <w:rsid w:val="001359A0"/>
    <w:rsid w:val="00135E46"/>
    <w:rsid w:val="0013654F"/>
    <w:rsid w:val="00142200"/>
    <w:rsid w:val="00142692"/>
    <w:rsid w:val="00143252"/>
    <w:rsid w:val="00143416"/>
    <w:rsid w:val="00144663"/>
    <w:rsid w:val="00144B55"/>
    <w:rsid w:val="0015045F"/>
    <w:rsid w:val="00152ED6"/>
    <w:rsid w:val="001549A4"/>
    <w:rsid w:val="0015595E"/>
    <w:rsid w:val="00156A1F"/>
    <w:rsid w:val="00176B9C"/>
    <w:rsid w:val="001807B5"/>
    <w:rsid w:val="00184F06"/>
    <w:rsid w:val="00186078"/>
    <w:rsid w:val="001914EE"/>
    <w:rsid w:val="0019267F"/>
    <w:rsid w:val="00192A04"/>
    <w:rsid w:val="0019315C"/>
    <w:rsid w:val="00194E86"/>
    <w:rsid w:val="00196D61"/>
    <w:rsid w:val="001A0455"/>
    <w:rsid w:val="001A45C0"/>
    <w:rsid w:val="001A5563"/>
    <w:rsid w:val="001B23CC"/>
    <w:rsid w:val="001B75D2"/>
    <w:rsid w:val="001C10F9"/>
    <w:rsid w:val="001C111A"/>
    <w:rsid w:val="001C5996"/>
    <w:rsid w:val="001D017F"/>
    <w:rsid w:val="001D48AA"/>
    <w:rsid w:val="001D6394"/>
    <w:rsid w:val="001E133D"/>
    <w:rsid w:val="001E2B1F"/>
    <w:rsid w:val="001E4198"/>
    <w:rsid w:val="001E41FE"/>
    <w:rsid w:val="001E6EF0"/>
    <w:rsid w:val="001F04BE"/>
    <w:rsid w:val="001F5E59"/>
    <w:rsid w:val="00201D45"/>
    <w:rsid w:val="00202C46"/>
    <w:rsid w:val="002051A0"/>
    <w:rsid w:val="0021295E"/>
    <w:rsid w:val="00212C33"/>
    <w:rsid w:val="00213D85"/>
    <w:rsid w:val="00214900"/>
    <w:rsid w:val="00222ABD"/>
    <w:rsid w:val="0022472E"/>
    <w:rsid w:val="002258C3"/>
    <w:rsid w:val="002269A8"/>
    <w:rsid w:val="00231334"/>
    <w:rsid w:val="00233B31"/>
    <w:rsid w:val="0023621A"/>
    <w:rsid w:val="002418A5"/>
    <w:rsid w:val="00242EE3"/>
    <w:rsid w:val="002444F1"/>
    <w:rsid w:val="00246FCA"/>
    <w:rsid w:val="00250579"/>
    <w:rsid w:val="00251819"/>
    <w:rsid w:val="00253FDB"/>
    <w:rsid w:val="0025478C"/>
    <w:rsid w:val="00254C57"/>
    <w:rsid w:val="00256F0F"/>
    <w:rsid w:val="00265B00"/>
    <w:rsid w:val="00267A04"/>
    <w:rsid w:val="002730A9"/>
    <w:rsid w:val="002764C1"/>
    <w:rsid w:val="00283827"/>
    <w:rsid w:val="002838C8"/>
    <w:rsid w:val="00283B37"/>
    <w:rsid w:val="00284C21"/>
    <w:rsid w:val="00297CB1"/>
    <w:rsid w:val="002A13BC"/>
    <w:rsid w:val="002A2216"/>
    <w:rsid w:val="002A3CDC"/>
    <w:rsid w:val="002A6913"/>
    <w:rsid w:val="002A74E9"/>
    <w:rsid w:val="002B293F"/>
    <w:rsid w:val="002B2CA7"/>
    <w:rsid w:val="002B399F"/>
    <w:rsid w:val="002B59E8"/>
    <w:rsid w:val="002B6BEC"/>
    <w:rsid w:val="002B77DC"/>
    <w:rsid w:val="002B79D5"/>
    <w:rsid w:val="002C1428"/>
    <w:rsid w:val="002C2EC6"/>
    <w:rsid w:val="002C4951"/>
    <w:rsid w:val="002D09C0"/>
    <w:rsid w:val="002D0C00"/>
    <w:rsid w:val="002D19AC"/>
    <w:rsid w:val="002D3B70"/>
    <w:rsid w:val="002D58EB"/>
    <w:rsid w:val="002D6C46"/>
    <w:rsid w:val="002E0A6E"/>
    <w:rsid w:val="002E19B9"/>
    <w:rsid w:val="002E76AD"/>
    <w:rsid w:val="002F3485"/>
    <w:rsid w:val="002F385E"/>
    <w:rsid w:val="002F4138"/>
    <w:rsid w:val="002F4265"/>
    <w:rsid w:val="002F45BD"/>
    <w:rsid w:val="002F51C0"/>
    <w:rsid w:val="002F5824"/>
    <w:rsid w:val="002F735D"/>
    <w:rsid w:val="002F7AF5"/>
    <w:rsid w:val="0030041A"/>
    <w:rsid w:val="00304728"/>
    <w:rsid w:val="00310390"/>
    <w:rsid w:val="00310613"/>
    <w:rsid w:val="00313E60"/>
    <w:rsid w:val="003166A4"/>
    <w:rsid w:val="00317057"/>
    <w:rsid w:val="0032250E"/>
    <w:rsid w:val="00323766"/>
    <w:rsid w:val="003251CC"/>
    <w:rsid w:val="00325D08"/>
    <w:rsid w:val="0032747F"/>
    <w:rsid w:val="00352D16"/>
    <w:rsid w:val="00353F23"/>
    <w:rsid w:val="00354F9C"/>
    <w:rsid w:val="0035536E"/>
    <w:rsid w:val="00357D12"/>
    <w:rsid w:val="00366104"/>
    <w:rsid w:val="00366811"/>
    <w:rsid w:val="00372DC6"/>
    <w:rsid w:val="00374262"/>
    <w:rsid w:val="003764CD"/>
    <w:rsid w:val="00377B76"/>
    <w:rsid w:val="00377F4E"/>
    <w:rsid w:val="00377FFA"/>
    <w:rsid w:val="00382295"/>
    <w:rsid w:val="0038678B"/>
    <w:rsid w:val="00386FA9"/>
    <w:rsid w:val="003871C0"/>
    <w:rsid w:val="00387C1E"/>
    <w:rsid w:val="00390D66"/>
    <w:rsid w:val="00394F81"/>
    <w:rsid w:val="00395E19"/>
    <w:rsid w:val="00396C3F"/>
    <w:rsid w:val="003A0CE2"/>
    <w:rsid w:val="003A1FF6"/>
    <w:rsid w:val="003A5C0A"/>
    <w:rsid w:val="003A7ACB"/>
    <w:rsid w:val="003B4382"/>
    <w:rsid w:val="003B58F0"/>
    <w:rsid w:val="003C1F89"/>
    <w:rsid w:val="003C465A"/>
    <w:rsid w:val="003C538C"/>
    <w:rsid w:val="003D0D1E"/>
    <w:rsid w:val="003D156B"/>
    <w:rsid w:val="003D1850"/>
    <w:rsid w:val="003D4E43"/>
    <w:rsid w:val="003E0675"/>
    <w:rsid w:val="003E1061"/>
    <w:rsid w:val="003E2300"/>
    <w:rsid w:val="003E276B"/>
    <w:rsid w:val="003E3978"/>
    <w:rsid w:val="003E6D08"/>
    <w:rsid w:val="003E793A"/>
    <w:rsid w:val="004001F3"/>
    <w:rsid w:val="00406C7A"/>
    <w:rsid w:val="00407372"/>
    <w:rsid w:val="00410D56"/>
    <w:rsid w:val="00414815"/>
    <w:rsid w:val="00415DF9"/>
    <w:rsid w:val="00416500"/>
    <w:rsid w:val="004207FB"/>
    <w:rsid w:val="00423E5B"/>
    <w:rsid w:val="00427DD3"/>
    <w:rsid w:val="00431C9E"/>
    <w:rsid w:val="00431CB3"/>
    <w:rsid w:val="004349BC"/>
    <w:rsid w:val="00435DAE"/>
    <w:rsid w:val="004360FD"/>
    <w:rsid w:val="0043619B"/>
    <w:rsid w:val="004416A9"/>
    <w:rsid w:val="004446B7"/>
    <w:rsid w:val="00445D41"/>
    <w:rsid w:val="00455E51"/>
    <w:rsid w:val="00456253"/>
    <w:rsid w:val="004567CA"/>
    <w:rsid w:val="00457567"/>
    <w:rsid w:val="0046173A"/>
    <w:rsid w:val="0046368B"/>
    <w:rsid w:val="004636F6"/>
    <w:rsid w:val="004652E8"/>
    <w:rsid w:val="0047138D"/>
    <w:rsid w:val="00474420"/>
    <w:rsid w:val="00477198"/>
    <w:rsid w:val="00480413"/>
    <w:rsid w:val="004824BD"/>
    <w:rsid w:val="004842A1"/>
    <w:rsid w:val="00484DCE"/>
    <w:rsid w:val="004859CF"/>
    <w:rsid w:val="00490971"/>
    <w:rsid w:val="00494298"/>
    <w:rsid w:val="00495435"/>
    <w:rsid w:val="004A338E"/>
    <w:rsid w:val="004A5984"/>
    <w:rsid w:val="004B02DB"/>
    <w:rsid w:val="004B35D8"/>
    <w:rsid w:val="004B499A"/>
    <w:rsid w:val="004B4B3F"/>
    <w:rsid w:val="004B4DA9"/>
    <w:rsid w:val="004C1BEC"/>
    <w:rsid w:val="004C2CE6"/>
    <w:rsid w:val="004D23B8"/>
    <w:rsid w:val="004D2463"/>
    <w:rsid w:val="004D5C10"/>
    <w:rsid w:val="004E0667"/>
    <w:rsid w:val="004E4135"/>
    <w:rsid w:val="004E48B6"/>
    <w:rsid w:val="004F08B4"/>
    <w:rsid w:val="0050256E"/>
    <w:rsid w:val="00502BB9"/>
    <w:rsid w:val="00506B99"/>
    <w:rsid w:val="00506EBD"/>
    <w:rsid w:val="005114D7"/>
    <w:rsid w:val="00511A6D"/>
    <w:rsid w:val="00511C00"/>
    <w:rsid w:val="00516864"/>
    <w:rsid w:val="00523ABA"/>
    <w:rsid w:val="00524491"/>
    <w:rsid w:val="005256B7"/>
    <w:rsid w:val="00534F79"/>
    <w:rsid w:val="005366A6"/>
    <w:rsid w:val="00540DB1"/>
    <w:rsid w:val="00541B7A"/>
    <w:rsid w:val="00545E88"/>
    <w:rsid w:val="005464D2"/>
    <w:rsid w:val="00553144"/>
    <w:rsid w:val="00553A7A"/>
    <w:rsid w:val="00555E85"/>
    <w:rsid w:val="00557951"/>
    <w:rsid w:val="005601B6"/>
    <w:rsid w:val="00562DB7"/>
    <w:rsid w:val="00564B4A"/>
    <w:rsid w:val="005651C2"/>
    <w:rsid w:val="005703F0"/>
    <w:rsid w:val="00571D61"/>
    <w:rsid w:val="00573AE6"/>
    <w:rsid w:val="0057548C"/>
    <w:rsid w:val="005812C0"/>
    <w:rsid w:val="00583FA3"/>
    <w:rsid w:val="005843B8"/>
    <w:rsid w:val="005863A5"/>
    <w:rsid w:val="00592341"/>
    <w:rsid w:val="005929E4"/>
    <w:rsid w:val="00596611"/>
    <w:rsid w:val="005A2C19"/>
    <w:rsid w:val="005A392C"/>
    <w:rsid w:val="005B2963"/>
    <w:rsid w:val="005B3C49"/>
    <w:rsid w:val="005B4F3C"/>
    <w:rsid w:val="005C1C7E"/>
    <w:rsid w:val="005C6947"/>
    <w:rsid w:val="005D01C7"/>
    <w:rsid w:val="005D5858"/>
    <w:rsid w:val="005D703F"/>
    <w:rsid w:val="005E39CA"/>
    <w:rsid w:val="005E4B82"/>
    <w:rsid w:val="005E7ED4"/>
    <w:rsid w:val="005F0B04"/>
    <w:rsid w:val="005F0B99"/>
    <w:rsid w:val="005F3D3B"/>
    <w:rsid w:val="005F473F"/>
    <w:rsid w:val="005F6AE3"/>
    <w:rsid w:val="0060249F"/>
    <w:rsid w:val="00605365"/>
    <w:rsid w:val="0060791C"/>
    <w:rsid w:val="00611E19"/>
    <w:rsid w:val="006139A3"/>
    <w:rsid w:val="00617088"/>
    <w:rsid w:val="006201EF"/>
    <w:rsid w:val="0062056B"/>
    <w:rsid w:val="00620663"/>
    <w:rsid w:val="00622DAB"/>
    <w:rsid w:val="00624150"/>
    <w:rsid w:val="00624F1B"/>
    <w:rsid w:val="006267C2"/>
    <w:rsid w:val="00632EA6"/>
    <w:rsid w:val="00633738"/>
    <w:rsid w:val="00635A2D"/>
    <w:rsid w:val="00636EA8"/>
    <w:rsid w:val="00647AD4"/>
    <w:rsid w:val="00647B84"/>
    <w:rsid w:val="0065238E"/>
    <w:rsid w:val="00652399"/>
    <w:rsid w:val="006528E1"/>
    <w:rsid w:val="00652909"/>
    <w:rsid w:val="00657986"/>
    <w:rsid w:val="00661B5E"/>
    <w:rsid w:val="00664FF4"/>
    <w:rsid w:val="0066624F"/>
    <w:rsid w:val="00666B82"/>
    <w:rsid w:val="006672AD"/>
    <w:rsid w:val="00670B73"/>
    <w:rsid w:val="00677C7C"/>
    <w:rsid w:val="00680B6F"/>
    <w:rsid w:val="00686A59"/>
    <w:rsid w:val="00687747"/>
    <w:rsid w:val="00690582"/>
    <w:rsid w:val="00690F6B"/>
    <w:rsid w:val="00693453"/>
    <w:rsid w:val="0069606A"/>
    <w:rsid w:val="006A14E3"/>
    <w:rsid w:val="006A2C3C"/>
    <w:rsid w:val="006A3AE5"/>
    <w:rsid w:val="006A4C2C"/>
    <w:rsid w:val="006A55ED"/>
    <w:rsid w:val="006A57DC"/>
    <w:rsid w:val="006A5D1A"/>
    <w:rsid w:val="006B2075"/>
    <w:rsid w:val="006B41A7"/>
    <w:rsid w:val="006B6489"/>
    <w:rsid w:val="006C4FB7"/>
    <w:rsid w:val="006C5CC8"/>
    <w:rsid w:val="006C5DA7"/>
    <w:rsid w:val="006D08F0"/>
    <w:rsid w:val="006D12CF"/>
    <w:rsid w:val="006D203A"/>
    <w:rsid w:val="006D4935"/>
    <w:rsid w:val="006D54B5"/>
    <w:rsid w:val="006D5ABE"/>
    <w:rsid w:val="0070215D"/>
    <w:rsid w:val="007039CC"/>
    <w:rsid w:val="007049D6"/>
    <w:rsid w:val="007103D1"/>
    <w:rsid w:val="00710FB6"/>
    <w:rsid w:val="0071435E"/>
    <w:rsid w:val="00723822"/>
    <w:rsid w:val="00725959"/>
    <w:rsid w:val="00725EE1"/>
    <w:rsid w:val="007274E0"/>
    <w:rsid w:val="00733044"/>
    <w:rsid w:val="00734987"/>
    <w:rsid w:val="00734E58"/>
    <w:rsid w:val="007378B9"/>
    <w:rsid w:val="00740787"/>
    <w:rsid w:val="00750867"/>
    <w:rsid w:val="00751C57"/>
    <w:rsid w:val="00755F05"/>
    <w:rsid w:val="00757582"/>
    <w:rsid w:val="00760205"/>
    <w:rsid w:val="00762B3B"/>
    <w:rsid w:val="00764A28"/>
    <w:rsid w:val="0077201B"/>
    <w:rsid w:val="00774D26"/>
    <w:rsid w:val="00774F88"/>
    <w:rsid w:val="00776BEC"/>
    <w:rsid w:val="00776F72"/>
    <w:rsid w:val="00777B1F"/>
    <w:rsid w:val="00781990"/>
    <w:rsid w:val="00783C57"/>
    <w:rsid w:val="0078566F"/>
    <w:rsid w:val="00790901"/>
    <w:rsid w:val="00790F45"/>
    <w:rsid w:val="00791F4D"/>
    <w:rsid w:val="007A1924"/>
    <w:rsid w:val="007A7E9D"/>
    <w:rsid w:val="007B79F2"/>
    <w:rsid w:val="007D41F0"/>
    <w:rsid w:val="007E02B5"/>
    <w:rsid w:val="007E22FE"/>
    <w:rsid w:val="007E5724"/>
    <w:rsid w:val="007F02EF"/>
    <w:rsid w:val="007F13AE"/>
    <w:rsid w:val="007F34AC"/>
    <w:rsid w:val="007F7853"/>
    <w:rsid w:val="00802DD8"/>
    <w:rsid w:val="00805C80"/>
    <w:rsid w:val="0080742C"/>
    <w:rsid w:val="00811EEF"/>
    <w:rsid w:val="008130F3"/>
    <w:rsid w:val="008139C6"/>
    <w:rsid w:val="00816E1A"/>
    <w:rsid w:val="00816E31"/>
    <w:rsid w:val="008170EA"/>
    <w:rsid w:val="00822BFC"/>
    <w:rsid w:val="00825317"/>
    <w:rsid w:val="008263B3"/>
    <w:rsid w:val="008269E1"/>
    <w:rsid w:val="008330F7"/>
    <w:rsid w:val="00841CFD"/>
    <w:rsid w:val="00841F62"/>
    <w:rsid w:val="00843464"/>
    <w:rsid w:val="00844CE5"/>
    <w:rsid w:val="00845598"/>
    <w:rsid w:val="00846639"/>
    <w:rsid w:val="00846985"/>
    <w:rsid w:val="008505A7"/>
    <w:rsid w:val="00851FCA"/>
    <w:rsid w:val="0085311A"/>
    <w:rsid w:val="00856C05"/>
    <w:rsid w:val="00857595"/>
    <w:rsid w:val="00864900"/>
    <w:rsid w:val="008668B5"/>
    <w:rsid w:val="008706A5"/>
    <w:rsid w:val="008716E2"/>
    <w:rsid w:val="00873324"/>
    <w:rsid w:val="00874265"/>
    <w:rsid w:val="0087513E"/>
    <w:rsid w:val="0088267E"/>
    <w:rsid w:val="00882F5F"/>
    <w:rsid w:val="00884E3B"/>
    <w:rsid w:val="00890FA9"/>
    <w:rsid w:val="008A00A4"/>
    <w:rsid w:val="008A069C"/>
    <w:rsid w:val="008A3C80"/>
    <w:rsid w:val="008A4B05"/>
    <w:rsid w:val="008B3282"/>
    <w:rsid w:val="008C1690"/>
    <w:rsid w:val="008C651C"/>
    <w:rsid w:val="008C657B"/>
    <w:rsid w:val="008C6A67"/>
    <w:rsid w:val="008D013E"/>
    <w:rsid w:val="008D2BC8"/>
    <w:rsid w:val="008D5BD3"/>
    <w:rsid w:val="008D66FD"/>
    <w:rsid w:val="008D6BE0"/>
    <w:rsid w:val="008D7949"/>
    <w:rsid w:val="008E3D16"/>
    <w:rsid w:val="008E6BD4"/>
    <w:rsid w:val="008E6EE0"/>
    <w:rsid w:val="008E74AA"/>
    <w:rsid w:val="008F1BFB"/>
    <w:rsid w:val="008F20D0"/>
    <w:rsid w:val="008F214D"/>
    <w:rsid w:val="008F2F9F"/>
    <w:rsid w:val="008F365F"/>
    <w:rsid w:val="00900835"/>
    <w:rsid w:val="0090518A"/>
    <w:rsid w:val="00906737"/>
    <w:rsid w:val="00906DAD"/>
    <w:rsid w:val="0091083C"/>
    <w:rsid w:val="0091110E"/>
    <w:rsid w:val="00912105"/>
    <w:rsid w:val="0091292B"/>
    <w:rsid w:val="0091430E"/>
    <w:rsid w:val="00914D2D"/>
    <w:rsid w:val="00915F33"/>
    <w:rsid w:val="0091675C"/>
    <w:rsid w:val="0093399D"/>
    <w:rsid w:val="009355C5"/>
    <w:rsid w:val="009373DE"/>
    <w:rsid w:val="00940F7B"/>
    <w:rsid w:val="00940FFC"/>
    <w:rsid w:val="00942E44"/>
    <w:rsid w:val="00943A4D"/>
    <w:rsid w:val="00944F28"/>
    <w:rsid w:val="00950FEB"/>
    <w:rsid w:val="00952591"/>
    <w:rsid w:val="0095393D"/>
    <w:rsid w:val="009601F3"/>
    <w:rsid w:val="00961D20"/>
    <w:rsid w:val="00962B6D"/>
    <w:rsid w:val="00970822"/>
    <w:rsid w:val="00971B36"/>
    <w:rsid w:val="00980B63"/>
    <w:rsid w:val="00981102"/>
    <w:rsid w:val="00984E4E"/>
    <w:rsid w:val="00985244"/>
    <w:rsid w:val="009918AC"/>
    <w:rsid w:val="00992F7B"/>
    <w:rsid w:val="00992F82"/>
    <w:rsid w:val="00993105"/>
    <w:rsid w:val="009A215A"/>
    <w:rsid w:val="009A3254"/>
    <w:rsid w:val="009A35C4"/>
    <w:rsid w:val="009A4C35"/>
    <w:rsid w:val="009B383E"/>
    <w:rsid w:val="009B4B2C"/>
    <w:rsid w:val="009C0B9E"/>
    <w:rsid w:val="009C2CD7"/>
    <w:rsid w:val="009C6EE1"/>
    <w:rsid w:val="009E12CB"/>
    <w:rsid w:val="009E29CB"/>
    <w:rsid w:val="009E483A"/>
    <w:rsid w:val="009E61D5"/>
    <w:rsid w:val="009E6C0F"/>
    <w:rsid w:val="009F3A72"/>
    <w:rsid w:val="009F6BAC"/>
    <w:rsid w:val="009F6F9F"/>
    <w:rsid w:val="00A00DA9"/>
    <w:rsid w:val="00A057CF"/>
    <w:rsid w:val="00A11CA9"/>
    <w:rsid w:val="00A1353C"/>
    <w:rsid w:val="00A1399A"/>
    <w:rsid w:val="00A22A6B"/>
    <w:rsid w:val="00A23228"/>
    <w:rsid w:val="00A25C95"/>
    <w:rsid w:val="00A330D8"/>
    <w:rsid w:val="00A37C41"/>
    <w:rsid w:val="00A4016F"/>
    <w:rsid w:val="00A448DE"/>
    <w:rsid w:val="00A4618A"/>
    <w:rsid w:val="00A477AC"/>
    <w:rsid w:val="00A50E4F"/>
    <w:rsid w:val="00A51FB2"/>
    <w:rsid w:val="00A5726E"/>
    <w:rsid w:val="00A60B7E"/>
    <w:rsid w:val="00A6552A"/>
    <w:rsid w:val="00A70BA6"/>
    <w:rsid w:val="00A70E43"/>
    <w:rsid w:val="00A73C2D"/>
    <w:rsid w:val="00A73F50"/>
    <w:rsid w:val="00A75907"/>
    <w:rsid w:val="00A76FEF"/>
    <w:rsid w:val="00A8050F"/>
    <w:rsid w:val="00A81950"/>
    <w:rsid w:val="00A91F6A"/>
    <w:rsid w:val="00A95752"/>
    <w:rsid w:val="00A97F9B"/>
    <w:rsid w:val="00AA0C20"/>
    <w:rsid w:val="00AA16E9"/>
    <w:rsid w:val="00AA2F08"/>
    <w:rsid w:val="00AA3AB9"/>
    <w:rsid w:val="00AA3C9B"/>
    <w:rsid w:val="00AA658B"/>
    <w:rsid w:val="00AA7FC0"/>
    <w:rsid w:val="00AB0BFF"/>
    <w:rsid w:val="00AB21C4"/>
    <w:rsid w:val="00AB26F2"/>
    <w:rsid w:val="00AB3ED2"/>
    <w:rsid w:val="00AB4200"/>
    <w:rsid w:val="00AB559B"/>
    <w:rsid w:val="00AB6A50"/>
    <w:rsid w:val="00AC05CD"/>
    <w:rsid w:val="00AC64AB"/>
    <w:rsid w:val="00AD2AE5"/>
    <w:rsid w:val="00AD3FBB"/>
    <w:rsid w:val="00AD4149"/>
    <w:rsid w:val="00AD7324"/>
    <w:rsid w:val="00AD7328"/>
    <w:rsid w:val="00AE392B"/>
    <w:rsid w:val="00AE417F"/>
    <w:rsid w:val="00AE5202"/>
    <w:rsid w:val="00AE5398"/>
    <w:rsid w:val="00AE5F8D"/>
    <w:rsid w:val="00AE6AD3"/>
    <w:rsid w:val="00AF14DE"/>
    <w:rsid w:val="00AF2885"/>
    <w:rsid w:val="00B001A4"/>
    <w:rsid w:val="00B01DCF"/>
    <w:rsid w:val="00B01E27"/>
    <w:rsid w:val="00B0281F"/>
    <w:rsid w:val="00B056FA"/>
    <w:rsid w:val="00B06538"/>
    <w:rsid w:val="00B07FB8"/>
    <w:rsid w:val="00B16AAC"/>
    <w:rsid w:val="00B16E53"/>
    <w:rsid w:val="00B171E0"/>
    <w:rsid w:val="00B23E2C"/>
    <w:rsid w:val="00B25B1B"/>
    <w:rsid w:val="00B26A0E"/>
    <w:rsid w:val="00B327E1"/>
    <w:rsid w:val="00B329CB"/>
    <w:rsid w:val="00B356EF"/>
    <w:rsid w:val="00B365C9"/>
    <w:rsid w:val="00B36D4B"/>
    <w:rsid w:val="00B37EBA"/>
    <w:rsid w:val="00B40C4F"/>
    <w:rsid w:val="00B423BA"/>
    <w:rsid w:val="00B445C4"/>
    <w:rsid w:val="00B453FF"/>
    <w:rsid w:val="00B4572F"/>
    <w:rsid w:val="00B54094"/>
    <w:rsid w:val="00B5682E"/>
    <w:rsid w:val="00B605C4"/>
    <w:rsid w:val="00B60EB9"/>
    <w:rsid w:val="00B617E5"/>
    <w:rsid w:val="00B61B25"/>
    <w:rsid w:val="00B64027"/>
    <w:rsid w:val="00B70F96"/>
    <w:rsid w:val="00B72AEE"/>
    <w:rsid w:val="00B74C7D"/>
    <w:rsid w:val="00B75117"/>
    <w:rsid w:val="00B75831"/>
    <w:rsid w:val="00B83EDA"/>
    <w:rsid w:val="00B91393"/>
    <w:rsid w:val="00B91BC6"/>
    <w:rsid w:val="00B953E4"/>
    <w:rsid w:val="00BA0984"/>
    <w:rsid w:val="00BA2AF9"/>
    <w:rsid w:val="00BA50B2"/>
    <w:rsid w:val="00BA66D6"/>
    <w:rsid w:val="00BA6BE1"/>
    <w:rsid w:val="00BB03A0"/>
    <w:rsid w:val="00BB0ACC"/>
    <w:rsid w:val="00BC0559"/>
    <w:rsid w:val="00BC383E"/>
    <w:rsid w:val="00BC48C9"/>
    <w:rsid w:val="00BC6B89"/>
    <w:rsid w:val="00BC70DB"/>
    <w:rsid w:val="00BD1190"/>
    <w:rsid w:val="00BD3EA6"/>
    <w:rsid w:val="00BD5B05"/>
    <w:rsid w:val="00BE17C3"/>
    <w:rsid w:val="00BE22CE"/>
    <w:rsid w:val="00BE35EF"/>
    <w:rsid w:val="00BE37A2"/>
    <w:rsid w:val="00BE7160"/>
    <w:rsid w:val="00C00248"/>
    <w:rsid w:val="00C0530B"/>
    <w:rsid w:val="00C073DB"/>
    <w:rsid w:val="00C0751D"/>
    <w:rsid w:val="00C1451A"/>
    <w:rsid w:val="00C1769F"/>
    <w:rsid w:val="00C20D5C"/>
    <w:rsid w:val="00C229E7"/>
    <w:rsid w:val="00C23CDC"/>
    <w:rsid w:val="00C2527D"/>
    <w:rsid w:val="00C260EF"/>
    <w:rsid w:val="00C27829"/>
    <w:rsid w:val="00C30F90"/>
    <w:rsid w:val="00C33880"/>
    <w:rsid w:val="00C35ED0"/>
    <w:rsid w:val="00C37060"/>
    <w:rsid w:val="00C40F12"/>
    <w:rsid w:val="00C44A96"/>
    <w:rsid w:val="00C45E55"/>
    <w:rsid w:val="00C46056"/>
    <w:rsid w:val="00C51A3A"/>
    <w:rsid w:val="00C53A32"/>
    <w:rsid w:val="00C54488"/>
    <w:rsid w:val="00C554D5"/>
    <w:rsid w:val="00C566DA"/>
    <w:rsid w:val="00C567C6"/>
    <w:rsid w:val="00C57287"/>
    <w:rsid w:val="00C6106C"/>
    <w:rsid w:val="00C65F80"/>
    <w:rsid w:val="00C70E5A"/>
    <w:rsid w:val="00C71EB2"/>
    <w:rsid w:val="00C75B9D"/>
    <w:rsid w:val="00C75CFF"/>
    <w:rsid w:val="00C77024"/>
    <w:rsid w:val="00C817F1"/>
    <w:rsid w:val="00C8356E"/>
    <w:rsid w:val="00C91BC3"/>
    <w:rsid w:val="00C92432"/>
    <w:rsid w:val="00C971C4"/>
    <w:rsid w:val="00CA3002"/>
    <w:rsid w:val="00CB1FFE"/>
    <w:rsid w:val="00CB535E"/>
    <w:rsid w:val="00CC1CDD"/>
    <w:rsid w:val="00CC3CA9"/>
    <w:rsid w:val="00CC625B"/>
    <w:rsid w:val="00CC7F7C"/>
    <w:rsid w:val="00CD1B00"/>
    <w:rsid w:val="00CD5AD9"/>
    <w:rsid w:val="00CD5C8F"/>
    <w:rsid w:val="00CE1F90"/>
    <w:rsid w:val="00CF0827"/>
    <w:rsid w:val="00CF4817"/>
    <w:rsid w:val="00CF7027"/>
    <w:rsid w:val="00D00D82"/>
    <w:rsid w:val="00D01199"/>
    <w:rsid w:val="00D07AFE"/>
    <w:rsid w:val="00D101E9"/>
    <w:rsid w:val="00D115F5"/>
    <w:rsid w:val="00D14ED9"/>
    <w:rsid w:val="00D15AC2"/>
    <w:rsid w:val="00D21CBE"/>
    <w:rsid w:val="00D22417"/>
    <w:rsid w:val="00D230AD"/>
    <w:rsid w:val="00D23E41"/>
    <w:rsid w:val="00D25675"/>
    <w:rsid w:val="00D27748"/>
    <w:rsid w:val="00D33C49"/>
    <w:rsid w:val="00D34103"/>
    <w:rsid w:val="00D34FC8"/>
    <w:rsid w:val="00D3633C"/>
    <w:rsid w:val="00D43774"/>
    <w:rsid w:val="00D4445E"/>
    <w:rsid w:val="00D4603A"/>
    <w:rsid w:val="00D47268"/>
    <w:rsid w:val="00D543DF"/>
    <w:rsid w:val="00D55C72"/>
    <w:rsid w:val="00D57473"/>
    <w:rsid w:val="00D62A64"/>
    <w:rsid w:val="00D63C6A"/>
    <w:rsid w:val="00D67D22"/>
    <w:rsid w:val="00D72D0C"/>
    <w:rsid w:val="00D84FAD"/>
    <w:rsid w:val="00D94AA7"/>
    <w:rsid w:val="00D95236"/>
    <w:rsid w:val="00D96F04"/>
    <w:rsid w:val="00DA3603"/>
    <w:rsid w:val="00DA6CEE"/>
    <w:rsid w:val="00DA6D0F"/>
    <w:rsid w:val="00DA7C9F"/>
    <w:rsid w:val="00DB1497"/>
    <w:rsid w:val="00DB17D8"/>
    <w:rsid w:val="00DB19BB"/>
    <w:rsid w:val="00DB663C"/>
    <w:rsid w:val="00DC1B91"/>
    <w:rsid w:val="00DC1FA6"/>
    <w:rsid w:val="00DC33D4"/>
    <w:rsid w:val="00DC4664"/>
    <w:rsid w:val="00DC5561"/>
    <w:rsid w:val="00DC6B96"/>
    <w:rsid w:val="00DD5BE1"/>
    <w:rsid w:val="00DE0459"/>
    <w:rsid w:val="00DE2EA2"/>
    <w:rsid w:val="00DE323C"/>
    <w:rsid w:val="00DE51CF"/>
    <w:rsid w:val="00DE5732"/>
    <w:rsid w:val="00DF0916"/>
    <w:rsid w:val="00DF3550"/>
    <w:rsid w:val="00E00D01"/>
    <w:rsid w:val="00E04CB3"/>
    <w:rsid w:val="00E12B41"/>
    <w:rsid w:val="00E1551D"/>
    <w:rsid w:val="00E1623D"/>
    <w:rsid w:val="00E20862"/>
    <w:rsid w:val="00E24B4C"/>
    <w:rsid w:val="00E254E1"/>
    <w:rsid w:val="00E25DF9"/>
    <w:rsid w:val="00E263BD"/>
    <w:rsid w:val="00E377E3"/>
    <w:rsid w:val="00E37BB3"/>
    <w:rsid w:val="00E453AE"/>
    <w:rsid w:val="00E503C2"/>
    <w:rsid w:val="00E55104"/>
    <w:rsid w:val="00E64A1F"/>
    <w:rsid w:val="00E658BE"/>
    <w:rsid w:val="00E76674"/>
    <w:rsid w:val="00E76F5E"/>
    <w:rsid w:val="00E77C8F"/>
    <w:rsid w:val="00E808D0"/>
    <w:rsid w:val="00E8379D"/>
    <w:rsid w:val="00E859E7"/>
    <w:rsid w:val="00E878B6"/>
    <w:rsid w:val="00E926E9"/>
    <w:rsid w:val="00E92A45"/>
    <w:rsid w:val="00E9370F"/>
    <w:rsid w:val="00EA5BCC"/>
    <w:rsid w:val="00EA7442"/>
    <w:rsid w:val="00EB49DE"/>
    <w:rsid w:val="00EC0F44"/>
    <w:rsid w:val="00EC2916"/>
    <w:rsid w:val="00EC52E0"/>
    <w:rsid w:val="00ED074B"/>
    <w:rsid w:val="00ED0A04"/>
    <w:rsid w:val="00ED5234"/>
    <w:rsid w:val="00ED7E74"/>
    <w:rsid w:val="00EE1B65"/>
    <w:rsid w:val="00EE2B9F"/>
    <w:rsid w:val="00EE4048"/>
    <w:rsid w:val="00EE4344"/>
    <w:rsid w:val="00EE469F"/>
    <w:rsid w:val="00EE6E55"/>
    <w:rsid w:val="00EF166C"/>
    <w:rsid w:val="00EF2D80"/>
    <w:rsid w:val="00EF724D"/>
    <w:rsid w:val="00F01487"/>
    <w:rsid w:val="00F02682"/>
    <w:rsid w:val="00F03A5D"/>
    <w:rsid w:val="00F06DF9"/>
    <w:rsid w:val="00F06F00"/>
    <w:rsid w:val="00F1191D"/>
    <w:rsid w:val="00F11B95"/>
    <w:rsid w:val="00F15785"/>
    <w:rsid w:val="00F161EC"/>
    <w:rsid w:val="00F179D8"/>
    <w:rsid w:val="00F20E76"/>
    <w:rsid w:val="00F21C6C"/>
    <w:rsid w:val="00F24ED2"/>
    <w:rsid w:val="00F25B1F"/>
    <w:rsid w:val="00F260BD"/>
    <w:rsid w:val="00F26C03"/>
    <w:rsid w:val="00F278CF"/>
    <w:rsid w:val="00F306A3"/>
    <w:rsid w:val="00F3144D"/>
    <w:rsid w:val="00F32FAE"/>
    <w:rsid w:val="00F33370"/>
    <w:rsid w:val="00F37CE6"/>
    <w:rsid w:val="00F45264"/>
    <w:rsid w:val="00F47FC9"/>
    <w:rsid w:val="00F50C11"/>
    <w:rsid w:val="00F6347F"/>
    <w:rsid w:val="00F66524"/>
    <w:rsid w:val="00F67F23"/>
    <w:rsid w:val="00F73B1B"/>
    <w:rsid w:val="00F768D9"/>
    <w:rsid w:val="00F802CF"/>
    <w:rsid w:val="00F8205C"/>
    <w:rsid w:val="00F87A7D"/>
    <w:rsid w:val="00F902D0"/>
    <w:rsid w:val="00F94C33"/>
    <w:rsid w:val="00FA0D0C"/>
    <w:rsid w:val="00FA6C64"/>
    <w:rsid w:val="00FA7D0F"/>
    <w:rsid w:val="00FB2534"/>
    <w:rsid w:val="00FB2BA3"/>
    <w:rsid w:val="00FB4D19"/>
    <w:rsid w:val="00FB4FF2"/>
    <w:rsid w:val="00FC0F2F"/>
    <w:rsid w:val="00FC1F2F"/>
    <w:rsid w:val="00FC50E8"/>
    <w:rsid w:val="00FC6874"/>
    <w:rsid w:val="00FD243F"/>
    <w:rsid w:val="00FD2608"/>
    <w:rsid w:val="00FD7D4E"/>
    <w:rsid w:val="00FE0359"/>
    <w:rsid w:val="00FE2644"/>
    <w:rsid w:val="00FE4180"/>
    <w:rsid w:val="00FE5AED"/>
    <w:rsid w:val="00FE7BE2"/>
    <w:rsid w:val="00FF0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2CE6"/>
    <w:pPr>
      <w:tabs>
        <w:tab w:val="center" w:pos="4680"/>
        <w:tab w:val="right" w:pos="9360"/>
      </w:tabs>
    </w:pPr>
    <w:rPr>
      <w:rFonts w:ascii="Calibri" w:eastAsia="Calibri" w:hAnsi="Calibri" w:cs="Times New Roman"/>
      <w:lang w:val="en-CA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4C2CE6"/>
    <w:rPr>
      <w:rFonts w:ascii="Calibri" w:eastAsia="Calibri" w:hAnsi="Calibri" w:cs="Times New Roman"/>
      <w:lang w:val="en-CA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1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DC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C0D25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0C0D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0D25"/>
  </w:style>
  <w:style w:type="paragraph" w:customStyle="1" w:styleId="Chapter">
    <w:name w:val="Chapter"/>
    <w:basedOn w:val="Normal"/>
    <w:next w:val="Normal"/>
    <w:rsid w:val="00816E31"/>
    <w:pPr>
      <w:keepNext/>
      <w:numPr>
        <w:numId w:val="5"/>
      </w:numPr>
      <w:tabs>
        <w:tab w:val="left" w:pos="1440"/>
      </w:tabs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mallCaps/>
      <w:sz w:val="24"/>
      <w:szCs w:val="20"/>
      <w:lang w:val="es-ES_tradnl"/>
    </w:rPr>
  </w:style>
  <w:style w:type="paragraph" w:customStyle="1" w:styleId="Paragraph">
    <w:name w:val="Paragraph"/>
    <w:aliases w:val="paragraph,p,PARAGRAPH,PG,pa,at"/>
    <w:basedOn w:val="BodyTextIndent"/>
    <w:link w:val="ParagraphChar"/>
    <w:rsid w:val="00816E31"/>
    <w:pPr>
      <w:numPr>
        <w:ilvl w:val="1"/>
        <w:numId w:val="5"/>
      </w:numPr>
      <w:spacing w:before="12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customStyle="1" w:styleId="subpar">
    <w:name w:val="subpar"/>
    <w:basedOn w:val="BodyTextIndent3"/>
    <w:rsid w:val="00816E31"/>
    <w:pPr>
      <w:numPr>
        <w:ilvl w:val="2"/>
        <w:numId w:val="5"/>
      </w:numPr>
      <w:tabs>
        <w:tab w:val="clear" w:pos="1872"/>
      </w:tabs>
      <w:spacing w:before="120" w:line="240" w:lineRule="auto"/>
      <w:ind w:left="2160" w:hanging="360"/>
      <w:jc w:val="both"/>
      <w:outlineLvl w:val="2"/>
    </w:pPr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customStyle="1" w:styleId="SubSubPar">
    <w:name w:val="SubSubPar"/>
    <w:basedOn w:val="subpar"/>
    <w:rsid w:val="00816E31"/>
    <w:pPr>
      <w:numPr>
        <w:ilvl w:val="3"/>
      </w:numPr>
      <w:tabs>
        <w:tab w:val="clear" w:pos="2304"/>
        <w:tab w:val="left" w:pos="0"/>
        <w:tab w:val="num" w:pos="1296"/>
      </w:tabs>
      <w:ind w:left="1296" w:hanging="360"/>
    </w:pPr>
  </w:style>
  <w:style w:type="character" w:customStyle="1" w:styleId="ParagraphChar">
    <w:name w:val="Paragraph Char"/>
    <w:aliases w:val="paragraph Char,p Char,PARAGRAPH Char,PG Char,pa Char,at Char"/>
    <w:basedOn w:val="BodyTextIndentChar"/>
    <w:link w:val="Paragraph"/>
    <w:rsid w:val="00816E31"/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16E31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16E31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816E31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16E31"/>
    <w:rPr>
      <w:sz w:val="16"/>
      <w:szCs w:val="16"/>
    </w:rPr>
  </w:style>
  <w:style w:type="paragraph" w:customStyle="1" w:styleId="Default">
    <w:name w:val="Default"/>
    <w:rsid w:val="001A556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8E6E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6EE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6EE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6E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6EE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2CE6"/>
    <w:pPr>
      <w:tabs>
        <w:tab w:val="center" w:pos="4680"/>
        <w:tab w:val="right" w:pos="9360"/>
      </w:tabs>
    </w:pPr>
    <w:rPr>
      <w:rFonts w:ascii="Calibri" w:eastAsia="Calibri" w:hAnsi="Calibri" w:cs="Times New Roman"/>
      <w:lang w:val="en-CA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4C2CE6"/>
    <w:rPr>
      <w:rFonts w:ascii="Calibri" w:eastAsia="Calibri" w:hAnsi="Calibri" w:cs="Times New Roman"/>
      <w:lang w:val="en-CA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1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DC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C0D25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0C0D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0D25"/>
  </w:style>
  <w:style w:type="paragraph" w:customStyle="1" w:styleId="Chapter">
    <w:name w:val="Chapter"/>
    <w:basedOn w:val="Normal"/>
    <w:next w:val="Normal"/>
    <w:rsid w:val="00816E31"/>
    <w:pPr>
      <w:keepNext/>
      <w:numPr>
        <w:numId w:val="5"/>
      </w:numPr>
      <w:tabs>
        <w:tab w:val="left" w:pos="1440"/>
      </w:tabs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mallCaps/>
      <w:sz w:val="24"/>
      <w:szCs w:val="20"/>
      <w:lang w:val="es-ES_tradnl"/>
    </w:rPr>
  </w:style>
  <w:style w:type="paragraph" w:customStyle="1" w:styleId="Paragraph">
    <w:name w:val="Paragraph"/>
    <w:aliases w:val="paragraph,p,PARAGRAPH,PG,pa,at"/>
    <w:basedOn w:val="BodyTextIndent"/>
    <w:link w:val="ParagraphChar"/>
    <w:rsid w:val="00816E31"/>
    <w:pPr>
      <w:numPr>
        <w:ilvl w:val="1"/>
        <w:numId w:val="5"/>
      </w:numPr>
      <w:spacing w:before="12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customStyle="1" w:styleId="subpar">
    <w:name w:val="subpar"/>
    <w:basedOn w:val="BodyTextIndent3"/>
    <w:rsid w:val="00816E31"/>
    <w:pPr>
      <w:numPr>
        <w:ilvl w:val="2"/>
        <w:numId w:val="5"/>
      </w:numPr>
      <w:tabs>
        <w:tab w:val="clear" w:pos="1872"/>
      </w:tabs>
      <w:spacing w:before="120" w:line="240" w:lineRule="auto"/>
      <w:ind w:left="2160" w:hanging="360"/>
      <w:jc w:val="both"/>
      <w:outlineLvl w:val="2"/>
    </w:pPr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customStyle="1" w:styleId="SubSubPar">
    <w:name w:val="SubSubPar"/>
    <w:basedOn w:val="subpar"/>
    <w:rsid w:val="00816E31"/>
    <w:pPr>
      <w:numPr>
        <w:ilvl w:val="3"/>
      </w:numPr>
      <w:tabs>
        <w:tab w:val="clear" w:pos="2304"/>
        <w:tab w:val="left" w:pos="0"/>
        <w:tab w:val="num" w:pos="1296"/>
      </w:tabs>
      <w:ind w:left="1296" w:hanging="360"/>
    </w:pPr>
  </w:style>
  <w:style w:type="character" w:customStyle="1" w:styleId="ParagraphChar">
    <w:name w:val="Paragraph Char"/>
    <w:aliases w:val="paragraph Char,p Char,PARAGRAPH Char,PG Char,pa Char,at Char"/>
    <w:basedOn w:val="BodyTextIndentChar"/>
    <w:link w:val="Paragraph"/>
    <w:rsid w:val="00816E31"/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16E31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16E31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816E31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16E31"/>
    <w:rPr>
      <w:sz w:val="16"/>
      <w:szCs w:val="16"/>
    </w:rPr>
  </w:style>
  <w:style w:type="paragraph" w:customStyle="1" w:styleId="Default">
    <w:name w:val="Default"/>
    <w:rsid w:val="001A556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8E6E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6EE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6EE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6E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6EE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07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1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76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75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705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23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22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96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10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30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716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13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84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19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0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62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customXml" Target="../customXml/item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D6F65162EE4AE946B1B03F12037A46C0" ma:contentTypeVersion="0" ma:contentTypeDescription="A content type to manage public (operations) IDB documents" ma:contentTypeScope="" ma:versionID="3112414245d14e63aaea75a238d39095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d09c5b69cee1cd2827bb8c1849e9b8ae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76c0645e-ed38-4b88-bd09-bd924f75b1ca}" ma:internalName="TaxCatchAll" ma:showField="CatchAllData" ma:web="62d80119-c9e5-4234-a178-fa32f7f2f46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76c0645e-ed38-4b88-bd09-bd924f75b1ca}" ma:internalName="TaxCatchAllLabel" ma:readOnly="true" ma:showField="CatchAllDataLabel" ma:web="62d80119-c9e5-4234-a178-fa32f7f2f46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9c571b2f-e523-4ab2-ba2e-09e151a03ef4" xsi:nil="true"/>
    <Abstract xmlns="9c571b2f-e523-4ab2-ba2e-09e151a03ef4" xsi:nil="true"/>
    <Disclosure_x0020_Activity xmlns="9c571b2f-e523-4ab2-ba2e-09e151a03ef4">Loan Proposal</Disclosure_x0020_Activity>
    <Key_x0020_Document xmlns="9c571b2f-e523-4ab2-ba2e-09e151a03ef4">false</Key_x0020_Document>
    <Division_x0020_or_x0020_Unit xmlns="9c571b2f-e523-4ab2-ba2e-09e151a03ef4">INE/RND</Division_x0020_or_x0020_Unit>
    <Other_x0020_Author xmlns="9c571b2f-e523-4ab2-ba2e-09e151a03ef4" xsi:nil="true"/>
    <Region xmlns="9c571b2f-e523-4ab2-ba2e-09e151a03ef4" xsi:nil="true"/>
    <IDBDocs_x0020_Number xmlns="9c571b2f-e523-4ab2-ba2e-09e151a03ef4">38780965</IDBDocs_x0020_Number>
    <Document_x0020_Author xmlns="9c571b2f-e523-4ab2-ba2e-09e151a03ef4">Le Pommellec, Marion</Document_x0020_Author>
    <Publication_x0020_Type xmlns="9c571b2f-e523-4ab2-ba2e-09e151a03ef4" xsi:nil="true"/>
    <Operation_x0020_Type xmlns="9c571b2f-e523-4ab2-ba2e-09e151a03ef4" xsi:nil="true"/>
    <TaxCatchAll xmlns="9c571b2f-e523-4ab2-ba2e-09e151a03ef4">
      <Value>4</Value>
      <Value>3</Value>
    </TaxCatchAll>
    <Fiscal_x0020_Year_x0020_IDB xmlns="9c571b2f-e523-4ab2-ba2e-09e151a03ef4">2014</Fiscal_x0020_Year_x0020_IDB>
    <Issue_x0020_Dat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Project_x0020_Number xmlns="9c571b2f-e523-4ab2-ba2e-09e151a03ef4">HA-L1094</Project_x0020_Number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Package_x0020_Code xmlns="9c571b2f-e523-4ab2-ba2e-09e151a03ef4" xsi:nil="true"/>
    <Migration_x0020_Info xmlns="9c571b2f-e523-4ab2-ba2e-09e151a03ef4">&lt;Data&gt;&lt;APPLICATION&gt;MS WORD&lt;/APPLICATION&gt;&lt;USER_STAGE&gt;Loan Proposal&lt;/USER_STAGE&gt;&lt;PD_OBJ_TYPE&gt;0&lt;/PD_OBJ_TYPE&gt;&lt;MAKERECORD&gt;N&lt;/MAKERECORD&gt;&lt;/Data&gt;</Migration_x0020_Info>
    <Approval_x0020_Number xmlns="9c571b2f-e523-4ab2-ba2e-09e151a03ef4" xsi:nil="true"/>
    <Access_x0020_to_x0020_Information_x00a0_Policy xmlns="9c571b2f-e523-4ab2-ba2e-09e151a03ef4">Public</Access_x0020_to_x0020_Information_x00a0_Policy>
    <Business_x0020_Area xmlns="9c571b2f-e523-4ab2-ba2e-09e151a03ef4" xsi:nil="true"/>
    <SISCOR_x0020_Number xmlns="9c571b2f-e523-4ab2-ba2e-09e151a03ef4" xsi:nil="true"/>
    <Webtopic xmlns="9c571b2f-e523-4ab2-ba2e-09e151a03ef4">sa-nut</Webtopic>
    <Identifier xmlns="9c571b2f-e523-4ab2-ba2e-09e151a03ef4"> TECFILE</Identifier>
    <Publishing_x0020_House xmlns="9c571b2f-e523-4ab2-ba2e-09e151a03ef4" xsi:nil="true"/>
    <Document_x0020_Language_x0020_IDB xmlns="9c571b2f-e523-4ab2-ba2e-09e151a03ef4">English</Document_x0020_Language_x0020_IDB>
    <KP_x0020_Topics xmlns="9c571b2f-e523-4ab2-ba2e-09e151a03ef4" xsi:nil="true"/>
    <Phase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e559ffcc31d34167856647188be35015 xmlns="9c571b2f-e523-4ab2-ba2e-09e151a03ef4">
      <Terms xmlns="http://schemas.microsoft.com/office/infopath/2007/PartnerControls"/>
    </e559ffcc31d34167856647188be35015>
    <c456731dbc904a5fb605ec556c33e883 xmlns="9c571b2f-e523-4ab2-ba2e-09e151a03ef4">
      <Terms xmlns="http://schemas.microsoft.com/office/infopath/2007/PartnerControls"/>
    </c456731dbc904a5fb605ec556c33e883>
    <Editor1 xmlns="9c571b2f-e523-4ab2-ba2e-09e151a03ef4" xsi:nil="true"/>
    <j8b96605ee2f4c4e988849e658583fee xmlns="9c571b2f-e523-4ab2-ba2e-09e151a03ef4">
      <Terms xmlns="http://schemas.microsoft.com/office/infopath/2007/PartnerControls"/>
    </j8b96605ee2f4c4e988849e658583fee>
  </documentManagement>
</p:properties>
</file>

<file path=customXml/itemProps1.xml><?xml version="1.0" encoding="utf-8"?>
<ds:datastoreItem xmlns:ds="http://schemas.openxmlformats.org/officeDocument/2006/customXml" ds:itemID="{29EFEE9C-9FE8-4784-AC8D-0963294CF953}"/>
</file>

<file path=customXml/itemProps2.xml><?xml version="1.0" encoding="utf-8"?>
<ds:datastoreItem xmlns:ds="http://schemas.openxmlformats.org/officeDocument/2006/customXml" ds:itemID="{624C01F8-1F4E-44F0-931E-40C2EA7E1DC1}"/>
</file>

<file path=customXml/itemProps3.xml><?xml version="1.0" encoding="utf-8"?>
<ds:datastoreItem xmlns:ds="http://schemas.openxmlformats.org/officeDocument/2006/customXml" ds:itemID="{092F3699-0039-43F6-BF49-FEAE785835D0}"/>
</file>

<file path=customXml/itemProps4.xml><?xml version="1.0" encoding="utf-8"?>
<ds:datastoreItem xmlns:ds="http://schemas.openxmlformats.org/officeDocument/2006/customXml" ds:itemID="{33605425-713F-4EB3-B73E-E705B1D2D63F}"/>
</file>

<file path=customXml/itemProps5.xml><?xml version="1.0" encoding="utf-8"?>
<ds:datastoreItem xmlns:ds="http://schemas.openxmlformats.org/officeDocument/2006/customXml" ds:itemID="{2518E438-C759-4A0D-89AD-F82335D65E8D}"/>
</file>

<file path=customXml/itemProps6.xml><?xml version="1.0" encoding="utf-8"?>
<ds:datastoreItem xmlns:ds="http://schemas.openxmlformats.org/officeDocument/2006/customXml" ds:itemID="{B1B82BAC-0FB7-4571-A8E8-BF8FE85F209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2818</Words>
  <Characters>16063</Characters>
  <Application>Microsoft Office Word</Application>
  <DocSecurity>0</DocSecurity>
  <Lines>133</Lines>
  <Paragraphs>37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Inter-American Development Bank</Company>
  <LinksUpToDate>false</LinksUpToDate>
  <CharactersWithSpaces>18844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Link - Results Matrix (complete version) (HA-L1094) </dc:title>
  <dc:creator>Elsie</dc:creator>
  <cp:lastModifiedBy>Inter-American Development Bank</cp:lastModifiedBy>
  <cp:revision>5</cp:revision>
  <cp:lastPrinted>2014-05-06T12:54:00Z</cp:lastPrinted>
  <dcterms:created xsi:type="dcterms:W3CDTF">2014-05-21T15:44:00Z</dcterms:created>
  <dcterms:modified xsi:type="dcterms:W3CDTF">2014-05-21T15:44:00Z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0x01010046CF21643EE8D14686A648AA6DAD089200D6F65162EE4AE946B1B03F12037A46C0</vt:lpwstr>
  </property>
  <property fmtid="{D5CDD505-2E9C-101B-9397-08002B2CF9AE}" pid="5" name="TaxKeywordTaxHTField">
    <vt:lpwstr/>
  </property>
  <property fmtid="{D5CDD505-2E9C-101B-9397-08002B2CF9AE}" pid="6" name="Series Operations IDB">
    <vt:lpwstr>3;#Unclassified|a6dff32e-d477-44cd-a56b-85efe9e0a56c</vt:lpwstr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3;#Unclassified|a6dff32e-d477-44cd-a56b-85efe9e0a56c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>4;#IDBDocs|cca77002-e150-4b2d-ab1f-1d7a7cdcae16</vt:lpwstr>
  </property>
</Properties>
</file>