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355A" w14:textId="1144463D" w:rsidR="001756D6" w:rsidRDefault="001756D6" w:rsidP="00E82006">
      <w:bookmarkStart w:id="0" w:name="_Toc514076005"/>
      <w:bookmarkStart w:id="1" w:name="_Toc514172346"/>
      <w:bookmarkStart w:id="2" w:name="_Toc514769150"/>
      <w:r w:rsidRPr="00E13832">
        <w:rPr>
          <w:noProof/>
        </w:rPr>
        <w:drawing>
          <wp:anchor distT="0" distB="0" distL="114300" distR="114300" simplePos="0" relativeHeight="251658240" behindDoc="0" locked="0" layoutInCell="1" allowOverlap="1" wp14:anchorId="051BFB83" wp14:editId="7E3BDD55">
            <wp:simplePos x="0" y="0"/>
            <wp:positionH relativeFrom="column">
              <wp:posOffset>-929640</wp:posOffset>
            </wp:positionH>
            <wp:positionV relativeFrom="paragraph">
              <wp:posOffset>-920750</wp:posOffset>
            </wp:positionV>
            <wp:extent cx="7932420" cy="5242560"/>
            <wp:effectExtent l="0" t="0" r="0" b="0"/>
            <wp:wrapNone/>
            <wp:docPr id="3" name="Picture 2" descr="SLIDE PPT 4-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SLIDE PPT 4-3-03.jpg"/>
                    <pic:cNvPicPr>
                      <a:picLocks noChangeAspect="1"/>
                    </pic:cNvPicPr>
                  </pic:nvPicPr>
                  <pic:blipFill rotWithShape="1">
                    <a:blip r:embed="rId8" cstate="print">
                      <a:extLst>
                        <a:ext uri="{28A0092B-C50C-407E-A947-70E740481C1C}">
                          <a14:useLocalDpi xmlns:a14="http://schemas.microsoft.com/office/drawing/2010/main" val="0"/>
                        </a:ext>
                      </a:extLst>
                    </a:blip>
                    <a:srcRect l="-1" r="-1560" b="12975"/>
                    <a:stretch/>
                  </pic:blipFill>
                  <pic:spPr bwMode="auto">
                    <a:xfrm>
                      <a:off x="0" y="0"/>
                      <a:ext cx="7932420" cy="5242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B0E0B8" w14:textId="7B0BDDAE" w:rsidR="001756D6" w:rsidRDefault="001756D6" w:rsidP="00E82006"/>
    <w:p w14:paraId="78D7A68E" w14:textId="6128A895" w:rsidR="001756D6" w:rsidRDefault="001756D6" w:rsidP="00E82006"/>
    <w:p w14:paraId="7EF10D93" w14:textId="2F4AB3C4" w:rsidR="001756D6" w:rsidRDefault="001756D6" w:rsidP="00E82006"/>
    <w:p w14:paraId="006A5920" w14:textId="38E0A904" w:rsidR="001756D6" w:rsidRDefault="001756D6" w:rsidP="00E82006"/>
    <w:p w14:paraId="44F403B7" w14:textId="77777777" w:rsidR="001756D6" w:rsidRDefault="001756D6" w:rsidP="00E82006"/>
    <w:p w14:paraId="79949460" w14:textId="55AA429E" w:rsidR="001756D6" w:rsidRDefault="001756D6" w:rsidP="00E82006"/>
    <w:p w14:paraId="18F14CCF" w14:textId="3D29967A" w:rsidR="001756D6" w:rsidRDefault="001756D6" w:rsidP="00E82006"/>
    <w:p w14:paraId="685346B6" w14:textId="77777777" w:rsidR="001756D6" w:rsidRDefault="001756D6" w:rsidP="00E82006"/>
    <w:p w14:paraId="10934673" w14:textId="3D88C89A" w:rsidR="001756D6" w:rsidRDefault="001756D6" w:rsidP="00E82006"/>
    <w:p w14:paraId="5D89E640" w14:textId="77777777" w:rsidR="001756D6" w:rsidRDefault="001756D6" w:rsidP="00E82006"/>
    <w:p w14:paraId="247ABFB7" w14:textId="50887CBF" w:rsidR="001756D6" w:rsidRDefault="001756D6" w:rsidP="00E82006"/>
    <w:p w14:paraId="33AA6CB1" w14:textId="77777777" w:rsidR="001756D6" w:rsidRDefault="001756D6" w:rsidP="00E82006"/>
    <w:p w14:paraId="459874DB" w14:textId="77777777" w:rsidR="001756D6" w:rsidRDefault="001756D6" w:rsidP="00E82006"/>
    <w:p w14:paraId="00948BEC" w14:textId="77777777" w:rsidR="001756D6" w:rsidRDefault="001756D6" w:rsidP="00E82006"/>
    <w:p w14:paraId="6F5A5B6E" w14:textId="77777777" w:rsidR="001756D6" w:rsidRDefault="001756D6" w:rsidP="00E82006"/>
    <w:p w14:paraId="74AFA6AD" w14:textId="77777777" w:rsidR="0006562A" w:rsidRDefault="0006562A" w:rsidP="0006562A">
      <w:pPr>
        <w:rPr>
          <w:rFonts w:ascii="Arial Narrow" w:hAnsi="Arial Narrow"/>
          <w:b/>
          <w:color w:val="44546A" w:themeColor="text2"/>
          <w:sz w:val="28"/>
          <w:szCs w:val="28"/>
          <w:lang w:val="es-BO"/>
        </w:rPr>
      </w:pPr>
    </w:p>
    <w:p w14:paraId="2D42D055" w14:textId="52D01FD4" w:rsidR="0006562A" w:rsidRDefault="0006562A" w:rsidP="0006562A">
      <w:pPr>
        <w:rPr>
          <w:rFonts w:ascii="Arial Narrow" w:hAnsi="Arial Narrow"/>
          <w:b/>
          <w:color w:val="44546A" w:themeColor="text2"/>
          <w:sz w:val="48"/>
          <w:szCs w:val="28"/>
          <w:lang w:val="es-BO"/>
        </w:rPr>
      </w:pPr>
      <w:r w:rsidRPr="00484803">
        <w:rPr>
          <w:rFonts w:ascii="Arial Narrow" w:hAnsi="Arial Narrow"/>
          <w:b/>
          <w:color w:val="44546A" w:themeColor="text2"/>
          <w:sz w:val="48"/>
          <w:szCs w:val="28"/>
          <w:lang w:val="es-BO"/>
        </w:rPr>
        <w:t>Reporte de los avances de</w:t>
      </w:r>
      <w:r w:rsidR="004053F0">
        <w:rPr>
          <w:rFonts w:ascii="Arial Narrow" w:hAnsi="Arial Narrow"/>
          <w:b/>
          <w:color w:val="44546A" w:themeColor="text2"/>
          <w:sz w:val="48"/>
          <w:szCs w:val="28"/>
          <w:lang w:val="es-BO"/>
        </w:rPr>
        <w:t>l apoyo del Banco a</w:t>
      </w:r>
      <w:r w:rsidRPr="00484803">
        <w:rPr>
          <w:rFonts w:ascii="Arial Narrow" w:hAnsi="Arial Narrow"/>
          <w:b/>
          <w:color w:val="44546A" w:themeColor="text2"/>
          <w:sz w:val="48"/>
          <w:szCs w:val="28"/>
          <w:lang w:val="es-BO"/>
        </w:rPr>
        <w:t xml:space="preserve"> l</w:t>
      </w:r>
      <w:r w:rsidR="00D82F4A">
        <w:rPr>
          <w:rFonts w:ascii="Arial Narrow" w:hAnsi="Arial Narrow"/>
          <w:b/>
          <w:color w:val="44546A" w:themeColor="text2"/>
          <w:sz w:val="48"/>
          <w:szCs w:val="28"/>
          <w:lang w:val="es-BO"/>
        </w:rPr>
        <w:t xml:space="preserve">os desafíos del choque migratorio venezolano en </w:t>
      </w:r>
      <w:r w:rsidRPr="00484803">
        <w:rPr>
          <w:rFonts w:ascii="Arial Narrow" w:hAnsi="Arial Narrow"/>
          <w:b/>
          <w:color w:val="44546A" w:themeColor="text2"/>
          <w:sz w:val="48"/>
          <w:szCs w:val="28"/>
          <w:lang w:val="es-BO"/>
        </w:rPr>
        <w:t>Colombia</w:t>
      </w:r>
      <w:r w:rsidR="00D82F4A">
        <w:rPr>
          <w:rFonts w:ascii="Arial Narrow" w:hAnsi="Arial Narrow"/>
          <w:b/>
          <w:color w:val="44546A" w:themeColor="text2"/>
          <w:sz w:val="48"/>
          <w:szCs w:val="28"/>
          <w:lang w:val="es-BO"/>
        </w:rPr>
        <w:t>.</w:t>
      </w:r>
    </w:p>
    <w:p w14:paraId="45035380" w14:textId="2BA730B0" w:rsidR="00484803" w:rsidRDefault="00484803" w:rsidP="0006562A">
      <w:pPr>
        <w:rPr>
          <w:rFonts w:ascii="Arial Narrow" w:hAnsi="Arial Narrow"/>
          <w:b/>
          <w:color w:val="44546A" w:themeColor="text2"/>
          <w:sz w:val="48"/>
          <w:szCs w:val="28"/>
          <w:lang w:val="es-BO"/>
        </w:rPr>
      </w:pPr>
    </w:p>
    <w:p w14:paraId="4803ABF3" w14:textId="4FE86537" w:rsidR="00484803" w:rsidRDefault="00484803" w:rsidP="0006562A">
      <w:pPr>
        <w:rPr>
          <w:rFonts w:ascii="Arial Narrow" w:hAnsi="Arial Narrow"/>
          <w:b/>
          <w:color w:val="44546A" w:themeColor="text2"/>
          <w:sz w:val="48"/>
          <w:szCs w:val="28"/>
          <w:lang w:val="es-BO"/>
        </w:rPr>
      </w:pPr>
    </w:p>
    <w:p w14:paraId="217FC3F4" w14:textId="3D8D1A5E" w:rsidR="00484803" w:rsidRDefault="00484803" w:rsidP="0006562A">
      <w:pPr>
        <w:rPr>
          <w:rFonts w:ascii="Arial Narrow" w:hAnsi="Arial Narrow"/>
          <w:b/>
          <w:color w:val="44546A" w:themeColor="text2"/>
          <w:sz w:val="48"/>
          <w:szCs w:val="28"/>
          <w:lang w:val="es-BO"/>
        </w:rPr>
      </w:pPr>
    </w:p>
    <w:p w14:paraId="0F378605" w14:textId="6EB9A17A" w:rsidR="00484803" w:rsidRPr="00C27D7B" w:rsidRDefault="00C27D7B" w:rsidP="00484803">
      <w:pPr>
        <w:spacing w:before="0" w:after="0"/>
        <w:rPr>
          <w:rFonts w:ascii="Arial Narrow" w:hAnsi="Arial Narrow"/>
          <w:b/>
          <w:color w:val="44546A" w:themeColor="text2"/>
          <w:sz w:val="28"/>
          <w:szCs w:val="28"/>
          <w:lang w:val="es-419"/>
        </w:rPr>
      </w:pPr>
      <w:r w:rsidRPr="00C27D7B">
        <w:rPr>
          <w:rFonts w:ascii="Arial Narrow" w:hAnsi="Arial Narrow"/>
          <w:b/>
          <w:color w:val="44546A" w:themeColor="text2"/>
          <w:sz w:val="28"/>
          <w:szCs w:val="28"/>
          <w:lang w:val="es-419"/>
        </w:rPr>
        <w:t xml:space="preserve">Unidad de Migración </w:t>
      </w:r>
      <w:r>
        <w:rPr>
          <w:rFonts w:ascii="Arial Narrow" w:hAnsi="Arial Narrow"/>
          <w:b/>
          <w:color w:val="44546A" w:themeColor="text2"/>
          <w:sz w:val="28"/>
          <w:szCs w:val="28"/>
          <w:lang w:val="es-419"/>
        </w:rPr>
        <w:t>(SCL/MIG)</w:t>
      </w:r>
    </w:p>
    <w:p w14:paraId="33F694F5" w14:textId="2B1808BD" w:rsidR="0006562A" w:rsidRPr="00C27D7B" w:rsidRDefault="0006562A" w:rsidP="00484803">
      <w:pPr>
        <w:spacing w:before="0" w:after="0"/>
        <w:rPr>
          <w:rFonts w:ascii="Arial Narrow" w:hAnsi="Arial Narrow"/>
          <w:b/>
          <w:color w:val="44546A" w:themeColor="text2"/>
          <w:sz w:val="28"/>
          <w:szCs w:val="28"/>
          <w:lang w:val="es-419"/>
        </w:rPr>
      </w:pPr>
      <w:r w:rsidRPr="00C27D7B">
        <w:rPr>
          <w:rFonts w:ascii="Arial Narrow" w:hAnsi="Arial Narrow"/>
          <w:b/>
          <w:color w:val="44546A" w:themeColor="text2"/>
          <w:sz w:val="28"/>
          <w:szCs w:val="28"/>
          <w:lang w:val="es-419"/>
        </w:rPr>
        <w:t>20</w:t>
      </w:r>
      <w:r w:rsidR="00C27D7B">
        <w:rPr>
          <w:rFonts w:ascii="Arial Narrow" w:hAnsi="Arial Narrow"/>
          <w:b/>
          <w:color w:val="44546A" w:themeColor="text2"/>
          <w:sz w:val="28"/>
          <w:szCs w:val="28"/>
          <w:lang w:val="es-419"/>
        </w:rPr>
        <w:t>21</w:t>
      </w:r>
    </w:p>
    <w:p w14:paraId="58FE7F23" w14:textId="77777777" w:rsidR="00484803" w:rsidRPr="00C27D7B" w:rsidRDefault="00484803" w:rsidP="00484803">
      <w:pPr>
        <w:spacing w:before="0" w:after="0"/>
        <w:rPr>
          <w:rFonts w:ascii="Arial Narrow" w:hAnsi="Arial Narrow"/>
          <w:b/>
          <w:color w:val="44546A" w:themeColor="text2"/>
          <w:sz w:val="28"/>
          <w:szCs w:val="28"/>
          <w:lang w:val="es-419"/>
        </w:rPr>
        <w:sectPr w:rsidR="00484803" w:rsidRPr="00C27D7B">
          <w:headerReference w:type="default" r:id="rId9"/>
          <w:footerReference w:type="default" r:id="rId10"/>
          <w:pgSz w:w="12240" w:h="15840"/>
          <w:pgMar w:top="1440" w:right="1440" w:bottom="1440" w:left="1440" w:header="708" w:footer="708" w:gutter="0"/>
          <w:cols w:space="708"/>
          <w:docGrid w:linePitch="360"/>
        </w:sectPr>
      </w:pPr>
    </w:p>
    <w:sdt>
      <w:sdtPr>
        <w:rPr>
          <w:rFonts w:ascii="Arial" w:eastAsiaTheme="minorHAnsi" w:hAnsi="Arial" w:cstheme="minorBidi"/>
          <w:color w:val="auto"/>
          <w:sz w:val="22"/>
          <w:szCs w:val="22"/>
        </w:rPr>
        <w:id w:val="1468399696"/>
        <w:docPartObj>
          <w:docPartGallery w:val="Table of Contents"/>
          <w:docPartUnique/>
        </w:docPartObj>
      </w:sdtPr>
      <w:sdtEndPr>
        <w:rPr>
          <w:b/>
          <w:bCs/>
          <w:noProof/>
          <w:sz w:val="20"/>
        </w:rPr>
      </w:sdtEndPr>
      <w:sdtContent>
        <w:p w14:paraId="5601169E" w14:textId="56F18275" w:rsidR="003939D6" w:rsidRPr="00C27D7B" w:rsidRDefault="003939D6">
          <w:pPr>
            <w:pStyle w:val="TOCHeading"/>
            <w:rPr>
              <w:b/>
              <w:color w:val="002060"/>
              <w:sz w:val="36"/>
              <w:lang w:val="es-419"/>
            </w:rPr>
          </w:pPr>
          <w:r w:rsidRPr="00C27D7B">
            <w:rPr>
              <w:b/>
              <w:color w:val="002060"/>
              <w:sz w:val="36"/>
              <w:lang w:val="es-419"/>
            </w:rPr>
            <w:t>Conten</w:t>
          </w:r>
          <w:r w:rsidR="001F3DCF" w:rsidRPr="00C27D7B">
            <w:rPr>
              <w:b/>
              <w:color w:val="002060"/>
              <w:sz w:val="36"/>
              <w:lang w:val="es-419"/>
            </w:rPr>
            <w:t>ido</w:t>
          </w:r>
        </w:p>
        <w:p w14:paraId="4D3469E6" w14:textId="34801EB6" w:rsidR="00133A55" w:rsidRDefault="003939D6">
          <w:pPr>
            <w:pStyle w:val="TOC1"/>
            <w:tabs>
              <w:tab w:val="right" w:leader="dot" w:pos="9350"/>
            </w:tabs>
            <w:rPr>
              <w:rFonts w:asciiTheme="minorHAnsi" w:eastAsiaTheme="minorEastAsia" w:hAnsiTheme="minorHAnsi"/>
              <w:noProof/>
              <w:sz w:val="22"/>
            </w:rPr>
          </w:pPr>
          <w:r>
            <w:rPr>
              <w:b/>
              <w:bCs/>
              <w:noProof/>
            </w:rPr>
            <w:fldChar w:fldCharType="begin"/>
          </w:r>
          <w:r>
            <w:rPr>
              <w:b/>
              <w:bCs/>
              <w:noProof/>
            </w:rPr>
            <w:instrText xml:space="preserve"> TOC \o "1-3" \h \z \u </w:instrText>
          </w:r>
          <w:r>
            <w:rPr>
              <w:b/>
              <w:bCs/>
              <w:noProof/>
            </w:rPr>
            <w:fldChar w:fldCharType="separate"/>
          </w:r>
          <w:hyperlink w:anchor="_Toc82173999" w:history="1">
            <w:r w:rsidR="00133A55" w:rsidRPr="00087CB2">
              <w:rPr>
                <w:rStyle w:val="Hyperlink"/>
                <w:rFonts w:cs="Arial"/>
                <w:noProof/>
                <w:lang w:val="es-BO"/>
              </w:rPr>
              <w:t>Reporte de los avances del apoyo del Banco a los desafíos del choque migratorio venezolano en Colombia</w:t>
            </w:r>
            <w:r w:rsidR="00133A55">
              <w:rPr>
                <w:noProof/>
                <w:webHidden/>
              </w:rPr>
              <w:tab/>
            </w:r>
            <w:r w:rsidR="00133A55">
              <w:rPr>
                <w:noProof/>
                <w:webHidden/>
              </w:rPr>
              <w:fldChar w:fldCharType="begin"/>
            </w:r>
            <w:r w:rsidR="00133A55">
              <w:rPr>
                <w:noProof/>
                <w:webHidden/>
              </w:rPr>
              <w:instrText xml:space="preserve"> PAGEREF _Toc82173999 \h </w:instrText>
            </w:r>
            <w:r w:rsidR="00133A55">
              <w:rPr>
                <w:noProof/>
                <w:webHidden/>
              </w:rPr>
            </w:r>
            <w:r w:rsidR="00133A55">
              <w:rPr>
                <w:noProof/>
                <w:webHidden/>
              </w:rPr>
              <w:fldChar w:fldCharType="separate"/>
            </w:r>
            <w:r w:rsidR="00133A55">
              <w:rPr>
                <w:noProof/>
                <w:webHidden/>
              </w:rPr>
              <w:t>1</w:t>
            </w:r>
            <w:r w:rsidR="00133A55">
              <w:rPr>
                <w:noProof/>
                <w:webHidden/>
              </w:rPr>
              <w:fldChar w:fldCharType="end"/>
            </w:r>
          </w:hyperlink>
        </w:p>
        <w:p w14:paraId="6ECF6921" w14:textId="48C0A689" w:rsidR="00133A55" w:rsidRDefault="00133A55">
          <w:pPr>
            <w:pStyle w:val="TOC1"/>
            <w:tabs>
              <w:tab w:val="left" w:pos="440"/>
              <w:tab w:val="right" w:leader="dot" w:pos="9350"/>
            </w:tabs>
            <w:rPr>
              <w:rFonts w:asciiTheme="minorHAnsi" w:eastAsiaTheme="minorEastAsia" w:hAnsiTheme="minorHAnsi"/>
              <w:noProof/>
              <w:sz w:val="22"/>
            </w:rPr>
          </w:pPr>
          <w:hyperlink w:anchor="_Toc82174000" w:history="1">
            <w:r w:rsidRPr="00087CB2">
              <w:rPr>
                <w:rStyle w:val="Hyperlink"/>
                <w:noProof/>
                <w:lang w:val="es-ES_tradnl"/>
              </w:rPr>
              <w:t>1.</w:t>
            </w:r>
            <w:r>
              <w:rPr>
                <w:rFonts w:asciiTheme="minorHAnsi" w:eastAsiaTheme="minorEastAsia" w:hAnsiTheme="minorHAnsi"/>
                <w:noProof/>
                <w:sz w:val="22"/>
              </w:rPr>
              <w:tab/>
            </w:r>
            <w:r w:rsidRPr="00087CB2">
              <w:rPr>
                <w:rStyle w:val="Hyperlink"/>
                <w:noProof/>
                <w:lang w:val="es-ES_tradnl"/>
              </w:rPr>
              <w:t>Resumen del contexto migratorio venezolano en Colombia</w:t>
            </w:r>
            <w:r>
              <w:rPr>
                <w:noProof/>
                <w:webHidden/>
              </w:rPr>
              <w:tab/>
            </w:r>
            <w:r>
              <w:rPr>
                <w:noProof/>
                <w:webHidden/>
              </w:rPr>
              <w:fldChar w:fldCharType="begin"/>
            </w:r>
            <w:r>
              <w:rPr>
                <w:noProof/>
                <w:webHidden/>
              </w:rPr>
              <w:instrText xml:space="preserve"> PAGEREF _Toc82174000 \h </w:instrText>
            </w:r>
            <w:r>
              <w:rPr>
                <w:noProof/>
                <w:webHidden/>
              </w:rPr>
            </w:r>
            <w:r>
              <w:rPr>
                <w:noProof/>
                <w:webHidden/>
              </w:rPr>
              <w:fldChar w:fldCharType="separate"/>
            </w:r>
            <w:r>
              <w:rPr>
                <w:noProof/>
                <w:webHidden/>
              </w:rPr>
              <w:t>1</w:t>
            </w:r>
            <w:r>
              <w:rPr>
                <w:noProof/>
                <w:webHidden/>
              </w:rPr>
              <w:fldChar w:fldCharType="end"/>
            </w:r>
          </w:hyperlink>
        </w:p>
        <w:p w14:paraId="26010941" w14:textId="41C6718D" w:rsidR="00133A55" w:rsidRDefault="00133A55">
          <w:pPr>
            <w:pStyle w:val="TOC1"/>
            <w:tabs>
              <w:tab w:val="left" w:pos="440"/>
              <w:tab w:val="right" w:leader="dot" w:pos="9350"/>
            </w:tabs>
            <w:rPr>
              <w:rFonts w:asciiTheme="minorHAnsi" w:eastAsiaTheme="minorEastAsia" w:hAnsiTheme="minorHAnsi"/>
              <w:noProof/>
              <w:sz w:val="22"/>
            </w:rPr>
          </w:pPr>
          <w:hyperlink w:anchor="_Toc82174001" w:history="1">
            <w:r w:rsidRPr="00087CB2">
              <w:rPr>
                <w:rStyle w:val="Hyperlink"/>
                <w:noProof/>
                <w:lang w:val="es-ES_tradnl"/>
              </w:rPr>
              <w:t>2.</w:t>
            </w:r>
            <w:r>
              <w:rPr>
                <w:rFonts w:asciiTheme="minorHAnsi" w:eastAsiaTheme="minorEastAsia" w:hAnsiTheme="minorHAnsi"/>
                <w:noProof/>
                <w:sz w:val="22"/>
              </w:rPr>
              <w:tab/>
            </w:r>
            <w:r w:rsidRPr="00087CB2">
              <w:rPr>
                <w:rStyle w:val="Hyperlink"/>
                <w:noProof/>
                <w:lang w:val="es-ES_tradnl"/>
              </w:rPr>
              <w:t>Avances en Colombia para la regularización de ciudadanos venezolanos.</w:t>
            </w:r>
            <w:r>
              <w:rPr>
                <w:noProof/>
                <w:webHidden/>
              </w:rPr>
              <w:tab/>
            </w:r>
            <w:r>
              <w:rPr>
                <w:noProof/>
                <w:webHidden/>
              </w:rPr>
              <w:fldChar w:fldCharType="begin"/>
            </w:r>
            <w:r>
              <w:rPr>
                <w:noProof/>
                <w:webHidden/>
              </w:rPr>
              <w:instrText xml:space="preserve"> PAGEREF _Toc82174001 \h </w:instrText>
            </w:r>
            <w:r>
              <w:rPr>
                <w:noProof/>
                <w:webHidden/>
              </w:rPr>
            </w:r>
            <w:r>
              <w:rPr>
                <w:noProof/>
                <w:webHidden/>
              </w:rPr>
              <w:fldChar w:fldCharType="separate"/>
            </w:r>
            <w:r>
              <w:rPr>
                <w:noProof/>
                <w:webHidden/>
              </w:rPr>
              <w:t>2</w:t>
            </w:r>
            <w:r>
              <w:rPr>
                <w:noProof/>
                <w:webHidden/>
              </w:rPr>
              <w:fldChar w:fldCharType="end"/>
            </w:r>
          </w:hyperlink>
        </w:p>
        <w:p w14:paraId="10CCDC9B" w14:textId="537C0EFD" w:rsidR="00133A55" w:rsidRDefault="00133A55">
          <w:pPr>
            <w:pStyle w:val="TOC2"/>
            <w:rPr>
              <w:rFonts w:asciiTheme="minorHAnsi" w:eastAsiaTheme="minorEastAsia" w:hAnsiTheme="minorHAnsi"/>
              <w:b w:val="0"/>
              <w:sz w:val="22"/>
              <w:lang w:val="en-US"/>
            </w:rPr>
          </w:pPr>
          <w:hyperlink w:anchor="_Toc82174002" w:history="1">
            <w:r w:rsidRPr="00087CB2">
              <w:rPr>
                <w:rStyle w:val="Hyperlink"/>
              </w:rPr>
              <w:t>2.1</w:t>
            </w:r>
            <w:r>
              <w:rPr>
                <w:rFonts w:asciiTheme="minorHAnsi" w:eastAsiaTheme="minorEastAsia" w:hAnsiTheme="minorHAnsi"/>
                <w:b w:val="0"/>
                <w:sz w:val="22"/>
                <w:lang w:val="en-US"/>
              </w:rPr>
              <w:tab/>
            </w:r>
            <w:r w:rsidRPr="00087CB2">
              <w:rPr>
                <w:rStyle w:val="Hyperlink"/>
              </w:rPr>
              <w:t>Permiso Especial De Permanencia-PEP.</w:t>
            </w:r>
            <w:r>
              <w:rPr>
                <w:webHidden/>
              </w:rPr>
              <w:tab/>
            </w:r>
            <w:r>
              <w:rPr>
                <w:webHidden/>
              </w:rPr>
              <w:fldChar w:fldCharType="begin"/>
            </w:r>
            <w:r>
              <w:rPr>
                <w:webHidden/>
              </w:rPr>
              <w:instrText xml:space="preserve"> PAGEREF _Toc82174002 \h </w:instrText>
            </w:r>
            <w:r>
              <w:rPr>
                <w:webHidden/>
              </w:rPr>
            </w:r>
            <w:r>
              <w:rPr>
                <w:webHidden/>
              </w:rPr>
              <w:fldChar w:fldCharType="separate"/>
            </w:r>
            <w:r>
              <w:rPr>
                <w:webHidden/>
              </w:rPr>
              <w:t>2</w:t>
            </w:r>
            <w:r>
              <w:rPr>
                <w:webHidden/>
              </w:rPr>
              <w:fldChar w:fldCharType="end"/>
            </w:r>
          </w:hyperlink>
        </w:p>
        <w:p w14:paraId="1E37DF8E" w14:textId="25BF243D" w:rsidR="00133A55" w:rsidRDefault="00133A55">
          <w:pPr>
            <w:pStyle w:val="TOC2"/>
            <w:rPr>
              <w:rFonts w:asciiTheme="minorHAnsi" w:eastAsiaTheme="minorEastAsia" w:hAnsiTheme="minorHAnsi"/>
              <w:b w:val="0"/>
              <w:sz w:val="22"/>
              <w:lang w:val="en-US"/>
            </w:rPr>
          </w:pPr>
          <w:hyperlink w:anchor="_Toc82174003" w:history="1">
            <w:r w:rsidRPr="00087CB2">
              <w:rPr>
                <w:rStyle w:val="Hyperlink"/>
              </w:rPr>
              <w:t>2.2</w:t>
            </w:r>
            <w:r>
              <w:rPr>
                <w:rFonts w:asciiTheme="minorHAnsi" w:eastAsiaTheme="minorEastAsia" w:hAnsiTheme="minorHAnsi"/>
                <w:b w:val="0"/>
                <w:sz w:val="22"/>
                <w:lang w:val="en-US"/>
              </w:rPr>
              <w:tab/>
            </w:r>
            <w:r w:rsidRPr="00087CB2">
              <w:rPr>
                <w:rStyle w:val="Hyperlink"/>
              </w:rPr>
              <w:t>Gerencia de Fronteras-Despacho del Presidente de la República.</w:t>
            </w:r>
            <w:r>
              <w:rPr>
                <w:webHidden/>
              </w:rPr>
              <w:tab/>
            </w:r>
            <w:r>
              <w:rPr>
                <w:webHidden/>
              </w:rPr>
              <w:fldChar w:fldCharType="begin"/>
            </w:r>
            <w:r>
              <w:rPr>
                <w:webHidden/>
              </w:rPr>
              <w:instrText xml:space="preserve"> PAGEREF _Toc82174003 \h </w:instrText>
            </w:r>
            <w:r>
              <w:rPr>
                <w:webHidden/>
              </w:rPr>
            </w:r>
            <w:r>
              <w:rPr>
                <w:webHidden/>
              </w:rPr>
              <w:fldChar w:fldCharType="separate"/>
            </w:r>
            <w:r>
              <w:rPr>
                <w:webHidden/>
              </w:rPr>
              <w:t>2</w:t>
            </w:r>
            <w:r>
              <w:rPr>
                <w:webHidden/>
              </w:rPr>
              <w:fldChar w:fldCharType="end"/>
            </w:r>
          </w:hyperlink>
        </w:p>
        <w:p w14:paraId="60881BBB" w14:textId="772E4CEB" w:rsidR="00133A55" w:rsidRDefault="00133A55">
          <w:pPr>
            <w:pStyle w:val="TOC2"/>
            <w:rPr>
              <w:rFonts w:asciiTheme="minorHAnsi" w:eastAsiaTheme="minorEastAsia" w:hAnsiTheme="minorHAnsi"/>
              <w:b w:val="0"/>
              <w:sz w:val="22"/>
              <w:lang w:val="en-US"/>
            </w:rPr>
          </w:pPr>
          <w:hyperlink w:anchor="_Toc82174004" w:history="1">
            <w:r w:rsidRPr="00087CB2">
              <w:rPr>
                <w:rStyle w:val="Hyperlink"/>
              </w:rPr>
              <w:t>2.3</w:t>
            </w:r>
            <w:r>
              <w:rPr>
                <w:rFonts w:asciiTheme="minorHAnsi" w:eastAsiaTheme="minorEastAsia" w:hAnsiTheme="minorHAnsi"/>
                <w:b w:val="0"/>
                <w:sz w:val="22"/>
                <w:lang w:val="en-US"/>
              </w:rPr>
              <w:tab/>
            </w:r>
            <w:r w:rsidRPr="00087CB2">
              <w:rPr>
                <w:rStyle w:val="Hyperlink"/>
              </w:rPr>
              <w:t>Participación en escenarios de integración regional en torno a la migración venezolana.</w:t>
            </w:r>
            <w:r>
              <w:rPr>
                <w:webHidden/>
              </w:rPr>
              <w:tab/>
            </w:r>
            <w:r>
              <w:rPr>
                <w:webHidden/>
              </w:rPr>
              <w:fldChar w:fldCharType="begin"/>
            </w:r>
            <w:r>
              <w:rPr>
                <w:webHidden/>
              </w:rPr>
              <w:instrText xml:space="preserve"> PAGEREF _Toc82174004 \h </w:instrText>
            </w:r>
            <w:r>
              <w:rPr>
                <w:webHidden/>
              </w:rPr>
            </w:r>
            <w:r>
              <w:rPr>
                <w:webHidden/>
              </w:rPr>
              <w:fldChar w:fldCharType="separate"/>
            </w:r>
            <w:r>
              <w:rPr>
                <w:webHidden/>
              </w:rPr>
              <w:t>2</w:t>
            </w:r>
            <w:r>
              <w:rPr>
                <w:webHidden/>
              </w:rPr>
              <w:fldChar w:fldCharType="end"/>
            </w:r>
          </w:hyperlink>
        </w:p>
        <w:p w14:paraId="609CCA45" w14:textId="64B3DE54" w:rsidR="00133A55" w:rsidRDefault="00133A55">
          <w:pPr>
            <w:pStyle w:val="TOC2"/>
            <w:rPr>
              <w:rFonts w:asciiTheme="minorHAnsi" w:eastAsiaTheme="minorEastAsia" w:hAnsiTheme="minorHAnsi"/>
              <w:b w:val="0"/>
              <w:sz w:val="22"/>
              <w:lang w:val="en-US"/>
            </w:rPr>
          </w:pPr>
          <w:hyperlink w:anchor="_Toc82174005" w:history="1">
            <w:r w:rsidRPr="00087CB2">
              <w:rPr>
                <w:rStyle w:val="Hyperlink"/>
              </w:rPr>
              <w:t>2.4</w:t>
            </w:r>
            <w:r>
              <w:rPr>
                <w:rFonts w:asciiTheme="minorHAnsi" w:eastAsiaTheme="minorEastAsia" w:hAnsiTheme="minorHAnsi"/>
                <w:b w:val="0"/>
                <w:sz w:val="22"/>
                <w:lang w:val="en-US"/>
              </w:rPr>
              <w:tab/>
            </w:r>
            <w:r w:rsidRPr="00087CB2">
              <w:rPr>
                <w:rStyle w:val="Hyperlink"/>
              </w:rPr>
              <w:t>Consejo Nacional de Política Económica y Social-CONPES 3950 de noviembre de 2018.</w:t>
            </w:r>
            <w:r>
              <w:rPr>
                <w:webHidden/>
              </w:rPr>
              <w:tab/>
            </w:r>
            <w:r>
              <w:rPr>
                <w:webHidden/>
              </w:rPr>
              <w:fldChar w:fldCharType="begin"/>
            </w:r>
            <w:r>
              <w:rPr>
                <w:webHidden/>
              </w:rPr>
              <w:instrText xml:space="preserve"> PAGEREF _Toc82174005 \h </w:instrText>
            </w:r>
            <w:r>
              <w:rPr>
                <w:webHidden/>
              </w:rPr>
            </w:r>
            <w:r>
              <w:rPr>
                <w:webHidden/>
              </w:rPr>
              <w:fldChar w:fldCharType="separate"/>
            </w:r>
            <w:r>
              <w:rPr>
                <w:webHidden/>
              </w:rPr>
              <w:t>2</w:t>
            </w:r>
            <w:r>
              <w:rPr>
                <w:webHidden/>
              </w:rPr>
              <w:fldChar w:fldCharType="end"/>
            </w:r>
          </w:hyperlink>
        </w:p>
        <w:p w14:paraId="7A08A423" w14:textId="688E0D10" w:rsidR="00133A55" w:rsidRDefault="00133A55">
          <w:pPr>
            <w:pStyle w:val="TOC2"/>
            <w:rPr>
              <w:rFonts w:asciiTheme="minorHAnsi" w:eastAsiaTheme="minorEastAsia" w:hAnsiTheme="minorHAnsi"/>
              <w:b w:val="0"/>
              <w:sz w:val="22"/>
              <w:lang w:val="en-US"/>
            </w:rPr>
          </w:pPr>
          <w:hyperlink w:anchor="_Toc82174006" w:history="1">
            <w:r w:rsidRPr="00087CB2">
              <w:rPr>
                <w:rStyle w:val="Hyperlink"/>
              </w:rPr>
              <w:t>2.5</w:t>
            </w:r>
            <w:r>
              <w:rPr>
                <w:rFonts w:asciiTheme="minorHAnsi" w:eastAsiaTheme="minorEastAsia" w:hAnsiTheme="minorHAnsi"/>
                <w:b w:val="0"/>
                <w:sz w:val="22"/>
                <w:lang w:val="en-US"/>
              </w:rPr>
              <w:tab/>
            </w:r>
            <w:r w:rsidRPr="00087CB2">
              <w:rPr>
                <w:rStyle w:val="Hyperlink"/>
              </w:rPr>
              <w:t>Nacionalización de menores nacidos en Colombia de padres venezolanos.</w:t>
            </w:r>
            <w:r>
              <w:rPr>
                <w:webHidden/>
              </w:rPr>
              <w:tab/>
            </w:r>
            <w:r>
              <w:rPr>
                <w:webHidden/>
              </w:rPr>
              <w:fldChar w:fldCharType="begin"/>
            </w:r>
            <w:r>
              <w:rPr>
                <w:webHidden/>
              </w:rPr>
              <w:instrText xml:space="preserve"> PAGEREF _Toc82174006 \h </w:instrText>
            </w:r>
            <w:r>
              <w:rPr>
                <w:webHidden/>
              </w:rPr>
            </w:r>
            <w:r>
              <w:rPr>
                <w:webHidden/>
              </w:rPr>
              <w:fldChar w:fldCharType="separate"/>
            </w:r>
            <w:r>
              <w:rPr>
                <w:webHidden/>
              </w:rPr>
              <w:t>2</w:t>
            </w:r>
            <w:r>
              <w:rPr>
                <w:webHidden/>
              </w:rPr>
              <w:fldChar w:fldCharType="end"/>
            </w:r>
          </w:hyperlink>
        </w:p>
        <w:p w14:paraId="388DC235" w14:textId="4FC7F72D" w:rsidR="00133A55" w:rsidRDefault="00133A55">
          <w:pPr>
            <w:pStyle w:val="TOC2"/>
            <w:rPr>
              <w:rFonts w:asciiTheme="minorHAnsi" w:eastAsiaTheme="minorEastAsia" w:hAnsiTheme="minorHAnsi"/>
              <w:b w:val="0"/>
              <w:sz w:val="22"/>
              <w:lang w:val="en-US"/>
            </w:rPr>
          </w:pPr>
          <w:hyperlink w:anchor="_Toc82174007" w:history="1">
            <w:r w:rsidRPr="00087CB2">
              <w:rPr>
                <w:rStyle w:val="Hyperlink"/>
              </w:rPr>
              <w:t>2.6</w:t>
            </w:r>
            <w:r>
              <w:rPr>
                <w:rFonts w:asciiTheme="minorHAnsi" w:eastAsiaTheme="minorEastAsia" w:hAnsiTheme="minorHAnsi"/>
                <w:b w:val="0"/>
                <w:sz w:val="22"/>
                <w:lang w:val="en-US"/>
              </w:rPr>
              <w:tab/>
            </w:r>
            <w:r w:rsidRPr="00087CB2">
              <w:rPr>
                <w:rStyle w:val="Hyperlink"/>
              </w:rPr>
              <w:t>Estatuto Temporal de Protección para Migrantes Venezolanos Bajo Régimen de Protección Temporal-ETPV.</w:t>
            </w:r>
            <w:r>
              <w:rPr>
                <w:webHidden/>
              </w:rPr>
              <w:tab/>
            </w:r>
            <w:r>
              <w:rPr>
                <w:webHidden/>
              </w:rPr>
              <w:fldChar w:fldCharType="begin"/>
            </w:r>
            <w:r>
              <w:rPr>
                <w:webHidden/>
              </w:rPr>
              <w:instrText xml:space="preserve"> PAGEREF _Toc82174007 \h </w:instrText>
            </w:r>
            <w:r>
              <w:rPr>
                <w:webHidden/>
              </w:rPr>
            </w:r>
            <w:r>
              <w:rPr>
                <w:webHidden/>
              </w:rPr>
              <w:fldChar w:fldCharType="separate"/>
            </w:r>
            <w:r>
              <w:rPr>
                <w:webHidden/>
              </w:rPr>
              <w:t>3</w:t>
            </w:r>
            <w:r>
              <w:rPr>
                <w:webHidden/>
              </w:rPr>
              <w:fldChar w:fldCharType="end"/>
            </w:r>
          </w:hyperlink>
        </w:p>
        <w:p w14:paraId="31604FE2" w14:textId="75D5F651" w:rsidR="00133A55" w:rsidRDefault="00133A55">
          <w:pPr>
            <w:pStyle w:val="TOC3"/>
            <w:tabs>
              <w:tab w:val="left" w:pos="1320"/>
              <w:tab w:val="right" w:leader="dot" w:pos="9350"/>
            </w:tabs>
            <w:rPr>
              <w:rFonts w:asciiTheme="minorHAnsi" w:eastAsiaTheme="minorEastAsia" w:hAnsiTheme="minorHAnsi"/>
              <w:noProof/>
              <w:sz w:val="22"/>
            </w:rPr>
          </w:pPr>
          <w:hyperlink w:anchor="_Toc82174008" w:history="1">
            <w:r w:rsidRPr="00087CB2">
              <w:rPr>
                <w:rStyle w:val="Hyperlink"/>
                <w:noProof/>
                <w:lang w:val="es-ES_tradnl"/>
              </w:rPr>
              <w:t>2.6.1</w:t>
            </w:r>
            <w:r>
              <w:rPr>
                <w:rFonts w:asciiTheme="minorHAnsi" w:eastAsiaTheme="minorEastAsia" w:hAnsiTheme="minorHAnsi"/>
                <w:noProof/>
                <w:sz w:val="22"/>
              </w:rPr>
              <w:tab/>
            </w:r>
            <w:r w:rsidRPr="00087CB2">
              <w:rPr>
                <w:rStyle w:val="Hyperlink"/>
                <w:noProof/>
                <w:lang w:val="es-ES_tradnl"/>
              </w:rPr>
              <w:t>Características del Registro Único de Migrantes Venezolanos-RUMV</w:t>
            </w:r>
            <w:r>
              <w:rPr>
                <w:noProof/>
                <w:webHidden/>
              </w:rPr>
              <w:tab/>
            </w:r>
            <w:r>
              <w:rPr>
                <w:noProof/>
                <w:webHidden/>
              </w:rPr>
              <w:fldChar w:fldCharType="begin"/>
            </w:r>
            <w:r>
              <w:rPr>
                <w:noProof/>
                <w:webHidden/>
              </w:rPr>
              <w:instrText xml:space="preserve"> PAGEREF _Toc82174008 \h </w:instrText>
            </w:r>
            <w:r>
              <w:rPr>
                <w:noProof/>
                <w:webHidden/>
              </w:rPr>
            </w:r>
            <w:r>
              <w:rPr>
                <w:noProof/>
                <w:webHidden/>
              </w:rPr>
              <w:fldChar w:fldCharType="separate"/>
            </w:r>
            <w:r>
              <w:rPr>
                <w:noProof/>
                <w:webHidden/>
              </w:rPr>
              <w:t>3</w:t>
            </w:r>
            <w:r>
              <w:rPr>
                <w:noProof/>
                <w:webHidden/>
              </w:rPr>
              <w:fldChar w:fldCharType="end"/>
            </w:r>
          </w:hyperlink>
        </w:p>
        <w:p w14:paraId="56E568C4" w14:textId="085C914B" w:rsidR="00133A55" w:rsidRDefault="00133A55">
          <w:pPr>
            <w:pStyle w:val="TOC3"/>
            <w:tabs>
              <w:tab w:val="left" w:pos="1320"/>
              <w:tab w:val="right" w:leader="dot" w:pos="9350"/>
            </w:tabs>
            <w:rPr>
              <w:rFonts w:asciiTheme="minorHAnsi" w:eastAsiaTheme="minorEastAsia" w:hAnsiTheme="minorHAnsi"/>
              <w:noProof/>
              <w:sz w:val="22"/>
            </w:rPr>
          </w:pPr>
          <w:hyperlink w:anchor="_Toc82174009" w:history="1">
            <w:r w:rsidRPr="00087CB2">
              <w:rPr>
                <w:rStyle w:val="Hyperlink"/>
                <w:noProof/>
                <w:lang w:val="es-ES_tradnl"/>
              </w:rPr>
              <w:t>2.6.2</w:t>
            </w:r>
            <w:r>
              <w:rPr>
                <w:rFonts w:asciiTheme="minorHAnsi" w:eastAsiaTheme="minorEastAsia" w:hAnsiTheme="minorHAnsi"/>
                <w:noProof/>
                <w:sz w:val="22"/>
              </w:rPr>
              <w:tab/>
            </w:r>
            <w:r w:rsidRPr="00087CB2">
              <w:rPr>
                <w:rStyle w:val="Hyperlink"/>
                <w:noProof/>
                <w:lang w:val="es-ES_tradnl"/>
              </w:rPr>
              <w:t>Características del Permiso por Protección Temporal-PPT</w:t>
            </w:r>
            <w:r>
              <w:rPr>
                <w:noProof/>
                <w:webHidden/>
              </w:rPr>
              <w:tab/>
            </w:r>
            <w:r>
              <w:rPr>
                <w:noProof/>
                <w:webHidden/>
              </w:rPr>
              <w:fldChar w:fldCharType="begin"/>
            </w:r>
            <w:r>
              <w:rPr>
                <w:noProof/>
                <w:webHidden/>
              </w:rPr>
              <w:instrText xml:space="preserve"> PAGEREF _Toc82174009 \h </w:instrText>
            </w:r>
            <w:r>
              <w:rPr>
                <w:noProof/>
                <w:webHidden/>
              </w:rPr>
            </w:r>
            <w:r>
              <w:rPr>
                <w:noProof/>
                <w:webHidden/>
              </w:rPr>
              <w:fldChar w:fldCharType="separate"/>
            </w:r>
            <w:r>
              <w:rPr>
                <w:noProof/>
                <w:webHidden/>
              </w:rPr>
              <w:t>3</w:t>
            </w:r>
            <w:r>
              <w:rPr>
                <w:noProof/>
                <w:webHidden/>
              </w:rPr>
              <w:fldChar w:fldCharType="end"/>
            </w:r>
          </w:hyperlink>
        </w:p>
        <w:p w14:paraId="39F114F9" w14:textId="2C201011" w:rsidR="00133A55" w:rsidRDefault="00133A55">
          <w:pPr>
            <w:pStyle w:val="TOC3"/>
            <w:tabs>
              <w:tab w:val="left" w:pos="1320"/>
              <w:tab w:val="right" w:leader="dot" w:pos="9350"/>
            </w:tabs>
            <w:rPr>
              <w:rFonts w:asciiTheme="minorHAnsi" w:eastAsiaTheme="minorEastAsia" w:hAnsiTheme="minorHAnsi"/>
              <w:noProof/>
              <w:sz w:val="22"/>
            </w:rPr>
          </w:pPr>
          <w:hyperlink w:anchor="_Toc82174010" w:history="1">
            <w:r w:rsidRPr="00087CB2">
              <w:rPr>
                <w:rStyle w:val="Hyperlink"/>
                <w:noProof/>
                <w:lang w:val="es-ES_tradnl"/>
              </w:rPr>
              <w:t>2.6.3</w:t>
            </w:r>
            <w:r>
              <w:rPr>
                <w:rFonts w:asciiTheme="minorHAnsi" w:eastAsiaTheme="minorEastAsia" w:hAnsiTheme="minorHAnsi"/>
                <w:noProof/>
                <w:sz w:val="22"/>
              </w:rPr>
              <w:tab/>
            </w:r>
            <w:r w:rsidRPr="00087CB2">
              <w:rPr>
                <w:rStyle w:val="Hyperlink"/>
                <w:noProof/>
                <w:lang w:val="es-ES_tradnl"/>
              </w:rPr>
              <w:t>Camino hacia la Visa de Residente</w:t>
            </w:r>
            <w:r>
              <w:rPr>
                <w:noProof/>
                <w:webHidden/>
              </w:rPr>
              <w:tab/>
            </w:r>
            <w:r>
              <w:rPr>
                <w:noProof/>
                <w:webHidden/>
              </w:rPr>
              <w:fldChar w:fldCharType="begin"/>
            </w:r>
            <w:r>
              <w:rPr>
                <w:noProof/>
                <w:webHidden/>
              </w:rPr>
              <w:instrText xml:space="preserve"> PAGEREF _Toc82174010 \h </w:instrText>
            </w:r>
            <w:r>
              <w:rPr>
                <w:noProof/>
                <w:webHidden/>
              </w:rPr>
            </w:r>
            <w:r>
              <w:rPr>
                <w:noProof/>
                <w:webHidden/>
              </w:rPr>
              <w:fldChar w:fldCharType="separate"/>
            </w:r>
            <w:r>
              <w:rPr>
                <w:noProof/>
                <w:webHidden/>
              </w:rPr>
              <w:t>3</w:t>
            </w:r>
            <w:r>
              <w:rPr>
                <w:noProof/>
                <w:webHidden/>
              </w:rPr>
              <w:fldChar w:fldCharType="end"/>
            </w:r>
          </w:hyperlink>
        </w:p>
        <w:p w14:paraId="70BE7244" w14:textId="03148D66" w:rsidR="00133A55" w:rsidRDefault="00133A55">
          <w:pPr>
            <w:pStyle w:val="TOC1"/>
            <w:tabs>
              <w:tab w:val="left" w:pos="440"/>
              <w:tab w:val="right" w:leader="dot" w:pos="9350"/>
            </w:tabs>
            <w:rPr>
              <w:rFonts w:asciiTheme="minorHAnsi" w:eastAsiaTheme="minorEastAsia" w:hAnsiTheme="minorHAnsi"/>
              <w:noProof/>
              <w:sz w:val="22"/>
            </w:rPr>
          </w:pPr>
          <w:hyperlink w:anchor="_Toc82174011" w:history="1">
            <w:r w:rsidRPr="00087CB2">
              <w:rPr>
                <w:rStyle w:val="Hyperlink"/>
                <w:noProof/>
                <w:lang w:val="es-ES_tradnl"/>
              </w:rPr>
              <w:t>3.</w:t>
            </w:r>
            <w:r>
              <w:rPr>
                <w:rFonts w:asciiTheme="minorHAnsi" w:eastAsiaTheme="minorEastAsia" w:hAnsiTheme="minorHAnsi"/>
                <w:noProof/>
                <w:sz w:val="22"/>
              </w:rPr>
              <w:tab/>
            </w:r>
            <w:r w:rsidRPr="00087CB2">
              <w:rPr>
                <w:rStyle w:val="Hyperlink"/>
                <w:noProof/>
                <w:lang w:val="es-BO"/>
              </w:rPr>
              <w:t>Estrategia del Grupo BID con Colombia: La inmigración como un tema transversal.</w:t>
            </w:r>
            <w:r>
              <w:rPr>
                <w:noProof/>
                <w:webHidden/>
              </w:rPr>
              <w:tab/>
            </w:r>
            <w:r>
              <w:rPr>
                <w:noProof/>
                <w:webHidden/>
              </w:rPr>
              <w:fldChar w:fldCharType="begin"/>
            </w:r>
            <w:r>
              <w:rPr>
                <w:noProof/>
                <w:webHidden/>
              </w:rPr>
              <w:instrText xml:space="preserve"> PAGEREF _Toc82174011 \h </w:instrText>
            </w:r>
            <w:r>
              <w:rPr>
                <w:noProof/>
                <w:webHidden/>
              </w:rPr>
            </w:r>
            <w:r>
              <w:rPr>
                <w:noProof/>
                <w:webHidden/>
              </w:rPr>
              <w:fldChar w:fldCharType="separate"/>
            </w:r>
            <w:r>
              <w:rPr>
                <w:noProof/>
                <w:webHidden/>
              </w:rPr>
              <w:t>3</w:t>
            </w:r>
            <w:r>
              <w:rPr>
                <w:noProof/>
                <w:webHidden/>
              </w:rPr>
              <w:fldChar w:fldCharType="end"/>
            </w:r>
          </w:hyperlink>
        </w:p>
        <w:p w14:paraId="5532846D" w14:textId="312D6DE1" w:rsidR="00133A55" w:rsidRDefault="00133A55">
          <w:pPr>
            <w:pStyle w:val="TOC2"/>
            <w:rPr>
              <w:rFonts w:asciiTheme="minorHAnsi" w:eastAsiaTheme="minorEastAsia" w:hAnsiTheme="minorHAnsi"/>
              <w:b w:val="0"/>
              <w:sz w:val="22"/>
              <w:lang w:val="en-US"/>
            </w:rPr>
          </w:pPr>
          <w:hyperlink w:anchor="_Toc82174012" w:history="1">
            <w:r w:rsidRPr="00087CB2">
              <w:rPr>
                <w:rStyle w:val="Hyperlink"/>
              </w:rPr>
              <w:t>3.1</w:t>
            </w:r>
            <w:r>
              <w:rPr>
                <w:rFonts w:asciiTheme="minorHAnsi" w:eastAsiaTheme="minorEastAsia" w:hAnsiTheme="minorHAnsi"/>
                <w:b w:val="0"/>
                <w:sz w:val="22"/>
                <w:lang w:val="en-US"/>
              </w:rPr>
              <w:tab/>
            </w:r>
            <w:r w:rsidRPr="00087CB2">
              <w:rPr>
                <w:rStyle w:val="Hyperlink"/>
              </w:rPr>
              <w:t>Cartera en ejecución.</w:t>
            </w:r>
            <w:r>
              <w:rPr>
                <w:webHidden/>
              </w:rPr>
              <w:tab/>
            </w:r>
            <w:r>
              <w:rPr>
                <w:webHidden/>
              </w:rPr>
              <w:fldChar w:fldCharType="begin"/>
            </w:r>
            <w:r>
              <w:rPr>
                <w:webHidden/>
              </w:rPr>
              <w:instrText xml:space="preserve"> PAGEREF _Toc82174012 \h </w:instrText>
            </w:r>
            <w:r>
              <w:rPr>
                <w:webHidden/>
              </w:rPr>
            </w:r>
            <w:r>
              <w:rPr>
                <w:webHidden/>
              </w:rPr>
              <w:fldChar w:fldCharType="separate"/>
            </w:r>
            <w:r>
              <w:rPr>
                <w:webHidden/>
              </w:rPr>
              <w:t>4</w:t>
            </w:r>
            <w:r>
              <w:rPr>
                <w:webHidden/>
              </w:rPr>
              <w:fldChar w:fldCharType="end"/>
            </w:r>
          </w:hyperlink>
        </w:p>
        <w:p w14:paraId="0E0F2ED4" w14:textId="06B9D65D" w:rsidR="00133A55" w:rsidRDefault="00133A55">
          <w:pPr>
            <w:pStyle w:val="TOC2"/>
            <w:rPr>
              <w:rFonts w:asciiTheme="minorHAnsi" w:eastAsiaTheme="minorEastAsia" w:hAnsiTheme="minorHAnsi"/>
              <w:b w:val="0"/>
              <w:sz w:val="22"/>
              <w:lang w:val="en-US"/>
            </w:rPr>
          </w:pPr>
          <w:hyperlink w:anchor="_Toc82174013" w:history="1">
            <w:r w:rsidRPr="00087CB2">
              <w:rPr>
                <w:rStyle w:val="Hyperlink"/>
              </w:rPr>
              <w:t>3.2</w:t>
            </w:r>
            <w:r>
              <w:rPr>
                <w:rFonts w:asciiTheme="minorHAnsi" w:eastAsiaTheme="minorEastAsia" w:hAnsiTheme="minorHAnsi"/>
                <w:b w:val="0"/>
                <w:sz w:val="22"/>
                <w:lang w:val="en-US"/>
              </w:rPr>
              <w:tab/>
            </w:r>
            <w:r w:rsidRPr="00087CB2">
              <w:rPr>
                <w:rStyle w:val="Hyperlink"/>
                <w:lang w:val="es-BO"/>
              </w:rPr>
              <w:t>P</w:t>
            </w:r>
            <w:r w:rsidRPr="00087CB2">
              <w:rPr>
                <w:rStyle w:val="Hyperlink"/>
              </w:rPr>
              <w:t>rincipales Resultados esperados de la Implementación del Apoyo del Banco al País en la Temática Migratoria</w:t>
            </w:r>
            <w:r>
              <w:rPr>
                <w:webHidden/>
              </w:rPr>
              <w:tab/>
            </w:r>
            <w:r>
              <w:rPr>
                <w:webHidden/>
              </w:rPr>
              <w:fldChar w:fldCharType="begin"/>
            </w:r>
            <w:r>
              <w:rPr>
                <w:webHidden/>
              </w:rPr>
              <w:instrText xml:space="preserve"> PAGEREF _Toc82174013 \h </w:instrText>
            </w:r>
            <w:r>
              <w:rPr>
                <w:webHidden/>
              </w:rPr>
            </w:r>
            <w:r>
              <w:rPr>
                <w:webHidden/>
              </w:rPr>
              <w:fldChar w:fldCharType="separate"/>
            </w:r>
            <w:r>
              <w:rPr>
                <w:webHidden/>
              </w:rPr>
              <w:t>5</w:t>
            </w:r>
            <w:r>
              <w:rPr>
                <w:webHidden/>
              </w:rPr>
              <w:fldChar w:fldCharType="end"/>
            </w:r>
          </w:hyperlink>
        </w:p>
        <w:p w14:paraId="77843DB3" w14:textId="0ABAD05D" w:rsidR="00133A55" w:rsidRDefault="00133A55">
          <w:pPr>
            <w:pStyle w:val="TOC3"/>
            <w:tabs>
              <w:tab w:val="left" w:pos="1320"/>
              <w:tab w:val="right" w:leader="dot" w:pos="9350"/>
            </w:tabs>
            <w:rPr>
              <w:rFonts w:asciiTheme="minorHAnsi" w:eastAsiaTheme="minorEastAsia" w:hAnsiTheme="minorHAnsi"/>
              <w:noProof/>
              <w:sz w:val="22"/>
            </w:rPr>
          </w:pPr>
          <w:hyperlink w:anchor="_Toc82174014" w:history="1">
            <w:r w:rsidRPr="00087CB2">
              <w:rPr>
                <w:rStyle w:val="Hyperlink"/>
                <w:noProof/>
                <w:lang w:val="es-ES_tradnl"/>
              </w:rPr>
              <w:t>3.2.1</w:t>
            </w:r>
            <w:r>
              <w:rPr>
                <w:rFonts w:asciiTheme="minorHAnsi" w:eastAsiaTheme="minorEastAsia" w:hAnsiTheme="minorHAnsi"/>
                <w:noProof/>
                <w:sz w:val="22"/>
              </w:rPr>
              <w:tab/>
            </w:r>
            <w:r w:rsidRPr="00087CB2">
              <w:rPr>
                <w:rStyle w:val="Hyperlink"/>
                <w:noProof/>
                <w:lang w:val="es-ES_tradnl"/>
              </w:rPr>
              <w:t>Acceso a Servicios Sociales</w:t>
            </w:r>
            <w:r>
              <w:rPr>
                <w:noProof/>
                <w:webHidden/>
              </w:rPr>
              <w:tab/>
            </w:r>
            <w:r>
              <w:rPr>
                <w:noProof/>
                <w:webHidden/>
              </w:rPr>
              <w:fldChar w:fldCharType="begin"/>
            </w:r>
            <w:r>
              <w:rPr>
                <w:noProof/>
                <w:webHidden/>
              </w:rPr>
              <w:instrText xml:space="preserve"> PAGEREF _Toc82174014 \h </w:instrText>
            </w:r>
            <w:r>
              <w:rPr>
                <w:noProof/>
                <w:webHidden/>
              </w:rPr>
            </w:r>
            <w:r>
              <w:rPr>
                <w:noProof/>
                <w:webHidden/>
              </w:rPr>
              <w:fldChar w:fldCharType="separate"/>
            </w:r>
            <w:r>
              <w:rPr>
                <w:noProof/>
                <w:webHidden/>
              </w:rPr>
              <w:t>5</w:t>
            </w:r>
            <w:r>
              <w:rPr>
                <w:noProof/>
                <w:webHidden/>
              </w:rPr>
              <w:fldChar w:fldCharType="end"/>
            </w:r>
          </w:hyperlink>
        </w:p>
        <w:p w14:paraId="273FEF32" w14:textId="7C21470B" w:rsidR="00133A55" w:rsidRDefault="00133A55">
          <w:pPr>
            <w:pStyle w:val="TOC3"/>
            <w:tabs>
              <w:tab w:val="left" w:pos="1320"/>
              <w:tab w:val="right" w:leader="dot" w:pos="9350"/>
            </w:tabs>
            <w:rPr>
              <w:rFonts w:asciiTheme="minorHAnsi" w:eastAsiaTheme="minorEastAsia" w:hAnsiTheme="minorHAnsi"/>
              <w:noProof/>
              <w:sz w:val="22"/>
            </w:rPr>
          </w:pPr>
          <w:hyperlink w:anchor="_Toc82174015" w:history="1">
            <w:r w:rsidRPr="00087CB2">
              <w:rPr>
                <w:rStyle w:val="Hyperlink"/>
                <w:noProof/>
                <w:lang w:val="es-ES_tradnl"/>
              </w:rPr>
              <w:t>3.2.2</w:t>
            </w:r>
            <w:r>
              <w:rPr>
                <w:rFonts w:asciiTheme="minorHAnsi" w:eastAsiaTheme="minorEastAsia" w:hAnsiTheme="minorHAnsi"/>
                <w:noProof/>
                <w:sz w:val="22"/>
              </w:rPr>
              <w:tab/>
            </w:r>
            <w:r w:rsidRPr="00087CB2">
              <w:rPr>
                <w:rStyle w:val="Hyperlink"/>
                <w:noProof/>
                <w:lang w:val="es-ES_tradnl"/>
              </w:rPr>
              <w:t>Acceso a servicios básicos</w:t>
            </w:r>
            <w:r>
              <w:rPr>
                <w:noProof/>
                <w:webHidden/>
              </w:rPr>
              <w:tab/>
            </w:r>
            <w:r>
              <w:rPr>
                <w:noProof/>
                <w:webHidden/>
              </w:rPr>
              <w:fldChar w:fldCharType="begin"/>
            </w:r>
            <w:r>
              <w:rPr>
                <w:noProof/>
                <w:webHidden/>
              </w:rPr>
              <w:instrText xml:space="preserve"> PAGEREF _Toc82174015 \h </w:instrText>
            </w:r>
            <w:r>
              <w:rPr>
                <w:noProof/>
                <w:webHidden/>
              </w:rPr>
            </w:r>
            <w:r>
              <w:rPr>
                <w:noProof/>
                <w:webHidden/>
              </w:rPr>
              <w:fldChar w:fldCharType="separate"/>
            </w:r>
            <w:r>
              <w:rPr>
                <w:noProof/>
                <w:webHidden/>
              </w:rPr>
              <w:t>6</w:t>
            </w:r>
            <w:r>
              <w:rPr>
                <w:noProof/>
                <w:webHidden/>
              </w:rPr>
              <w:fldChar w:fldCharType="end"/>
            </w:r>
          </w:hyperlink>
        </w:p>
        <w:p w14:paraId="5AC80BAF" w14:textId="05B899C5" w:rsidR="00133A55" w:rsidRDefault="00133A55">
          <w:pPr>
            <w:pStyle w:val="TOC3"/>
            <w:tabs>
              <w:tab w:val="left" w:pos="1320"/>
              <w:tab w:val="right" w:leader="dot" w:pos="9350"/>
            </w:tabs>
            <w:rPr>
              <w:rFonts w:asciiTheme="minorHAnsi" w:eastAsiaTheme="minorEastAsia" w:hAnsiTheme="minorHAnsi"/>
              <w:noProof/>
              <w:sz w:val="22"/>
            </w:rPr>
          </w:pPr>
          <w:hyperlink w:anchor="_Toc82174016" w:history="1">
            <w:r w:rsidRPr="00087CB2">
              <w:rPr>
                <w:rStyle w:val="Hyperlink"/>
                <w:noProof/>
                <w:lang w:val="es-ES_tradnl"/>
              </w:rPr>
              <w:t>3.2.3</w:t>
            </w:r>
            <w:r>
              <w:rPr>
                <w:rFonts w:asciiTheme="minorHAnsi" w:eastAsiaTheme="minorEastAsia" w:hAnsiTheme="minorHAnsi"/>
                <w:noProof/>
                <w:sz w:val="22"/>
              </w:rPr>
              <w:tab/>
            </w:r>
            <w:r w:rsidRPr="00087CB2">
              <w:rPr>
                <w:rStyle w:val="Hyperlink"/>
                <w:noProof/>
                <w:lang w:val="es-ES_tradnl"/>
              </w:rPr>
              <w:t>Oportunidades económicas</w:t>
            </w:r>
            <w:r>
              <w:rPr>
                <w:noProof/>
                <w:webHidden/>
              </w:rPr>
              <w:tab/>
            </w:r>
            <w:r>
              <w:rPr>
                <w:noProof/>
                <w:webHidden/>
              </w:rPr>
              <w:fldChar w:fldCharType="begin"/>
            </w:r>
            <w:r>
              <w:rPr>
                <w:noProof/>
                <w:webHidden/>
              </w:rPr>
              <w:instrText xml:space="preserve"> PAGEREF _Toc82174016 \h </w:instrText>
            </w:r>
            <w:r>
              <w:rPr>
                <w:noProof/>
                <w:webHidden/>
              </w:rPr>
            </w:r>
            <w:r>
              <w:rPr>
                <w:noProof/>
                <w:webHidden/>
              </w:rPr>
              <w:fldChar w:fldCharType="separate"/>
            </w:r>
            <w:r>
              <w:rPr>
                <w:noProof/>
                <w:webHidden/>
              </w:rPr>
              <w:t>6</w:t>
            </w:r>
            <w:r>
              <w:rPr>
                <w:noProof/>
                <w:webHidden/>
              </w:rPr>
              <w:fldChar w:fldCharType="end"/>
            </w:r>
          </w:hyperlink>
        </w:p>
        <w:p w14:paraId="02CD9AE5" w14:textId="47750D18" w:rsidR="003939D6" w:rsidRDefault="003939D6">
          <w:r>
            <w:rPr>
              <w:b/>
              <w:bCs/>
              <w:noProof/>
            </w:rPr>
            <w:fldChar w:fldCharType="end"/>
          </w:r>
        </w:p>
      </w:sdtContent>
    </w:sdt>
    <w:p w14:paraId="449298CA" w14:textId="46FC52BA" w:rsidR="00484803" w:rsidRPr="00484803" w:rsidRDefault="00484803" w:rsidP="00484803">
      <w:pPr>
        <w:spacing w:before="0" w:after="0"/>
        <w:rPr>
          <w:rFonts w:ascii="Arial Narrow" w:hAnsi="Arial Narrow"/>
          <w:b/>
          <w:color w:val="44546A" w:themeColor="text2"/>
          <w:sz w:val="28"/>
          <w:szCs w:val="28"/>
          <w:lang w:val="pt-BR"/>
        </w:rPr>
      </w:pPr>
    </w:p>
    <w:p w14:paraId="13085FDA" w14:textId="5585F358" w:rsidR="001756D6" w:rsidRPr="00484803" w:rsidRDefault="001756D6" w:rsidP="00E82006">
      <w:pPr>
        <w:rPr>
          <w:lang w:val="pt-BR"/>
        </w:rPr>
      </w:pPr>
    </w:p>
    <w:bookmarkEnd w:id="0"/>
    <w:bookmarkEnd w:id="1"/>
    <w:bookmarkEnd w:id="2"/>
    <w:p w14:paraId="1146446E" w14:textId="3DB96217" w:rsidR="00E51999" w:rsidRPr="00484803" w:rsidRDefault="00E51999" w:rsidP="00E82006">
      <w:pPr>
        <w:rPr>
          <w:lang w:val="pt-BR"/>
        </w:rPr>
        <w:sectPr w:rsidR="00E51999" w:rsidRPr="00484803">
          <w:pgSz w:w="12240" w:h="15840"/>
          <w:pgMar w:top="1440" w:right="1440" w:bottom="1440" w:left="1440" w:header="708" w:footer="708" w:gutter="0"/>
          <w:cols w:space="708"/>
          <w:docGrid w:linePitch="360"/>
        </w:sectPr>
      </w:pPr>
    </w:p>
    <w:p w14:paraId="57AA1863" w14:textId="645E8EA1" w:rsidR="00322312" w:rsidRPr="00AA0DF6" w:rsidRDefault="00322312" w:rsidP="00AA0DF6">
      <w:pPr>
        <w:pStyle w:val="Heading1"/>
        <w:numPr>
          <w:ilvl w:val="0"/>
          <w:numId w:val="0"/>
        </w:numPr>
        <w:rPr>
          <w:rFonts w:cs="Arial"/>
          <w:sz w:val="20"/>
          <w:szCs w:val="24"/>
          <w:lang w:val="es-ES_tradnl"/>
        </w:rPr>
      </w:pPr>
      <w:bookmarkStart w:id="3" w:name="_Toc82173999"/>
      <w:r w:rsidRPr="00AA0DF6">
        <w:rPr>
          <w:rFonts w:cs="Arial"/>
          <w:color w:val="44546A" w:themeColor="text2"/>
          <w:sz w:val="40"/>
          <w:szCs w:val="22"/>
          <w:lang w:val="es-BO"/>
        </w:rPr>
        <w:lastRenderedPageBreak/>
        <w:t>Reporte de los avances del apoyo del Banco a los desafíos del choque migratorio venezolano en Colombia</w:t>
      </w:r>
      <w:bookmarkEnd w:id="3"/>
    </w:p>
    <w:p w14:paraId="01A3C7E9" w14:textId="413CE1AA" w:rsidR="00CC4D32" w:rsidRDefault="003F3D17" w:rsidP="00E82006">
      <w:pPr>
        <w:pStyle w:val="Heading1"/>
        <w:rPr>
          <w:lang w:val="es-ES_tradnl"/>
        </w:rPr>
      </w:pPr>
      <w:bookmarkStart w:id="4" w:name="_Toc82174000"/>
      <w:r>
        <w:rPr>
          <w:lang w:val="es-ES_tradnl"/>
        </w:rPr>
        <w:t xml:space="preserve">Resumen del contexto </w:t>
      </w:r>
      <w:r w:rsidR="00CE5820">
        <w:rPr>
          <w:lang w:val="es-ES_tradnl"/>
        </w:rPr>
        <w:t xml:space="preserve">migratorio </w:t>
      </w:r>
      <w:r w:rsidR="00844709">
        <w:rPr>
          <w:lang w:val="es-ES_tradnl"/>
        </w:rPr>
        <w:t>venezolano en Colombia</w:t>
      </w:r>
      <w:bookmarkEnd w:id="4"/>
    </w:p>
    <w:p w14:paraId="7EAAF47C" w14:textId="77777777" w:rsidR="0029651F" w:rsidRPr="0029651F" w:rsidRDefault="0029651F" w:rsidP="0029651F">
      <w:pPr>
        <w:rPr>
          <w:lang w:val="es-ES_tradnl"/>
        </w:rPr>
      </w:pPr>
      <w:r w:rsidRPr="0029651F">
        <w:rPr>
          <w:lang w:val="es-ES_tradnl"/>
        </w:rPr>
        <w:t>Históricamente, Colombia fue referenciado como un país emisor de migrantes a causa de factores económicos y de más de cinco décadas de Conflicto Armado Interno.</w:t>
      </w:r>
    </w:p>
    <w:p w14:paraId="1E98A4D6" w14:textId="77777777" w:rsidR="008A708F" w:rsidRDefault="0029651F" w:rsidP="008A708F">
      <w:pPr>
        <w:rPr>
          <w:szCs w:val="18"/>
          <w:lang w:val="es-BO"/>
        </w:rPr>
      </w:pPr>
      <w:r w:rsidRPr="0029651F">
        <w:rPr>
          <w:lang w:val="es-ES_tradnl"/>
        </w:rPr>
        <w:t xml:space="preserve">Colombia hoy se presenta en América Latina y el Caribe, como el primer país receptor de la migración venezolana con cerca </w:t>
      </w:r>
      <w:r w:rsidRPr="00361A37">
        <w:rPr>
          <w:lang w:val="es-ES_tradnl"/>
        </w:rPr>
        <w:t>de 1,7</w:t>
      </w:r>
      <w:r w:rsidR="00361A37" w:rsidRPr="00361A37">
        <w:rPr>
          <w:lang w:val="es-ES_tradnl"/>
        </w:rPr>
        <w:t>4</w:t>
      </w:r>
      <w:r w:rsidRPr="00361A37">
        <w:rPr>
          <w:lang w:val="es-ES_tradnl"/>
        </w:rPr>
        <w:t xml:space="preserve"> m</w:t>
      </w:r>
      <w:r w:rsidRPr="0029651F">
        <w:rPr>
          <w:lang w:val="es-ES_tradnl"/>
        </w:rPr>
        <w:t xml:space="preserve">illones de ciudadanos en el territorio nacional. A lo que se suma alrededor de </w:t>
      </w:r>
      <w:r w:rsidR="00361A37">
        <w:rPr>
          <w:lang w:val="es-ES_tradnl"/>
        </w:rPr>
        <w:t>400</w:t>
      </w:r>
      <w:r w:rsidRPr="00361A37">
        <w:rPr>
          <w:lang w:val="es-ES_tradnl"/>
        </w:rPr>
        <w:t xml:space="preserve"> mil colombianos que</w:t>
      </w:r>
      <w:r w:rsidRPr="0029651F">
        <w:rPr>
          <w:lang w:val="es-ES_tradnl"/>
        </w:rPr>
        <w:t xml:space="preserve"> han retornado al país.</w:t>
      </w:r>
      <w:r w:rsidR="008A708F" w:rsidRPr="008A708F">
        <w:rPr>
          <w:lang w:val="es-BO"/>
        </w:rPr>
        <w:t xml:space="preserve"> </w:t>
      </w:r>
      <w:r w:rsidR="008A708F" w:rsidRPr="008A708F">
        <w:rPr>
          <w:lang w:val="es-BO"/>
        </w:rPr>
        <w:t>A partir de 2015, Colombia es el principal país de acogida de uno de los mayores éxodos migratorios en la historia del mundo.  Ha recibido a más de 1,74 millones de migrantes venezolanos, lo que equivale al 37,4% del flujo total que ha salido de Venezuela</w:t>
      </w:r>
      <w:r w:rsidR="008A708F" w:rsidRPr="001B7DAC">
        <w:rPr>
          <w:rStyle w:val="FootnoteReference"/>
        </w:rPr>
        <w:footnoteReference w:id="1"/>
      </w:r>
      <w:r w:rsidR="008A708F" w:rsidRPr="008A708F">
        <w:rPr>
          <w:rStyle w:val="FootnoteReference"/>
          <w:lang w:val="es-BO"/>
        </w:rPr>
        <w:t xml:space="preserve"> </w:t>
      </w:r>
      <w:r w:rsidR="008A708F" w:rsidRPr="008A708F">
        <w:rPr>
          <w:lang w:val="es-BO"/>
        </w:rPr>
        <w:t xml:space="preserve"> </w:t>
      </w:r>
      <w:r w:rsidR="008A708F" w:rsidRPr="008A708F">
        <w:rPr>
          <w:szCs w:val="18"/>
          <w:lang w:val="es-BO"/>
        </w:rPr>
        <w:t xml:space="preserve">. </w:t>
      </w:r>
    </w:p>
    <w:p w14:paraId="38DF7D53" w14:textId="70D7B71C" w:rsidR="008A708F" w:rsidRDefault="008A708F" w:rsidP="008A708F">
      <w:pPr>
        <w:rPr>
          <w:color w:val="000000"/>
          <w:szCs w:val="18"/>
          <w:lang w:val="es-BO"/>
        </w:rPr>
      </w:pPr>
      <w:r w:rsidRPr="008A708F">
        <w:rPr>
          <w:szCs w:val="18"/>
          <w:lang w:val="es-BO"/>
        </w:rPr>
        <w:t>Todos los departamentos del país han acogido migrantes</w:t>
      </w:r>
      <w:r w:rsidRPr="004C0CF3">
        <w:rPr>
          <w:rStyle w:val="FootnoteReference"/>
        </w:rPr>
        <w:footnoteReference w:id="2"/>
      </w:r>
      <w:r w:rsidRPr="008A708F">
        <w:rPr>
          <w:szCs w:val="18"/>
          <w:lang w:val="es-BO"/>
        </w:rPr>
        <w:t>, siendo las 10 principales ciudades receptoras: (i) Bogotá con 340.711 (4,4% de la población de Bogotá); (</w:t>
      </w:r>
      <w:proofErr w:type="spellStart"/>
      <w:r w:rsidRPr="008A708F">
        <w:rPr>
          <w:szCs w:val="18"/>
          <w:lang w:val="es-BO"/>
        </w:rPr>
        <w:t>ii</w:t>
      </w:r>
      <w:proofErr w:type="spellEnd"/>
      <w:r w:rsidRPr="008A708F">
        <w:rPr>
          <w:szCs w:val="18"/>
          <w:lang w:val="es-BO"/>
        </w:rPr>
        <w:t>)</w:t>
      </w:r>
      <w:r w:rsidRPr="008A708F">
        <w:rPr>
          <w:color w:val="000000"/>
          <w:szCs w:val="18"/>
          <w:lang w:val="es-BO"/>
        </w:rPr>
        <w:t xml:space="preserve"> </w:t>
      </w:r>
      <w:r w:rsidRPr="008A708F">
        <w:rPr>
          <w:szCs w:val="18"/>
          <w:lang w:val="es-BO"/>
        </w:rPr>
        <w:t>Barranquilla 97.494 (7,6% de la población de Barranquilla)</w:t>
      </w:r>
      <w:r w:rsidRPr="008A708F">
        <w:rPr>
          <w:color w:val="000000"/>
          <w:szCs w:val="18"/>
          <w:lang w:val="es-BO"/>
        </w:rPr>
        <w:t>; (</w:t>
      </w:r>
      <w:proofErr w:type="spellStart"/>
      <w:r w:rsidRPr="008A708F">
        <w:rPr>
          <w:color w:val="000000"/>
          <w:szCs w:val="18"/>
          <w:lang w:val="es-BO"/>
        </w:rPr>
        <w:t>iii</w:t>
      </w:r>
      <w:proofErr w:type="spellEnd"/>
      <w:r w:rsidRPr="008A708F">
        <w:rPr>
          <w:color w:val="000000"/>
          <w:szCs w:val="18"/>
          <w:lang w:val="es-BO"/>
        </w:rPr>
        <w:t xml:space="preserve">) </w:t>
      </w:r>
      <w:r w:rsidRPr="008A708F">
        <w:rPr>
          <w:szCs w:val="18"/>
          <w:lang w:val="es-BO"/>
        </w:rPr>
        <w:t>Cúcuta 94.847 (12% de la población de Cúcuta); (</w:t>
      </w:r>
      <w:proofErr w:type="spellStart"/>
      <w:r w:rsidRPr="008A708F">
        <w:rPr>
          <w:szCs w:val="18"/>
          <w:lang w:val="es-BO"/>
        </w:rPr>
        <w:t>iv</w:t>
      </w:r>
      <w:proofErr w:type="spellEnd"/>
      <w:r w:rsidRPr="008A708F">
        <w:rPr>
          <w:szCs w:val="18"/>
          <w:lang w:val="es-BO"/>
        </w:rPr>
        <w:t>) Medellín 90.100 (3,5% de la población de Medellín)</w:t>
      </w:r>
      <w:r w:rsidRPr="008A708F">
        <w:rPr>
          <w:color w:val="000000"/>
          <w:szCs w:val="18"/>
          <w:lang w:val="es-BO"/>
        </w:rPr>
        <w:t xml:space="preserve">; (v) </w:t>
      </w:r>
      <w:r w:rsidRPr="008A708F">
        <w:rPr>
          <w:szCs w:val="18"/>
          <w:lang w:val="es-BO"/>
        </w:rPr>
        <w:t>Cali 59.571 (2,6% de la población de Cali); (vi) Cartagena 51.589 (5% de la población de Cartagena)</w:t>
      </w:r>
      <w:r w:rsidRPr="008A708F">
        <w:rPr>
          <w:color w:val="000000"/>
          <w:szCs w:val="18"/>
          <w:lang w:val="es-BO"/>
        </w:rPr>
        <w:t>; (</w:t>
      </w:r>
      <w:proofErr w:type="spellStart"/>
      <w:r w:rsidRPr="008A708F">
        <w:rPr>
          <w:color w:val="000000"/>
          <w:szCs w:val="18"/>
          <w:lang w:val="es-BO"/>
        </w:rPr>
        <w:t>vii</w:t>
      </w:r>
      <w:proofErr w:type="spellEnd"/>
      <w:r w:rsidRPr="008A708F">
        <w:rPr>
          <w:color w:val="000000"/>
          <w:szCs w:val="18"/>
          <w:lang w:val="es-BO"/>
        </w:rPr>
        <w:t>) Maicao 51.361 (27% de la población de Maicao); (</w:t>
      </w:r>
      <w:proofErr w:type="spellStart"/>
      <w:r w:rsidRPr="008A708F">
        <w:rPr>
          <w:color w:val="000000"/>
          <w:szCs w:val="18"/>
          <w:lang w:val="es-BO"/>
        </w:rPr>
        <w:t>viii</w:t>
      </w:r>
      <w:proofErr w:type="spellEnd"/>
      <w:r w:rsidRPr="008A708F">
        <w:rPr>
          <w:color w:val="000000"/>
          <w:szCs w:val="18"/>
          <w:lang w:val="es-BO"/>
        </w:rPr>
        <w:t>) Riohacha 47.172 (23% de la población de Riohacha); (</w:t>
      </w:r>
      <w:proofErr w:type="spellStart"/>
      <w:r w:rsidRPr="008A708F">
        <w:rPr>
          <w:color w:val="000000"/>
          <w:szCs w:val="18"/>
          <w:lang w:val="es-BO"/>
        </w:rPr>
        <w:t>ix</w:t>
      </w:r>
      <w:proofErr w:type="spellEnd"/>
      <w:r w:rsidRPr="008A708F">
        <w:rPr>
          <w:color w:val="000000"/>
          <w:szCs w:val="18"/>
          <w:lang w:val="es-BO"/>
        </w:rPr>
        <w:t>) Santa Marta 41.693 (7.7% de la población de Santa Marta); (x) y Bucaramanga 41.132 (6,7% de la población de Bucaramanga). Las estimaciones atribuibles al choque migratorio por el Marco Fiscal de Mediano Plazo 2020 (MFMP) calculan un costo fiscal del 0,5% del PIB para 2019. Durante el período 2017-2019, los gastos en salud para la población migrante se estimaron en 0,06% del PIB, mientras que los gastos en educación y primera infancia en el orden del 0,04%. (Banco de la República)</w:t>
      </w:r>
    </w:p>
    <w:p w14:paraId="4BA9986C" w14:textId="4C92DAC4" w:rsidR="0029651F" w:rsidRPr="0029651F" w:rsidRDefault="0029651F" w:rsidP="008A708F">
      <w:pPr>
        <w:rPr>
          <w:lang w:val="es-ES_tradnl"/>
        </w:rPr>
      </w:pPr>
      <w:r w:rsidRPr="001C7FCD">
        <w:rPr>
          <w:b/>
          <w:bCs/>
          <w:lang w:val="es-ES_tradnl"/>
        </w:rPr>
        <w:t>Los</w:t>
      </w:r>
      <w:r w:rsidRPr="0029651F">
        <w:rPr>
          <w:lang w:val="es-ES_tradnl"/>
        </w:rPr>
        <w:t xml:space="preserve"> </w:t>
      </w:r>
      <w:r w:rsidRPr="001C7FCD">
        <w:rPr>
          <w:b/>
          <w:bCs/>
          <w:lang w:val="es-ES_tradnl"/>
        </w:rPr>
        <w:t>migrantes son altamente vulnerables</w:t>
      </w:r>
      <w:r w:rsidRPr="0029651F">
        <w:rPr>
          <w:lang w:val="es-ES_tradnl"/>
        </w:rPr>
        <w:t xml:space="preserve">. el 87% vive con menos de un salario mínimo, el 12% entre uno y dos salarios mínimos y el 1% con dos salarios mínimos al mes; indica igualmente, que el 76% salió de </w:t>
      </w:r>
      <w:proofErr w:type="spellStart"/>
      <w:r w:rsidRPr="0029651F">
        <w:rPr>
          <w:lang w:val="es-ES_tradnl"/>
        </w:rPr>
        <w:t>venezuela</w:t>
      </w:r>
      <w:proofErr w:type="spellEnd"/>
      <w:r w:rsidRPr="0029651F">
        <w:rPr>
          <w:lang w:val="es-ES_tradnl"/>
        </w:rPr>
        <w:t xml:space="preserve"> por motivos económicos, el 10% por falta de alimentos y el 4% por razones políticas; por último, el 86% de los encuestados manifestó vivir en arriendo. La crisis económica provocada por la pandemia de la COVID-19 afectó a los migrantes en mayor medida debido a las ocupaciones laborales que ocupaban, y al poco grado de formalidad en la relación laboral. De acuerdo con el informe del Banco de la Republica: Migración desde Venezuela en Colombia: caracterización del fenómeno y análisis de los efectos macroeconómicos, 2020, el 53,5% de los migrantes de esta nacionalidad trabaja en los sectores de comercio, restaurantes, hoteles y servicios. Así mismo la tasa de participación en el mercado laboral es del 79,6%, frente al 65,4% de las personas no migrantes</w:t>
      </w:r>
    </w:p>
    <w:p w14:paraId="00344B0F" w14:textId="2E683645" w:rsidR="00844709" w:rsidRDefault="0029651F" w:rsidP="0029651F">
      <w:pPr>
        <w:rPr>
          <w:lang w:val="es-ES_tradnl"/>
        </w:rPr>
      </w:pPr>
      <w:r w:rsidRPr="001C7FCD">
        <w:rPr>
          <w:b/>
          <w:bCs/>
          <w:lang w:val="es-ES_tradnl"/>
        </w:rPr>
        <w:t>El impacto sobre la economía del flujo migratorio es sustantivo</w:t>
      </w:r>
      <w:r w:rsidRPr="0029651F">
        <w:rPr>
          <w:lang w:val="es-ES_tradnl"/>
        </w:rPr>
        <w:t>. La migración procedente de Venezuela aumentaría el crecimiento anual en casi un 0.3% en los próximos años. Por otro lado, el gasto fiscal adicional que provoca esta migración es de aproximadamente 0.6% del PIB. Una integración rápida y completa de los migrantes permitirá una mayor contribución a la economía y una reducción de este costo fiscal.</w:t>
      </w:r>
    </w:p>
    <w:p w14:paraId="6A2F5396" w14:textId="6E2CCE65" w:rsidR="0060230C" w:rsidRDefault="00AD105B" w:rsidP="00E82006">
      <w:pPr>
        <w:pStyle w:val="Heading1"/>
        <w:rPr>
          <w:lang w:val="es-ES_tradnl"/>
        </w:rPr>
      </w:pPr>
      <w:bookmarkStart w:id="5" w:name="_Toc82174001"/>
      <w:r>
        <w:rPr>
          <w:lang w:val="es-ES_tradnl"/>
        </w:rPr>
        <w:lastRenderedPageBreak/>
        <w:t>A</w:t>
      </w:r>
      <w:r w:rsidRPr="00AD105B">
        <w:rPr>
          <w:lang w:val="es-ES_tradnl"/>
        </w:rPr>
        <w:t xml:space="preserve">vances en </w:t>
      </w:r>
      <w:r>
        <w:rPr>
          <w:lang w:val="es-ES_tradnl"/>
        </w:rPr>
        <w:t>C</w:t>
      </w:r>
      <w:r w:rsidRPr="00AD105B">
        <w:rPr>
          <w:lang w:val="es-ES_tradnl"/>
        </w:rPr>
        <w:t>olombia para la regularización de ciudadanos venezolanos</w:t>
      </w:r>
      <w:r>
        <w:rPr>
          <w:lang w:val="es-ES_tradnl"/>
        </w:rPr>
        <w:t>.</w:t>
      </w:r>
      <w:bookmarkEnd w:id="5"/>
    </w:p>
    <w:p w14:paraId="5299D401" w14:textId="77777777" w:rsidR="00A8682A" w:rsidRPr="00A8682A" w:rsidRDefault="00A8682A" w:rsidP="00A8682A">
      <w:pPr>
        <w:rPr>
          <w:lang w:val="es-ES_tradnl"/>
        </w:rPr>
      </w:pPr>
      <w:r w:rsidRPr="00A8682A">
        <w:rPr>
          <w:lang w:val="es-ES_tradnl"/>
        </w:rPr>
        <w:t>Ante la magnitud del desplazamiento y el éxodo masivo hacia Colombia de la población venezolana y de colombianos retornados desde el año 2015, el Gobierno Nacional ha venido adoptando una serie de medidas con el objeto de gestionar dichos flujos migratorios, brindando atención, asistencia y garantía de protección humanitaria. Estas acciones se han encaminado al fortalecimiento de un marco normativo, jurídico e institucional para otorgar una respuesta integral y oportuna a las crecientes necesidades de la población migrante venezolana. A continuación, se destacan seis grandes hitos:</w:t>
      </w:r>
    </w:p>
    <w:p w14:paraId="2425B73D" w14:textId="77777777" w:rsidR="00A8682A" w:rsidRDefault="00A8682A" w:rsidP="00A8682A">
      <w:pPr>
        <w:pStyle w:val="Heading2"/>
        <w:rPr>
          <w:lang w:val="es-ES_tradnl"/>
        </w:rPr>
      </w:pPr>
      <w:bookmarkStart w:id="6" w:name="_Toc82174002"/>
      <w:r w:rsidRPr="00A8682A">
        <w:rPr>
          <w:lang w:val="es-ES_tradnl"/>
        </w:rPr>
        <w:t>Permiso Especial De Permanencia-PEP</w:t>
      </w:r>
      <w:r>
        <w:rPr>
          <w:lang w:val="es-ES_tradnl"/>
        </w:rPr>
        <w:t>.</w:t>
      </w:r>
      <w:bookmarkEnd w:id="6"/>
    </w:p>
    <w:p w14:paraId="7424BB8D" w14:textId="55F36B36" w:rsidR="00A8682A" w:rsidRPr="00A8682A" w:rsidRDefault="00A8682A" w:rsidP="00A8682A">
      <w:pPr>
        <w:rPr>
          <w:lang w:val="es-ES_tradnl"/>
        </w:rPr>
      </w:pPr>
      <w:r w:rsidRPr="00A8682A">
        <w:rPr>
          <w:lang w:val="es-ES_tradnl"/>
        </w:rPr>
        <w:t xml:space="preserve">Una de las primeras medidas enfocadas en gestionar esta migración fue la expedición del PEP mediante Resolución 5797 de 2017, como mecanismo de regularización de la permanencia de los venezolanos que ingresaron regularmente y que los habilitaba por un periodo de dos (2) años para ejercer cualquier actividad u ocupación legal en el país, el acceso a servicios financieros, al sistema de salud, entre otros. Dicho instrumento ha presentado diferentes etapas y renovaciones en busca de ampliar su cobertura. En virtud de este mecanismo, para el año 2018, el gobierno nacional en cabeza de la Unidad Nacional para la Gestión del Riesgo de Desastres-UNGRD realizó la primera jornada de caracterización a través del Registro Único de Migrantes Venezolanos-RAMV a más de 440 mil migrantes, que se constituyó como </w:t>
      </w:r>
      <w:proofErr w:type="spellStart"/>
      <w:r w:rsidRPr="00A8682A">
        <w:rPr>
          <w:lang w:val="es-ES_tradnl"/>
        </w:rPr>
        <w:t>mencanismo</w:t>
      </w:r>
      <w:proofErr w:type="spellEnd"/>
      <w:r w:rsidRPr="00A8682A">
        <w:rPr>
          <w:lang w:val="es-ES_tradnl"/>
        </w:rPr>
        <w:t xml:space="preserve"> de regularización y de enfoque a las acciones del Estado para atender dicha población</w:t>
      </w:r>
    </w:p>
    <w:p w14:paraId="4C4C0D07" w14:textId="1C9CA7ED" w:rsidR="00A8682A" w:rsidRDefault="00A8682A" w:rsidP="00A8682A">
      <w:pPr>
        <w:pStyle w:val="Heading2"/>
        <w:rPr>
          <w:lang w:val="es-ES_tradnl"/>
        </w:rPr>
      </w:pPr>
      <w:bookmarkStart w:id="7" w:name="_Toc82174003"/>
      <w:r w:rsidRPr="00A8682A">
        <w:rPr>
          <w:lang w:val="es-ES_tradnl"/>
        </w:rPr>
        <w:t xml:space="preserve">Gerencia de Fronteras-Despacho del </w:t>
      </w:r>
      <w:proofErr w:type="gramStart"/>
      <w:r w:rsidRPr="00A8682A">
        <w:rPr>
          <w:lang w:val="es-ES_tradnl"/>
        </w:rPr>
        <w:t>Presidente</w:t>
      </w:r>
      <w:proofErr w:type="gramEnd"/>
      <w:r w:rsidRPr="00A8682A">
        <w:rPr>
          <w:lang w:val="es-ES_tradnl"/>
        </w:rPr>
        <w:t xml:space="preserve"> de la República</w:t>
      </w:r>
      <w:r>
        <w:rPr>
          <w:lang w:val="es-ES_tradnl"/>
        </w:rPr>
        <w:t>.</w:t>
      </w:r>
      <w:bookmarkEnd w:id="7"/>
    </w:p>
    <w:p w14:paraId="5C012F53" w14:textId="795D979A" w:rsidR="00A8682A" w:rsidRPr="00A8682A" w:rsidRDefault="00A8682A" w:rsidP="00A8682A">
      <w:pPr>
        <w:rPr>
          <w:lang w:val="es-ES_tradnl"/>
        </w:rPr>
      </w:pPr>
      <w:r>
        <w:rPr>
          <w:lang w:val="es-ES_tradnl"/>
        </w:rPr>
        <w:t>P</w:t>
      </w:r>
      <w:r w:rsidRPr="00A8682A">
        <w:rPr>
          <w:lang w:val="es-ES_tradnl"/>
        </w:rPr>
        <w:t xml:space="preserve">ara facilitar la coordinación del gobierno nacional y su articulación con los gobiernos territoriales y locales, así como también con los demás sectores y agencias de cooperación internacional, se estableció la Gerencia de Fronteras en febrero de 2018, lo que ha permitido la alineación y planeación estratégica de la migración en el corto, mediano y largo plazo y así enfocar la respuesta estatal en los procesos de atención, asistencia e integración socioeconómica de la migración venezolana en el país. </w:t>
      </w:r>
    </w:p>
    <w:p w14:paraId="256AD716" w14:textId="77777777" w:rsidR="00A8682A" w:rsidRDefault="00A8682A" w:rsidP="00A8682A">
      <w:pPr>
        <w:pStyle w:val="Heading2"/>
        <w:rPr>
          <w:lang w:val="es-ES_tradnl"/>
        </w:rPr>
      </w:pPr>
      <w:bookmarkStart w:id="8" w:name="_Toc82174004"/>
      <w:r w:rsidRPr="00A8682A">
        <w:rPr>
          <w:lang w:val="es-ES_tradnl"/>
        </w:rPr>
        <w:t>Participación en escenarios de integración regional en torno a la migración venezolana</w:t>
      </w:r>
      <w:r>
        <w:rPr>
          <w:lang w:val="es-ES_tradnl"/>
        </w:rPr>
        <w:t>.</w:t>
      </w:r>
      <w:bookmarkEnd w:id="8"/>
    </w:p>
    <w:p w14:paraId="64C78C30" w14:textId="2D7EFFAA" w:rsidR="00A8682A" w:rsidRPr="00A8682A" w:rsidRDefault="00A8682A" w:rsidP="00A8682A">
      <w:pPr>
        <w:rPr>
          <w:lang w:val="es-ES_tradnl"/>
        </w:rPr>
      </w:pPr>
      <w:r>
        <w:rPr>
          <w:lang w:val="es-ES_tradnl"/>
        </w:rPr>
        <w:t>E</w:t>
      </w:r>
      <w:r w:rsidRPr="00A8682A">
        <w:rPr>
          <w:lang w:val="es-ES_tradnl"/>
        </w:rPr>
        <w:t xml:space="preserve">l gobierno de Colombia en cabeza del Presidente de la República, ha participado e impulsado procesos regionales no vinculantes como el Grupo de Lima, creado en 2017 e integrado por 12 países, como un escenario político que propende por apoyar la transición hacia la democracia en Venezuela; así como también, el Proceso de Quito, formado en 2018 y firmado por 13 países, que busca dar respuesta a la crisis migratoria de ciudadanos venezolanos en la región, realizando alianzas para el intercambio de información, la facilidad en la movilidad humana y la búsqueda de cooperación técnica y financiera que les permita atender la migración en sus países. </w:t>
      </w:r>
    </w:p>
    <w:p w14:paraId="008E4A14" w14:textId="77777777" w:rsidR="00A8682A" w:rsidRDefault="00A8682A" w:rsidP="00A8682A">
      <w:pPr>
        <w:pStyle w:val="Heading2"/>
        <w:rPr>
          <w:lang w:val="es-ES_tradnl"/>
        </w:rPr>
      </w:pPr>
      <w:bookmarkStart w:id="9" w:name="_Toc82174005"/>
      <w:r w:rsidRPr="00A8682A">
        <w:rPr>
          <w:lang w:val="es-ES_tradnl"/>
        </w:rPr>
        <w:t>Consejo Nacional de Política Económica y Social-CONPES 3950 de noviembre de 2018</w:t>
      </w:r>
      <w:r>
        <w:rPr>
          <w:lang w:val="es-ES_tradnl"/>
        </w:rPr>
        <w:t>.</w:t>
      </w:r>
      <w:bookmarkEnd w:id="9"/>
    </w:p>
    <w:p w14:paraId="5782417B" w14:textId="748F469E" w:rsidR="00A8682A" w:rsidRPr="00A8682A" w:rsidRDefault="00A8682A" w:rsidP="00A8682A">
      <w:pPr>
        <w:rPr>
          <w:lang w:val="es-ES_tradnl"/>
        </w:rPr>
      </w:pPr>
      <w:r w:rsidRPr="00A8682A">
        <w:rPr>
          <w:lang w:val="es-ES_tradnl"/>
        </w:rPr>
        <w:t xml:space="preserve">Como primer lineamiento de política pública para atender la migración masiva por parte de ciudadanos venezolanos a Colombia, propone estrategias y propende generar contextos favorables para su atención, asistencia e inclusión en nuestro país, dictando líneas de gestión para los diferentes sectores de gobierno e instituciones tales como el ICBF, el Ministerio de Salud, la UNGRD, el SENA, el Ministerio de Educación, el Ministerio de Trabajo, Migración Colombia, entre otras. </w:t>
      </w:r>
    </w:p>
    <w:p w14:paraId="4AFCAA08" w14:textId="77777777" w:rsidR="00A8682A" w:rsidRDefault="00A8682A" w:rsidP="00A8682A">
      <w:pPr>
        <w:pStyle w:val="Heading2"/>
        <w:rPr>
          <w:lang w:val="es-ES_tradnl"/>
        </w:rPr>
      </w:pPr>
      <w:bookmarkStart w:id="10" w:name="_Toc82174006"/>
      <w:r w:rsidRPr="00A8682A">
        <w:rPr>
          <w:lang w:val="es-ES_tradnl"/>
        </w:rPr>
        <w:t>Nacionalización de menores nacidos en Colombia de padres venezolanos</w:t>
      </w:r>
      <w:r>
        <w:rPr>
          <w:lang w:val="es-ES_tradnl"/>
        </w:rPr>
        <w:t>.</w:t>
      </w:r>
      <w:bookmarkEnd w:id="10"/>
    </w:p>
    <w:p w14:paraId="7C4FCABB" w14:textId="44496003" w:rsidR="00A8682A" w:rsidRPr="00A8682A" w:rsidRDefault="00A8682A" w:rsidP="00A8682A">
      <w:pPr>
        <w:rPr>
          <w:lang w:val="es-ES_tradnl"/>
        </w:rPr>
      </w:pPr>
      <w:r>
        <w:rPr>
          <w:lang w:val="es-ES_tradnl"/>
        </w:rPr>
        <w:t>C</w:t>
      </w:r>
      <w:r w:rsidRPr="00A8682A">
        <w:rPr>
          <w:lang w:val="es-ES_tradnl"/>
        </w:rPr>
        <w:t xml:space="preserve">on el objeto de prevenir el riesgo de apatridia de más de 25 mil menores nacidos en Colombia a 2019, la Registraduría Nacional, Migración Colombia y el Ministerio de Relaciones Exteriores, emite la Resolución 8470 de 2019, (posteriormente, se aprobó la Ley 1997 de 2019), mediante la cual se adopta una medida </w:t>
      </w:r>
      <w:r w:rsidRPr="00A8682A">
        <w:rPr>
          <w:lang w:val="es-ES_tradnl"/>
        </w:rPr>
        <w:lastRenderedPageBreak/>
        <w:t xml:space="preserve">temporal y excepcional que permita omitir el requisito del domicilio a los padres venezolanos y de esta forma acreditar la nacionalidad de los menores nacidos en Colombia; dicha medida se extenderá durante dos años adicionales luego de su expedición. A la fecha, se le ha otorgado la nacionalidad a más de 45 mil niños. </w:t>
      </w:r>
    </w:p>
    <w:p w14:paraId="49688E8E" w14:textId="77777777" w:rsidR="00A8682A" w:rsidRDefault="00A8682A" w:rsidP="00A8682A">
      <w:pPr>
        <w:pStyle w:val="Heading2"/>
        <w:rPr>
          <w:lang w:val="es-ES_tradnl"/>
        </w:rPr>
      </w:pPr>
      <w:bookmarkStart w:id="11" w:name="_Toc82174007"/>
      <w:r w:rsidRPr="00A8682A">
        <w:rPr>
          <w:lang w:val="es-ES_tradnl"/>
        </w:rPr>
        <w:t>Estatuto Temporal de Protección para Migrantes Venezolanos Bajo Régimen de Protección Temporal-ETPV</w:t>
      </w:r>
      <w:r>
        <w:rPr>
          <w:lang w:val="es-ES_tradnl"/>
        </w:rPr>
        <w:t>.</w:t>
      </w:r>
      <w:bookmarkEnd w:id="11"/>
    </w:p>
    <w:p w14:paraId="483A7D52" w14:textId="0D96094A" w:rsidR="00A8682A" w:rsidRPr="00A8682A" w:rsidRDefault="00A8682A" w:rsidP="00A8682A">
      <w:pPr>
        <w:rPr>
          <w:lang w:val="es-ES_tradnl"/>
        </w:rPr>
      </w:pPr>
      <w:r>
        <w:rPr>
          <w:lang w:val="es-ES_tradnl"/>
        </w:rPr>
        <w:t>R</w:t>
      </w:r>
      <w:r w:rsidRPr="00A8682A">
        <w:rPr>
          <w:lang w:val="es-ES_tradnl"/>
        </w:rPr>
        <w:t xml:space="preserve">ecientemente, el 01 de marzo de 2021, el </w:t>
      </w:r>
      <w:proofErr w:type="gramStart"/>
      <w:r w:rsidRPr="00A8682A">
        <w:rPr>
          <w:lang w:val="es-ES_tradnl"/>
        </w:rPr>
        <w:t>Presidente</w:t>
      </w:r>
      <w:proofErr w:type="gramEnd"/>
      <w:r w:rsidRPr="00A8682A">
        <w:rPr>
          <w:lang w:val="es-ES_tradnl"/>
        </w:rPr>
        <w:t xml:space="preserve"> de la República Iván Duque Márquez, firmó el Decreto 216, mediante el cual se expide el ETPV como un mecanismo jurídico de protección temporal durante diez (10) años, para la población migrante venezolana que se encuentra dentro del territorio nacional indistintamente de su condición migratoria. El ETPV establece medidas adicionales para el registro de información de dicha población mediante la creación del Registro Único de Migrantes Venezolanos y el otorgamiento de un beneficio de regularización a través el Permiso por Protección Temporal. </w:t>
      </w:r>
    </w:p>
    <w:p w14:paraId="578DD890" w14:textId="593432E7" w:rsidR="00A8682A" w:rsidRPr="00A8682A" w:rsidRDefault="00A8682A" w:rsidP="00D22AD0">
      <w:pPr>
        <w:pStyle w:val="Heading3"/>
        <w:rPr>
          <w:lang w:val="es-ES_tradnl"/>
        </w:rPr>
      </w:pPr>
      <w:bookmarkStart w:id="12" w:name="_Toc82174008"/>
      <w:r w:rsidRPr="00A8682A">
        <w:rPr>
          <w:lang w:val="es-ES_tradnl"/>
        </w:rPr>
        <w:t>Características del Registro Único de Migrantes Venezolanos-RUMV</w:t>
      </w:r>
      <w:bookmarkEnd w:id="12"/>
    </w:p>
    <w:p w14:paraId="3207149C" w14:textId="53544B4E" w:rsidR="00A8682A" w:rsidRPr="00A8682A" w:rsidRDefault="00A8682A" w:rsidP="00A8682A">
      <w:pPr>
        <w:rPr>
          <w:lang w:val="es-ES_tradnl"/>
        </w:rPr>
      </w:pPr>
      <w:r w:rsidRPr="00A8682A">
        <w:rPr>
          <w:lang w:val="es-ES_tradnl"/>
        </w:rPr>
        <w:t xml:space="preserve">Tendrá como finalidad recaudar y actualizar información como insumo para la formulación y diseño de políticas públicas, así como la identificación a los migrantes de nacionalidad venezolana. </w:t>
      </w:r>
    </w:p>
    <w:p w14:paraId="54AE63D6" w14:textId="34CE179B" w:rsidR="00A8682A" w:rsidRPr="00A8682A" w:rsidRDefault="00A8682A" w:rsidP="00A8682A">
      <w:pPr>
        <w:rPr>
          <w:lang w:val="es-ES_tradnl"/>
        </w:rPr>
      </w:pPr>
      <w:r w:rsidRPr="00A8682A">
        <w:rPr>
          <w:lang w:val="es-ES_tradnl"/>
        </w:rPr>
        <w:t>Estará a cargo de Migración Colombia, quien dispondrá las características, diseño e implementación del RUMV.</w:t>
      </w:r>
    </w:p>
    <w:p w14:paraId="4138E74D" w14:textId="18BA0D6D" w:rsidR="00A8682A" w:rsidRPr="00A8682A" w:rsidRDefault="00A8682A" w:rsidP="00A8682A">
      <w:pPr>
        <w:rPr>
          <w:lang w:val="es-ES_tradnl"/>
        </w:rPr>
      </w:pPr>
      <w:r w:rsidRPr="00A8682A">
        <w:rPr>
          <w:lang w:val="es-ES_tradnl"/>
        </w:rPr>
        <w:t>La información recaudada a través del RUMV no podrá usarse con fines sancionatorios.</w:t>
      </w:r>
    </w:p>
    <w:p w14:paraId="3F0E57A7" w14:textId="3F510589" w:rsidR="00A8682A" w:rsidRPr="00A8682A" w:rsidRDefault="00A8682A" w:rsidP="00A8682A">
      <w:pPr>
        <w:rPr>
          <w:lang w:val="es-ES_tradnl"/>
        </w:rPr>
      </w:pPr>
      <w:r w:rsidRPr="00A8682A">
        <w:rPr>
          <w:lang w:val="es-ES_tradnl"/>
        </w:rPr>
        <w:t xml:space="preserve">Son sujetos del registro los migrantes venezolanos se encuentren en el territorio nacional de forma regular e irregular, al igual quienes ingresen regularmente 2 años después de la vigencia del ETPV. </w:t>
      </w:r>
    </w:p>
    <w:p w14:paraId="244583FA" w14:textId="2E290EA3" w:rsidR="00A8682A" w:rsidRPr="00A8682A" w:rsidRDefault="00A8682A" w:rsidP="00A8682A">
      <w:pPr>
        <w:rPr>
          <w:lang w:val="es-ES_tradnl"/>
        </w:rPr>
      </w:pPr>
      <w:r w:rsidRPr="00A8682A">
        <w:rPr>
          <w:lang w:val="es-ES_tradnl"/>
        </w:rPr>
        <w:t xml:space="preserve">Deberán presentar algún documento de identidad como pasaporte, cédula venezolana, PEP, acta de nacimiento y cumplir con los demás requisitos que establece el ETPV. </w:t>
      </w:r>
    </w:p>
    <w:p w14:paraId="79A43D96" w14:textId="7CC7FD80" w:rsidR="00A8682A" w:rsidRPr="00A8682A" w:rsidRDefault="00A8682A" w:rsidP="00D22AD0">
      <w:pPr>
        <w:pStyle w:val="Heading3"/>
        <w:rPr>
          <w:lang w:val="es-ES_tradnl"/>
        </w:rPr>
      </w:pPr>
      <w:bookmarkStart w:id="13" w:name="_Toc82174009"/>
      <w:r w:rsidRPr="00A8682A">
        <w:rPr>
          <w:lang w:val="es-ES_tradnl"/>
        </w:rPr>
        <w:t>Características del Permiso por Protección Temporal-PPT</w:t>
      </w:r>
      <w:bookmarkEnd w:id="13"/>
    </w:p>
    <w:p w14:paraId="7FFE8299" w14:textId="21792895" w:rsidR="00A8682A" w:rsidRPr="00A8682A" w:rsidRDefault="00A8682A" w:rsidP="00A8682A">
      <w:pPr>
        <w:rPr>
          <w:lang w:val="es-ES_tradnl"/>
        </w:rPr>
      </w:pPr>
      <w:r w:rsidRPr="00A8682A">
        <w:rPr>
          <w:lang w:val="es-ES_tradnl"/>
        </w:rPr>
        <w:t xml:space="preserve">Es un mecanismo de regularización migratoria y un documento de identidad que autoriza a los migrantes venezolanos a permanecer en el territorio nacional durante 10 años (vigencia del Estatuto) y ejercer una actividad u ocupación legal en el país. </w:t>
      </w:r>
    </w:p>
    <w:p w14:paraId="61E52CA7" w14:textId="3C482237" w:rsidR="00A8682A" w:rsidRPr="00A8682A" w:rsidRDefault="00A8682A" w:rsidP="00A8682A">
      <w:pPr>
        <w:rPr>
          <w:lang w:val="es-ES_tradnl"/>
        </w:rPr>
      </w:pPr>
      <w:r w:rsidRPr="00A8682A">
        <w:rPr>
          <w:lang w:val="es-ES_tradnl"/>
        </w:rPr>
        <w:t xml:space="preserve">Será desarrollado, implementado y expedido por Migración Colombia </w:t>
      </w:r>
    </w:p>
    <w:p w14:paraId="2FEEF349" w14:textId="5E12E70B" w:rsidR="00A8682A" w:rsidRPr="00A8682A" w:rsidRDefault="00A8682A" w:rsidP="00A8682A">
      <w:pPr>
        <w:rPr>
          <w:lang w:val="es-ES_tradnl"/>
        </w:rPr>
      </w:pPr>
      <w:r w:rsidRPr="00A8682A">
        <w:rPr>
          <w:lang w:val="es-ES_tradnl"/>
        </w:rPr>
        <w:t xml:space="preserve">Para otorgar el PPT, se deberá estar incluido en el RUMV y surtir otros requisitos adicionales. </w:t>
      </w:r>
    </w:p>
    <w:p w14:paraId="53C767B4" w14:textId="16366BF6" w:rsidR="00A8682A" w:rsidRPr="00A8682A" w:rsidRDefault="00A8682A" w:rsidP="00D22AD0">
      <w:pPr>
        <w:pStyle w:val="Heading3"/>
        <w:rPr>
          <w:lang w:val="es-ES_tradnl"/>
        </w:rPr>
      </w:pPr>
      <w:bookmarkStart w:id="14" w:name="_Toc82174010"/>
      <w:r w:rsidRPr="00A8682A">
        <w:rPr>
          <w:lang w:val="es-ES_tradnl"/>
        </w:rPr>
        <w:t>Camino hacia la Visa de Residente</w:t>
      </w:r>
      <w:bookmarkEnd w:id="14"/>
    </w:p>
    <w:p w14:paraId="47F6DC7F" w14:textId="3D5142E0" w:rsidR="00AD105B" w:rsidRPr="00AD105B" w:rsidRDefault="00A8682A" w:rsidP="00A8682A">
      <w:pPr>
        <w:rPr>
          <w:lang w:val="es-ES_tradnl"/>
        </w:rPr>
      </w:pPr>
      <w:r w:rsidRPr="00A8682A">
        <w:rPr>
          <w:lang w:val="es-ES_tradnl"/>
        </w:rPr>
        <w:t>El Estatuto, reconoce el tiempo de permanencia en el territorio colombiano portando el PPT y el PEP, lo que les permite a los ciudadanos venezolanos poder acceder previo el cumplimiento de temporalidad a una Visa de Residente que, hacia el futuro, les permitiría solicitar la nacionalidad colombiana por adopción si lo quiere.</w:t>
      </w:r>
    </w:p>
    <w:p w14:paraId="2CA1DF28" w14:textId="46A479EE" w:rsidR="00E82006" w:rsidRPr="00E82006" w:rsidRDefault="00AC6DB0" w:rsidP="00E82006">
      <w:pPr>
        <w:pStyle w:val="Heading1"/>
        <w:rPr>
          <w:lang w:val="es-ES_tradnl"/>
        </w:rPr>
      </w:pPr>
      <w:bookmarkStart w:id="15" w:name="_Toc82174011"/>
      <w:r w:rsidRPr="00E51999">
        <w:rPr>
          <w:lang w:val="es-BO"/>
        </w:rPr>
        <w:t xml:space="preserve">Estrategia del Grupo BID con </w:t>
      </w:r>
      <w:r w:rsidR="005378DB" w:rsidRPr="00E51999">
        <w:rPr>
          <w:lang w:val="es-BO"/>
        </w:rPr>
        <w:t>Colombia</w:t>
      </w:r>
      <w:r w:rsidR="003E774B">
        <w:rPr>
          <w:lang w:val="es-BO"/>
        </w:rPr>
        <w:t xml:space="preserve">: </w:t>
      </w:r>
      <w:r w:rsidR="00B16B76">
        <w:rPr>
          <w:lang w:val="es-BO"/>
        </w:rPr>
        <w:t>La inmigración como un tema trans</w:t>
      </w:r>
      <w:r w:rsidR="00C876DB">
        <w:rPr>
          <w:lang w:val="es-BO"/>
        </w:rPr>
        <w:t>versal</w:t>
      </w:r>
      <w:r w:rsidR="00B16B76">
        <w:rPr>
          <w:lang w:val="es-BO"/>
        </w:rPr>
        <w:t>.</w:t>
      </w:r>
      <w:bookmarkEnd w:id="15"/>
      <w:r w:rsidR="00B16B76">
        <w:rPr>
          <w:lang w:val="es-BO"/>
        </w:rPr>
        <w:t xml:space="preserve"> </w:t>
      </w:r>
      <w:r w:rsidRPr="00E51999">
        <w:rPr>
          <w:lang w:val="es-BO"/>
        </w:rPr>
        <w:t xml:space="preserve"> </w:t>
      </w:r>
    </w:p>
    <w:p w14:paraId="79257833" w14:textId="7ACE88E2" w:rsidR="00514C4F" w:rsidRDefault="00B230E5" w:rsidP="00B230E5">
      <w:pPr>
        <w:rPr>
          <w:b/>
          <w:bCs/>
          <w:lang w:val="es-419"/>
        </w:rPr>
      </w:pPr>
      <w:r>
        <w:rPr>
          <w:lang w:val="es-BO"/>
        </w:rPr>
        <w:t xml:space="preserve">La actualización de la </w:t>
      </w:r>
      <w:r w:rsidR="00AC6DB0" w:rsidRPr="007E275B">
        <w:rPr>
          <w:lang w:val="es-BO"/>
        </w:rPr>
        <w:t>Estrategia de</w:t>
      </w:r>
      <w:r w:rsidR="0025479C">
        <w:rPr>
          <w:lang w:val="es-BO"/>
        </w:rPr>
        <w:t xml:space="preserve">l Banco con el País </w:t>
      </w:r>
      <w:r w:rsidR="008C16A0">
        <w:rPr>
          <w:lang w:val="es-BO"/>
        </w:rPr>
        <w:t xml:space="preserve">2019-2022 </w:t>
      </w:r>
      <w:r w:rsidR="0025479C">
        <w:rPr>
          <w:lang w:val="es-BO"/>
        </w:rPr>
        <w:t>(GN-2972</w:t>
      </w:r>
      <w:r w:rsidR="00F52489">
        <w:rPr>
          <w:rStyle w:val="FootnoteReference"/>
          <w:lang w:val="es-BO"/>
        </w:rPr>
        <w:footnoteReference w:id="3"/>
      </w:r>
      <w:r w:rsidR="0025479C">
        <w:rPr>
          <w:lang w:val="es-BO"/>
        </w:rPr>
        <w:t>)</w:t>
      </w:r>
      <w:r w:rsidR="00160F32">
        <w:rPr>
          <w:lang w:val="es-BO"/>
        </w:rPr>
        <w:t xml:space="preserve">, </w:t>
      </w:r>
      <w:r w:rsidR="009C3CF2">
        <w:rPr>
          <w:lang w:val="es-BO"/>
        </w:rPr>
        <w:t xml:space="preserve">propuso la </w:t>
      </w:r>
      <w:r w:rsidR="00FB201F">
        <w:rPr>
          <w:lang w:val="es-BO"/>
        </w:rPr>
        <w:t xml:space="preserve">continuidad </w:t>
      </w:r>
      <w:r w:rsidR="009C3CF2">
        <w:rPr>
          <w:lang w:val="es-BO"/>
        </w:rPr>
        <w:t xml:space="preserve">del </w:t>
      </w:r>
      <w:r w:rsidR="00FB201F">
        <w:rPr>
          <w:lang w:val="es-BO"/>
        </w:rPr>
        <w:t xml:space="preserve">apoyo del Banco en </w:t>
      </w:r>
      <w:r w:rsidR="00E86857" w:rsidRPr="004053F0">
        <w:rPr>
          <w:lang w:val="es-419"/>
        </w:rPr>
        <w:t>tres áreas estratégicas estrechamente interconectadas: (i) productividad de la economía; (ii) efectividad de la gestión pública; y (iii) movilidad social y consolidación de la clase media</w:t>
      </w:r>
      <w:r w:rsidR="0049149A">
        <w:rPr>
          <w:lang w:val="es-419"/>
        </w:rPr>
        <w:t xml:space="preserve">. </w:t>
      </w:r>
      <w:r w:rsidR="0049149A">
        <w:rPr>
          <w:lang w:val="es-419"/>
        </w:rPr>
        <w:lastRenderedPageBreak/>
        <w:t>Todas ellas contemplando</w:t>
      </w:r>
      <w:r w:rsidR="000223D4">
        <w:rPr>
          <w:lang w:val="es-419"/>
        </w:rPr>
        <w:t>,</w:t>
      </w:r>
      <w:r w:rsidR="0049149A">
        <w:rPr>
          <w:lang w:val="es-419"/>
        </w:rPr>
        <w:t xml:space="preserve"> </w:t>
      </w:r>
      <w:r w:rsidR="00213EA9">
        <w:rPr>
          <w:lang w:val="es-419"/>
        </w:rPr>
        <w:t>dentro de su planteamiento estratégico</w:t>
      </w:r>
      <w:r w:rsidR="000223D4">
        <w:rPr>
          <w:lang w:val="es-419"/>
        </w:rPr>
        <w:t>, temas</w:t>
      </w:r>
      <w:r w:rsidR="00213EA9">
        <w:rPr>
          <w:lang w:val="es-419"/>
        </w:rPr>
        <w:t xml:space="preserve"> transversales</w:t>
      </w:r>
      <w:r w:rsidR="00E1739E">
        <w:rPr>
          <w:lang w:val="es-419"/>
        </w:rPr>
        <w:t xml:space="preserve"> relevantes como</w:t>
      </w:r>
      <w:r w:rsidR="000223D4">
        <w:rPr>
          <w:lang w:val="es-419"/>
        </w:rPr>
        <w:t xml:space="preserve"> son</w:t>
      </w:r>
      <w:r w:rsidR="00E1739E">
        <w:rPr>
          <w:lang w:val="es-419"/>
        </w:rPr>
        <w:t xml:space="preserve">: </w:t>
      </w:r>
      <w:r w:rsidR="00E1739E" w:rsidRPr="00E1739E">
        <w:rPr>
          <w:lang w:val="es-419"/>
        </w:rPr>
        <w:t>género y diversidad, cambio climático, integración</w:t>
      </w:r>
      <w:r w:rsidR="005E6E2F">
        <w:rPr>
          <w:lang w:val="es-419"/>
        </w:rPr>
        <w:t>,</w:t>
      </w:r>
      <w:r w:rsidR="00E1739E" w:rsidRPr="00E1739E">
        <w:rPr>
          <w:lang w:val="es-419"/>
        </w:rPr>
        <w:t xml:space="preserve"> economía digital e </w:t>
      </w:r>
      <w:r w:rsidR="00E1739E" w:rsidRPr="00514C4F">
        <w:rPr>
          <w:b/>
          <w:bCs/>
          <w:lang w:val="es-419"/>
        </w:rPr>
        <w:t>inmigración</w:t>
      </w:r>
      <w:r w:rsidR="00514C4F">
        <w:rPr>
          <w:b/>
          <w:bCs/>
          <w:lang w:val="es-419"/>
        </w:rPr>
        <w:t>.</w:t>
      </w:r>
    </w:p>
    <w:p w14:paraId="1996AAB4" w14:textId="1855AF54" w:rsidR="00BD3CDC" w:rsidRDefault="001C0999" w:rsidP="000223D4">
      <w:pPr>
        <w:rPr>
          <w:lang w:val="es-419"/>
        </w:rPr>
      </w:pPr>
      <w:r>
        <w:rPr>
          <w:lang w:val="es-419"/>
        </w:rPr>
        <w:t>Bajo este marco</w:t>
      </w:r>
      <w:r w:rsidR="00016B62">
        <w:rPr>
          <w:lang w:val="es-419"/>
        </w:rPr>
        <w:t xml:space="preserve"> estratégico por el desarrollo de Colombia, </w:t>
      </w:r>
      <w:r w:rsidR="00845F74">
        <w:rPr>
          <w:lang w:val="es-419"/>
        </w:rPr>
        <w:t xml:space="preserve">y conscientes de la </w:t>
      </w:r>
      <w:r w:rsidR="00845F74" w:rsidRPr="000B0E37">
        <w:rPr>
          <w:lang w:val="es-419"/>
        </w:rPr>
        <w:t>complej</w:t>
      </w:r>
      <w:r w:rsidR="00845F74">
        <w:rPr>
          <w:lang w:val="es-419"/>
        </w:rPr>
        <w:t>idad del proceso</w:t>
      </w:r>
      <w:r w:rsidR="00845F74" w:rsidRPr="000B0E37">
        <w:rPr>
          <w:lang w:val="es-419"/>
        </w:rPr>
        <w:t xml:space="preserve">, </w:t>
      </w:r>
      <w:r w:rsidR="007A401C" w:rsidRPr="000B0E37">
        <w:rPr>
          <w:lang w:val="es-419"/>
        </w:rPr>
        <w:t xml:space="preserve">el grupo BID </w:t>
      </w:r>
      <w:r w:rsidR="00016B62">
        <w:rPr>
          <w:lang w:val="es-419"/>
        </w:rPr>
        <w:t xml:space="preserve">se comprometió </w:t>
      </w:r>
      <w:r w:rsidR="00736FD5">
        <w:rPr>
          <w:lang w:val="es-419"/>
        </w:rPr>
        <w:t xml:space="preserve">en </w:t>
      </w:r>
      <w:r w:rsidR="00016B62">
        <w:rPr>
          <w:lang w:val="es-419"/>
        </w:rPr>
        <w:t>acompañar</w:t>
      </w:r>
      <w:r w:rsidR="008E3C68">
        <w:rPr>
          <w:lang w:val="es-419"/>
        </w:rPr>
        <w:t xml:space="preserve"> </w:t>
      </w:r>
      <w:r w:rsidR="00016B62">
        <w:rPr>
          <w:lang w:val="es-419"/>
        </w:rPr>
        <w:t xml:space="preserve">los </w:t>
      </w:r>
      <w:r w:rsidR="001504A1">
        <w:rPr>
          <w:lang w:val="es-419"/>
        </w:rPr>
        <w:t xml:space="preserve">desafíos </w:t>
      </w:r>
      <w:r w:rsidR="007A401C" w:rsidRPr="000B0E37">
        <w:rPr>
          <w:lang w:val="es-419"/>
        </w:rPr>
        <w:t>asumido</w:t>
      </w:r>
      <w:r w:rsidR="001504A1">
        <w:rPr>
          <w:lang w:val="es-419"/>
        </w:rPr>
        <w:t>s</w:t>
      </w:r>
      <w:r w:rsidR="007A401C" w:rsidRPr="000B0E37">
        <w:rPr>
          <w:lang w:val="es-419"/>
        </w:rPr>
        <w:t xml:space="preserve"> </w:t>
      </w:r>
      <w:r w:rsidR="001504A1">
        <w:rPr>
          <w:lang w:val="es-419"/>
        </w:rPr>
        <w:t xml:space="preserve">por el </w:t>
      </w:r>
      <w:r w:rsidR="00016B62">
        <w:rPr>
          <w:lang w:val="es-419"/>
        </w:rPr>
        <w:t xml:space="preserve">Gobierno de </w:t>
      </w:r>
      <w:r w:rsidR="007A401C" w:rsidRPr="000B0E37">
        <w:rPr>
          <w:lang w:val="es-419"/>
        </w:rPr>
        <w:t>Colombia</w:t>
      </w:r>
      <w:r w:rsidR="006A4959">
        <w:rPr>
          <w:lang w:val="es-419"/>
        </w:rPr>
        <w:t xml:space="preserve"> </w:t>
      </w:r>
      <w:r w:rsidR="00173AAF">
        <w:rPr>
          <w:lang w:val="es-419"/>
        </w:rPr>
        <w:t xml:space="preserve">para </w:t>
      </w:r>
      <w:r w:rsidR="007A401C" w:rsidRPr="000B0E37">
        <w:rPr>
          <w:lang w:val="es-419"/>
        </w:rPr>
        <w:t>integra</w:t>
      </w:r>
      <w:r w:rsidR="006A4959">
        <w:rPr>
          <w:lang w:val="es-419"/>
        </w:rPr>
        <w:t xml:space="preserve">r a los inmigrantes </w:t>
      </w:r>
      <w:r w:rsidR="007A401C" w:rsidRPr="000B0E37">
        <w:rPr>
          <w:lang w:val="es-419"/>
        </w:rPr>
        <w:t xml:space="preserve">en la economía y la sociedad, incluyendo </w:t>
      </w:r>
      <w:r w:rsidR="0023796D">
        <w:rPr>
          <w:lang w:val="es-419"/>
        </w:rPr>
        <w:t xml:space="preserve">la posibilidad de acceder a servicios públicos y sociales, como son los </w:t>
      </w:r>
      <w:r w:rsidR="007A401C" w:rsidRPr="000B0E37">
        <w:rPr>
          <w:lang w:val="es-419"/>
        </w:rPr>
        <w:t xml:space="preserve">servicios de salud y educación, </w:t>
      </w:r>
      <w:r w:rsidR="0023796D">
        <w:rPr>
          <w:lang w:val="es-419"/>
        </w:rPr>
        <w:t xml:space="preserve">entre otros, y </w:t>
      </w:r>
      <w:r w:rsidR="007A401C" w:rsidRPr="000B0E37">
        <w:rPr>
          <w:lang w:val="es-419"/>
        </w:rPr>
        <w:t xml:space="preserve">además </w:t>
      </w:r>
      <w:r w:rsidR="0023796D">
        <w:rPr>
          <w:lang w:val="es-419"/>
        </w:rPr>
        <w:t>hacer los esfuerzos para garantizar un acceso al mercado laboral equitativo.</w:t>
      </w:r>
      <w:r w:rsidR="007A401C" w:rsidRPr="000B0E37">
        <w:rPr>
          <w:lang w:val="es-419"/>
        </w:rPr>
        <w:t xml:space="preserve"> </w:t>
      </w:r>
      <w:r w:rsidR="00215C4C">
        <w:rPr>
          <w:lang w:val="es-419"/>
        </w:rPr>
        <w:t xml:space="preserve">En ese ámbito, </w:t>
      </w:r>
      <w:r w:rsidR="004C78A2">
        <w:rPr>
          <w:lang w:val="es-419"/>
        </w:rPr>
        <w:t xml:space="preserve">además de </w:t>
      </w:r>
      <w:r w:rsidR="00B34FBB">
        <w:rPr>
          <w:lang w:val="es-419"/>
        </w:rPr>
        <w:t xml:space="preserve">la disponibilidad de </w:t>
      </w:r>
      <w:r w:rsidR="004C78A2">
        <w:rPr>
          <w:lang w:val="es-419"/>
        </w:rPr>
        <w:t xml:space="preserve">recursos de cooperación técnica no reembolsable, </w:t>
      </w:r>
      <w:r w:rsidR="00D21C5E">
        <w:rPr>
          <w:lang w:val="es-419"/>
        </w:rPr>
        <w:t>y productos de conocimiento</w:t>
      </w:r>
      <w:r w:rsidR="008D36EB">
        <w:rPr>
          <w:lang w:val="es-419"/>
        </w:rPr>
        <w:t>, e</w:t>
      </w:r>
      <w:r w:rsidR="00D21C5E">
        <w:rPr>
          <w:lang w:val="es-419"/>
        </w:rPr>
        <w:t xml:space="preserve">l </w:t>
      </w:r>
      <w:r w:rsidR="00B01066" w:rsidRPr="000B0E37">
        <w:rPr>
          <w:lang w:val="es-419"/>
        </w:rPr>
        <w:t xml:space="preserve">Banco </w:t>
      </w:r>
      <w:r w:rsidR="00B34FBB">
        <w:rPr>
          <w:lang w:val="es-419"/>
        </w:rPr>
        <w:t xml:space="preserve">puso a disposición del país recursos de su </w:t>
      </w:r>
      <w:r w:rsidR="00176074" w:rsidRPr="00176074">
        <w:rPr>
          <w:lang w:val="es-419"/>
        </w:rPr>
        <w:t>Facilidad No Reembolsable</w:t>
      </w:r>
      <w:r w:rsidR="00176074">
        <w:rPr>
          <w:lang w:val="es-419"/>
        </w:rPr>
        <w:t xml:space="preserve"> </w:t>
      </w:r>
      <w:r w:rsidR="00D7752C">
        <w:rPr>
          <w:lang w:val="es-419"/>
        </w:rPr>
        <w:t xml:space="preserve">para </w:t>
      </w:r>
      <w:r w:rsidR="008D36EB">
        <w:rPr>
          <w:lang w:val="es-419"/>
        </w:rPr>
        <w:t xml:space="preserve">financiar </w:t>
      </w:r>
      <w:r w:rsidR="00176074" w:rsidRPr="00176074">
        <w:rPr>
          <w:lang w:val="es-419"/>
        </w:rPr>
        <w:t xml:space="preserve">operaciones individuales destinadas a apoyar </w:t>
      </w:r>
      <w:r w:rsidR="005F22B9">
        <w:rPr>
          <w:lang w:val="es-419"/>
        </w:rPr>
        <w:t xml:space="preserve">los </w:t>
      </w:r>
      <w:r w:rsidR="00176074" w:rsidRPr="00176074">
        <w:rPr>
          <w:lang w:val="es-419"/>
        </w:rPr>
        <w:t>flujos migratorios intrarregionales repentinos y de gran magnitud</w:t>
      </w:r>
      <w:r w:rsidR="00BD3CDC">
        <w:rPr>
          <w:lang w:val="es-419"/>
        </w:rPr>
        <w:t xml:space="preserve">, </w:t>
      </w:r>
      <w:r w:rsidR="00D21C5E">
        <w:rPr>
          <w:lang w:val="es-419"/>
        </w:rPr>
        <w:t xml:space="preserve">con el fin de </w:t>
      </w:r>
      <w:r w:rsidR="00B01066" w:rsidRPr="000B0E37">
        <w:rPr>
          <w:lang w:val="es-419"/>
        </w:rPr>
        <w:t xml:space="preserve">complementar operaciones de crédito. </w:t>
      </w:r>
    </w:p>
    <w:p w14:paraId="113B86AF" w14:textId="77777777" w:rsidR="007D12F5" w:rsidRPr="007D12F5" w:rsidRDefault="000F7D72" w:rsidP="007D4484">
      <w:pPr>
        <w:pStyle w:val="Heading2"/>
        <w:rPr>
          <w:lang w:val="es-ES_tradnl"/>
        </w:rPr>
      </w:pPr>
      <w:bookmarkStart w:id="16" w:name="_Toc82174012"/>
      <w:r w:rsidRPr="007B4F93">
        <w:rPr>
          <w:lang w:val="es-ES_tradnl"/>
        </w:rPr>
        <w:t xml:space="preserve">Cartera </w:t>
      </w:r>
      <w:r w:rsidR="0072294F" w:rsidRPr="007B4F93">
        <w:rPr>
          <w:lang w:val="es-ES_tradnl"/>
        </w:rPr>
        <w:t>en ejecución</w:t>
      </w:r>
      <w:r w:rsidR="00A530A3">
        <w:rPr>
          <w:rStyle w:val="FootnoteReference"/>
          <w:lang w:val="es-ES_tradnl"/>
        </w:rPr>
        <w:footnoteReference w:id="4"/>
      </w:r>
      <w:r w:rsidRPr="007B4F93">
        <w:rPr>
          <w:lang w:val="es-ES_tradnl"/>
        </w:rPr>
        <w:t>.</w:t>
      </w:r>
      <w:bookmarkEnd w:id="16"/>
      <w:r w:rsidRPr="007B4F93">
        <w:rPr>
          <w:lang w:val="es-ES_tradnl"/>
        </w:rPr>
        <w:t xml:space="preserve"> </w:t>
      </w:r>
    </w:p>
    <w:p w14:paraId="5C0ADC26" w14:textId="44349122" w:rsidR="005366DA" w:rsidRDefault="007D4484" w:rsidP="008809B8">
      <w:pPr>
        <w:rPr>
          <w:lang w:val="es-BO"/>
        </w:rPr>
      </w:pPr>
      <w:r w:rsidRPr="00B925AD">
        <w:rPr>
          <w:b/>
          <w:lang w:val="es-BO"/>
        </w:rPr>
        <w:t xml:space="preserve">Entre </w:t>
      </w:r>
      <w:r>
        <w:rPr>
          <w:b/>
          <w:lang w:val="es-BO"/>
        </w:rPr>
        <w:t xml:space="preserve">los </w:t>
      </w:r>
      <w:r w:rsidRPr="00862254">
        <w:rPr>
          <w:b/>
          <w:lang w:val="es-BO"/>
        </w:rPr>
        <w:t>años 2019 y 2020</w:t>
      </w:r>
      <w:r w:rsidRPr="00862254">
        <w:rPr>
          <w:lang w:val="es-BO"/>
        </w:rPr>
        <w:t xml:space="preserve">, </w:t>
      </w:r>
      <w:r w:rsidR="005556E0">
        <w:rPr>
          <w:lang w:val="es-BO"/>
        </w:rPr>
        <w:t>y con el fin  de apoyar inversiones, generación de conocimiento y diálogo de políticas producto del choque migratorio</w:t>
      </w:r>
      <w:r w:rsidR="00886F4C">
        <w:rPr>
          <w:lang w:val="es-BO"/>
        </w:rPr>
        <w:t>,</w:t>
      </w:r>
      <w:r w:rsidR="005556E0">
        <w:rPr>
          <w:lang w:val="es-BO"/>
        </w:rPr>
        <w:t xml:space="preserve"> </w:t>
      </w:r>
      <w:r w:rsidRPr="00862254">
        <w:rPr>
          <w:lang w:val="es-BO"/>
        </w:rPr>
        <w:t>el</w:t>
      </w:r>
      <w:r w:rsidRPr="007E275B">
        <w:rPr>
          <w:lang w:val="es-BO"/>
        </w:rPr>
        <w:t xml:space="preserve"> Banco </w:t>
      </w:r>
      <w:r w:rsidR="00FC0A96">
        <w:rPr>
          <w:lang w:val="es-BO"/>
        </w:rPr>
        <w:t>apoy</w:t>
      </w:r>
      <w:r w:rsidR="00085402">
        <w:rPr>
          <w:lang w:val="es-BO"/>
        </w:rPr>
        <w:t>ó</w:t>
      </w:r>
      <w:r w:rsidR="00FC0A96">
        <w:rPr>
          <w:lang w:val="es-BO"/>
        </w:rPr>
        <w:t xml:space="preserve"> el diseño de 12 proyectos </w:t>
      </w:r>
      <w:r w:rsidR="00F040BF">
        <w:rPr>
          <w:lang w:val="es-BO"/>
        </w:rPr>
        <w:t>en</w:t>
      </w:r>
      <w:r w:rsidR="008C08DD">
        <w:rPr>
          <w:lang w:val="es-BO"/>
        </w:rPr>
        <w:t>tre</w:t>
      </w:r>
      <w:r w:rsidR="00F040BF">
        <w:rPr>
          <w:lang w:val="es-BO"/>
        </w:rPr>
        <w:t xml:space="preserve"> los sectores de agua y saneamiento, protección social y salud, m</w:t>
      </w:r>
      <w:r w:rsidR="008C08DD">
        <w:rPr>
          <w:lang w:val="es-BO"/>
        </w:rPr>
        <w:t>e</w:t>
      </w:r>
      <w:r w:rsidR="00F040BF">
        <w:rPr>
          <w:lang w:val="es-BO"/>
        </w:rPr>
        <w:t xml:space="preserve">rcados laborales, instituciones para el desarrollo, </w:t>
      </w:r>
      <w:r w:rsidR="008C08DD">
        <w:rPr>
          <w:lang w:val="es-BO"/>
        </w:rPr>
        <w:t xml:space="preserve">desarrollo </w:t>
      </w:r>
      <w:proofErr w:type="spellStart"/>
      <w:r w:rsidR="008C08DD">
        <w:rPr>
          <w:lang w:val="es-BO"/>
        </w:rPr>
        <w:t>ubano</w:t>
      </w:r>
      <w:proofErr w:type="spellEnd"/>
      <w:r w:rsidR="008C08DD">
        <w:rPr>
          <w:lang w:val="es-BO"/>
        </w:rPr>
        <w:t xml:space="preserve"> y vivienda, gestión municipal y fiscal, y migraciones propiamente </w:t>
      </w:r>
      <w:r w:rsidR="00085402">
        <w:rPr>
          <w:lang w:val="es-BO"/>
        </w:rPr>
        <w:t xml:space="preserve">– ahora en etapa de ejecución - </w:t>
      </w:r>
      <w:r w:rsidR="00133CFB">
        <w:rPr>
          <w:lang w:val="es-BO"/>
        </w:rPr>
        <w:t xml:space="preserve">por un monto de </w:t>
      </w:r>
      <w:r w:rsidR="002A5BFB" w:rsidRPr="002A5BFB">
        <w:rPr>
          <w:b/>
          <w:bCs/>
          <w:lang w:val="es-BO"/>
        </w:rPr>
        <w:t>US$261 millones</w:t>
      </w:r>
      <w:r w:rsidR="002A5BFB">
        <w:rPr>
          <w:lang w:val="es-BO"/>
        </w:rPr>
        <w:t xml:space="preserve"> aproximadamente</w:t>
      </w:r>
      <w:r w:rsidR="00133CFB">
        <w:rPr>
          <w:lang w:val="es-BO"/>
        </w:rPr>
        <w:t xml:space="preserve"> entre recursos reembolsables y no reembolsables:</w:t>
      </w:r>
      <w:r w:rsidR="00FF7B26">
        <w:rPr>
          <w:lang w:val="es-BO"/>
        </w:rPr>
        <w:t xml:space="preserve"> </w:t>
      </w:r>
    </w:p>
    <w:p w14:paraId="721F6D1B" w14:textId="77777777" w:rsidR="00FF7B26" w:rsidRPr="00FF7B26" w:rsidRDefault="007D4484" w:rsidP="00AB3352">
      <w:pPr>
        <w:pStyle w:val="ListParagraph"/>
        <w:numPr>
          <w:ilvl w:val="0"/>
          <w:numId w:val="42"/>
        </w:numPr>
        <w:ind w:left="360"/>
        <w:rPr>
          <w:bCs/>
          <w:lang w:val="es-419"/>
        </w:rPr>
      </w:pPr>
      <w:r w:rsidRPr="00FF7B26">
        <w:rPr>
          <w:b/>
          <w:lang w:val="es-BO"/>
        </w:rPr>
        <w:t xml:space="preserve">US$ </w:t>
      </w:r>
      <w:r w:rsidR="0015170A" w:rsidRPr="00FF7B26">
        <w:rPr>
          <w:b/>
          <w:lang w:val="es-BO"/>
        </w:rPr>
        <w:t>242.07</w:t>
      </w:r>
      <w:r w:rsidRPr="00FF7B26">
        <w:rPr>
          <w:b/>
          <w:lang w:val="es-BO"/>
        </w:rPr>
        <w:t xml:space="preserve"> millones</w:t>
      </w:r>
      <w:r w:rsidRPr="00FF7B26">
        <w:rPr>
          <w:lang w:val="es-BO"/>
        </w:rPr>
        <w:t xml:space="preserve"> en 3</w:t>
      </w:r>
      <w:r w:rsidRPr="00FF7B26">
        <w:rPr>
          <w:b/>
          <w:lang w:val="es-BO"/>
        </w:rPr>
        <w:t xml:space="preserve"> proyectos </w:t>
      </w:r>
      <w:r w:rsidR="0015170A" w:rsidRPr="00FF7B26">
        <w:rPr>
          <w:b/>
          <w:lang w:val="es-BO"/>
        </w:rPr>
        <w:t xml:space="preserve">de </w:t>
      </w:r>
      <w:r w:rsidRPr="00FF7B26">
        <w:rPr>
          <w:b/>
          <w:lang w:val="es-BO"/>
        </w:rPr>
        <w:t>garantía soberana</w:t>
      </w:r>
      <w:r w:rsidR="008809B8" w:rsidRPr="00FF7B26">
        <w:rPr>
          <w:b/>
          <w:lang w:val="es-BO"/>
        </w:rPr>
        <w:t xml:space="preserve"> </w:t>
      </w:r>
      <w:r w:rsidR="008809B8" w:rsidRPr="00FF7B26">
        <w:rPr>
          <w:bCs/>
          <w:lang w:val="es-BO"/>
        </w:rPr>
        <w:t>en Colombia</w:t>
      </w:r>
      <w:r w:rsidR="0096255E" w:rsidRPr="00FF7B26">
        <w:rPr>
          <w:bCs/>
          <w:lang w:val="es-BO"/>
        </w:rPr>
        <w:t xml:space="preserve"> para apoyar </w:t>
      </w:r>
      <w:r w:rsidR="00FF7B26">
        <w:rPr>
          <w:bCs/>
          <w:lang w:val="es-BO"/>
        </w:rPr>
        <w:t xml:space="preserve">áreas </w:t>
      </w:r>
      <w:r w:rsidR="006207C1" w:rsidRPr="00FF7B26">
        <w:rPr>
          <w:bCs/>
          <w:lang w:val="es-BO"/>
        </w:rPr>
        <w:t>receptor</w:t>
      </w:r>
      <w:r w:rsidR="00FF7B26">
        <w:rPr>
          <w:bCs/>
          <w:lang w:val="es-BO"/>
        </w:rPr>
        <w:t>a</w:t>
      </w:r>
      <w:r w:rsidR="006207C1" w:rsidRPr="00FF7B26">
        <w:rPr>
          <w:bCs/>
          <w:lang w:val="es-BO"/>
        </w:rPr>
        <w:t>s de migrantes</w:t>
      </w:r>
      <w:r w:rsidR="001336C3" w:rsidRPr="00FF7B26">
        <w:rPr>
          <w:bCs/>
          <w:lang w:val="es-BO"/>
        </w:rPr>
        <w:t xml:space="preserve">, de los cuales </w:t>
      </w:r>
      <w:r w:rsidR="001336C3" w:rsidRPr="00F717BC">
        <w:rPr>
          <w:b/>
          <w:lang w:val="es-BO"/>
        </w:rPr>
        <w:t>US$20 millones</w:t>
      </w:r>
      <w:r w:rsidR="001336C3" w:rsidRPr="00FF7B26">
        <w:rPr>
          <w:bCs/>
          <w:lang w:val="es-BO"/>
        </w:rPr>
        <w:t xml:space="preserve"> corresponden a recursos de la </w:t>
      </w:r>
      <w:r w:rsidR="001336C3" w:rsidRPr="00F717BC">
        <w:rPr>
          <w:b/>
          <w:lang w:val="es-BO"/>
        </w:rPr>
        <w:t>Facilidad No Reembolsable</w:t>
      </w:r>
      <w:r w:rsidR="00740078" w:rsidRPr="00F717BC">
        <w:rPr>
          <w:b/>
          <w:lang w:val="es-BO"/>
        </w:rPr>
        <w:t>.</w:t>
      </w:r>
      <w:r w:rsidR="00740078" w:rsidRPr="00FF7B26">
        <w:rPr>
          <w:bCs/>
          <w:lang w:val="es-BO"/>
        </w:rPr>
        <w:t xml:space="preserve"> </w:t>
      </w:r>
    </w:p>
    <w:p w14:paraId="16ACA2A7" w14:textId="7269CE93" w:rsidR="00FF7B26" w:rsidRPr="00FF7B26" w:rsidRDefault="005633BD" w:rsidP="00AB3352">
      <w:pPr>
        <w:pStyle w:val="ListParagraph"/>
        <w:numPr>
          <w:ilvl w:val="0"/>
          <w:numId w:val="42"/>
        </w:numPr>
        <w:ind w:left="360"/>
        <w:rPr>
          <w:bCs/>
          <w:lang w:val="es-419"/>
        </w:rPr>
      </w:pPr>
      <w:r>
        <w:rPr>
          <w:b/>
          <w:lang w:val="es-BO"/>
        </w:rPr>
        <w:t>7</w:t>
      </w:r>
      <w:r w:rsidR="005235BB" w:rsidRPr="00FF7B26">
        <w:rPr>
          <w:b/>
          <w:lang w:val="es-BO"/>
        </w:rPr>
        <w:t xml:space="preserve"> proyectos de cooperación técnica no reembolsable</w:t>
      </w:r>
      <w:r w:rsidR="005235BB" w:rsidRPr="00FF7B26">
        <w:rPr>
          <w:bCs/>
          <w:lang w:val="es-BO"/>
        </w:rPr>
        <w:t xml:space="preserve"> específicamente para Colombia por </w:t>
      </w:r>
      <w:r w:rsidR="002B2DE2" w:rsidRPr="00FF7B26">
        <w:rPr>
          <w:bCs/>
          <w:lang w:val="es-BO"/>
        </w:rPr>
        <w:t xml:space="preserve">US$ </w:t>
      </w:r>
      <w:r w:rsidR="007276C0">
        <w:rPr>
          <w:bCs/>
          <w:lang w:val="es-BO"/>
        </w:rPr>
        <w:t xml:space="preserve">7.54 </w:t>
      </w:r>
      <w:r w:rsidR="002B2DE2" w:rsidRPr="00FF7B26">
        <w:rPr>
          <w:bCs/>
          <w:lang w:val="es-BO"/>
        </w:rPr>
        <w:t xml:space="preserve">millones, </w:t>
      </w:r>
    </w:p>
    <w:p w14:paraId="5E809D4F" w14:textId="323F83ED" w:rsidR="00B333E4" w:rsidRPr="00FF7B26" w:rsidRDefault="002B2DE2" w:rsidP="00AB3352">
      <w:pPr>
        <w:pStyle w:val="ListParagraph"/>
        <w:numPr>
          <w:ilvl w:val="0"/>
          <w:numId w:val="42"/>
        </w:numPr>
        <w:ind w:left="360"/>
        <w:rPr>
          <w:bCs/>
          <w:lang w:val="es-419"/>
        </w:rPr>
      </w:pPr>
      <w:r w:rsidRPr="00FF7B26">
        <w:rPr>
          <w:bCs/>
          <w:lang w:val="es-BO"/>
        </w:rPr>
        <w:t xml:space="preserve">5 </w:t>
      </w:r>
      <w:r w:rsidRPr="00FF7B26">
        <w:rPr>
          <w:b/>
          <w:lang w:val="es-BO"/>
        </w:rPr>
        <w:t xml:space="preserve">cooperaciones técnicas regionales </w:t>
      </w:r>
      <w:r w:rsidR="00134500" w:rsidRPr="00FF7B26">
        <w:rPr>
          <w:b/>
          <w:lang w:val="es-BO"/>
        </w:rPr>
        <w:t>no reembolsables</w:t>
      </w:r>
      <w:r w:rsidR="00B03C0E" w:rsidRPr="00FF7B26">
        <w:rPr>
          <w:bCs/>
          <w:lang w:val="es-BO"/>
        </w:rPr>
        <w:t xml:space="preserve"> por US$3.15 millones</w:t>
      </w:r>
      <w:r w:rsidR="00134500" w:rsidRPr="00FF7B26">
        <w:rPr>
          <w:bCs/>
          <w:lang w:val="es-BO"/>
        </w:rPr>
        <w:t xml:space="preserve">, </w:t>
      </w:r>
      <w:r w:rsidRPr="00FF7B26">
        <w:rPr>
          <w:bCs/>
          <w:lang w:val="es-BO"/>
        </w:rPr>
        <w:t xml:space="preserve">para tratar el tema de poblaciones migrantes, </w:t>
      </w:r>
      <w:r w:rsidR="00134500" w:rsidRPr="00FF7B26">
        <w:rPr>
          <w:bCs/>
          <w:lang w:val="es-BO"/>
        </w:rPr>
        <w:t>y que tienen a Colombia, como uno de los países beneficiarios</w:t>
      </w:r>
      <w:r w:rsidR="00B03C0E" w:rsidRPr="00FF7B26">
        <w:rPr>
          <w:bCs/>
          <w:lang w:val="es-BO"/>
        </w:rPr>
        <w:t xml:space="preserve">. </w:t>
      </w:r>
    </w:p>
    <w:p w14:paraId="49B4E906" w14:textId="2A061356" w:rsidR="00FF7B26" w:rsidRPr="009175A6" w:rsidRDefault="003320F3" w:rsidP="00AB3352">
      <w:pPr>
        <w:pStyle w:val="ListParagraph"/>
        <w:numPr>
          <w:ilvl w:val="0"/>
          <w:numId w:val="42"/>
        </w:numPr>
        <w:ind w:left="360"/>
        <w:rPr>
          <w:bCs/>
          <w:lang w:val="es-419"/>
        </w:rPr>
      </w:pPr>
      <w:r w:rsidRPr="003320F3">
        <w:rPr>
          <w:b/>
          <w:lang w:val="es-BO"/>
        </w:rPr>
        <w:t>1</w:t>
      </w:r>
      <w:r w:rsidR="00905162" w:rsidRPr="003320F3">
        <w:rPr>
          <w:b/>
          <w:lang w:val="es-BO"/>
        </w:rPr>
        <w:t xml:space="preserve"> proyecto de subvenciones a las inversiones</w:t>
      </w:r>
      <w:r w:rsidR="00905162">
        <w:rPr>
          <w:bCs/>
          <w:lang w:val="es-BO"/>
        </w:rPr>
        <w:t xml:space="preserve"> por US$11.33 millones </w:t>
      </w:r>
      <w:r w:rsidR="00926E5F">
        <w:rPr>
          <w:bCs/>
          <w:lang w:val="es-BO"/>
        </w:rPr>
        <w:t xml:space="preserve">del fondo de </w:t>
      </w:r>
      <w:r w:rsidR="00926E5F" w:rsidRPr="00926E5F">
        <w:rPr>
          <w:bCs/>
          <w:lang w:val="es-BO"/>
        </w:rPr>
        <w:t>Acuerdo Marco Modificado y Reiterado de la Comisión Europea</w:t>
      </w:r>
      <w:r w:rsidR="00926E5F">
        <w:rPr>
          <w:bCs/>
          <w:lang w:val="es-BO"/>
        </w:rPr>
        <w:t xml:space="preserve"> con el BID.</w:t>
      </w:r>
    </w:p>
    <w:p w14:paraId="2113B042" w14:textId="77777777" w:rsidR="009175A6" w:rsidRPr="009175A6" w:rsidRDefault="009175A6" w:rsidP="009175A6">
      <w:pPr>
        <w:rPr>
          <w:bCs/>
          <w:lang w:val="es-419"/>
        </w:rPr>
      </w:pPr>
    </w:p>
    <w:p w14:paraId="63AF460A" w14:textId="5A173358" w:rsidR="002C68C8" w:rsidRPr="002E1A15" w:rsidRDefault="00B333E4" w:rsidP="00926E5F">
      <w:pPr>
        <w:jc w:val="left"/>
        <w:rPr>
          <w:b/>
          <w:sz w:val="18"/>
          <w:szCs w:val="20"/>
          <w:lang w:val="es-BO"/>
        </w:rPr>
      </w:pPr>
      <w:r w:rsidRPr="002E1A15">
        <w:rPr>
          <w:b/>
          <w:sz w:val="18"/>
          <w:szCs w:val="20"/>
          <w:lang w:val="es-BO"/>
        </w:rPr>
        <w:t xml:space="preserve">Tabla 1. </w:t>
      </w:r>
      <w:r w:rsidR="0015170A" w:rsidRPr="002E1A15">
        <w:rPr>
          <w:b/>
          <w:sz w:val="18"/>
          <w:szCs w:val="20"/>
          <w:lang w:val="es-BO"/>
        </w:rPr>
        <w:t xml:space="preserve"> </w:t>
      </w:r>
      <w:r w:rsidR="00843E50" w:rsidRPr="002E1A15">
        <w:rPr>
          <w:b/>
          <w:sz w:val="18"/>
          <w:szCs w:val="20"/>
          <w:lang w:val="es-BO"/>
        </w:rPr>
        <w:t>Proyectos de préstamo aprobados con apoyo de la Facilidad No Reembolsable.</w:t>
      </w:r>
    </w:p>
    <w:p w14:paraId="0A2AB6C6" w14:textId="04AB6E71" w:rsidR="002C68C8" w:rsidRDefault="007647EE" w:rsidP="006207C1">
      <w:pPr>
        <w:jc w:val="center"/>
        <w:rPr>
          <w:b/>
          <w:lang w:val="es-BO"/>
        </w:rPr>
      </w:pPr>
      <w:r w:rsidRPr="007647EE">
        <w:rPr>
          <w:noProof/>
        </w:rPr>
        <w:drawing>
          <wp:inline distT="0" distB="0" distL="0" distR="0" wp14:anchorId="6D7FB82A" wp14:editId="71156BB9">
            <wp:extent cx="5943600" cy="1570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570990"/>
                    </a:xfrm>
                    <a:prstGeom prst="rect">
                      <a:avLst/>
                    </a:prstGeom>
                  </pic:spPr>
                </pic:pic>
              </a:graphicData>
            </a:graphic>
          </wp:inline>
        </w:drawing>
      </w:r>
    </w:p>
    <w:p w14:paraId="3FB89767" w14:textId="279526A8" w:rsidR="00133A55" w:rsidRDefault="00133A55" w:rsidP="006207C1">
      <w:pPr>
        <w:jc w:val="center"/>
        <w:rPr>
          <w:b/>
          <w:lang w:val="es-BO"/>
        </w:rPr>
      </w:pPr>
    </w:p>
    <w:p w14:paraId="1FF8C583" w14:textId="77777777" w:rsidR="00133A55" w:rsidRDefault="00133A55" w:rsidP="006207C1">
      <w:pPr>
        <w:jc w:val="center"/>
        <w:rPr>
          <w:b/>
          <w:lang w:val="es-BO"/>
        </w:rPr>
      </w:pPr>
    </w:p>
    <w:p w14:paraId="42109DB5" w14:textId="1CCAFD46" w:rsidR="007D4484" w:rsidRDefault="00BE40AA" w:rsidP="007D4484">
      <w:pPr>
        <w:rPr>
          <w:lang w:val="es-BO"/>
        </w:rPr>
      </w:pPr>
      <w:r w:rsidRPr="002E1A15">
        <w:rPr>
          <w:b/>
          <w:sz w:val="18"/>
          <w:szCs w:val="20"/>
          <w:lang w:val="es-BO"/>
        </w:rPr>
        <w:lastRenderedPageBreak/>
        <w:t xml:space="preserve">Tabla </w:t>
      </w:r>
      <w:r w:rsidR="00AA0DF6">
        <w:rPr>
          <w:b/>
          <w:sz w:val="18"/>
          <w:szCs w:val="20"/>
          <w:lang w:val="es-BO"/>
        </w:rPr>
        <w:t>2</w:t>
      </w:r>
      <w:r w:rsidRPr="002E1A15">
        <w:rPr>
          <w:b/>
          <w:sz w:val="18"/>
          <w:szCs w:val="20"/>
          <w:lang w:val="es-BO"/>
        </w:rPr>
        <w:t xml:space="preserve">.  Proyectos de </w:t>
      </w:r>
      <w:r>
        <w:rPr>
          <w:b/>
          <w:sz w:val="18"/>
          <w:szCs w:val="20"/>
          <w:lang w:val="es-BO"/>
        </w:rPr>
        <w:t xml:space="preserve">cooperación técnica no reembolsable </w:t>
      </w:r>
      <w:r w:rsidR="00740078">
        <w:rPr>
          <w:b/>
          <w:sz w:val="18"/>
          <w:szCs w:val="20"/>
          <w:lang w:val="es-BO"/>
        </w:rPr>
        <w:t xml:space="preserve">de apoyo al tema migratorio en Colombia. </w:t>
      </w:r>
    </w:p>
    <w:p w14:paraId="2C3ABBE0" w14:textId="0BD2B528" w:rsidR="00446F5C" w:rsidRDefault="00F26A96" w:rsidP="00F26A96">
      <w:pPr>
        <w:jc w:val="center"/>
        <w:rPr>
          <w:lang w:val="es-BO"/>
        </w:rPr>
      </w:pPr>
      <w:r w:rsidRPr="00F26A96">
        <w:rPr>
          <w:noProof/>
        </w:rPr>
        <w:drawing>
          <wp:inline distT="0" distB="0" distL="0" distR="0" wp14:anchorId="4A597BB8" wp14:editId="799FD9EE">
            <wp:extent cx="5943600" cy="3049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049905"/>
                    </a:xfrm>
                    <a:prstGeom prst="rect">
                      <a:avLst/>
                    </a:prstGeom>
                  </pic:spPr>
                </pic:pic>
              </a:graphicData>
            </a:graphic>
          </wp:inline>
        </w:drawing>
      </w:r>
    </w:p>
    <w:p w14:paraId="6495B490" w14:textId="292EA9F1" w:rsidR="00A53D4D" w:rsidRDefault="00A53D4D" w:rsidP="00A53D4D">
      <w:pPr>
        <w:rPr>
          <w:b/>
          <w:sz w:val="18"/>
          <w:szCs w:val="20"/>
          <w:lang w:val="es-BO"/>
        </w:rPr>
      </w:pPr>
      <w:r w:rsidRPr="002E1A15">
        <w:rPr>
          <w:b/>
          <w:sz w:val="18"/>
          <w:szCs w:val="20"/>
          <w:lang w:val="es-BO"/>
        </w:rPr>
        <w:t xml:space="preserve">Tabla </w:t>
      </w:r>
      <w:r>
        <w:rPr>
          <w:b/>
          <w:sz w:val="18"/>
          <w:szCs w:val="20"/>
          <w:lang w:val="es-BO"/>
        </w:rPr>
        <w:t>3</w:t>
      </w:r>
      <w:r w:rsidRPr="002E1A15">
        <w:rPr>
          <w:b/>
          <w:sz w:val="18"/>
          <w:szCs w:val="20"/>
          <w:lang w:val="es-BO"/>
        </w:rPr>
        <w:t xml:space="preserve">.  Proyecto de </w:t>
      </w:r>
      <w:r>
        <w:rPr>
          <w:b/>
          <w:sz w:val="18"/>
          <w:szCs w:val="20"/>
          <w:lang w:val="es-BO"/>
        </w:rPr>
        <w:t>inversi</w:t>
      </w:r>
      <w:r w:rsidR="00F717BC">
        <w:rPr>
          <w:b/>
          <w:sz w:val="18"/>
          <w:szCs w:val="20"/>
          <w:lang w:val="es-BO"/>
        </w:rPr>
        <w:t>ón</w:t>
      </w:r>
      <w:r>
        <w:rPr>
          <w:b/>
          <w:sz w:val="18"/>
          <w:szCs w:val="20"/>
          <w:lang w:val="es-BO"/>
        </w:rPr>
        <w:t xml:space="preserve"> no reembolsables de apoyo al tema migratorio en Colombia. </w:t>
      </w:r>
    </w:p>
    <w:p w14:paraId="5E3CE569" w14:textId="75EE4BFD" w:rsidR="00A53D4D" w:rsidRDefault="003F0AA1" w:rsidP="00A53D4D">
      <w:pPr>
        <w:rPr>
          <w:lang w:val="es-419"/>
        </w:rPr>
      </w:pPr>
      <w:r w:rsidRPr="003F0AA1">
        <w:rPr>
          <w:noProof/>
        </w:rPr>
        <w:drawing>
          <wp:inline distT="0" distB="0" distL="0" distR="0" wp14:anchorId="38977655" wp14:editId="45A0B474">
            <wp:extent cx="5943600" cy="6229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622935"/>
                    </a:xfrm>
                    <a:prstGeom prst="rect">
                      <a:avLst/>
                    </a:prstGeom>
                  </pic:spPr>
                </pic:pic>
              </a:graphicData>
            </a:graphic>
          </wp:inline>
        </w:drawing>
      </w:r>
    </w:p>
    <w:p w14:paraId="187173FC" w14:textId="77777777" w:rsidR="009F3D17" w:rsidRDefault="009F3D17" w:rsidP="009F3D17">
      <w:pPr>
        <w:pStyle w:val="Heading2"/>
        <w:rPr>
          <w:lang w:val="es-ES_tradnl"/>
        </w:rPr>
      </w:pPr>
      <w:bookmarkStart w:id="17" w:name="_Toc82174013"/>
      <w:r>
        <w:rPr>
          <w:lang w:val="es-BO"/>
        </w:rPr>
        <w:t>P</w:t>
      </w:r>
      <w:proofErr w:type="spellStart"/>
      <w:r w:rsidRPr="00343EFE">
        <w:rPr>
          <w:lang w:val="es-ES_tradnl"/>
        </w:rPr>
        <w:t>rincipales</w:t>
      </w:r>
      <w:proofErr w:type="spellEnd"/>
      <w:r w:rsidRPr="00343EFE">
        <w:rPr>
          <w:lang w:val="es-ES_tradnl"/>
        </w:rPr>
        <w:t xml:space="preserve"> </w:t>
      </w:r>
      <w:r>
        <w:rPr>
          <w:lang w:val="es-ES_tradnl"/>
        </w:rPr>
        <w:t>R</w:t>
      </w:r>
      <w:r w:rsidRPr="00343EFE">
        <w:rPr>
          <w:lang w:val="es-ES_tradnl"/>
        </w:rPr>
        <w:t>esultados</w:t>
      </w:r>
      <w:r>
        <w:rPr>
          <w:lang w:val="es-ES_tradnl"/>
        </w:rPr>
        <w:t xml:space="preserve"> esperados </w:t>
      </w:r>
      <w:r w:rsidRPr="00343EFE">
        <w:rPr>
          <w:lang w:val="es-ES_tradnl"/>
        </w:rPr>
        <w:t xml:space="preserve">de la </w:t>
      </w:r>
      <w:r>
        <w:rPr>
          <w:lang w:val="es-ES_tradnl"/>
        </w:rPr>
        <w:t>Implementación del Apoyo del Banco al País en la Temática Migratoria</w:t>
      </w:r>
      <w:bookmarkEnd w:id="17"/>
      <w:r>
        <w:rPr>
          <w:lang w:val="es-ES_tradnl"/>
        </w:rPr>
        <w:t xml:space="preserve"> </w:t>
      </w:r>
    </w:p>
    <w:p w14:paraId="537B3CD3" w14:textId="77777777" w:rsidR="009F3D17" w:rsidRDefault="009F3D17" w:rsidP="009F3D17">
      <w:pPr>
        <w:pStyle w:val="Heading3"/>
        <w:rPr>
          <w:lang w:val="es-ES_tradnl"/>
        </w:rPr>
      </w:pPr>
      <w:bookmarkStart w:id="18" w:name="_Toc82174014"/>
      <w:r>
        <w:rPr>
          <w:lang w:val="es-ES_tradnl"/>
        </w:rPr>
        <w:t>Acceso a Servicios Sociales</w:t>
      </w:r>
      <w:bookmarkEnd w:id="18"/>
      <w:r>
        <w:rPr>
          <w:lang w:val="es-ES_tradnl"/>
        </w:rPr>
        <w:t xml:space="preserve"> </w:t>
      </w:r>
    </w:p>
    <w:p w14:paraId="39D93FEC" w14:textId="1A74BD90" w:rsidR="009F3D17" w:rsidRDefault="009F3D17" w:rsidP="009F3D17">
      <w:pPr>
        <w:rPr>
          <w:szCs w:val="20"/>
          <w:lang w:val="es-ES_tradnl"/>
        </w:rPr>
      </w:pPr>
      <w:r w:rsidRPr="00F2586B">
        <w:rPr>
          <w:lang w:val="es-ES_tradnl"/>
        </w:rPr>
        <w:t>El Banco</w:t>
      </w:r>
      <w:r w:rsidR="000376AA">
        <w:rPr>
          <w:rStyle w:val="FootnoteReference"/>
          <w:lang w:val="es-ES_tradnl"/>
        </w:rPr>
        <w:footnoteReference w:id="5"/>
      </w:r>
      <w:r w:rsidRPr="00F2586B">
        <w:rPr>
          <w:lang w:val="es-ES_tradnl"/>
        </w:rPr>
        <w:t xml:space="preserve"> </w:t>
      </w:r>
      <w:r>
        <w:rPr>
          <w:lang w:val="es-ES_tradnl"/>
        </w:rPr>
        <w:t xml:space="preserve">está dando continuidad </w:t>
      </w:r>
      <w:r w:rsidRPr="00F2586B">
        <w:rPr>
          <w:lang w:val="es-ES_tradnl"/>
        </w:rPr>
        <w:t xml:space="preserve">al proceso de </w:t>
      </w:r>
      <w:r>
        <w:rPr>
          <w:lang w:val="es-ES_tradnl"/>
        </w:rPr>
        <w:t>inclusión y acceso a los servicios sociales por parte de la población migrante en el país, a través de un programa por resultados que busca m</w:t>
      </w:r>
      <w:r w:rsidRPr="007D7E88">
        <w:rPr>
          <w:lang w:val="es-ES_tradnl"/>
        </w:rPr>
        <w:t>ejora</w:t>
      </w:r>
      <w:r>
        <w:rPr>
          <w:lang w:val="es-ES_tradnl"/>
        </w:rPr>
        <w:t>r</w:t>
      </w:r>
      <w:r w:rsidRPr="007D7E88">
        <w:rPr>
          <w:lang w:val="es-ES_tradnl"/>
        </w:rPr>
        <w:t xml:space="preserve"> la sostenibilidad del Sistema General de Seguridad Social en Salud (SGSSS) </w:t>
      </w:r>
      <w:r w:rsidR="000376AA">
        <w:rPr>
          <w:lang w:val="es-ES_tradnl"/>
        </w:rPr>
        <w:t xml:space="preserve">con </w:t>
      </w:r>
      <w:r>
        <w:rPr>
          <w:lang w:val="es-ES_tradnl"/>
        </w:rPr>
        <w:t xml:space="preserve">una </w:t>
      </w:r>
      <w:r w:rsidRPr="007D7E88">
        <w:rPr>
          <w:lang w:val="es-ES_tradnl"/>
        </w:rPr>
        <w:t xml:space="preserve">mejor gestión del gasto total de servicios y </w:t>
      </w:r>
      <w:r w:rsidRPr="006471FE">
        <w:rPr>
          <w:szCs w:val="20"/>
          <w:lang w:val="es-ES_tradnl"/>
        </w:rPr>
        <w:t>tecnologías en salud no financiadas</w:t>
      </w:r>
      <w:r w:rsidRPr="00DF6849">
        <w:rPr>
          <w:szCs w:val="20"/>
          <w:lang w:val="es-ES_tradnl"/>
        </w:rPr>
        <w:t xml:space="preserve">, una mejora de </w:t>
      </w:r>
      <w:r w:rsidRPr="00206A2A">
        <w:rPr>
          <w:szCs w:val="20"/>
          <w:lang w:val="es-ES_tradnl"/>
        </w:rPr>
        <w:t>la eficiencia y cobertura del SGSSS; y que comprende además ampliar la cobertura en salud para población inmigrante.</w:t>
      </w:r>
      <w:r w:rsidRPr="002C0591">
        <w:rPr>
          <w:szCs w:val="20"/>
          <w:lang w:val="es-ES_tradnl"/>
        </w:rPr>
        <w:t xml:space="preserve"> Este proyecto espera mejorar la cobertura de </w:t>
      </w:r>
      <w:r w:rsidRPr="00502A54">
        <w:rPr>
          <w:b/>
          <w:bCs/>
          <w:szCs w:val="20"/>
          <w:lang w:val="es-ES_tradnl"/>
        </w:rPr>
        <w:t xml:space="preserve">afiliación de </w:t>
      </w:r>
      <w:r w:rsidR="000376AA" w:rsidRPr="00502A54">
        <w:rPr>
          <w:b/>
          <w:bCs/>
          <w:szCs w:val="20"/>
          <w:lang w:val="es-ES_tradnl"/>
        </w:rPr>
        <w:t>309</w:t>
      </w:r>
      <w:r w:rsidRPr="00502A54">
        <w:rPr>
          <w:b/>
          <w:bCs/>
          <w:szCs w:val="20"/>
          <w:lang w:val="es-ES_tradnl"/>
        </w:rPr>
        <w:t>.0</w:t>
      </w:r>
      <w:r w:rsidR="000376AA" w:rsidRPr="00502A54">
        <w:rPr>
          <w:b/>
          <w:bCs/>
          <w:szCs w:val="20"/>
          <w:lang w:val="es-ES_tradnl"/>
        </w:rPr>
        <w:t>72</w:t>
      </w:r>
      <w:r w:rsidRPr="00502A54">
        <w:rPr>
          <w:b/>
          <w:bCs/>
          <w:szCs w:val="20"/>
          <w:lang w:val="es-ES_tradnl"/>
        </w:rPr>
        <w:t xml:space="preserve"> inmigrantes</w:t>
      </w:r>
      <w:r w:rsidRPr="002C0591">
        <w:rPr>
          <w:szCs w:val="20"/>
          <w:lang w:val="es-ES_tradnl"/>
        </w:rPr>
        <w:t xml:space="preserve">, </w:t>
      </w:r>
      <w:r w:rsidRPr="006471FE">
        <w:rPr>
          <w:szCs w:val="20"/>
          <w:lang w:val="es-ES_tradnl"/>
        </w:rPr>
        <w:t xml:space="preserve">y </w:t>
      </w:r>
      <w:r w:rsidRPr="00502A54">
        <w:rPr>
          <w:b/>
          <w:bCs/>
          <w:szCs w:val="20"/>
          <w:lang w:val="es-ES_tradnl"/>
        </w:rPr>
        <w:t>proveer 19.000 atenciones en salud obstétrica para inmigrantes no afiliados</w:t>
      </w:r>
      <w:r w:rsidRPr="002C0591">
        <w:rPr>
          <w:szCs w:val="20"/>
          <w:lang w:val="es-ES_tradnl"/>
        </w:rPr>
        <w:t xml:space="preserve">. </w:t>
      </w:r>
    </w:p>
    <w:p w14:paraId="0B990BFE" w14:textId="1FC1C55C" w:rsidR="00CD400E" w:rsidRDefault="00CD400E" w:rsidP="00285383">
      <w:pPr>
        <w:rPr>
          <w:szCs w:val="20"/>
          <w:lang w:val="es-ES_tradnl"/>
        </w:rPr>
      </w:pPr>
      <w:r>
        <w:rPr>
          <w:szCs w:val="20"/>
          <w:lang w:val="es-ES_tradnl"/>
        </w:rPr>
        <w:t>En Villa Caracas</w:t>
      </w:r>
      <w:r w:rsidR="005F2806">
        <w:rPr>
          <w:rStyle w:val="FootnoteReference"/>
          <w:szCs w:val="20"/>
          <w:lang w:val="es-ES_tradnl"/>
        </w:rPr>
        <w:footnoteReference w:id="6"/>
      </w:r>
      <w:r>
        <w:rPr>
          <w:szCs w:val="20"/>
          <w:lang w:val="es-ES_tradnl"/>
        </w:rPr>
        <w:t xml:space="preserve">, Barranquilla, </w:t>
      </w:r>
      <w:r w:rsidR="005C5514">
        <w:rPr>
          <w:szCs w:val="20"/>
          <w:lang w:val="es-ES_tradnl"/>
        </w:rPr>
        <w:t xml:space="preserve">se </w:t>
      </w:r>
      <w:r w:rsidR="001C04FC">
        <w:rPr>
          <w:szCs w:val="20"/>
          <w:lang w:val="es-ES_tradnl"/>
        </w:rPr>
        <w:t xml:space="preserve">espera </w:t>
      </w:r>
      <w:r w:rsidR="005C5514">
        <w:rPr>
          <w:szCs w:val="20"/>
          <w:lang w:val="es-ES_tradnl"/>
        </w:rPr>
        <w:t xml:space="preserve">que </w:t>
      </w:r>
      <w:r w:rsidR="001C04FC" w:rsidRPr="0047049F">
        <w:rPr>
          <w:szCs w:val="20"/>
          <w:lang w:val="es-ES_tradnl"/>
        </w:rPr>
        <w:t xml:space="preserve">a través de </w:t>
      </w:r>
      <w:r w:rsidR="005C5514">
        <w:rPr>
          <w:szCs w:val="20"/>
          <w:lang w:val="es-ES_tradnl"/>
        </w:rPr>
        <w:t xml:space="preserve">la implementación de un </w:t>
      </w:r>
      <w:r w:rsidR="001C04FC" w:rsidRPr="0047049F">
        <w:rPr>
          <w:szCs w:val="20"/>
          <w:lang w:val="es-ES_tradnl"/>
        </w:rPr>
        <w:t>paquete integral de servicios</w:t>
      </w:r>
      <w:r w:rsidR="00025F89">
        <w:rPr>
          <w:szCs w:val="20"/>
          <w:lang w:val="es-ES_tradnl"/>
        </w:rPr>
        <w:t xml:space="preserve">, </w:t>
      </w:r>
      <w:r w:rsidR="000B2DD2">
        <w:rPr>
          <w:szCs w:val="20"/>
          <w:lang w:val="es-ES_tradnl"/>
        </w:rPr>
        <w:t xml:space="preserve">que comprende el apoyo para el acceso </w:t>
      </w:r>
      <w:r w:rsidR="000B2DD2" w:rsidRPr="000B2DD2">
        <w:rPr>
          <w:szCs w:val="20"/>
          <w:lang w:val="es-ES_tradnl"/>
        </w:rPr>
        <w:t xml:space="preserve">al mercado laboral y cuidado de los niños </w:t>
      </w:r>
      <w:r w:rsidR="005F2806">
        <w:rPr>
          <w:szCs w:val="20"/>
          <w:lang w:val="es-ES_tradnl"/>
        </w:rPr>
        <w:t xml:space="preserve">para </w:t>
      </w:r>
      <w:r w:rsidR="000B2DD2" w:rsidRPr="000B2DD2">
        <w:rPr>
          <w:szCs w:val="20"/>
          <w:lang w:val="es-ES_tradnl"/>
        </w:rPr>
        <w:t>inmigrantes</w:t>
      </w:r>
      <w:r w:rsidR="005E2793">
        <w:rPr>
          <w:szCs w:val="20"/>
          <w:lang w:val="es-ES_tradnl"/>
        </w:rPr>
        <w:t xml:space="preserve">, </w:t>
      </w:r>
      <w:r w:rsidR="005F6D6F">
        <w:rPr>
          <w:szCs w:val="20"/>
          <w:lang w:val="es-ES_tradnl"/>
        </w:rPr>
        <w:t>un p</w:t>
      </w:r>
      <w:r w:rsidR="005F6D6F" w:rsidRPr="005F6D6F">
        <w:rPr>
          <w:szCs w:val="20"/>
          <w:lang w:val="es-ES_tradnl"/>
        </w:rPr>
        <w:t>aquete de apoyo al cuidado de los inmigrantes con énfasis en los servicios de rehabilitación de la discapacidad</w:t>
      </w:r>
      <w:r w:rsidR="00723419">
        <w:rPr>
          <w:szCs w:val="20"/>
          <w:lang w:val="es-ES_tradnl"/>
        </w:rPr>
        <w:t xml:space="preserve">, </w:t>
      </w:r>
      <w:r w:rsidR="00285383">
        <w:rPr>
          <w:szCs w:val="20"/>
          <w:lang w:val="es-ES_tradnl"/>
        </w:rPr>
        <w:t xml:space="preserve">y </w:t>
      </w:r>
      <w:r w:rsidR="000B2DD2" w:rsidRPr="000B2DD2">
        <w:rPr>
          <w:szCs w:val="20"/>
          <w:lang w:val="es-ES_tradnl"/>
        </w:rPr>
        <w:t xml:space="preserve">servicios de ayuda a la búsqueda de empleo </w:t>
      </w:r>
      <w:r w:rsidR="00285383">
        <w:rPr>
          <w:szCs w:val="20"/>
          <w:lang w:val="es-ES_tradnl"/>
        </w:rPr>
        <w:t xml:space="preserve">de </w:t>
      </w:r>
      <w:r w:rsidR="000B2DD2" w:rsidRPr="000B2DD2">
        <w:rPr>
          <w:szCs w:val="20"/>
          <w:lang w:val="es-ES_tradnl"/>
        </w:rPr>
        <w:t>apoyo al autoempleo y al espíritu empresarial</w:t>
      </w:r>
      <w:r w:rsidR="00F21240">
        <w:rPr>
          <w:szCs w:val="20"/>
          <w:lang w:val="es-ES_tradnl"/>
        </w:rPr>
        <w:t xml:space="preserve">, </w:t>
      </w:r>
      <w:r w:rsidR="00285383">
        <w:rPr>
          <w:szCs w:val="20"/>
          <w:lang w:val="es-ES_tradnl"/>
        </w:rPr>
        <w:t xml:space="preserve">se beneficien </w:t>
      </w:r>
      <w:r w:rsidR="00F21240">
        <w:rPr>
          <w:szCs w:val="20"/>
          <w:lang w:val="es-ES_tradnl"/>
        </w:rPr>
        <w:t xml:space="preserve">500 familias con atención </w:t>
      </w:r>
      <w:r w:rsidR="00D044F4">
        <w:rPr>
          <w:szCs w:val="20"/>
          <w:lang w:val="es-ES_tradnl"/>
        </w:rPr>
        <w:t xml:space="preserve">en servicios integrales, 140 personas </w:t>
      </w:r>
      <w:r w:rsidR="00D60723">
        <w:rPr>
          <w:szCs w:val="20"/>
          <w:lang w:val="es-ES_tradnl"/>
        </w:rPr>
        <w:t xml:space="preserve">con </w:t>
      </w:r>
      <w:r w:rsidR="00554E48">
        <w:rPr>
          <w:szCs w:val="20"/>
          <w:lang w:val="es-ES_tradnl"/>
        </w:rPr>
        <w:t xml:space="preserve">énfasis </w:t>
      </w:r>
      <w:r w:rsidR="00D60723">
        <w:rPr>
          <w:szCs w:val="20"/>
          <w:lang w:val="es-ES_tradnl"/>
        </w:rPr>
        <w:t xml:space="preserve">en rehabilitación y 400 personas capacitadas </w:t>
      </w:r>
      <w:r w:rsidR="00E87883">
        <w:rPr>
          <w:szCs w:val="20"/>
          <w:lang w:val="es-ES_tradnl"/>
        </w:rPr>
        <w:t xml:space="preserve">para acceso laboral. </w:t>
      </w:r>
    </w:p>
    <w:p w14:paraId="1705771D" w14:textId="4A3077BB" w:rsidR="000A3B74" w:rsidRDefault="00437977" w:rsidP="000A3B74">
      <w:pPr>
        <w:rPr>
          <w:szCs w:val="20"/>
          <w:lang w:val="es-ES_tradnl"/>
        </w:rPr>
      </w:pPr>
      <w:r>
        <w:rPr>
          <w:szCs w:val="20"/>
          <w:lang w:val="es-ES_tradnl"/>
        </w:rPr>
        <w:t>Asimismo</w:t>
      </w:r>
      <w:r w:rsidR="000A3B74">
        <w:rPr>
          <w:szCs w:val="20"/>
          <w:lang w:val="es-ES_tradnl"/>
        </w:rPr>
        <w:t>, el Banco</w:t>
      </w:r>
      <w:r w:rsidR="000A3B74">
        <w:rPr>
          <w:rStyle w:val="FootnoteReference"/>
          <w:szCs w:val="20"/>
          <w:lang w:val="es-ES_tradnl"/>
        </w:rPr>
        <w:footnoteReference w:id="7"/>
      </w:r>
      <w:r w:rsidR="000A3B74">
        <w:rPr>
          <w:szCs w:val="20"/>
          <w:lang w:val="es-ES_tradnl"/>
        </w:rPr>
        <w:t xml:space="preserve"> está impulsando el desarrollo </w:t>
      </w:r>
      <w:r>
        <w:rPr>
          <w:szCs w:val="20"/>
          <w:lang w:val="es-ES_tradnl"/>
        </w:rPr>
        <w:t xml:space="preserve">metodológico de </w:t>
      </w:r>
      <w:r w:rsidR="000A3B74" w:rsidRPr="0008693E">
        <w:rPr>
          <w:szCs w:val="20"/>
          <w:lang w:val="es-ES_tradnl"/>
        </w:rPr>
        <w:t xml:space="preserve">una </w:t>
      </w:r>
      <w:r w:rsidR="000A3B74" w:rsidRPr="00502A54">
        <w:rPr>
          <w:b/>
          <w:bCs/>
          <w:szCs w:val="20"/>
          <w:lang w:val="es-ES_tradnl"/>
        </w:rPr>
        <w:t>Ventanilla Única (VU) de servicios sociales</w:t>
      </w:r>
      <w:r w:rsidR="000A3B74" w:rsidRPr="0008693E">
        <w:rPr>
          <w:szCs w:val="20"/>
          <w:lang w:val="es-ES_tradnl"/>
        </w:rPr>
        <w:t xml:space="preserve">, para mejorar la coordinación entre las autoridades nacionales, locales y entre </w:t>
      </w:r>
      <w:r w:rsidR="000A3B74" w:rsidRPr="0008693E">
        <w:rPr>
          <w:szCs w:val="20"/>
          <w:lang w:val="es-ES_tradnl"/>
        </w:rPr>
        <w:lastRenderedPageBreak/>
        <w:t xml:space="preserve">diferentes servicios sociales, </w:t>
      </w:r>
      <w:r w:rsidR="000A3B74">
        <w:rPr>
          <w:szCs w:val="20"/>
          <w:lang w:val="es-ES_tradnl"/>
        </w:rPr>
        <w:t xml:space="preserve">para </w:t>
      </w:r>
      <w:r w:rsidR="000A3B74" w:rsidRPr="0008693E">
        <w:rPr>
          <w:szCs w:val="20"/>
          <w:lang w:val="es-ES_tradnl"/>
        </w:rPr>
        <w:t>lograr mayor eficiencia en la provisión de servicios sociales para la población local y los migrantes</w:t>
      </w:r>
      <w:r w:rsidR="00235F2E">
        <w:rPr>
          <w:szCs w:val="20"/>
          <w:lang w:val="es-ES_tradnl"/>
        </w:rPr>
        <w:t>. D</w:t>
      </w:r>
      <w:r w:rsidR="000A3B74">
        <w:rPr>
          <w:szCs w:val="20"/>
          <w:lang w:val="es-ES_tradnl"/>
        </w:rPr>
        <w:t>e manera comple</w:t>
      </w:r>
      <w:r w:rsidR="00235F2E">
        <w:rPr>
          <w:szCs w:val="20"/>
          <w:lang w:val="es-ES_tradnl"/>
        </w:rPr>
        <w:t>me</w:t>
      </w:r>
      <w:r w:rsidR="000A3B74">
        <w:rPr>
          <w:szCs w:val="20"/>
          <w:lang w:val="es-ES_tradnl"/>
        </w:rPr>
        <w:t>ntaria, también se encuentra impulsando l</w:t>
      </w:r>
      <w:r w:rsidR="000A3B74" w:rsidRPr="008D0E4A">
        <w:rPr>
          <w:szCs w:val="20"/>
          <w:lang w:val="es-ES_tradnl"/>
        </w:rPr>
        <w:t xml:space="preserve">a </w:t>
      </w:r>
      <w:r w:rsidR="000A3B74" w:rsidRPr="00502A54">
        <w:rPr>
          <w:b/>
          <w:bCs/>
          <w:szCs w:val="20"/>
          <w:lang w:val="es-ES_tradnl"/>
        </w:rPr>
        <w:t>recopilación, análisis y diseminación de datos territoriales sobre migrantes</w:t>
      </w:r>
      <w:r w:rsidR="000A3B74" w:rsidRPr="008D0E4A">
        <w:rPr>
          <w:szCs w:val="20"/>
          <w:lang w:val="es-ES_tradnl"/>
        </w:rPr>
        <w:t>, para mejorar la capacidad subnacional en la formulación de políticas para su integración y protección</w:t>
      </w:r>
      <w:r w:rsidR="000A3B74">
        <w:rPr>
          <w:rStyle w:val="FootnoteReference"/>
          <w:szCs w:val="20"/>
          <w:lang w:val="es-ES_tradnl"/>
        </w:rPr>
        <w:footnoteReference w:id="8"/>
      </w:r>
      <w:r w:rsidR="000A3B74">
        <w:rPr>
          <w:szCs w:val="20"/>
          <w:lang w:val="es-ES_tradnl"/>
        </w:rPr>
        <w:t xml:space="preserve">. Por último, el Banco busca </w:t>
      </w:r>
      <w:r w:rsidR="000A3B74" w:rsidRPr="00502A54">
        <w:rPr>
          <w:b/>
          <w:bCs/>
          <w:szCs w:val="20"/>
          <w:lang w:val="es-ES_tradnl"/>
        </w:rPr>
        <w:t xml:space="preserve">incrementar la capacidad de los gobiernos </w:t>
      </w:r>
      <w:proofErr w:type="gramStart"/>
      <w:r w:rsidR="000A3B74" w:rsidRPr="00502A54">
        <w:rPr>
          <w:b/>
          <w:bCs/>
          <w:szCs w:val="20"/>
          <w:lang w:val="es-ES_tradnl"/>
        </w:rPr>
        <w:t>para  diagnosticar</w:t>
      </w:r>
      <w:proofErr w:type="gramEnd"/>
      <w:r w:rsidR="000A3B74" w:rsidRPr="00502A54">
        <w:rPr>
          <w:b/>
          <w:bCs/>
          <w:szCs w:val="20"/>
          <w:lang w:val="es-ES_tradnl"/>
        </w:rPr>
        <w:t>, proyectar y gestionar la migración y promover la protección de los migrantes</w:t>
      </w:r>
      <w:r w:rsidR="000A3B74" w:rsidRPr="0008693E">
        <w:rPr>
          <w:szCs w:val="20"/>
          <w:lang w:val="es-ES_tradnl"/>
        </w:rPr>
        <w:t>, a través de la definición de protocolos e identificación de necesidades de información</w:t>
      </w:r>
      <w:r w:rsidR="000A3B74">
        <w:rPr>
          <w:rStyle w:val="FootnoteReference"/>
          <w:szCs w:val="20"/>
          <w:lang w:val="es-ES_tradnl"/>
        </w:rPr>
        <w:footnoteReference w:id="9"/>
      </w:r>
      <w:r w:rsidR="000A3B74" w:rsidRPr="0008693E">
        <w:rPr>
          <w:szCs w:val="20"/>
          <w:lang w:val="es-ES_tradnl"/>
        </w:rPr>
        <w:t>.</w:t>
      </w:r>
    </w:p>
    <w:p w14:paraId="72371E78" w14:textId="77777777" w:rsidR="009F3D17" w:rsidRPr="002C0591" w:rsidRDefault="009F3D17" w:rsidP="009F3D17">
      <w:pPr>
        <w:pStyle w:val="Heading3"/>
        <w:rPr>
          <w:szCs w:val="20"/>
          <w:lang w:val="es-ES_tradnl"/>
        </w:rPr>
      </w:pPr>
      <w:bookmarkStart w:id="19" w:name="_Toc82174015"/>
      <w:r w:rsidRPr="002C0591">
        <w:rPr>
          <w:szCs w:val="20"/>
          <w:lang w:val="es-ES_tradnl"/>
        </w:rPr>
        <w:t>Acceso a servicios básicos</w:t>
      </w:r>
      <w:bookmarkEnd w:id="19"/>
    </w:p>
    <w:p w14:paraId="6FEF73B0" w14:textId="2D696D3A" w:rsidR="00CD77DA" w:rsidRDefault="009F3D17" w:rsidP="00B05A6B">
      <w:pPr>
        <w:rPr>
          <w:szCs w:val="20"/>
          <w:lang w:val="es-ES"/>
        </w:rPr>
      </w:pPr>
      <w:r w:rsidRPr="002C0591">
        <w:rPr>
          <w:szCs w:val="20"/>
          <w:lang w:val="es-ES_tradnl"/>
        </w:rPr>
        <w:t>El Banco</w:t>
      </w:r>
      <w:r w:rsidR="000376AA">
        <w:rPr>
          <w:rStyle w:val="FootnoteReference"/>
          <w:szCs w:val="20"/>
          <w:lang w:val="es-ES_tradnl"/>
        </w:rPr>
        <w:footnoteReference w:id="10"/>
      </w:r>
      <w:r w:rsidRPr="002C0591">
        <w:rPr>
          <w:szCs w:val="20"/>
          <w:lang w:val="es-ES_tradnl"/>
        </w:rPr>
        <w:t xml:space="preserve"> está trabajando en </w:t>
      </w:r>
      <w:r w:rsidRPr="002C0591">
        <w:rPr>
          <w:szCs w:val="20"/>
          <w:lang w:val="es-ES"/>
        </w:rPr>
        <w:t xml:space="preserve">fomentar el proceso de </w:t>
      </w:r>
      <w:r w:rsidRPr="00502A54">
        <w:rPr>
          <w:b/>
          <w:bCs/>
          <w:szCs w:val="20"/>
          <w:lang w:val="es-ES"/>
        </w:rPr>
        <w:t>integración urbana de migrantes en al menos cinco ciudades o zonas metropolitanas colombianas</w:t>
      </w:r>
      <w:r w:rsidRPr="002C0591">
        <w:rPr>
          <w:szCs w:val="20"/>
          <w:lang w:val="es-ES"/>
        </w:rPr>
        <w:t xml:space="preserve"> receptoras de migrantes. Esta integración se realizará al mejorar la capacidad institucional de las entidades subnacionales para ayudar a los migrantes mediante la implementación de sistemas de gestión basada en el desempeño, y facilitar el acceso a vivienda de alquiler asequible. En específico, se está implementado un </w:t>
      </w:r>
      <w:r w:rsidRPr="00502A54">
        <w:rPr>
          <w:b/>
          <w:bCs/>
          <w:szCs w:val="20"/>
          <w:lang w:val="es-ES"/>
        </w:rPr>
        <w:t>programa de asistencia para el alquiler de vivienda que beneficiará a 3.900 hogares (13.650 personas).</w:t>
      </w:r>
      <w:r w:rsidRPr="002C0591">
        <w:rPr>
          <w:szCs w:val="20"/>
          <w:lang w:val="es-ES"/>
        </w:rPr>
        <w:t xml:space="preserve"> Además, se </w:t>
      </w:r>
      <w:r w:rsidRPr="006471FE">
        <w:rPr>
          <w:szCs w:val="20"/>
          <w:lang w:val="es-ES"/>
        </w:rPr>
        <w:t>facilitará</w:t>
      </w:r>
      <w:r w:rsidRPr="002C0591">
        <w:rPr>
          <w:szCs w:val="20"/>
          <w:lang w:val="es-ES"/>
        </w:rPr>
        <w:t xml:space="preserve"> un </w:t>
      </w:r>
      <w:r>
        <w:rPr>
          <w:szCs w:val="20"/>
          <w:lang w:val="es-ES"/>
        </w:rPr>
        <w:t xml:space="preserve">financiamiento inicial y asistencia técnica para proteger a los propietarios y así aumentar la oferta de vivienda. </w:t>
      </w:r>
    </w:p>
    <w:p w14:paraId="4FB09A21" w14:textId="600C2BB3" w:rsidR="009F3D17" w:rsidRPr="002C0591" w:rsidRDefault="009F3D17" w:rsidP="009F3D17">
      <w:pPr>
        <w:rPr>
          <w:szCs w:val="20"/>
          <w:lang w:val="es-ES"/>
        </w:rPr>
      </w:pPr>
      <w:r>
        <w:rPr>
          <w:szCs w:val="20"/>
          <w:lang w:val="es-ES"/>
        </w:rPr>
        <w:t>Por otro lado, el Banco</w:t>
      </w:r>
      <w:r w:rsidR="000376AA">
        <w:rPr>
          <w:rStyle w:val="FootnoteReference"/>
          <w:szCs w:val="20"/>
          <w:lang w:val="es-ES"/>
        </w:rPr>
        <w:footnoteReference w:id="11"/>
      </w:r>
      <w:r>
        <w:rPr>
          <w:szCs w:val="20"/>
          <w:lang w:val="es-ES"/>
        </w:rPr>
        <w:t xml:space="preserve"> busca incrementar la </w:t>
      </w:r>
      <w:r w:rsidRPr="00701D45">
        <w:rPr>
          <w:b/>
          <w:bCs/>
          <w:szCs w:val="20"/>
          <w:lang w:val="es-ES"/>
        </w:rPr>
        <w:t>población migrante con acceso a agua apta para el consumo humano</w:t>
      </w:r>
      <w:r>
        <w:rPr>
          <w:szCs w:val="20"/>
          <w:lang w:val="es-ES"/>
        </w:rPr>
        <w:t xml:space="preserve">, en el marco del programa </w:t>
      </w:r>
      <w:r w:rsidRPr="00FE7C1F">
        <w:rPr>
          <w:szCs w:val="20"/>
          <w:lang w:val="es-ES"/>
        </w:rPr>
        <w:t>Guajira Azul</w:t>
      </w:r>
      <w:r>
        <w:rPr>
          <w:szCs w:val="20"/>
          <w:lang w:val="es-ES"/>
        </w:rPr>
        <w:t xml:space="preserve">. En específico se busca </w:t>
      </w:r>
      <w:r w:rsidRPr="002C0591">
        <w:rPr>
          <w:szCs w:val="20"/>
          <w:lang w:val="es-ES"/>
        </w:rPr>
        <w:t>incrementar el acceso y calidad de los servicios de agua potable y saneamiento, en poblaciones urbanas del</w:t>
      </w:r>
      <w:r>
        <w:rPr>
          <w:szCs w:val="20"/>
          <w:lang w:val="es-ES"/>
        </w:rPr>
        <w:t xml:space="preserve"> </w:t>
      </w:r>
      <w:r w:rsidRPr="002C0591">
        <w:rPr>
          <w:szCs w:val="20"/>
          <w:lang w:val="es-ES"/>
        </w:rPr>
        <w:t>Departamento de La Guajira, en particular en aquellas más afectadas por los recientes flujos migratorios</w:t>
      </w:r>
      <w:r>
        <w:rPr>
          <w:szCs w:val="20"/>
          <w:lang w:val="es-ES"/>
        </w:rPr>
        <w:t>,</w:t>
      </w:r>
      <w:r w:rsidRPr="002C0591">
        <w:rPr>
          <w:szCs w:val="20"/>
          <w:lang w:val="es-ES"/>
        </w:rPr>
        <w:t xml:space="preserve"> y mejorar la capacidad de</w:t>
      </w:r>
      <w:r>
        <w:rPr>
          <w:szCs w:val="20"/>
          <w:lang w:val="es-ES"/>
        </w:rPr>
        <w:t xml:space="preserve"> </w:t>
      </w:r>
      <w:r w:rsidRPr="002C0591">
        <w:rPr>
          <w:szCs w:val="20"/>
          <w:lang w:val="es-ES"/>
        </w:rPr>
        <w:t>gestión de los prestadores locales, y apoyar el proceso de regionalización de estos.</w:t>
      </w:r>
      <w:r>
        <w:rPr>
          <w:szCs w:val="20"/>
          <w:lang w:val="es-ES"/>
        </w:rPr>
        <w:t xml:space="preserve"> Con estos esfuerzos, se estima que </w:t>
      </w:r>
      <w:r w:rsidRPr="00701D45">
        <w:rPr>
          <w:b/>
          <w:bCs/>
          <w:szCs w:val="20"/>
          <w:lang w:val="es-ES"/>
        </w:rPr>
        <w:t>al menos 3.850 hogares migrantes contarán con sistema de agua potable apto, sea nuevo o mejorado</w:t>
      </w:r>
      <w:r>
        <w:rPr>
          <w:szCs w:val="20"/>
          <w:lang w:val="es-ES"/>
        </w:rPr>
        <w:t xml:space="preserve">. </w:t>
      </w:r>
    </w:p>
    <w:p w14:paraId="717BB904" w14:textId="77777777" w:rsidR="009F3D17" w:rsidRPr="00206A2A" w:rsidRDefault="009F3D17" w:rsidP="009F3D17">
      <w:pPr>
        <w:pStyle w:val="Heading3"/>
        <w:rPr>
          <w:szCs w:val="20"/>
          <w:lang w:val="es-ES_tradnl"/>
        </w:rPr>
      </w:pPr>
      <w:bookmarkStart w:id="20" w:name="_Toc82174016"/>
      <w:r w:rsidRPr="00206A2A">
        <w:rPr>
          <w:szCs w:val="20"/>
          <w:lang w:val="es-ES_tradnl"/>
        </w:rPr>
        <w:t>Oportunidades económicas</w:t>
      </w:r>
      <w:bookmarkEnd w:id="20"/>
    </w:p>
    <w:p w14:paraId="3275C9A3" w14:textId="4DF557B4" w:rsidR="009F3D17" w:rsidRPr="00206A2A" w:rsidRDefault="009F3D17" w:rsidP="009F3D17">
      <w:pPr>
        <w:rPr>
          <w:szCs w:val="20"/>
          <w:lang w:val="es-ES_tradnl"/>
        </w:rPr>
      </w:pPr>
      <w:r w:rsidRPr="002C0591">
        <w:rPr>
          <w:szCs w:val="20"/>
          <w:lang w:val="es-ES_tradnl"/>
        </w:rPr>
        <w:t xml:space="preserve">El Banco está trabajando en aumentar la empleabilidad e integración socioeconómica de la población migrante </w:t>
      </w:r>
      <w:r>
        <w:rPr>
          <w:szCs w:val="20"/>
          <w:lang w:val="es-ES_tradnl"/>
        </w:rPr>
        <w:t xml:space="preserve">a nivel nacional y </w:t>
      </w:r>
      <w:r w:rsidRPr="00BE5651">
        <w:rPr>
          <w:szCs w:val="20"/>
          <w:lang w:val="es-ES_tradnl"/>
        </w:rPr>
        <w:t>en zonas receptoras. A nivel nacional, el Banco</w:t>
      </w:r>
      <w:r w:rsidR="000376AA">
        <w:rPr>
          <w:rStyle w:val="FootnoteReference"/>
          <w:szCs w:val="20"/>
          <w:lang w:val="es-ES_tradnl"/>
        </w:rPr>
        <w:footnoteReference w:id="12"/>
      </w:r>
      <w:r w:rsidRPr="00BE5651">
        <w:rPr>
          <w:szCs w:val="20"/>
          <w:lang w:val="es-ES_tradnl"/>
        </w:rPr>
        <w:t xml:space="preserve"> espera </w:t>
      </w:r>
      <w:r w:rsidRPr="00701D45">
        <w:rPr>
          <w:b/>
          <w:bCs/>
          <w:szCs w:val="20"/>
          <w:lang w:val="es-ES_tradnl"/>
        </w:rPr>
        <w:t>aumentar la empleabilidad de la fuerza laboral a través de mayor cobertura y efectividad de las políticas de empleo</w:t>
      </w:r>
      <w:r w:rsidRPr="002C0591">
        <w:rPr>
          <w:szCs w:val="20"/>
          <w:lang w:val="es-ES_tradnl"/>
        </w:rPr>
        <w:t xml:space="preserve"> (como incrementar la orientación y uso de la plataforma de la red de prestadores sistema de información (SISE) del servicio público de empleo (SPE)</w:t>
      </w:r>
      <w:r>
        <w:rPr>
          <w:szCs w:val="20"/>
          <w:lang w:val="es-ES_tradnl"/>
        </w:rPr>
        <w:t>)</w:t>
      </w:r>
      <w:r w:rsidRPr="00BE5651">
        <w:rPr>
          <w:szCs w:val="20"/>
          <w:lang w:val="es-ES_tradnl"/>
        </w:rPr>
        <w:t xml:space="preserve">, </w:t>
      </w:r>
      <w:r w:rsidRPr="00206A2A">
        <w:rPr>
          <w:szCs w:val="20"/>
          <w:lang w:val="es-ES_tradnl"/>
        </w:rPr>
        <w:t xml:space="preserve">fortalecer el sistema que asegura la </w:t>
      </w:r>
      <w:r w:rsidRPr="002C0591">
        <w:rPr>
          <w:szCs w:val="20"/>
          <w:lang w:val="es-ES_tradnl"/>
        </w:rPr>
        <w:t xml:space="preserve">pertinencia y calidad de la formación para el trabajo (FT) y ampliar el alcance de la certificación basada en competencias. </w:t>
      </w:r>
      <w:r w:rsidRPr="00827EAE">
        <w:rPr>
          <w:b/>
          <w:bCs/>
          <w:szCs w:val="20"/>
          <w:lang w:val="es-ES_tradnl"/>
        </w:rPr>
        <w:t>Con estos esfuerzos, se espera incrementar la tasa de formalidad de la población migrante de 10,8% en el 2018 a 12% en el 2024</w:t>
      </w:r>
      <w:r w:rsidRPr="00206A2A">
        <w:rPr>
          <w:szCs w:val="20"/>
          <w:lang w:val="es-ES_tradnl"/>
        </w:rPr>
        <w:t xml:space="preserve">. </w:t>
      </w:r>
    </w:p>
    <w:p w14:paraId="6BC53D5E" w14:textId="0EAABEFE" w:rsidR="009F3D17" w:rsidRDefault="009F3D17" w:rsidP="009F3D17">
      <w:pPr>
        <w:rPr>
          <w:szCs w:val="20"/>
          <w:lang w:val="es-ES"/>
        </w:rPr>
      </w:pPr>
      <w:r w:rsidRPr="00206A2A">
        <w:rPr>
          <w:szCs w:val="20"/>
          <w:lang w:val="es-ES_tradnl"/>
        </w:rPr>
        <w:t>En zonas urbanas receptoras de migrantes, el Banco</w:t>
      </w:r>
      <w:r w:rsidR="000376AA">
        <w:rPr>
          <w:rStyle w:val="FootnoteReference"/>
          <w:szCs w:val="20"/>
          <w:lang w:val="es-ES_tradnl"/>
        </w:rPr>
        <w:footnoteReference w:id="13"/>
      </w:r>
      <w:r w:rsidRPr="00206A2A">
        <w:rPr>
          <w:szCs w:val="20"/>
          <w:lang w:val="es-ES_tradnl"/>
        </w:rPr>
        <w:t xml:space="preserve"> busca </w:t>
      </w:r>
      <w:r w:rsidRPr="002C0591">
        <w:rPr>
          <w:szCs w:val="20"/>
          <w:lang w:val="es-ES"/>
        </w:rPr>
        <w:t xml:space="preserve">impulsar </w:t>
      </w:r>
      <w:r w:rsidRPr="00827EAE">
        <w:rPr>
          <w:b/>
          <w:bCs/>
          <w:szCs w:val="20"/>
          <w:lang w:val="es-ES"/>
        </w:rPr>
        <w:t>oportunidades de integración económica por medio de la creación o mejora de Escuelas Taller</w:t>
      </w:r>
      <w:r>
        <w:rPr>
          <w:szCs w:val="20"/>
          <w:lang w:val="es-ES"/>
        </w:rPr>
        <w:t>. Se espera conceder 1</w:t>
      </w:r>
      <w:r w:rsidRPr="00827EAE">
        <w:rPr>
          <w:b/>
          <w:bCs/>
          <w:szCs w:val="20"/>
          <w:lang w:val="es-ES"/>
        </w:rPr>
        <w:t>.500 becas para aprendices de Escuelas Taller</w:t>
      </w:r>
      <w:r>
        <w:rPr>
          <w:szCs w:val="20"/>
          <w:lang w:val="es-ES"/>
        </w:rPr>
        <w:t xml:space="preserve">, e implementar cinco Escuelas Taller con certificación convalidada a nivel nacional. Se espera que al menos el </w:t>
      </w:r>
      <w:r w:rsidRPr="00827EAE">
        <w:rPr>
          <w:b/>
          <w:bCs/>
          <w:szCs w:val="20"/>
          <w:lang w:val="es-ES"/>
        </w:rPr>
        <w:t>62% de los aprendices de las Escuelas Taller logren emplearse al terminar su formación</w:t>
      </w:r>
      <w:r>
        <w:rPr>
          <w:szCs w:val="20"/>
          <w:lang w:val="es-ES"/>
        </w:rPr>
        <w:t xml:space="preserve">.  </w:t>
      </w:r>
    </w:p>
    <w:p w14:paraId="62BA7C7F" w14:textId="639B8ED1" w:rsidR="00280CF7" w:rsidRDefault="00280CF7" w:rsidP="00280CF7">
      <w:pPr>
        <w:rPr>
          <w:szCs w:val="20"/>
          <w:lang w:val="es-ES"/>
        </w:rPr>
      </w:pPr>
      <w:r>
        <w:rPr>
          <w:szCs w:val="20"/>
          <w:lang w:val="es-ES"/>
        </w:rPr>
        <w:t xml:space="preserve">Por último, en Soacha, </w:t>
      </w:r>
      <w:proofErr w:type="spellStart"/>
      <w:r>
        <w:rPr>
          <w:szCs w:val="20"/>
          <w:lang w:val="es-ES"/>
        </w:rPr>
        <w:t>Cundimarca</w:t>
      </w:r>
      <w:proofErr w:type="spellEnd"/>
      <w:r>
        <w:rPr>
          <w:szCs w:val="20"/>
          <w:lang w:val="es-ES"/>
        </w:rPr>
        <w:t>, el Banco</w:t>
      </w:r>
      <w:r>
        <w:rPr>
          <w:rStyle w:val="FootnoteReference"/>
          <w:szCs w:val="20"/>
          <w:lang w:val="es-ES"/>
        </w:rPr>
        <w:footnoteReference w:id="14"/>
      </w:r>
      <w:r>
        <w:rPr>
          <w:szCs w:val="20"/>
          <w:lang w:val="es-ES"/>
        </w:rPr>
        <w:t xml:space="preserve"> </w:t>
      </w:r>
      <w:r w:rsidR="00E3038F">
        <w:rPr>
          <w:szCs w:val="20"/>
          <w:lang w:val="es-ES"/>
        </w:rPr>
        <w:t>está</w:t>
      </w:r>
      <w:r>
        <w:rPr>
          <w:szCs w:val="20"/>
          <w:lang w:val="es-ES"/>
        </w:rPr>
        <w:t xml:space="preserve"> </w:t>
      </w:r>
      <w:r w:rsidR="00E3038F">
        <w:rPr>
          <w:szCs w:val="20"/>
          <w:lang w:val="es-ES"/>
        </w:rPr>
        <w:t>trabajando por</w:t>
      </w:r>
      <w:r>
        <w:rPr>
          <w:szCs w:val="20"/>
          <w:lang w:val="es-ES"/>
        </w:rPr>
        <w:t xml:space="preserve"> la </w:t>
      </w:r>
      <w:r w:rsidRPr="004B2DD4">
        <w:rPr>
          <w:b/>
          <w:bCs/>
          <w:szCs w:val="20"/>
          <w:lang w:val="es-ES"/>
        </w:rPr>
        <w:t xml:space="preserve">inclusión sociocultural, emocional y económica de jóvenes y líderes juveniles en condiciones de exclusión del mercado laboral a </w:t>
      </w:r>
      <w:r w:rsidRPr="004B2DD4">
        <w:rPr>
          <w:b/>
          <w:bCs/>
          <w:szCs w:val="20"/>
          <w:lang w:val="es-ES"/>
        </w:rPr>
        <w:lastRenderedPageBreak/>
        <w:t>través del desarrollo de habilidades en prácticas artísticas y gestión de proyectos enmarcadas en la economía cultural y creativa</w:t>
      </w:r>
      <w:r w:rsidRPr="00280CF7">
        <w:rPr>
          <w:szCs w:val="20"/>
          <w:lang w:val="es-ES"/>
        </w:rPr>
        <w:t>; aumentar el acceso a ofertas de trabajo en el sector cultural, y aumentar el acceso a una educación integral de calidad, nutrición y atención a la primera infancia brindada por artistas y para los hijos de los artistas</w:t>
      </w:r>
      <w:r>
        <w:rPr>
          <w:szCs w:val="20"/>
          <w:lang w:val="es-ES"/>
        </w:rPr>
        <w:t>.</w:t>
      </w:r>
    </w:p>
    <w:p w14:paraId="07C6F20F" w14:textId="131A25DB" w:rsidR="00DB0D4F" w:rsidRPr="00D87A73" w:rsidRDefault="00AA191B" w:rsidP="00322312">
      <w:pPr>
        <w:rPr>
          <w:lang w:val="es-ES_tradnl"/>
        </w:rPr>
      </w:pPr>
      <w:r>
        <w:rPr>
          <w:lang w:val="es-BO"/>
        </w:rPr>
        <w:t xml:space="preserve">Además de la Cooperación Técnica no </w:t>
      </w:r>
      <w:proofErr w:type="spellStart"/>
      <w:r>
        <w:rPr>
          <w:lang w:val="es-BO"/>
        </w:rPr>
        <w:t>rrembolsable</w:t>
      </w:r>
      <w:proofErr w:type="spellEnd"/>
      <w:r>
        <w:rPr>
          <w:lang w:val="es-BO"/>
        </w:rPr>
        <w:t xml:space="preserve"> que tiene como beneficiario a Colombia únicamente, el Banco se encuentra apoyando directamente </w:t>
      </w:r>
      <w:r>
        <w:rPr>
          <w:szCs w:val="20"/>
          <w:lang w:val="es-BO"/>
        </w:rPr>
        <w:t xml:space="preserve">a través de </w:t>
      </w:r>
      <w:r w:rsidRPr="004B2DD4">
        <w:rPr>
          <w:b/>
          <w:bCs/>
          <w:szCs w:val="20"/>
          <w:lang w:val="es-BO"/>
        </w:rPr>
        <w:t>cooperación técnica regional no reembolsable</w:t>
      </w:r>
      <w:r>
        <w:rPr>
          <w:szCs w:val="20"/>
          <w:lang w:val="es-BO"/>
        </w:rPr>
        <w:t xml:space="preserve"> – que tiene a Colombia como uno de los países beneficiarios - </w:t>
      </w:r>
      <w:r>
        <w:rPr>
          <w:szCs w:val="20"/>
          <w:lang w:val="es-ES_tradnl"/>
        </w:rPr>
        <w:t>distintos esfuerzos de fortalecimiento institucional en la temática. Es así, que el Banco</w:t>
      </w:r>
      <w:r>
        <w:rPr>
          <w:rStyle w:val="FootnoteReference"/>
          <w:szCs w:val="20"/>
          <w:lang w:val="es-ES_tradnl"/>
        </w:rPr>
        <w:footnoteReference w:id="15"/>
      </w:r>
      <w:r>
        <w:rPr>
          <w:szCs w:val="20"/>
          <w:lang w:val="es-ES_tradnl"/>
        </w:rPr>
        <w:t xml:space="preserve"> está trabajando en </w:t>
      </w:r>
      <w:r w:rsidRPr="008D0E4A">
        <w:rPr>
          <w:szCs w:val="20"/>
          <w:lang w:val="es-ES_tradnl"/>
        </w:rPr>
        <w:t xml:space="preserve">fortalecer los </w:t>
      </w:r>
      <w:r w:rsidRPr="00C56884">
        <w:rPr>
          <w:b/>
          <w:bCs/>
          <w:szCs w:val="20"/>
          <w:lang w:val="es-ES_tradnl"/>
        </w:rPr>
        <w:t>procesos de planeación fiscal en los países de la región andina en materia de atención a migrantes</w:t>
      </w:r>
      <w:r w:rsidRPr="008D0E4A">
        <w:rPr>
          <w:szCs w:val="20"/>
          <w:lang w:val="es-ES_tradnl"/>
        </w:rPr>
        <w:t xml:space="preserve">, </w:t>
      </w:r>
      <w:r w:rsidRPr="00C56884">
        <w:rPr>
          <w:b/>
          <w:bCs/>
          <w:szCs w:val="20"/>
          <w:lang w:val="es-ES_tradnl"/>
        </w:rPr>
        <w:t>con el fin de incrementar su integración socioeconómica y así alcanzar un mayor crecimiento económico</w:t>
      </w:r>
      <w:r w:rsidRPr="008D0E4A">
        <w:rPr>
          <w:szCs w:val="20"/>
          <w:lang w:val="es-ES_tradnl"/>
        </w:rPr>
        <w:t xml:space="preserve">. </w:t>
      </w:r>
      <w:r>
        <w:rPr>
          <w:szCs w:val="20"/>
          <w:lang w:val="es-ES_tradnl"/>
        </w:rPr>
        <w:t>En específico, se busca</w:t>
      </w:r>
      <w:r w:rsidRPr="008D0E4A">
        <w:rPr>
          <w:szCs w:val="20"/>
          <w:lang w:val="es-ES_tradnl"/>
        </w:rPr>
        <w:t xml:space="preserve"> (i) cuantificar las brechas existentes en la integración efectiva de migrantes; (</w:t>
      </w:r>
      <w:proofErr w:type="spellStart"/>
      <w:r w:rsidRPr="008D0E4A">
        <w:rPr>
          <w:szCs w:val="20"/>
          <w:lang w:val="es-ES_tradnl"/>
        </w:rPr>
        <w:t>ii</w:t>
      </w:r>
      <w:proofErr w:type="spellEnd"/>
      <w:r w:rsidRPr="008D0E4A">
        <w:rPr>
          <w:szCs w:val="20"/>
          <w:lang w:val="es-ES_tradnl"/>
        </w:rPr>
        <w:t>) cuantificar el costo fiscal de atención a la población migrante; y (</w:t>
      </w:r>
      <w:proofErr w:type="spellStart"/>
      <w:r w:rsidRPr="008D0E4A">
        <w:rPr>
          <w:szCs w:val="20"/>
          <w:lang w:val="es-ES_tradnl"/>
        </w:rPr>
        <w:t>iii</w:t>
      </w:r>
      <w:proofErr w:type="spellEnd"/>
      <w:r w:rsidRPr="008D0E4A">
        <w:rPr>
          <w:szCs w:val="20"/>
          <w:lang w:val="es-ES_tradnl"/>
        </w:rPr>
        <w:t>) fomentar la implementación de políticas públicas basadas en datos en materia de atención de migrantes.</w:t>
      </w:r>
      <w:r>
        <w:rPr>
          <w:szCs w:val="20"/>
          <w:lang w:val="es-ES_tradnl"/>
        </w:rPr>
        <w:t xml:space="preserve"> Asimismo, el Banco</w:t>
      </w:r>
      <w:r>
        <w:rPr>
          <w:rStyle w:val="FootnoteReference"/>
          <w:szCs w:val="20"/>
          <w:lang w:val="es-ES_tradnl"/>
        </w:rPr>
        <w:footnoteReference w:id="16"/>
      </w:r>
      <w:r>
        <w:rPr>
          <w:szCs w:val="20"/>
          <w:lang w:val="es-ES_tradnl"/>
        </w:rPr>
        <w:t xml:space="preserve"> está trabajando en f</w:t>
      </w:r>
      <w:r w:rsidRPr="008D0E4A">
        <w:rPr>
          <w:szCs w:val="20"/>
          <w:lang w:val="es-ES_tradnl"/>
        </w:rPr>
        <w:t>ortalecer a los Servicios Públicos de Empleo (SPE) para que puedan gestionar el aumento de la migración laboral</w:t>
      </w:r>
      <w:r>
        <w:rPr>
          <w:szCs w:val="20"/>
          <w:lang w:val="es-ES_tradnl"/>
        </w:rPr>
        <w:t xml:space="preserve"> </w:t>
      </w:r>
      <w:r w:rsidRPr="008D0E4A">
        <w:rPr>
          <w:szCs w:val="20"/>
          <w:lang w:val="es-ES_tradnl"/>
        </w:rPr>
        <w:t xml:space="preserve">y </w:t>
      </w:r>
      <w:r>
        <w:rPr>
          <w:szCs w:val="20"/>
          <w:lang w:val="es-ES_tradnl"/>
        </w:rPr>
        <w:t xml:space="preserve">así </w:t>
      </w:r>
      <w:r w:rsidRPr="008D0E4A">
        <w:rPr>
          <w:szCs w:val="20"/>
          <w:lang w:val="es-ES_tradnl"/>
        </w:rPr>
        <w:t>ofrecer respuestas a los escenarios planteados por la cuarta revolución industrial.</w:t>
      </w:r>
      <w:r>
        <w:rPr>
          <w:szCs w:val="20"/>
          <w:lang w:val="es-ES_tradnl"/>
        </w:rPr>
        <w:t xml:space="preserve"> </w:t>
      </w:r>
    </w:p>
    <w:sectPr w:rsidR="00DB0D4F" w:rsidRPr="00D87A73" w:rsidSect="001F3DCF">
      <w:headerReference w:type="default" r:id="rId14"/>
      <w:footerReference w:type="default" r:id="rId15"/>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E52A7" w14:textId="77777777" w:rsidR="000C61B0" w:rsidRDefault="000C61B0" w:rsidP="00AD5494">
      <w:pPr>
        <w:spacing w:before="0" w:after="0" w:line="240" w:lineRule="auto"/>
      </w:pPr>
      <w:r>
        <w:separator/>
      </w:r>
    </w:p>
  </w:endnote>
  <w:endnote w:type="continuationSeparator" w:id="0">
    <w:p w14:paraId="78AD8731" w14:textId="77777777" w:rsidR="000C61B0" w:rsidRDefault="000C61B0" w:rsidP="00AD54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BC21" w14:textId="314C9AF3" w:rsidR="003718F9" w:rsidRDefault="003718F9">
    <w:pPr>
      <w:pStyle w:val="Footer"/>
      <w:jc w:val="right"/>
    </w:pPr>
  </w:p>
  <w:p w14:paraId="49B59AEB" w14:textId="19543FFA" w:rsidR="003718F9" w:rsidRDefault="00371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461981"/>
      <w:docPartObj>
        <w:docPartGallery w:val="Page Numbers (Bottom of Page)"/>
        <w:docPartUnique/>
      </w:docPartObj>
    </w:sdtPr>
    <w:sdtEndPr>
      <w:rPr>
        <w:noProof/>
      </w:rPr>
    </w:sdtEndPr>
    <w:sdtContent>
      <w:p w14:paraId="5FA317B3" w14:textId="77777777" w:rsidR="003718F9" w:rsidRDefault="003718F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D10B8B" w14:textId="77777777" w:rsidR="003718F9" w:rsidRDefault="00371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025B8" w14:textId="77777777" w:rsidR="000C61B0" w:rsidRDefault="000C61B0" w:rsidP="00AD5494">
      <w:pPr>
        <w:spacing w:before="0" w:after="0" w:line="240" w:lineRule="auto"/>
      </w:pPr>
      <w:r>
        <w:separator/>
      </w:r>
    </w:p>
  </w:footnote>
  <w:footnote w:type="continuationSeparator" w:id="0">
    <w:p w14:paraId="53D13A70" w14:textId="77777777" w:rsidR="000C61B0" w:rsidRDefault="000C61B0" w:rsidP="00AD5494">
      <w:pPr>
        <w:spacing w:before="0" w:after="0" w:line="240" w:lineRule="auto"/>
      </w:pPr>
      <w:r>
        <w:continuationSeparator/>
      </w:r>
    </w:p>
  </w:footnote>
  <w:footnote w:id="1">
    <w:p w14:paraId="7950BA86" w14:textId="77777777" w:rsidR="008A708F" w:rsidRPr="00E6056D" w:rsidRDefault="008A708F" w:rsidP="008A708F">
      <w:pPr>
        <w:pStyle w:val="FootnoteText"/>
        <w:contextualSpacing/>
        <w:rPr>
          <w:rFonts w:cs="Arial"/>
          <w:szCs w:val="18"/>
          <w:lang w:val="es-MX"/>
        </w:rPr>
      </w:pPr>
      <w:r w:rsidRPr="00E6056D">
        <w:rPr>
          <w:rStyle w:val="FootnoteReference"/>
          <w:rFonts w:cs="Arial"/>
          <w:szCs w:val="18"/>
        </w:rPr>
        <w:footnoteRef/>
      </w:r>
      <w:r w:rsidRPr="00E6056D">
        <w:rPr>
          <w:rFonts w:cs="Arial"/>
          <w:szCs w:val="18"/>
          <w:lang w:val="es-MX"/>
        </w:rPr>
        <w:t xml:space="preserve"> </w:t>
      </w:r>
      <w:r w:rsidRPr="00E6056D">
        <w:rPr>
          <w:rFonts w:cs="Arial"/>
          <w:szCs w:val="18"/>
          <w:lang w:val="es-MX"/>
        </w:rPr>
        <w:tab/>
      </w:r>
      <w:hyperlink r:id="rId1" w:history="1">
        <w:r w:rsidRPr="00E6056D">
          <w:rPr>
            <w:rStyle w:val="Hyperlink"/>
            <w:rFonts w:cs="Arial"/>
            <w:szCs w:val="18"/>
            <w:lang w:val="es-MX"/>
          </w:rPr>
          <w:t>https://r4v.info/es/situations/platform</w:t>
        </w:r>
      </w:hyperlink>
      <w:r>
        <w:rPr>
          <w:rFonts w:cs="Arial"/>
          <w:szCs w:val="18"/>
          <w:lang w:val="es-MX"/>
        </w:rPr>
        <w:t>.</w:t>
      </w:r>
      <w:r w:rsidRPr="00E6056D">
        <w:rPr>
          <w:rFonts w:cs="Arial"/>
          <w:szCs w:val="18"/>
          <w:lang w:val="es-MX"/>
        </w:rPr>
        <w:t xml:space="preserve"> </w:t>
      </w:r>
    </w:p>
  </w:footnote>
  <w:footnote w:id="2">
    <w:p w14:paraId="29109D38" w14:textId="77777777" w:rsidR="008A708F" w:rsidRPr="00E6056D" w:rsidRDefault="008A708F" w:rsidP="008A708F">
      <w:pPr>
        <w:pStyle w:val="FootnoteText"/>
        <w:contextualSpacing/>
        <w:rPr>
          <w:rFonts w:cs="Arial"/>
          <w:szCs w:val="18"/>
          <w:lang w:val="es-MX"/>
        </w:rPr>
      </w:pPr>
      <w:r w:rsidRPr="00E6056D">
        <w:rPr>
          <w:rStyle w:val="FootnoteReference"/>
          <w:rFonts w:cs="Arial"/>
          <w:szCs w:val="18"/>
        </w:rPr>
        <w:footnoteRef/>
      </w:r>
      <w:r w:rsidRPr="00E6056D">
        <w:rPr>
          <w:rFonts w:cs="Arial"/>
          <w:szCs w:val="18"/>
          <w:lang w:val="es-MX"/>
        </w:rPr>
        <w:t xml:space="preserve"> </w:t>
      </w:r>
      <w:r>
        <w:rPr>
          <w:rFonts w:cs="Arial"/>
          <w:szCs w:val="18"/>
          <w:lang w:val="es-MX"/>
        </w:rPr>
        <w:tab/>
      </w:r>
      <w:r>
        <w:fldChar w:fldCharType="begin"/>
      </w:r>
      <w:r w:rsidRPr="008A708F">
        <w:rPr>
          <w:lang w:val="es-MX"/>
        </w:rPr>
        <w:instrText xml:space="preserve"> HYPERLINK "https://www.migracioncolombia.gov.co/infografias/distribucion-de-venezolanos-en-colombia-corte-31-de-enero-de-2021" </w:instrText>
      </w:r>
      <w:r>
        <w:fldChar w:fldCharType="separate"/>
      </w:r>
      <w:r w:rsidRPr="00C76FFB">
        <w:rPr>
          <w:rStyle w:val="Hyperlink"/>
          <w:rFonts w:cs="Arial"/>
          <w:szCs w:val="18"/>
          <w:lang w:val="es-MX"/>
        </w:rPr>
        <w:t>https://www.migracioncolombia.gov.co/infografias/distribucion-de-venezolanos-en-colombia-corte-31-de-enero-de-2021</w:t>
      </w:r>
      <w:r>
        <w:rPr>
          <w:rStyle w:val="Hyperlink"/>
          <w:rFonts w:cs="Arial"/>
          <w:szCs w:val="18"/>
          <w:lang w:val="es-MX"/>
        </w:rPr>
        <w:fldChar w:fldCharType="end"/>
      </w:r>
      <w:r>
        <w:rPr>
          <w:rFonts w:cs="Arial"/>
          <w:szCs w:val="18"/>
          <w:lang w:val="es-MX"/>
        </w:rPr>
        <w:t>.</w:t>
      </w:r>
      <w:r w:rsidRPr="00E6056D">
        <w:rPr>
          <w:rFonts w:cs="Arial"/>
          <w:szCs w:val="18"/>
          <w:lang w:val="es-MX"/>
        </w:rPr>
        <w:t xml:space="preserve"> </w:t>
      </w:r>
    </w:p>
  </w:footnote>
  <w:footnote w:id="3">
    <w:p w14:paraId="1A69D795" w14:textId="5D1FD0E7" w:rsidR="00F52489" w:rsidRPr="00F52489" w:rsidRDefault="00F52489" w:rsidP="00F52489">
      <w:pPr>
        <w:pStyle w:val="FootnoteText"/>
        <w:rPr>
          <w:lang w:val="es-419"/>
        </w:rPr>
      </w:pPr>
      <w:r>
        <w:rPr>
          <w:rStyle w:val="FootnoteReference"/>
        </w:rPr>
        <w:footnoteRef/>
      </w:r>
      <w:r w:rsidRPr="00F52489">
        <w:rPr>
          <w:lang w:val="es-419"/>
        </w:rPr>
        <w:t xml:space="preserve"> </w:t>
      </w:r>
      <w:hyperlink r:id="rId2" w:history="1">
        <w:r w:rsidRPr="008019B4">
          <w:rPr>
            <w:rStyle w:val="Hyperlink"/>
            <w:sz w:val="16"/>
            <w:szCs w:val="18"/>
            <w:lang w:val="es-419"/>
          </w:rPr>
          <w:t>Estrategia del grupo BID con Colombia (2019-2022). Julio 2019</w:t>
        </w:r>
      </w:hyperlink>
    </w:p>
  </w:footnote>
  <w:footnote w:id="4">
    <w:p w14:paraId="60C52E11" w14:textId="752B33F3" w:rsidR="00A530A3" w:rsidRPr="005002A7" w:rsidRDefault="00A530A3" w:rsidP="00346EF6">
      <w:pPr>
        <w:pStyle w:val="FootnoteText"/>
        <w:rPr>
          <w:lang w:val="es-BO"/>
        </w:rPr>
      </w:pPr>
      <w:r w:rsidRPr="000A3B74">
        <w:rPr>
          <w:rStyle w:val="FootnoteReference"/>
          <w:sz w:val="16"/>
          <w:szCs w:val="18"/>
        </w:rPr>
        <w:footnoteRef/>
      </w:r>
      <w:r w:rsidRPr="000A3B74">
        <w:rPr>
          <w:sz w:val="16"/>
          <w:szCs w:val="18"/>
          <w:lang w:val="es-BO"/>
        </w:rPr>
        <w:t xml:space="preserve"> </w:t>
      </w:r>
      <w:r w:rsidR="005002A7" w:rsidRPr="000A3B74">
        <w:rPr>
          <w:sz w:val="16"/>
          <w:szCs w:val="18"/>
          <w:lang w:val="es-BO"/>
        </w:rPr>
        <w:t xml:space="preserve">Se define como cartera </w:t>
      </w:r>
      <w:r w:rsidR="0072294F" w:rsidRPr="000A3B74">
        <w:rPr>
          <w:sz w:val="16"/>
          <w:szCs w:val="18"/>
          <w:lang w:val="es-BO"/>
        </w:rPr>
        <w:t xml:space="preserve">en ejecución - o </w:t>
      </w:r>
      <w:r w:rsidR="005002A7" w:rsidRPr="000A3B74">
        <w:rPr>
          <w:sz w:val="16"/>
          <w:szCs w:val="18"/>
          <w:lang w:val="es-BO"/>
        </w:rPr>
        <w:t xml:space="preserve">activa </w:t>
      </w:r>
      <w:r w:rsidR="0072294F" w:rsidRPr="000A3B74">
        <w:rPr>
          <w:sz w:val="16"/>
          <w:szCs w:val="18"/>
          <w:lang w:val="es-BO"/>
        </w:rPr>
        <w:t xml:space="preserve">- </w:t>
      </w:r>
      <w:r w:rsidR="005002A7" w:rsidRPr="000A3B74">
        <w:rPr>
          <w:sz w:val="16"/>
          <w:szCs w:val="18"/>
          <w:lang w:val="es-BO"/>
        </w:rPr>
        <w:t xml:space="preserve">a las operaciones que </w:t>
      </w:r>
      <w:r w:rsidR="0072294F" w:rsidRPr="000A3B74">
        <w:rPr>
          <w:sz w:val="16"/>
          <w:szCs w:val="18"/>
          <w:lang w:val="es-BO"/>
        </w:rPr>
        <w:t xml:space="preserve">han sido aprobadas por el Directorio o la Alta Administración </w:t>
      </w:r>
      <w:r w:rsidR="00C65C34" w:rsidRPr="000A3B74">
        <w:rPr>
          <w:sz w:val="16"/>
          <w:szCs w:val="18"/>
          <w:lang w:val="es-BO"/>
        </w:rPr>
        <w:t xml:space="preserve">y que aún no han sido cerradas desde el punto de vista operativo. Vale decir </w:t>
      </w:r>
      <w:r w:rsidR="006928CF" w:rsidRPr="000A3B74">
        <w:rPr>
          <w:sz w:val="16"/>
          <w:szCs w:val="18"/>
          <w:lang w:val="es-BO"/>
        </w:rPr>
        <w:t xml:space="preserve">cuando el desembolso final se hace y se justifica de acuerdo con las disposiciones establecidas en las Directrices para la Gestión Financiera en Proyectos Financiados por el BID (OP-273-6) o las garantías </w:t>
      </w:r>
      <w:r w:rsidR="00721B08" w:rsidRPr="000A3B74">
        <w:rPr>
          <w:sz w:val="16"/>
          <w:szCs w:val="18"/>
          <w:lang w:val="es-BO"/>
        </w:rPr>
        <w:t>soberanas alcanzan el cierre operacional en la fecha de ejecución o expiración</w:t>
      </w:r>
      <w:r w:rsidR="006928CF" w:rsidRPr="000A3B74">
        <w:rPr>
          <w:sz w:val="16"/>
          <w:szCs w:val="18"/>
          <w:lang w:val="es-BO"/>
        </w:rPr>
        <w:t>.</w:t>
      </w:r>
    </w:p>
  </w:footnote>
  <w:footnote w:id="5">
    <w:p w14:paraId="30050AAA" w14:textId="3BF77F90" w:rsidR="000376AA" w:rsidRPr="000A3B74" w:rsidRDefault="000376AA" w:rsidP="000376AA">
      <w:pPr>
        <w:pStyle w:val="FootnoteText"/>
        <w:rPr>
          <w:sz w:val="16"/>
          <w:szCs w:val="18"/>
          <w:lang w:val="es-ES"/>
        </w:rPr>
      </w:pPr>
      <w:r w:rsidRPr="000A3B74">
        <w:rPr>
          <w:rStyle w:val="FootnoteReference"/>
          <w:sz w:val="16"/>
          <w:szCs w:val="18"/>
        </w:rPr>
        <w:footnoteRef/>
      </w:r>
      <w:r w:rsidRPr="000A3B74">
        <w:rPr>
          <w:sz w:val="16"/>
          <w:szCs w:val="18"/>
          <w:lang w:val="es-ES"/>
        </w:rPr>
        <w:t xml:space="preserve"> CO-L1248 Programa para Mejorar la Sostenibilidad del Sistema de Salud En Colombia con Enfoque Inclusivo</w:t>
      </w:r>
    </w:p>
  </w:footnote>
  <w:footnote w:id="6">
    <w:p w14:paraId="6650F640" w14:textId="683B2077" w:rsidR="005F2806" w:rsidRPr="005F2806" w:rsidRDefault="005F2806">
      <w:pPr>
        <w:pStyle w:val="FootnoteText"/>
        <w:rPr>
          <w:lang w:val="es-BO"/>
        </w:rPr>
      </w:pPr>
      <w:r>
        <w:rPr>
          <w:rStyle w:val="FootnoteReference"/>
        </w:rPr>
        <w:footnoteRef/>
      </w:r>
      <w:r w:rsidRPr="005F2806">
        <w:rPr>
          <w:lang w:val="es-BO"/>
        </w:rPr>
        <w:t xml:space="preserve"> </w:t>
      </w:r>
      <w:r w:rsidRPr="005F2806">
        <w:rPr>
          <w:sz w:val="16"/>
          <w:szCs w:val="18"/>
          <w:lang w:val="es-BO"/>
        </w:rPr>
        <w:t xml:space="preserve">CO-L1544 </w:t>
      </w:r>
      <w:r w:rsidR="005E2793" w:rsidRPr="005E2793">
        <w:rPr>
          <w:sz w:val="16"/>
          <w:szCs w:val="18"/>
          <w:lang w:val="es-BO"/>
        </w:rPr>
        <w:t>Apoyo a la población altamente vulnerable asentada en Villa Caracas, Barranquilla</w:t>
      </w:r>
    </w:p>
  </w:footnote>
  <w:footnote w:id="7">
    <w:p w14:paraId="47B74510" w14:textId="77777777" w:rsidR="000A3B74" w:rsidRPr="000A3B74" w:rsidRDefault="000A3B74" w:rsidP="000A3B74">
      <w:pPr>
        <w:pStyle w:val="FootnoteText"/>
        <w:rPr>
          <w:sz w:val="16"/>
          <w:szCs w:val="18"/>
          <w:lang w:val="es-ES"/>
        </w:rPr>
      </w:pPr>
      <w:r w:rsidRPr="000A3B74">
        <w:rPr>
          <w:rStyle w:val="FootnoteReference"/>
          <w:sz w:val="16"/>
          <w:szCs w:val="18"/>
        </w:rPr>
        <w:footnoteRef/>
      </w:r>
      <w:r w:rsidRPr="000A3B74">
        <w:rPr>
          <w:sz w:val="16"/>
          <w:szCs w:val="18"/>
          <w:lang w:val="es-ES"/>
        </w:rPr>
        <w:t xml:space="preserve"> RG-T3543 Fortalecimiento de la Capacidad Regional Para la Integración e Inclusión Social de Poblaciones Migrantes</w:t>
      </w:r>
    </w:p>
  </w:footnote>
  <w:footnote w:id="8">
    <w:p w14:paraId="5CE1531F" w14:textId="77777777" w:rsidR="000A3B74" w:rsidRPr="000A3B74" w:rsidRDefault="000A3B74" w:rsidP="000A3B74">
      <w:pPr>
        <w:pStyle w:val="FootnoteText"/>
        <w:rPr>
          <w:sz w:val="16"/>
          <w:szCs w:val="18"/>
          <w:lang w:val="es-ES"/>
        </w:rPr>
      </w:pPr>
      <w:r w:rsidRPr="000A3B74">
        <w:rPr>
          <w:rStyle w:val="FootnoteReference"/>
          <w:sz w:val="16"/>
          <w:szCs w:val="18"/>
        </w:rPr>
        <w:footnoteRef/>
      </w:r>
      <w:r w:rsidRPr="000A3B74">
        <w:rPr>
          <w:sz w:val="16"/>
          <w:szCs w:val="18"/>
          <w:lang w:val="es-ES"/>
        </w:rPr>
        <w:t xml:space="preserve"> RG-T3534 Plataforma de Información Territorial para la Integración de Inmigrantes</w:t>
      </w:r>
    </w:p>
  </w:footnote>
  <w:footnote w:id="9">
    <w:p w14:paraId="4B3EC412" w14:textId="77777777" w:rsidR="000A3B74" w:rsidRPr="000A3B74" w:rsidRDefault="000A3B74" w:rsidP="000A3B74">
      <w:pPr>
        <w:pStyle w:val="FootnoteText"/>
        <w:rPr>
          <w:sz w:val="16"/>
          <w:szCs w:val="18"/>
          <w:lang w:val="es-ES"/>
        </w:rPr>
      </w:pPr>
      <w:r w:rsidRPr="000A3B74">
        <w:rPr>
          <w:rStyle w:val="FootnoteReference"/>
          <w:sz w:val="16"/>
          <w:szCs w:val="18"/>
        </w:rPr>
        <w:footnoteRef/>
      </w:r>
      <w:r w:rsidRPr="000A3B74">
        <w:rPr>
          <w:sz w:val="16"/>
          <w:szCs w:val="18"/>
          <w:lang w:val="es-ES"/>
        </w:rPr>
        <w:t xml:space="preserve"> RG-T3546 Mejorando los Sistemas de Información de Migraciones en la Región</w:t>
      </w:r>
    </w:p>
  </w:footnote>
  <w:footnote w:id="10">
    <w:p w14:paraId="1FD0AFEE" w14:textId="4E5F7F3E" w:rsidR="000376AA" w:rsidRPr="004008F9" w:rsidRDefault="000376AA">
      <w:pPr>
        <w:pStyle w:val="FootnoteText"/>
        <w:rPr>
          <w:lang w:val="es-ES"/>
        </w:rPr>
      </w:pPr>
      <w:r w:rsidRPr="000A3B74">
        <w:rPr>
          <w:rStyle w:val="FootnoteReference"/>
          <w:sz w:val="16"/>
          <w:szCs w:val="18"/>
        </w:rPr>
        <w:footnoteRef/>
      </w:r>
      <w:r w:rsidRPr="000A3B74">
        <w:rPr>
          <w:sz w:val="16"/>
          <w:szCs w:val="18"/>
          <w:lang w:val="es-ES"/>
        </w:rPr>
        <w:t xml:space="preserve"> CO-G1015 Programa de Integración </w:t>
      </w:r>
      <w:proofErr w:type="spellStart"/>
      <w:r w:rsidRPr="000A3B74">
        <w:rPr>
          <w:sz w:val="16"/>
          <w:szCs w:val="18"/>
          <w:lang w:val="es-ES"/>
        </w:rPr>
        <w:t>Sociourbana</w:t>
      </w:r>
      <w:proofErr w:type="spellEnd"/>
      <w:r w:rsidRPr="000A3B74">
        <w:rPr>
          <w:sz w:val="16"/>
          <w:szCs w:val="18"/>
          <w:lang w:val="es-ES"/>
        </w:rPr>
        <w:t xml:space="preserve"> de Migrantes en Ciudades Colombianas</w:t>
      </w:r>
    </w:p>
  </w:footnote>
  <w:footnote w:id="11">
    <w:p w14:paraId="09AB24E3" w14:textId="130D1C40" w:rsidR="000376AA" w:rsidRPr="000A3B74" w:rsidRDefault="000376AA" w:rsidP="000376AA">
      <w:pPr>
        <w:pStyle w:val="FootnoteText"/>
        <w:rPr>
          <w:sz w:val="16"/>
          <w:szCs w:val="18"/>
          <w:lang w:val="es-ES"/>
        </w:rPr>
      </w:pPr>
      <w:r w:rsidRPr="000A3B74">
        <w:rPr>
          <w:rStyle w:val="FootnoteReference"/>
          <w:sz w:val="16"/>
          <w:szCs w:val="18"/>
        </w:rPr>
        <w:footnoteRef/>
      </w:r>
      <w:r w:rsidRPr="000A3B74">
        <w:rPr>
          <w:sz w:val="16"/>
          <w:szCs w:val="18"/>
          <w:lang w:val="es-ES"/>
        </w:rPr>
        <w:t xml:space="preserve"> CO-L1242 Programa de Agua Potable y Saneamiento para el Departamento de la Guajira</w:t>
      </w:r>
    </w:p>
  </w:footnote>
  <w:footnote w:id="12">
    <w:p w14:paraId="3344E939" w14:textId="23859DAC" w:rsidR="000376AA" w:rsidRPr="000A3B74" w:rsidRDefault="000376AA">
      <w:pPr>
        <w:pStyle w:val="FootnoteText"/>
        <w:rPr>
          <w:sz w:val="16"/>
          <w:szCs w:val="18"/>
          <w:lang w:val="es-ES"/>
        </w:rPr>
      </w:pPr>
      <w:r w:rsidRPr="000A3B74">
        <w:rPr>
          <w:rStyle w:val="FootnoteReference"/>
          <w:sz w:val="16"/>
          <w:szCs w:val="18"/>
        </w:rPr>
        <w:footnoteRef/>
      </w:r>
      <w:r w:rsidRPr="000A3B74">
        <w:rPr>
          <w:sz w:val="16"/>
          <w:szCs w:val="18"/>
          <w:lang w:val="es-ES"/>
        </w:rPr>
        <w:t xml:space="preserve"> CO-L1250 Programa para Fortalecer Políticas de Empleo</w:t>
      </w:r>
    </w:p>
  </w:footnote>
  <w:footnote w:id="13">
    <w:p w14:paraId="5D54221C" w14:textId="61C2CAC1" w:rsidR="000376AA" w:rsidRPr="000A3B74" w:rsidRDefault="000376AA">
      <w:pPr>
        <w:pStyle w:val="FootnoteText"/>
        <w:rPr>
          <w:sz w:val="16"/>
          <w:szCs w:val="18"/>
          <w:lang w:val="es-ES"/>
        </w:rPr>
      </w:pPr>
      <w:r w:rsidRPr="000A3B74">
        <w:rPr>
          <w:rStyle w:val="FootnoteReference"/>
          <w:sz w:val="16"/>
          <w:szCs w:val="18"/>
        </w:rPr>
        <w:footnoteRef/>
      </w:r>
      <w:r w:rsidRPr="000A3B74">
        <w:rPr>
          <w:sz w:val="16"/>
          <w:szCs w:val="18"/>
          <w:lang w:val="es-ES"/>
        </w:rPr>
        <w:t xml:space="preserve"> CO-G1015 Programa de Integración </w:t>
      </w:r>
      <w:proofErr w:type="spellStart"/>
      <w:r w:rsidRPr="000A3B74">
        <w:rPr>
          <w:sz w:val="16"/>
          <w:szCs w:val="18"/>
          <w:lang w:val="es-ES"/>
        </w:rPr>
        <w:t>Sociourbana</w:t>
      </w:r>
      <w:proofErr w:type="spellEnd"/>
      <w:r w:rsidRPr="000A3B74">
        <w:rPr>
          <w:sz w:val="16"/>
          <w:szCs w:val="18"/>
          <w:lang w:val="es-ES"/>
        </w:rPr>
        <w:t xml:space="preserve"> de Migrantes en Ciudades Colombianas</w:t>
      </w:r>
    </w:p>
  </w:footnote>
  <w:footnote w:id="14">
    <w:p w14:paraId="6097CC9E" w14:textId="6A2F5A64" w:rsidR="00280CF7" w:rsidRPr="000A3B74" w:rsidRDefault="00280CF7">
      <w:pPr>
        <w:pStyle w:val="FootnoteText"/>
        <w:rPr>
          <w:sz w:val="16"/>
          <w:szCs w:val="18"/>
          <w:lang w:val="es-ES"/>
        </w:rPr>
      </w:pPr>
      <w:r w:rsidRPr="000A3B74">
        <w:rPr>
          <w:rStyle w:val="FootnoteReference"/>
          <w:sz w:val="16"/>
          <w:szCs w:val="18"/>
        </w:rPr>
        <w:footnoteRef/>
      </w:r>
      <w:r w:rsidRPr="000A3B74">
        <w:rPr>
          <w:sz w:val="16"/>
          <w:szCs w:val="18"/>
          <w:lang w:val="es-ES"/>
        </w:rPr>
        <w:t xml:space="preserve"> CO-T1551 Formación en Industrias Creativas: Una Oportunidad para la Inclusión Emocional, Social y Económica en Comunidades Receptoras de Migrante</w:t>
      </w:r>
    </w:p>
  </w:footnote>
  <w:footnote w:id="15">
    <w:p w14:paraId="6540A247" w14:textId="77777777" w:rsidR="00AA191B" w:rsidRPr="007414D0" w:rsidRDefault="00AA191B" w:rsidP="00AA191B">
      <w:pPr>
        <w:pStyle w:val="FootnoteText"/>
        <w:rPr>
          <w:lang w:val="es-ES"/>
        </w:rPr>
      </w:pPr>
      <w:r w:rsidRPr="000A3B74">
        <w:rPr>
          <w:rStyle w:val="FootnoteReference"/>
          <w:sz w:val="16"/>
          <w:szCs w:val="18"/>
        </w:rPr>
        <w:footnoteRef/>
      </w:r>
      <w:r w:rsidRPr="000A3B74">
        <w:rPr>
          <w:sz w:val="16"/>
          <w:szCs w:val="18"/>
          <w:lang w:val="es-ES"/>
        </w:rPr>
        <w:t xml:space="preserve"> RG-T3533 Migración, Planeación Fiscal y Crecimiento en los Países Andinos</w:t>
      </w:r>
    </w:p>
  </w:footnote>
  <w:footnote w:id="16">
    <w:p w14:paraId="7B9E76F3" w14:textId="77777777" w:rsidR="00AA191B" w:rsidRPr="007414D0" w:rsidRDefault="00AA191B" w:rsidP="00AA191B">
      <w:pPr>
        <w:pStyle w:val="FootnoteText"/>
        <w:rPr>
          <w:lang w:val="es-ES"/>
        </w:rPr>
      </w:pPr>
      <w:r w:rsidRPr="000A3B74">
        <w:rPr>
          <w:rStyle w:val="FootnoteReference"/>
          <w:sz w:val="16"/>
          <w:szCs w:val="18"/>
        </w:rPr>
        <w:footnoteRef/>
      </w:r>
      <w:r w:rsidRPr="000A3B74">
        <w:rPr>
          <w:sz w:val="16"/>
          <w:szCs w:val="18"/>
          <w:lang w:val="es-ES"/>
        </w:rPr>
        <w:t xml:space="preserve"> RG-T3541Fortalecimiento de la Red de Servicios Públicos de Empleo (Red SEALC) Para Afrontar los Retos de las Nuevas Tecnologías en el Mercado Laboral e Incluir a la Población Migrante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17A5" w14:textId="72142075" w:rsidR="00117882" w:rsidRPr="006E2165" w:rsidRDefault="00117882" w:rsidP="00117882">
    <w:pPr>
      <w:autoSpaceDE w:val="0"/>
      <w:autoSpaceDN w:val="0"/>
      <w:adjustRightInd w:val="0"/>
      <w:spacing w:after="0" w:line="240" w:lineRule="auto"/>
      <w:jc w:val="right"/>
      <w:rPr>
        <w:rFonts w:cs="Calibri"/>
        <w:lang w:val="es-ES"/>
      </w:rPr>
    </w:pPr>
  </w:p>
  <w:p w14:paraId="75B23AB9" w14:textId="399033CD" w:rsidR="00D25122" w:rsidRPr="00117882" w:rsidRDefault="00D25122">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B7F6" w14:textId="50D54ACB" w:rsidR="00320FBF" w:rsidRPr="006E2165" w:rsidRDefault="00320FBF" w:rsidP="00117882">
    <w:pPr>
      <w:autoSpaceDE w:val="0"/>
      <w:autoSpaceDN w:val="0"/>
      <w:adjustRightInd w:val="0"/>
      <w:spacing w:after="0" w:line="240" w:lineRule="auto"/>
      <w:jc w:val="right"/>
      <w:rPr>
        <w:rFonts w:cs="Calibri"/>
        <w:lang w:val="es-ES"/>
      </w:rPr>
    </w:pPr>
    <w:r>
      <w:rPr>
        <w:noProof/>
      </w:rPr>
      <w:drawing>
        <wp:anchor distT="0" distB="0" distL="114300" distR="114300" simplePos="0" relativeHeight="251661312" behindDoc="1" locked="0" layoutInCell="1" allowOverlap="1" wp14:anchorId="145DAA8B" wp14:editId="68646086">
          <wp:simplePos x="0" y="0"/>
          <wp:positionH relativeFrom="column">
            <wp:posOffset>0</wp:posOffset>
          </wp:positionH>
          <wp:positionV relativeFrom="paragraph">
            <wp:posOffset>-114935</wp:posOffset>
          </wp:positionV>
          <wp:extent cx="723900" cy="511175"/>
          <wp:effectExtent l="0" t="0" r="0" b="3175"/>
          <wp:wrapTight wrapText="bothSides">
            <wp:wrapPolygon edited="0">
              <wp:start x="0" y="0"/>
              <wp:lineTo x="0" y="20929"/>
              <wp:lineTo x="21032" y="20929"/>
              <wp:lineTo x="21032" y="0"/>
              <wp:lineTo x="0" y="0"/>
            </wp:wrapPolygon>
          </wp:wrapTight>
          <wp:docPr id="1" name="Picture 1" descr="http://idbnet.iadb.org/sites/identity/en/Documents/Logo%20IDB/Spanish/Black%20and%20White/High%20resolution/BID_sin%20descriptor_ByN_H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Spanish/Black%20and%20White/High%20resolution/BID_sin%20descriptor_ByN_HR_300dp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FBF">
      <w:rPr>
        <w:lang w:val="es-419"/>
      </w:rPr>
      <w:t xml:space="preserve"> </w:t>
    </w:r>
    <w:r w:rsidRPr="00CC4D32">
      <w:rPr>
        <w:rFonts w:ascii="Gotham Book" w:hAnsi="Gotham Book" w:cs="Arial"/>
        <w:color w:val="000000"/>
        <w:sz w:val="16"/>
        <w:szCs w:val="16"/>
        <w:lang w:val="es-ES"/>
      </w:rPr>
      <w:t>Apoyo del Banco a los desafíos del choque migratorio venezolano en Colombia</w:t>
    </w:r>
    <w:r w:rsidRPr="00320FBF">
      <w:rPr>
        <w:rFonts w:cs="Arial"/>
        <w:color w:val="000000"/>
        <w:sz w:val="18"/>
        <w:szCs w:val="18"/>
        <w:lang w:val="es-ES"/>
      </w:rPr>
      <w:t xml:space="preserve"> | </w:t>
    </w:r>
    <w:r w:rsidRPr="00320FBF">
      <w:rPr>
        <w:rFonts w:cs="Arial"/>
        <w:color w:val="000000"/>
        <w:sz w:val="18"/>
        <w:szCs w:val="18"/>
        <w:lang w:val="es-ES"/>
      </w:rPr>
      <w:fldChar w:fldCharType="begin"/>
    </w:r>
    <w:r w:rsidRPr="00320FBF">
      <w:rPr>
        <w:rFonts w:cs="Arial"/>
        <w:color w:val="000000"/>
        <w:sz w:val="18"/>
        <w:szCs w:val="18"/>
        <w:lang w:val="es-ES"/>
      </w:rPr>
      <w:instrText xml:space="preserve"> PAGE   \* MERGEFORMAT </w:instrText>
    </w:r>
    <w:r w:rsidRPr="00320FBF">
      <w:rPr>
        <w:rFonts w:cs="Arial"/>
        <w:color w:val="000000"/>
        <w:sz w:val="18"/>
        <w:szCs w:val="18"/>
        <w:lang w:val="es-ES"/>
      </w:rPr>
      <w:fldChar w:fldCharType="separate"/>
    </w:r>
    <w:r w:rsidRPr="00320FBF">
      <w:rPr>
        <w:rFonts w:cs="Arial"/>
        <w:b/>
        <w:bCs/>
        <w:noProof/>
        <w:color w:val="000000"/>
        <w:sz w:val="18"/>
        <w:szCs w:val="18"/>
        <w:lang w:val="es-ES"/>
      </w:rPr>
      <w:t>1</w:t>
    </w:r>
    <w:r w:rsidRPr="00320FBF">
      <w:rPr>
        <w:rFonts w:cs="Arial"/>
        <w:b/>
        <w:bCs/>
        <w:noProof/>
        <w:color w:val="000000"/>
        <w:sz w:val="18"/>
        <w:szCs w:val="18"/>
        <w:lang w:val="es-ES"/>
      </w:rPr>
      <w:fldChar w:fldCharType="end"/>
    </w:r>
  </w:p>
  <w:p w14:paraId="2601210D" w14:textId="77777777" w:rsidR="00320FBF" w:rsidRPr="00117882" w:rsidRDefault="00320FBF">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A3533"/>
    <w:multiLevelType w:val="multilevel"/>
    <w:tmpl w:val="26AAC984"/>
    <w:lvl w:ilvl="0">
      <w:start w:val="3"/>
      <w:numFmt w:val="decimal"/>
      <w:lvlText w:val="%1"/>
      <w:lvlJc w:val="left"/>
      <w:pPr>
        <w:ind w:left="360" w:hanging="360"/>
      </w:pPr>
      <w:rPr>
        <w:rFonts w:hint="default"/>
      </w:rPr>
    </w:lvl>
    <w:lvl w:ilvl="1">
      <w:start w:val="1"/>
      <w:numFmt w:val="decimal"/>
      <w:lvlText w:val="%1.%2"/>
      <w:lvlJc w:val="left"/>
      <w:pPr>
        <w:ind w:left="2808" w:hanging="360"/>
      </w:pPr>
      <w:rPr>
        <w:rFonts w:hint="default"/>
      </w:rPr>
    </w:lvl>
    <w:lvl w:ilvl="2">
      <w:start w:val="1"/>
      <w:numFmt w:val="decimal"/>
      <w:lvlText w:val="%1.%2.%3"/>
      <w:lvlJc w:val="left"/>
      <w:pPr>
        <w:ind w:left="5616" w:hanging="720"/>
      </w:pPr>
      <w:rPr>
        <w:rFonts w:hint="default"/>
      </w:rPr>
    </w:lvl>
    <w:lvl w:ilvl="3">
      <w:start w:val="1"/>
      <w:numFmt w:val="decimal"/>
      <w:lvlText w:val="%1.%2.%3.%4"/>
      <w:lvlJc w:val="left"/>
      <w:pPr>
        <w:ind w:left="8064" w:hanging="720"/>
      </w:pPr>
      <w:rPr>
        <w:rFonts w:hint="default"/>
      </w:rPr>
    </w:lvl>
    <w:lvl w:ilvl="4">
      <w:start w:val="1"/>
      <w:numFmt w:val="decimal"/>
      <w:lvlText w:val="%1.%2.%3.%4.%5"/>
      <w:lvlJc w:val="left"/>
      <w:pPr>
        <w:ind w:left="10872" w:hanging="1080"/>
      </w:pPr>
      <w:rPr>
        <w:rFonts w:hint="default"/>
      </w:rPr>
    </w:lvl>
    <w:lvl w:ilvl="5">
      <w:start w:val="1"/>
      <w:numFmt w:val="decimal"/>
      <w:lvlText w:val="%1.%2.%3.%4.%5.%6"/>
      <w:lvlJc w:val="left"/>
      <w:pPr>
        <w:ind w:left="13320" w:hanging="1080"/>
      </w:pPr>
      <w:rPr>
        <w:rFonts w:hint="default"/>
      </w:rPr>
    </w:lvl>
    <w:lvl w:ilvl="6">
      <w:start w:val="1"/>
      <w:numFmt w:val="decimal"/>
      <w:lvlText w:val="%1.%2.%3.%4.%5.%6.%7"/>
      <w:lvlJc w:val="left"/>
      <w:pPr>
        <w:ind w:left="16128" w:hanging="1440"/>
      </w:pPr>
      <w:rPr>
        <w:rFonts w:hint="default"/>
      </w:rPr>
    </w:lvl>
    <w:lvl w:ilvl="7">
      <w:start w:val="1"/>
      <w:numFmt w:val="decimal"/>
      <w:lvlText w:val="%1.%2.%3.%4.%5.%6.%7.%8"/>
      <w:lvlJc w:val="left"/>
      <w:pPr>
        <w:ind w:left="18576" w:hanging="1440"/>
      </w:pPr>
      <w:rPr>
        <w:rFonts w:hint="default"/>
      </w:rPr>
    </w:lvl>
    <w:lvl w:ilvl="8">
      <w:start w:val="1"/>
      <w:numFmt w:val="decimal"/>
      <w:lvlText w:val="%1.%2.%3.%4.%5.%6.%7.%8.%9"/>
      <w:lvlJc w:val="left"/>
      <w:pPr>
        <w:ind w:left="21384" w:hanging="1800"/>
      </w:pPr>
      <w:rPr>
        <w:rFonts w:hint="default"/>
      </w:rPr>
    </w:lvl>
  </w:abstractNum>
  <w:abstractNum w:abstractNumId="1" w15:restartNumberingAfterBreak="0">
    <w:nsid w:val="2E2A44C1"/>
    <w:multiLevelType w:val="multilevel"/>
    <w:tmpl w:val="CBE813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1734584"/>
    <w:multiLevelType w:val="multilevel"/>
    <w:tmpl w:val="25F46954"/>
    <w:lvl w:ilvl="0">
      <w:start w:val="1"/>
      <w:numFmt w:val="decimal"/>
      <w:pStyle w:val="Heading1"/>
      <w:lvlText w:val="%1."/>
      <w:lvlJc w:val="left"/>
      <w:pPr>
        <w:ind w:left="360" w:hanging="360"/>
      </w:pPr>
      <w:rPr>
        <w:rFonts w:ascii="Arial" w:hAnsi="Arial" w:hint="default"/>
        <w:sz w:val="22"/>
      </w:r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22B2651"/>
    <w:multiLevelType w:val="hybridMultilevel"/>
    <w:tmpl w:val="BA90AAF2"/>
    <w:lvl w:ilvl="0" w:tplc="8DA440A0">
      <w:start w:val="10"/>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191BC0"/>
    <w:multiLevelType w:val="multilevel"/>
    <w:tmpl w:val="8CAABF7C"/>
    <w:lvl w:ilvl="0">
      <w:start w:val="2"/>
      <w:numFmt w:val="upperRoman"/>
      <w:lvlText w:val="%1."/>
      <w:lvlJc w:val="right"/>
      <w:pPr>
        <w:tabs>
          <w:tab w:val="num" w:pos="360"/>
        </w:tabs>
        <w:ind w:left="-288" w:firstLine="288"/>
      </w:pPr>
      <w:rPr>
        <w:rFonts w:cs="Times New Roman" w:hint="default"/>
        <w:b/>
        <w:i w:val="0"/>
      </w:rPr>
    </w:lvl>
    <w:lvl w:ilvl="1">
      <w:start w:val="1"/>
      <w:numFmt w:val="upperLetter"/>
      <w:lvlText w:val="%2."/>
      <w:lvlJc w:val="left"/>
      <w:pPr>
        <w:tabs>
          <w:tab w:val="num" w:pos="720"/>
        </w:tabs>
        <w:ind w:left="720" w:hanging="720"/>
      </w:pPr>
      <w:rPr>
        <w:rFonts w:cs="Times New Roman" w:hint="default"/>
        <w:b/>
        <w:i w:val="0"/>
        <w:color w:val="auto"/>
        <w:sz w:val="22"/>
      </w:rPr>
    </w:lvl>
    <w:lvl w:ilvl="2">
      <w:start w:val="1"/>
      <w:numFmt w:val="decimal"/>
      <w:lvlText w:val="%3."/>
      <w:lvlJc w:val="left"/>
      <w:pPr>
        <w:tabs>
          <w:tab w:val="num" w:pos="5742"/>
        </w:tabs>
        <w:ind w:left="5742" w:hanging="432"/>
      </w:pPr>
      <w:rPr>
        <w:rFonts w:hint="default"/>
        <w:b w:val="0"/>
        <w:i w:val="0"/>
        <w:sz w:val="24"/>
        <w:szCs w:val="24"/>
      </w:rPr>
    </w:lvl>
    <w:lvl w:ilvl="3">
      <w:start w:val="3"/>
      <w:numFmt w:val="lowerLetter"/>
      <w:lvlText w:val="%4."/>
      <w:lvlJc w:val="left"/>
      <w:pPr>
        <w:tabs>
          <w:tab w:val="num" w:pos="1584"/>
        </w:tabs>
        <w:ind w:left="1584" w:hanging="288"/>
      </w:pPr>
      <w:rPr>
        <w:rFonts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5" w15:restartNumberingAfterBreak="0">
    <w:nsid w:val="5E4128A4"/>
    <w:multiLevelType w:val="hybridMultilevel"/>
    <w:tmpl w:val="BD2848A2"/>
    <w:lvl w:ilvl="0" w:tplc="973A34B6">
      <w:start w:val="1"/>
      <w:numFmt w:val="decimal"/>
      <w:pStyle w:val="CDCCap3"/>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99634E"/>
    <w:multiLevelType w:val="hybridMultilevel"/>
    <w:tmpl w:val="68AAA62A"/>
    <w:lvl w:ilvl="0" w:tplc="770EE6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752FC"/>
    <w:multiLevelType w:val="multilevel"/>
    <w:tmpl w:val="BBE4D2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
  </w:num>
  <w:num w:numId="3">
    <w:abstractNumId w:val="7"/>
  </w:num>
  <w:num w:numId="4">
    <w:abstractNumId w:val="2"/>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1"/>
  </w:num>
  <w:num w:numId="38">
    <w:abstractNumId w:val="2"/>
  </w:num>
  <w:num w:numId="39">
    <w:abstractNumId w:val="2"/>
  </w:num>
  <w:num w:numId="40">
    <w:abstractNumId w:val="2"/>
  </w:num>
  <w:num w:numId="41">
    <w:abstractNumId w:val="6"/>
  </w:num>
  <w:num w:numId="42">
    <w:abstractNumId w:val="3"/>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B0"/>
    <w:rsid w:val="0000032C"/>
    <w:rsid w:val="000035D6"/>
    <w:rsid w:val="00004EE4"/>
    <w:rsid w:val="000107CE"/>
    <w:rsid w:val="0001131A"/>
    <w:rsid w:val="00011E7E"/>
    <w:rsid w:val="00016B62"/>
    <w:rsid w:val="000223D4"/>
    <w:rsid w:val="00024BB9"/>
    <w:rsid w:val="00025F89"/>
    <w:rsid w:val="00027403"/>
    <w:rsid w:val="0003016A"/>
    <w:rsid w:val="00031002"/>
    <w:rsid w:val="000366B8"/>
    <w:rsid w:val="00036F99"/>
    <w:rsid w:val="000376AA"/>
    <w:rsid w:val="00040B7E"/>
    <w:rsid w:val="00043C62"/>
    <w:rsid w:val="00045C39"/>
    <w:rsid w:val="000549CE"/>
    <w:rsid w:val="00054C1A"/>
    <w:rsid w:val="00054E61"/>
    <w:rsid w:val="0006562A"/>
    <w:rsid w:val="00065B9D"/>
    <w:rsid w:val="00066EF2"/>
    <w:rsid w:val="00070267"/>
    <w:rsid w:val="00073413"/>
    <w:rsid w:val="0007626E"/>
    <w:rsid w:val="00077F1F"/>
    <w:rsid w:val="00080777"/>
    <w:rsid w:val="0008144A"/>
    <w:rsid w:val="00084A84"/>
    <w:rsid w:val="00085402"/>
    <w:rsid w:val="00086190"/>
    <w:rsid w:val="0008693E"/>
    <w:rsid w:val="00087CD7"/>
    <w:rsid w:val="0009228C"/>
    <w:rsid w:val="000927E3"/>
    <w:rsid w:val="00096331"/>
    <w:rsid w:val="00097789"/>
    <w:rsid w:val="000A1008"/>
    <w:rsid w:val="000A3B74"/>
    <w:rsid w:val="000A5CCD"/>
    <w:rsid w:val="000A7A4B"/>
    <w:rsid w:val="000B009C"/>
    <w:rsid w:val="000B0E37"/>
    <w:rsid w:val="000B10D8"/>
    <w:rsid w:val="000B2DD2"/>
    <w:rsid w:val="000B597E"/>
    <w:rsid w:val="000B7436"/>
    <w:rsid w:val="000B7816"/>
    <w:rsid w:val="000C0CED"/>
    <w:rsid w:val="000C4AD1"/>
    <w:rsid w:val="000C61B0"/>
    <w:rsid w:val="000D708F"/>
    <w:rsid w:val="000E1D71"/>
    <w:rsid w:val="000E2B88"/>
    <w:rsid w:val="000E38AB"/>
    <w:rsid w:val="000E596F"/>
    <w:rsid w:val="000F1AE2"/>
    <w:rsid w:val="000F2F6E"/>
    <w:rsid w:val="000F55A8"/>
    <w:rsid w:val="000F7D67"/>
    <w:rsid w:val="000F7D72"/>
    <w:rsid w:val="000F7F25"/>
    <w:rsid w:val="000F7F94"/>
    <w:rsid w:val="00102516"/>
    <w:rsid w:val="00105770"/>
    <w:rsid w:val="00107981"/>
    <w:rsid w:val="00110428"/>
    <w:rsid w:val="00115383"/>
    <w:rsid w:val="001174C9"/>
    <w:rsid w:val="001175DB"/>
    <w:rsid w:val="00117882"/>
    <w:rsid w:val="00117BC2"/>
    <w:rsid w:val="00123770"/>
    <w:rsid w:val="00124552"/>
    <w:rsid w:val="001250D6"/>
    <w:rsid w:val="00126F84"/>
    <w:rsid w:val="00130B10"/>
    <w:rsid w:val="001314CF"/>
    <w:rsid w:val="00131FD9"/>
    <w:rsid w:val="001336C3"/>
    <w:rsid w:val="00133A55"/>
    <w:rsid w:val="00133CFB"/>
    <w:rsid w:val="001340EA"/>
    <w:rsid w:val="00134500"/>
    <w:rsid w:val="00141BCB"/>
    <w:rsid w:val="00146319"/>
    <w:rsid w:val="0014640E"/>
    <w:rsid w:val="001504A1"/>
    <w:rsid w:val="001507CC"/>
    <w:rsid w:val="0015170A"/>
    <w:rsid w:val="00151EF4"/>
    <w:rsid w:val="00156897"/>
    <w:rsid w:val="001604EE"/>
    <w:rsid w:val="00160F32"/>
    <w:rsid w:val="00161CB0"/>
    <w:rsid w:val="00162263"/>
    <w:rsid w:val="001637C2"/>
    <w:rsid w:val="00163A6C"/>
    <w:rsid w:val="00166448"/>
    <w:rsid w:val="0017229C"/>
    <w:rsid w:val="00172B87"/>
    <w:rsid w:val="00173AAF"/>
    <w:rsid w:val="001756D6"/>
    <w:rsid w:val="00175C83"/>
    <w:rsid w:val="00176074"/>
    <w:rsid w:val="00180B6A"/>
    <w:rsid w:val="00180C41"/>
    <w:rsid w:val="00181204"/>
    <w:rsid w:val="001849A2"/>
    <w:rsid w:val="00190B42"/>
    <w:rsid w:val="00193D2E"/>
    <w:rsid w:val="00195862"/>
    <w:rsid w:val="001A0776"/>
    <w:rsid w:val="001A1D57"/>
    <w:rsid w:val="001A35FE"/>
    <w:rsid w:val="001B0A5D"/>
    <w:rsid w:val="001B1986"/>
    <w:rsid w:val="001B20C9"/>
    <w:rsid w:val="001B20ED"/>
    <w:rsid w:val="001B3475"/>
    <w:rsid w:val="001C04FC"/>
    <w:rsid w:val="001C0999"/>
    <w:rsid w:val="001C0FFB"/>
    <w:rsid w:val="001C3C74"/>
    <w:rsid w:val="001C4D8B"/>
    <w:rsid w:val="001C7FCD"/>
    <w:rsid w:val="001E187B"/>
    <w:rsid w:val="001F3DCF"/>
    <w:rsid w:val="001F5356"/>
    <w:rsid w:val="001F7305"/>
    <w:rsid w:val="00201C45"/>
    <w:rsid w:val="00201CD7"/>
    <w:rsid w:val="0021138E"/>
    <w:rsid w:val="00211409"/>
    <w:rsid w:val="00211D22"/>
    <w:rsid w:val="00213EA9"/>
    <w:rsid w:val="00215C4C"/>
    <w:rsid w:val="00221FF7"/>
    <w:rsid w:val="00222F76"/>
    <w:rsid w:val="00223CD9"/>
    <w:rsid w:val="0022579F"/>
    <w:rsid w:val="00235043"/>
    <w:rsid w:val="00235F2E"/>
    <w:rsid w:val="00236452"/>
    <w:rsid w:val="0023796D"/>
    <w:rsid w:val="0024479B"/>
    <w:rsid w:val="002453E1"/>
    <w:rsid w:val="002458A6"/>
    <w:rsid w:val="002461B9"/>
    <w:rsid w:val="0024739F"/>
    <w:rsid w:val="00247ACB"/>
    <w:rsid w:val="00250722"/>
    <w:rsid w:val="0025242C"/>
    <w:rsid w:val="0025479C"/>
    <w:rsid w:val="00257973"/>
    <w:rsid w:val="00272EA8"/>
    <w:rsid w:val="002761E3"/>
    <w:rsid w:val="00277B6F"/>
    <w:rsid w:val="002800D2"/>
    <w:rsid w:val="00280CF7"/>
    <w:rsid w:val="00285383"/>
    <w:rsid w:val="00286C71"/>
    <w:rsid w:val="0028730A"/>
    <w:rsid w:val="002876A3"/>
    <w:rsid w:val="00292988"/>
    <w:rsid w:val="00292E5B"/>
    <w:rsid w:val="00293F55"/>
    <w:rsid w:val="0029651F"/>
    <w:rsid w:val="0029677E"/>
    <w:rsid w:val="002A3CE0"/>
    <w:rsid w:val="002A5BFB"/>
    <w:rsid w:val="002A7FF2"/>
    <w:rsid w:val="002B0766"/>
    <w:rsid w:val="002B153E"/>
    <w:rsid w:val="002B2DE2"/>
    <w:rsid w:val="002C1DCE"/>
    <w:rsid w:val="002C1EBC"/>
    <w:rsid w:val="002C68C8"/>
    <w:rsid w:val="002D0085"/>
    <w:rsid w:val="002D09AD"/>
    <w:rsid w:val="002E1A15"/>
    <w:rsid w:val="002E77FC"/>
    <w:rsid w:val="002F307A"/>
    <w:rsid w:val="002F385C"/>
    <w:rsid w:val="002F5263"/>
    <w:rsid w:val="002F57A7"/>
    <w:rsid w:val="00300022"/>
    <w:rsid w:val="003014C1"/>
    <w:rsid w:val="003025D6"/>
    <w:rsid w:val="00306C69"/>
    <w:rsid w:val="003103DB"/>
    <w:rsid w:val="00314E45"/>
    <w:rsid w:val="00320355"/>
    <w:rsid w:val="00320FBF"/>
    <w:rsid w:val="00321AF1"/>
    <w:rsid w:val="00322312"/>
    <w:rsid w:val="00322C4B"/>
    <w:rsid w:val="00324B83"/>
    <w:rsid w:val="003311C4"/>
    <w:rsid w:val="003316B2"/>
    <w:rsid w:val="003320F3"/>
    <w:rsid w:val="003366C0"/>
    <w:rsid w:val="00337038"/>
    <w:rsid w:val="00342D16"/>
    <w:rsid w:val="00343DDE"/>
    <w:rsid w:val="00343EFE"/>
    <w:rsid w:val="00346875"/>
    <w:rsid w:val="00346EF6"/>
    <w:rsid w:val="00355843"/>
    <w:rsid w:val="00356F4A"/>
    <w:rsid w:val="00357E3F"/>
    <w:rsid w:val="0036118A"/>
    <w:rsid w:val="00361A37"/>
    <w:rsid w:val="00361B00"/>
    <w:rsid w:val="003628AE"/>
    <w:rsid w:val="00362B88"/>
    <w:rsid w:val="00365EA5"/>
    <w:rsid w:val="003671E2"/>
    <w:rsid w:val="003677C2"/>
    <w:rsid w:val="003718F9"/>
    <w:rsid w:val="00371A77"/>
    <w:rsid w:val="00374427"/>
    <w:rsid w:val="003753CC"/>
    <w:rsid w:val="00381BD9"/>
    <w:rsid w:val="00390FC1"/>
    <w:rsid w:val="00392A5B"/>
    <w:rsid w:val="003934B0"/>
    <w:rsid w:val="003939D6"/>
    <w:rsid w:val="003A093F"/>
    <w:rsid w:val="003A0F75"/>
    <w:rsid w:val="003A2A76"/>
    <w:rsid w:val="003A4B95"/>
    <w:rsid w:val="003A582D"/>
    <w:rsid w:val="003B069D"/>
    <w:rsid w:val="003B1BA7"/>
    <w:rsid w:val="003B1F12"/>
    <w:rsid w:val="003B22EE"/>
    <w:rsid w:val="003C1B05"/>
    <w:rsid w:val="003C2788"/>
    <w:rsid w:val="003C30E5"/>
    <w:rsid w:val="003C310D"/>
    <w:rsid w:val="003C5391"/>
    <w:rsid w:val="003C54C1"/>
    <w:rsid w:val="003C7B6D"/>
    <w:rsid w:val="003E028A"/>
    <w:rsid w:val="003E0931"/>
    <w:rsid w:val="003E17F2"/>
    <w:rsid w:val="003E1D4C"/>
    <w:rsid w:val="003E3DC9"/>
    <w:rsid w:val="003E3EB0"/>
    <w:rsid w:val="003E6C4A"/>
    <w:rsid w:val="003E774B"/>
    <w:rsid w:val="003E7F41"/>
    <w:rsid w:val="003F0AA1"/>
    <w:rsid w:val="003F1337"/>
    <w:rsid w:val="003F3D17"/>
    <w:rsid w:val="003F4B18"/>
    <w:rsid w:val="003F4C1F"/>
    <w:rsid w:val="003F5F36"/>
    <w:rsid w:val="003F6C22"/>
    <w:rsid w:val="0040048E"/>
    <w:rsid w:val="004008F9"/>
    <w:rsid w:val="00404D68"/>
    <w:rsid w:val="004053F0"/>
    <w:rsid w:val="00406E6D"/>
    <w:rsid w:val="00410D18"/>
    <w:rsid w:val="00412CB6"/>
    <w:rsid w:val="00413ADC"/>
    <w:rsid w:val="00413FAD"/>
    <w:rsid w:val="00416D03"/>
    <w:rsid w:val="00416E5C"/>
    <w:rsid w:val="00420065"/>
    <w:rsid w:val="00426C90"/>
    <w:rsid w:val="0043657E"/>
    <w:rsid w:val="00436A59"/>
    <w:rsid w:val="00437977"/>
    <w:rsid w:val="00437A51"/>
    <w:rsid w:val="00443484"/>
    <w:rsid w:val="00444788"/>
    <w:rsid w:val="00446F5C"/>
    <w:rsid w:val="004512CC"/>
    <w:rsid w:val="00451502"/>
    <w:rsid w:val="00451F47"/>
    <w:rsid w:val="004521EB"/>
    <w:rsid w:val="0045282F"/>
    <w:rsid w:val="00462411"/>
    <w:rsid w:val="004656EB"/>
    <w:rsid w:val="00466B29"/>
    <w:rsid w:val="004679D8"/>
    <w:rsid w:val="0047049F"/>
    <w:rsid w:val="00474684"/>
    <w:rsid w:val="00477D36"/>
    <w:rsid w:val="0048071F"/>
    <w:rsid w:val="00482758"/>
    <w:rsid w:val="00483623"/>
    <w:rsid w:val="004836FE"/>
    <w:rsid w:val="00484156"/>
    <w:rsid w:val="00484803"/>
    <w:rsid w:val="00484B61"/>
    <w:rsid w:val="00485D5A"/>
    <w:rsid w:val="004871E1"/>
    <w:rsid w:val="0048774E"/>
    <w:rsid w:val="00490ECE"/>
    <w:rsid w:val="0049149A"/>
    <w:rsid w:val="00492F74"/>
    <w:rsid w:val="004941FD"/>
    <w:rsid w:val="004A01B3"/>
    <w:rsid w:val="004A50D1"/>
    <w:rsid w:val="004A62D0"/>
    <w:rsid w:val="004B280A"/>
    <w:rsid w:val="004B2852"/>
    <w:rsid w:val="004B2DD4"/>
    <w:rsid w:val="004B3F92"/>
    <w:rsid w:val="004B41E5"/>
    <w:rsid w:val="004B700F"/>
    <w:rsid w:val="004B718E"/>
    <w:rsid w:val="004C03AC"/>
    <w:rsid w:val="004C10C1"/>
    <w:rsid w:val="004C1130"/>
    <w:rsid w:val="004C213C"/>
    <w:rsid w:val="004C349E"/>
    <w:rsid w:val="004C50CA"/>
    <w:rsid w:val="004C78A2"/>
    <w:rsid w:val="004C7DDB"/>
    <w:rsid w:val="004D18D3"/>
    <w:rsid w:val="004D21B5"/>
    <w:rsid w:val="004D2714"/>
    <w:rsid w:val="004D4BCF"/>
    <w:rsid w:val="004D55A6"/>
    <w:rsid w:val="004D62E4"/>
    <w:rsid w:val="004E190B"/>
    <w:rsid w:val="004E1A2D"/>
    <w:rsid w:val="004E1D6B"/>
    <w:rsid w:val="004E2042"/>
    <w:rsid w:val="004E403E"/>
    <w:rsid w:val="004E5D5F"/>
    <w:rsid w:val="004E5DE9"/>
    <w:rsid w:val="004E63FD"/>
    <w:rsid w:val="004F249A"/>
    <w:rsid w:val="004F2FDA"/>
    <w:rsid w:val="004F36CA"/>
    <w:rsid w:val="004F57B8"/>
    <w:rsid w:val="004F57CF"/>
    <w:rsid w:val="004F6999"/>
    <w:rsid w:val="004F6A7D"/>
    <w:rsid w:val="005002A7"/>
    <w:rsid w:val="00502A54"/>
    <w:rsid w:val="00503397"/>
    <w:rsid w:val="00503785"/>
    <w:rsid w:val="0051021D"/>
    <w:rsid w:val="00510C33"/>
    <w:rsid w:val="00514093"/>
    <w:rsid w:val="00514C4F"/>
    <w:rsid w:val="005156EF"/>
    <w:rsid w:val="00516629"/>
    <w:rsid w:val="00517546"/>
    <w:rsid w:val="00521E0B"/>
    <w:rsid w:val="005235BB"/>
    <w:rsid w:val="00525348"/>
    <w:rsid w:val="00527AE6"/>
    <w:rsid w:val="00533273"/>
    <w:rsid w:val="00535EDD"/>
    <w:rsid w:val="005366DA"/>
    <w:rsid w:val="005378DB"/>
    <w:rsid w:val="00541768"/>
    <w:rsid w:val="00542AB9"/>
    <w:rsid w:val="0054308A"/>
    <w:rsid w:val="00550415"/>
    <w:rsid w:val="00550760"/>
    <w:rsid w:val="005509C6"/>
    <w:rsid w:val="00552466"/>
    <w:rsid w:val="00553EB7"/>
    <w:rsid w:val="00554E48"/>
    <w:rsid w:val="005553A4"/>
    <w:rsid w:val="0055541C"/>
    <w:rsid w:val="005556E0"/>
    <w:rsid w:val="00556561"/>
    <w:rsid w:val="005633BD"/>
    <w:rsid w:val="00565055"/>
    <w:rsid w:val="00565D9B"/>
    <w:rsid w:val="0057177C"/>
    <w:rsid w:val="00573E78"/>
    <w:rsid w:val="005802DB"/>
    <w:rsid w:val="00583A18"/>
    <w:rsid w:val="00586E56"/>
    <w:rsid w:val="0058717C"/>
    <w:rsid w:val="00587CDB"/>
    <w:rsid w:val="00587FC6"/>
    <w:rsid w:val="00594862"/>
    <w:rsid w:val="005953B3"/>
    <w:rsid w:val="00595726"/>
    <w:rsid w:val="005A0284"/>
    <w:rsid w:val="005B4848"/>
    <w:rsid w:val="005B635F"/>
    <w:rsid w:val="005C188E"/>
    <w:rsid w:val="005C3959"/>
    <w:rsid w:val="005C3F6F"/>
    <w:rsid w:val="005C5514"/>
    <w:rsid w:val="005D0B20"/>
    <w:rsid w:val="005D0C5C"/>
    <w:rsid w:val="005D1048"/>
    <w:rsid w:val="005D4967"/>
    <w:rsid w:val="005D6437"/>
    <w:rsid w:val="005E0761"/>
    <w:rsid w:val="005E2793"/>
    <w:rsid w:val="005E361D"/>
    <w:rsid w:val="005E4AA8"/>
    <w:rsid w:val="005E6C2E"/>
    <w:rsid w:val="005E6E2F"/>
    <w:rsid w:val="005E7A5F"/>
    <w:rsid w:val="005F22B9"/>
    <w:rsid w:val="005F2806"/>
    <w:rsid w:val="005F5FAC"/>
    <w:rsid w:val="005F6631"/>
    <w:rsid w:val="005F6D6F"/>
    <w:rsid w:val="006000B1"/>
    <w:rsid w:val="006001EA"/>
    <w:rsid w:val="00600FB9"/>
    <w:rsid w:val="0060230C"/>
    <w:rsid w:val="00602B34"/>
    <w:rsid w:val="00603370"/>
    <w:rsid w:val="00604CDD"/>
    <w:rsid w:val="00606477"/>
    <w:rsid w:val="00610CFE"/>
    <w:rsid w:val="00614D13"/>
    <w:rsid w:val="006207C1"/>
    <w:rsid w:val="00621189"/>
    <w:rsid w:val="00626CC8"/>
    <w:rsid w:val="00634B9D"/>
    <w:rsid w:val="00635646"/>
    <w:rsid w:val="00644BC8"/>
    <w:rsid w:val="00651D37"/>
    <w:rsid w:val="0065605E"/>
    <w:rsid w:val="006600DB"/>
    <w:rsid w:val="006608B6"/>
    <w:rsid w:val="00664341"/>
    <w:rsid w:val="0066467F"/>
    <w:rsid w:val="00665825"/>
    <w:rsid w:val="00667990"/>
    <w:rsid w:val="00670935"/>
    <w:rsid w:val="00671B8C"/>
    <w:rsid w:val="00681A0F"/>
    <w:rsid w:val="00682451"/>
    <w:rsid w:val="00691A0E"/>
    <w:rsid w:val="006928CF"/>
    <w:rsid w:val="0069440B"/>
    <w:rsid w:val="00697890"/>
    <w:rsid w:val="006A027F"/>
    <w:rsid w:val="006A0F2A"/>
    <w:rsid w:val="006A20C7"/>
    <w:rsid w:val="006A4959"/>
    <w:rsid w:val="006B1B19"/>
    <w:rsid w:val="006B25E0"/>
    <w:rsid w:val="006B3DBE"/>
    <w:rsid w:val="006B77B0"/>
    <w:rsid w:val="006C2373"/>
    <w:rsid w:val="006C61D0"/>
    <w:rsid w:val="006C66AD"/>
    <w:rsid w:val="006C6975"/>
    <w:rsid w:val="006C7D1D"/>
    <w:rsid w:val="006D165A"/>
    <w:rsid w:val="006D50D8"/>
    <w:rsid w:val="006D5772"/>
    <w:rsid w:val="006D6909"/>
    <w:rsid w:val="006D7B0A"/>
    <w:rsid w:val="006E09A0"/>
    <w:rsid w:val="006E09BF"/>
    <w:rsid w:val="006E24FD"/>
    <w:rsid w:val="006E3D38"/>
    <w:rsid w:val="006E6EF9"/>
    <w:rsid w:val="006E7343"/>
    <w:rsid w:val="006F0D75"/>
    <w:rsid w:val="006F59F6"/>
    <w:rsid w:val="006F67B0"/>
    <w:rsid w:val="006F7689"/>
    <w:rsid w:val="00700A1E"/>
    <w:rsid w:val="00701036"/>
    <w:rsid w:val="00701972"/>
    <w:rsid w:val="00701D45"/>
    <w:rsid w:val="00701E08"/>
    <w:rsid w:val="0070352F"/>
    <w:rsid w:val="007105F7"/>
    <w:rsid w:val="00717E6D"/>
    <w:rsid w:val="00721B08"/>
    <w:rsid w:val="0072294F"/>
    <w:rsid w:val="00723419"/>
    <w:rsid w:val="007255C1"/>
    <w:rsid w:val="00725C6E"/>
    <w:rsid w:val="007276C0"/>
    <w:rsid w:val="0073004D"/>
    <w:rsid w:val="00731027"/>
    <w:rsid w:val="00736FD5"/>
    <w:rsid w:val="00737841"/>
    <w:rsid w:val="00740078"/>
    <w:rsid w:val="00741D21"/>
    <w:rsid w:val="00744842"/>
    <w:rsid w:val="00745B61"/>
    <w:rsid w:val="00745D1A"/>
    <w:rsid w:val="007505ED"/>
    <w:rsid w:val="00754C9C"/>
    <w:rsid w:val="00760376"/>
    <w:rsid w:val="00762145"/>
    <w:rsid w:val="007647EE"/>
    <w:rsid w:val="0076565D"/>
    <w:rsid w:val="00773A87"/>
    <w:rsid w:val="00777977"/>
    <w:rsid w:val="007800A6"/>
    <w:rsid w:val="00783209"/>
    <w:rsid w:val="0078374E"/>
    <w:rsid w:val="00783A67"/>
    <w:rsid w:val="0079030E"/>
    <w:rsid w:val="007917BD"/>
    <w:rsid w:val="00793633"/>
    <w:rsid w:val="007937F4"/>
    <w:rsid w:val="00795349"/>
    <w:rsid w:val="007A401C"/>
    <w:rsid w:val="007A5A1A"/>
    <w:rsid w:val="007A5D19"/>
    <w:rsid w:val="007A5EFB"/>
    <w:rsid w:val="007A6DD9"/>
    <w:rsid w:val="007A7E82"/>
    <w:rsid w:val="007B4366"/>
    <w:rsid w:val="007B4F93"/>
    <w:rsid w:val="007C051B"/>
    <w:rsid w:val="007C28D7"/>
    <w:rsid w:val="007C3A00"/>
    <w:rsid w:val="007C4A9D"/>
    <w:rsid w:val="007C5162"/>
    <w:rsid w:val="007D12F5"/>
    <w:rsid w:val="007D3585"/>
    <w:rsid w:val="007D4484"/>
    <w:rsid w:val="007D6BC4"/>
    <w:rsid w:val="007D7E88"/>
    <w:rsid w:val="007E15E3"/>
    <w:rsid w:val="007E240F"/>
    <w:rsid w:val="007E275B"/>
    <w:rsid w:val="007E7F52"/>
    <w:rsid w:val="007F7636"/>
    <w:rsid w:val="00800239"/>
    <w:rsid w:val="0080094C"/>
    <w:rsid w:val="00800A4B"/>
    <w:rsid w:val="008019B4"/>
    <w:rsid w:val="00801BB1"/>
    <w:rsid w:val="00801ECF"/>
    <w:rsid w:val="00802879"/>
    <w:rsid w:val="00802A5B"/>
    <w:rsid w:val="008039BD"/>
    <w:rsid w:val="0081271D"/>
    <w:rsid w:val="00812FBC"/>
    <w:rsid w:val="008238C6"/>
    <w:rsid w:val="00824738"/>
    <w:rsid w:val="008249A3"/>
    <w:rsid w:val="0082598A"/>
    <w:rsid w:val="00826A50"/>
    <w:rsid w:val="00827EAE"/>
    <w:rsid w:val="008345C1"/>
    <w:rsid w:val="00836149"/>
    <w:rsid w:val="00842B14"/>
    <w:rsid w:val="00843E50"/>
    <w:rsid w:val="00844709"/>
    <w:rsid w:val="00844AD8"/>
    <w:rsid w:val="00845F74"/>
    <w:rsid w:val="00851072"/>
    <w:rsid w:val="008560D1"/>
    <w:rsid w:val="00861CA7"/>
    <w:rsid w:val="00862254"/>
    <w:rsid w:val="0086785C"/>
    <w:rsid w:val="00867D8A"/>
    <w:rsid w:val="00871486"/>
    <w:rsid w:val="008809B8"/>
    <w:rsid w:val="00881AC4"/>
    <w:rsid w:val="00884785"/>
    <w:rsid w:val="00886A5D"/>
    <w:rsid w:val="00886F4C"/>
    <w:rsid w:val="00896DD0"/>
    <w:rsid w:val="008A00B1"/>
    <w:rsid w:val="008A0F3B"/>
    <w:rsid w:val="008A178F"/>
    <w:rsid w:val="008A2FC7"/>
    <w:rsid w:val="008A557A"/>
    <w:rsid w:val="008A6707"/>
    <w:rsid w:val="008A708F"/>
    <w:rsid w:val="008A7CDA"/>
    <w:rsid w:val="008B0EC5"/>
    <w:rsid w:val="008B1E58"/>
    <w:rsid w:val="008B26BE"/>
    <w:rsid w:val="008B3EDB"/>
    <w:rsid w:val="008B7C1B"/>
    <w:rsid w:val="008C08DD"/>
    <w:rsid w:val="008C16A0"/>
    <w:rsid w:val="008C173B"/>
    <w:rsid w:val="008C1ECA"/>
    <w:rsid w:val="008C5D14"/>
    <w:rsid w:val="008D0E4A"/>
    <w:rsid w:val="008D2724"/>
    <w:rsid w:val="008D36EB"/>
    <w:rsid w:val="008D55A3"/>
    <w:rsid w:val="008D5DB0"/>
    <w:rsid w:val="008D5E8A"/>
    <w:rsid w:val="008E3C68"/>
    <w:rsid w:val="008E41DF"/>
    <w:rsid w:val="008E51AE"/>
    <w:rsid w:val="008F00F0"/>
    <w:rsid w:val="008F65AE"/>
    <w:rsid w:val="008F7E5C"/>
    <w:rsid w:val="00901150"/>
    <w:rsid w:val="009017D5"/>
    <w:rsid w:val="0090348E"/>
    <w:rsid w:val="009042C6"/>
    <w:rsid w:val="00905162"/>
    <w:rsid w:val="00905726"/>
    <w:rsid w:val="00905D43"/>
    <w:rsid w:val="00906C96"/>
    <w:rsid w:val="00911667"/>
    <w:rsid w:val="009120C3"/>
    <w:rsid w:val="00916FBA"/>
    <w:rsid w:val="009175A6"/>
    <w:rsid w:val="00921848"/>
    <w:rsid w:val="00923AAE"/>
    <w:rsid w:val="00923E72"/>
    <w:rsid w:val="009252E4"/>
    <w:rsid w:val="00926E5F"/>
    <w:rsid w:val="009363EB"/>
    <w:rsid w:val="0096255E"/>
    <w:rsid w:val="00964BF9"/>
    <w:rsid w:val="00965317"/>
    <w:rsid w:val="00965456"/>
    <w:rsid w:val="009725B9"/>
    <w:rsid w:val="009732DF"/>
    <w:rsid w:val="0097471F"/>
    <w:rsid w:val="009765D5"/>
    <w:rsid w:val="00981493"/>
    <w:rsid w:val="00982C57"/>
    <w:rsid w:val="00984BF4"/>
    <w:rsid w:val="009910B1"/>
    <w:rsid w:val="00992BEC"/>
    <w:rsid w:val="009A65BB"/>
    <w:rsid w:val="009B474F"/>
    <w:rsid w:val="009B5C57"/>
    <w:rsid w:val="009B6D63"/>
    <w:rsid w:val="009C1926"/>
    <w:rsid w:val="009C2F6B"/>
    <w:rsid w:val="009C385C"/>
    <w:rsid w:val="009C3CF2"/>
    <w:rsid w:val="009C6EDB"/>
    <w:rsid w:val="009D305B"/>
    <w:rsid w:val="009D7889"/>
    <w:rsid w:val="009E05D7"/>
    <w:rsid w:val="009E4220"/>
    <w:rsid w:val="009F1BCB"/>
    <w:rsid w:val="009F3D17"/>
    <w:rsid w:val="009F564F"/>
    <w:rsid w:val="009F58D6"/>
    <w:rsid w:val="00A01B4D"/>
    <w:rsid w:val="00A03A8E"/>
    <w:rsid w:val="00A03DC8"/>
    <w:rsid w:val="00A05DAD"/>
    <w:rsid w:val="00A11AEC"/>
    <w:rsid w:val="00A1539D"/>
    <w:rsid w:val="00A2218E"/>
    <w:rsid w:val="00A22C1B"/>
    <w:rsid w:val="00A23B51"/>
    <w:rsid w:val="00A25288"/>
    <w:rsid w:val="00A278EC"/>
    <w:rsid w:val="00A30888"/>
    <w:rsid w:val="00A320AA"/>
    <w:rsid w:val="00A3216D"/>
    <w:rsid w:val="00A34870"/>
    <w:rsid w:val="00A36D0C"/>
    <w:rsid w:val="00A41959"/>
    <w:rsid w:val="00A43001"/>
    <w:rsid w:val="00A431F9"/>
    <w:rsid w:val="00A44979"/>
    <w:rsid w:val="00A45EA7"/>
    <w:rsid w:val="00A51F5E"/>
    <w:rsid w:val="00A53077"/>
    <w:rsid w:val="00A530A3"/>
    <w:rsid w:val="00A535EA"/>
    <w:rsid w:val="00A53D4D"/>
    <w:rsid w:val="00A55D75"/>
    <w:rsid w:val="00A56BE7"/>
    <w:rsid w:val="00A63427"/>
    <w:rsid w:val="00A64502"/>
    <w:rsid w:val="00A64DF9"/>
    <w:rsid w:val="00A6535A"/>
    <w:rsid w:val="00A67DF4"/>
    <w:rsid w:val="00A76834"/>
    <w:rsid w:val="00A7783D"/>
    <w:rsid w:val="00A83B90"/>
    <w:rsid w:val="00A8682A"/>
    <w:rsid w:val="00A86907"/>
    <w:rsid w:val="00A86A3E"/>
    <w:rsid w:val="00A87233"/>
    <w:rsid w:val="00A91FE4"/>
    <w:rsid w:val="00A959AB"/>
    <w:rsid w:val="00A96674"/>
    <w:rsid w:val="00AA04C8"/>
    <w:rsid w:val="00AA0DF6"/>
    <w:rsid w:val="00AA191B"/>
    <w:rsid w:val="00AA3B6C"/>
    <w:rsid w:val="00AB16EF"/>
    <w:rsid w:val="00AB3352"/>
    <w:rsid w:val="00AB49A1"/>
    <w:rsid w:val="00AC6196"/>
    <w:rsid w:val="00AC6DB0"/>
    <w:rsid w:val="00AC751C"/>
    <w:rsid w:val="00AC78D7"/>
    <w:rsid w:val="00AD02B1"/>
    <w:rsid w:val="00AD0F12"/>
    <w:rsid w:val="00AD105B"/>
    <w:rsid w:val="00AD147B"/>
    <w:rsid w:val="00AD341E"/>
    <w:rsid w:val="00AD3B69"/>
    <w:rsid w:val="00AD5494"/>
    <w:rsid w:val="00AE2736"/>
    <w:rsid w:val="00AF0274"/>
    <w:rsid w:val="00AF3206"/>
    <w:rsid w:val="00AF4B52"/>
    <w:rsid w:val="00B01066"/>
    <w:rsid w:val="00B0221A"/>
    <w:rsid w:val="00B02CE0"/>
    <w:rsid w:val="00B033E6"/>
    <w:rsid w:val="00B03C0E"/>
    <w:rsid w:val="00B05A6B"/>
    <w:rsid w:val="00B06488"/>
    <w:rsid w:val="00B11520"/>
    <w:rsid w:val="00B12D0E"/>
    <w:rsid w:val="00B14234"/>
    <w:rsid w:val="00B15137"/>
    <w:rsid w:val="00B1553B"/>
    <w:rsid w:val="00B16B76"/>
    <w:rsid w:val="00B21C15"/>
    <w:rsid w:val="00B230E5"/>
    <w:rsid w:val="00B231F8"/>
    <w:rsid w:val="00B258FB"/>
    <w:rsid w:val="00B30C2F"/>
    <w:rsid w:val="00B333E4"/>
    <w:rsid w:val="00B34FBB"/>
    <w:rsid w:val="00B369BF"/>
    <w:rsid w:val="00B374F6"/>
    <w:rsid w:val="00B41B2B"/>
    <w:rsid w:val="00B4448E"/>
    <w:rsid w:val="00B47C6A"/>
    <w:rsid w:val="00B554A0"/>
    <w:rsid w:val="00B579E0"/>
    <w:rsid w:val="00B61B21"/>
    <w:rsid w:val="00B640B8"/>
    <w:rsid w:val="00B64733"/>
    <w:rsid w:val="00B66C38"/>
    <w:rsid w:val="00B7324B"/>
    <w:rsid w:val="00B74EEF"/>
    <w:rsid w:val="00B75389"/>
    <w:rsid w:val="00B90685"/>
    <w:rsid w:val="00B91FC9"/>
    <w:rsid w:val="00B925AD"/>
    <w:rsid w:val="00B93D82"/>
    <w:rsid w:val="00B93E3F"/>
    <w:rsid w:val="00B94BEF"/>
    <w:rsid w:val="00B97D47"/>
    <w:rsid w:val="00BA0859"/>
    <w:rsid w:val="00BA23F8"/>
    <w:rsid w:val="00BA53A2"/>
    <w:rsid w:val="00BB12AC"/>
    <w:rsid w:val="00BB2EC4"/>
    <w:rsid w:val="00BB34E4"/>
    <w:rsid w:val="00BB4675"/>
    <w:rsid w:val="00BB4B74"/>
    <w:rsid w:val="00BB5313"/>
    <w:rsid w:val="00BC00E8"/>
    <w:rsid w:val="00BC3AB8"/>
    <w:rsid w:val="00BC499F"/>
    <w:rsid w:val="00BD3CDC"/>
    <w:rsid w:val="00BD4759"/>
    <w:rsid w:val="00BD62E0"/>
    <w:rsid w:val="00BD6932"/>
    <w:rsid w:val="00BE08B5"/>
    <w:rsid w:val="00BE303D"/>
    <w:rsid w:val="00BE40AA"/>
    <w:rsid w:val="00BF190F"/>
    <w:rsid w:val="00BF432B"/>
    <w:rsid w:val="00BF43AA"/>
    <w:rsid w:val="00BF5856"/>
    <w:rsid w:val="00BF5B48"/>
    <w:rsid w:val="00BF674B"/>
    <w:rsid w:val="00BF6C09"/>
    <w:rsid w:val="00C0045C"/>
    <w:rsid w:val="00C01338"/>
    <w:rsid w:val="00C025AE"/>
    <w:rsid w:val="00C115AC"/>
    <w:rsid w:val="00C12C2A"/>
    <w:rsid w:val="00C148CD"/>
    <w:rsid w:val="00C15B09"/>
    <w:rsid w:val="00C15B2E"/>
    <w:rsid w:val="00C16AB0"/>
    <w:rsid w:val="00C21C8E"/>
    <w:rsid w:val="00C23F79"/>
    <w:rsid w:val="00C27D7B"/>
    <w:rsid w:val="00C31D89"/>
    <w:rsid w:val="00C326D7"/>
    <w:rsid w:val="00C330A6"/>
    <w:rsid w:val="00C35AD9"/>
    <w:rsid w:val="00C409F8"/>
    <w:rsid w:val="00C44016"/>
    <w:rsid w:val="00C44985"/>
    <w:rsid w:val="00C47C08"/>
    <w:rsid w:val="00C536AE"/>
    <w:rsid w:val="00C56884"/>
    <w:rsid w:val="00C62AD2"/>
    <w:rsid w:val="00C63207"/>
    <w:rsid w:val="00C63A0B"/>
    <w:rsid w:val="00C65C34"/>
    <w:rsid w:val="00C66E6F"/>
    <w:rsid w:val="00C76E88"/>
    <w:rsid w:val="00C76F0A"/>
    <w:rsid w:val="00C876DB"/>
    <w:rsid w:val="00C97074"/>
    <w:rsid w:val="00CA1650"/>
    <w:rsid w:val="00CA3F90"/>
    <w:rsid w:val="00CA4839"/>
    <w:rsid w:val="00CB15E0"/>
    <w:rsid w:val="00CB1EB1"/>
    <w:rsid w:val="00CB463A"/>
    <w:rsid w:val="00CC13CA"/>
    <w:rsid w:val="00CC2579"/>
    <w:rsid w:val="00CC3F80"/>
    <w:rsid w:val="00CC3FC7"/>
    <w:rsid w:val="00CC4D32"/>
    <w:rsid w:val="00CC7575"/>
    <w:rsid w:val="00CD400E"/>
    <w:rsid w:val="00CD5001"/>
    <w:rsid w:val="00CD7046"/>
    <w:rsid w:val="00CD77DA"/>
    <w:rsid w:val="00CE2A64"/>
    <w:rsid w:val="00CE39DC"/>
    <w:rsid w:val="00CE4300"/>
    <w:rsid w:val="00CE5820"/>
    <w:rsid w:val="00CE6591"/>
    <w:rsid w:val="00CF279C"/>
    <w:rsid w:val="00CF3237"/>
    <w:rsid w:val="00CF43B4"/>
    <w:rsid w:val="00CF5625"/>
    <w:rsid w:val="00CF56F3"/>
    <w:rsid w:val="00D00D78"/>
    <w:rsid w:val="00D03D35"/>
    <w:rsid w:val="00D044F4"/>
    <w:rsid w:val="00D07956"/>
    <w:rsid w:val="00D17292"/>
    <w:rsid w:val="00D21C5E"/>
    <w:rsid w:val="00D225E6"/>
    <w:rsid w:val="00D22AD0"/>
    <w:rsid w:val="00D23165"/>
    <w:rsid w:val="00D25122"/>
    <w:rsid w:val="00D26468"/>
    <w:rsid w:val="00D265E6"/>
    <w:rsid w:val="00D30432"/>
    <w:rsid w:val="00D31114"/>
    <w:rsid w:val="00D33E61"/>
    <w:rsid w:val="00D3483E"/>
    <w:rsid w:val="00D3662B"/>
    <w:rsid w:val="00D36887"/>
    <w:rsid w:val="00D412BA"/>
    <w:rsid w:val="00D4207C"/>
    <w:rsid w:val="00D4297B"/>
    <w:rsid w:val="00D42C21"/>
    <w:rsid w:val="00D439F7"/>
    <w:rsid w:val="00D43FC2"/>
    <w:rsid w:val="00D47A55"/>
    <w:rsid w:val="00D52220"/>
    <w:rsid w:val="00D5247A"/>
    <w:rsid w:val="00D60723"/>
    <w:rsid w:val="00D64A88"/>
    <w:rsid w:val="00D66092"/>
    <w:rsid w:val="00D70401"/>
    <w:rsid w:val="00D70F8B"/>
    <w:rsid w:val="00D72BF0"/>
    <w:rsid w:val="00D76A37"/>
    <w:rsid w:val="00D7752C"/>
    <w:rsid w:val="00D81531"/>
    <w:rsid w:val="00D82E13"/>
    <w:rsid w:val="00D82F4A"/>
    <w:rsid w:val="00D85228"/>
    <w:rsid w:val="00D86842"/>
    <w:rsid w:val="00D87A73"/>
    <w:rsid w:val="00D943D8"/>
    <w:rsid w:val="00DA06F6"/>
    <w:rsid w:val="00DA11D9"/>
    <w:rsid w:val="00DA1F41"/>
    <w:rsid w:val="00DA41E1"/>
    <w:rsid w:val="00DA484E"/>
    <w:rsid w:val="00DA5D31"/>
    <w:rsid w:val="00DA6343"/>
    <w:rsid w:val="00DA6E2E"/>
    <w:rsid w:val="00DA7BEF"/>
    <w:rsid w:val="00DB0013"/>
    <w:rsid w:val="00DB0D4F"/>
    <w:rsid w:val="00DB6F74"/>
    <w:rsid w:val="00DC1799"/>
    <w:rsid w:val="00DC1D97"/>
    <w:rsid w:val="00DC3376"/>
    <w:rsid w:val="00DC7556"/>
    <w:rsid w:val="00DC7675"/>
    <w:rsid w:val="00DD2980"/>
    <w:rsid w:val="00DD57FC"/>
    <w:rsid w:val="00DE098C"/>
    <w:rsid w:val="00DE4F74"/>
    <w:rsid w:val="00DE6429"/>
    <w:rsid w:val="00DF4672"/>
    <w:rsid w:val="00DF4FAD"/>
    <w:rsid w:val="00DF5187"/>
    <w:rsid w:val="00DF58B0"/>
    <w:rsid w:val="00DF62B1"/>
    <w:rsid w:val="00DF71A9"/>
    <w:rsid w:val="00E03120"/>
    <w:rsid w:val="00E0512A"/>
    <w:rsid w:val="00E0707B"/>
    <w:rsid w:val="00E117A7"/>
    <w:rsid w:val="00E13BEE"/>
    <w:rsid w:val="00E14C75"/>
    <w:rsid w:val="00E15468"/>
    <w:rsid w:val="00E1739E"/>
    <w:rsid w:val="00E20D45"/>
    <w:rsid w:val="00E218F0"/>
    <w:rsid w:val="00E24BEF"/>
    <w:rsid w:val="00E24F83"/>
    <w:rsid w:val="00E2684D"/>
    <w:rsid w:val="00E27427"/>
    <w:rsid w:val="00E301FB"/>
    <w:rsid w:val="00E3038F"/>
    <w:rsid w:val="00E30B90"/>
    <w:rsid w:val="00E31E4B"/>
    <w:rsid w:val="00E40641"/>
    <w:rsid w:val="00E412DA"/>
    <w:rsid w:val="00E41EA8"/>
    <w:rsid w:val="00E452E5"/>
    <w:rsid w:val="00E46806"/>
    <w:rsid w:val="00E46D28"/>
    <w:rsid w:val="00E510C5"/>
    <w:rsid w:val="00E51999"/>
    <w:rsid w:val="00E57BDD"/>
    <w:rsid w:val="00E619F3"/>
    <w:rsid w:val="00E725B9"/>
    <w:rsid w:val="00E74936"/>
    <w:rsid w:val="00E77944"/>
    <w:rsid w:val="00E82006"/>
    <w:rsid w:val="00E8208C"/>
    <w:rsid w:val="00E83AED"/>
    <w:rsid w:val="00E8675A"/>
    <w:rsid w:val="00E86857"/>
    <w:rsid w:val="00E87883"/>
    <w:rsid w:val="00E92C81"/>
    <w:rsid w:val="00E94387"/>
    <w:rsid w:val="00E95669"/>
    <w:rsid w:val="00E96F55"/>
    <w:rsid w:val="00EA21F1"/>
    <w:rsid w:val="00EA3E6A"/>
    <w:rsid w:val="00EA475B"/>
    <w:rsid w:val="00EB4857"/>
    <w:rsid w:val="00EB4A45"/>
    <w:rsid w:val="00EC5B65"/>
    <w:rsid w:val="00ED2FC5"/>
    <w:rsid w:val="00ED5B93"/>
    <w:rsid w:val="00ED5DB6"/>
    <w:rsid w:val="00EE7A59"/>
    <w:rsid w:val="00EF15D0"/>
    <w:rsid w:val="00EF2A92"/>
    <w:rsid w:val="00EF505C"/>
    <w:rsid w:val="00F007D2"/>
    <w:rsid w:val="00F01C79"/>
    <w:rsid w:val="00F040BF"/>
    <w:rsid w:val="00F05597"/>
    <w:rsid w:val="00F07CEF"/>
    <w:rsid w:val="00F1139D"/>
    <w:rsid w:val="00F11BB1"/>
    <w:rsid w:val="00F15B34"/>
    <w:rsid w:val="00F20A3A"/>
    <w:rsid w:val="00F21240"/>
    <w:rsid w:val="00F21657"/>
    <w:rsid w:val="00F216F3"/>
    <w:rsid w:val="00F228C2"/>
    <w:rsid w:val="00F22EDF"/>
    <w:rsid w:val="00F24257"/>
    <w:rsid w:val="00F2586B"/>
    <w:rsid w:val="00F26A96"/>
    <w:rsid w:val="00F329C9"/>
    <w:rsid w:val="00F3732F"/>
    <w:rsid w:val="00F37E43"/>
    <w:rsid w:val="00F4130C"/>
    <w:rsid w:val="00F41381"/>
    <w:rsid w:val="00F43941"/>
    <w:rsid w:val="00F453D0"/>
    <w:rsid w:val="00F47519"/>
    <w:rsid w:val="00F52489"/>
    <w:rsid w:val="00F53226"/>
    <w:rsid w:val="00F54CC3"/>
    <w:rsid w:val="00F55CEE"/>
    <w:rsid w:val="00F56BF9"/>
    <w:rsid w:val="00F61FE5"/>
    <w:rsid w:val="00F717BC"/>
    <w:rsid w:val="00F775AE"/>
    <w:rsid w:val="00F817DF"/>
    <w:rsid w:val="00F81BBB"/>
    <w:rsid w:val="00F8289E"/>
    <w:rsid w:val="00F82C6D"/>
    <w:rsid w:val="00F875C7"/>
    <w:rsid w:val="00F87B1C"/>
    <w:rsid w:val="00F87E7B"/>
    <w:rsid w:val="00F93C67"/>
    <w:rsid w:val="00F97B96"/>
    <w:rsid w:val="00FA750A"/>
    <w:rsid w:val="00FA7CBD"/>
    <w:rsid w:val="00FB201F"/>
    <w:rsid w:val="00FB5FC9"/>
    <w:rsid w:val="00FB7741"/>
    <w:rsid w:val="00FC0A96"/>
    <w:rsid w:val="00FC24DB"/>
    <w:rsid w:val="00FD171B"/>
    <w:rsid w:val="00FD2541"/>
    <w:rsid w:val="00FD34B2"/>
    <w:rsid w:val="00FD421D"/>
    <w:rsid w:val="00FE211D"/>
    <w:rsid w:val="00FE4814"/>
    <w:rsid w:val="00FE5B38"/>
    <w:rsid w:val="00FF04CC"/>
    <w:rsid w:val="00FF2281"/>
    <w:rsid w:val="00FF6A28"/>
    <w:rsid w:val="00FF7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F52E37"/>
  <w15:chartTrackingRefBased/>
  <w15:docId w15:val="{F6D1E3E0-75AB-44F1-82B4-70F829E5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E2E"/>
    <w:pPr>
      <w:spacing w:before="120" w:after="120" w:line="276" w:lineRule="auto"/>
      <w:jc w:val="both"/>
    </w:pPr>
    <w:rPr>
      <w:rFonts w:ascii="Arial" w:hAnsi="Arial"/>
      <w:sz w:val="20"/>
    </w:rPr>
  </w:style>
  <w:style w:type="paragraph" w:styleId="Heading1">
    <w:name w:val="heading 1"/>
    <w:basedOn w:val="Normal"/>
    <w:next w:val="Normal"/>
    <w:link w:val="Heading1Char"/>
    <w:uiPriority w:val="9"/>
    <w:qFormat/>
    <w:rsid w:val="00E82006"/>
    <w:pPr>
      <w:keepNext/>
      <w:keepLines/>
      <w:numPr>
        <w:numId w:val="2"/>
      </w:numPr>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DA6E2E"/>
    <w:pPr>
      <w:keepNext/>
      <w:keepLines/>
      <w:numPr>
        <w:ilvl w:val="1"/>
        <w:numId w:val="2"/>
      </w:numPr>
      <w:spacing w:before="40"/>
      <w:ind w:left="578" w:hanging="578"/>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773A87"/>
    <w:pPr>
      <w:keepNext/>
      <w:keepLines/>
      <w:numPr>
        <w:ilvl w:val="2"/>
        <w:numId w:val="2"/>
      </w:numPr>
      <w:spacing w:before="40" w:after="0"/>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24739F"/>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739F"/>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4739F"/>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4739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739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4739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006"/>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DA6E2E"/>
    <w:rPr>
      <w:rFonts w:ascii="Arial" w:eastAsiaTheme="majorEastAsia" w:hAnsi="Arial" w:cstheme="majorBidi"/>
      <w:b/>
      <w:szCs w:val="26"/>
    </w:rPr>
  </w:style>
  <w:style w:type="character" w:customStyle="1" w:styleId="Heading3Char">
    <w:name w:val="Heading 3 Char"/>
    <w:basedOn w:val="DefaultParagraphFont"/>
    <w:link w:val="Heading3"/>
    <w:uiPriority w:val="9"/>
    <w:rsid w:val="00773A87"/>
    <w:rPr>
      <w:rFonts w:ascii="Arial" w:eastAsiaTheme="majorEastAsia" w:hAnsi="Arial" w:cstheme="majorBidi"/>
      <w:b/>
      <w:szCs w:val="24"/>
    </w:rPr>
  </w:style>
  <w:style w:type="character" w:customStyle="1" w:styleId="Heading4Char">
    <w:name w:val="Heading 4 Char"/>
    <w:basedOn w:val="DefaultParagraphFont"/>
    <w:link w:val="Heading4"/>
    <w:uiPriority w:val="9"/>
    <w:semiHidden/>
    <w:rsid w:val="0024739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4739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4739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4739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4739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4739F"/>
    <w:rPr>
      <w:rFonts w:asciiTheme="majorHAnsi" w:eastAsiaTheme="majorEastAsia" w:hAnsiTheme="majorHAnsi" w:cstheme="majorBidi"/>
      <w:i/>
      <w:iCs/>
      <w:color w:val="272727" w:themeColor="text1" w:themeTint="D8"/>
      <w:sz w:val="21"/>
      <w:szCs w:val="21"/>
    </w:rPr>
  </w:style>
  <w:style w:type="paragraph" w:customStyle="1" w:styleId="CDCCap3">
    <w:name w:val="CDC Cap3"/>
    <w:basedOn w:val="Normal"/>
    <w:link w:val="CDCCap3Char"/>
    <w:qFormat/>
    <w:rsid w:val="004C50CA"/>
    <w:pPr>
      <w:keepNext/>
      <w:numPr>
        <w:numId w:val="5"/>
      </w:numPr>
      <w:spacing w:before="180" w:after="180" w:line="240" w:lineRule="auto"/>
    </w:pPr>
    <w:rPr>
      <w:rFonts w:eastAsia="Times New Roman" w:cs="Arial"/>
      <w:bCs/>
      <w:lang w:val="es-BO" w:eastAsia="es-BO"/>
    </w:rPr>
  </w:style>
  <w:style w:type="character" w:customStyle="1" w:styleId="CDCCap3Char">
    <w:name w:val="CDC Cap3 Char"/>
    <w:basedOn w:val="DefaultParagraphFont"/>
    <w:link w:val="CDCCap3"/>
    <w:rsid w:val="00D85228"/>
    <w:rPr>
      <w:rFonts w:ascii="Arial" w:eastAsia="Times New Roman" w:hAnsi="Arial" w:cs="Arial"/>
      <w:bCs/>
      <w:lang w:val="es-BO" w:eastAsia="es-BO"/>
    </w:rPr>
  </w:style>
  <w:style w:type="paragraph" w:styleId="FootnoteText">
    <w:name w:val="footnote text"/>
    <w:aliases w:val="fn"/>
    <w:basedOn w:val="Normal"/>
    <w:link w:val="FootnoteTextChar"/>
    <w:uiPriority w:val="99"/>
    <w:unhideWhenUsed/>
    <w:rsid w:val="00F82C6D"/>
    <w:pPr>
      <w:spacing w:before="0" w:after="0" w:line="240" w:lineRule="auto"/>
    </w:pPr>
    <w:rPr>
      <w:sz w:val="18"/>
      <w:szCs w:val="20"/>
    </w:rPr>
  </w:style>
  <w:style w:type="character" w:customStyle="1" w:styleId="FootnoteTextChar">
    <w:name w:val="Footnote Text Char"/>
    <w:aliases w:val="fn Char"/>
    <w:basedOn w:val="DefaultParagraphFont"/>
    <w:link w:val="FootnoteText"/>
    <w:uiPriority w:val="99"/>
    <w:rsid w:val="00F82C6D"/>
    <w:rPr>
      <w:rFonts w:ascii="Arial" w:hAnsi="Arial"/>
      <w:sz w:val="18"/>
      <w:szCs w:val="20"/>
    </w:rPr>
  </w:style>
  <w:style w:type="character" w:styleId="FootnoteReference">
    <w:name w:val="footnote reference"/>
    <w:aliases w:val="BVI fnr,Fußnotenzeichen DISS,16 Point,Superscript 6 Point,Comment Text Char1,Footnotes refss,ftref,Ref. de nota al pie.,Ref,de nota al pie,referencia nota al pie,(Ref. de nota al pie),Texto de nota al pie,FC,Style 24,titulo 2,4_G,f"/>
    <w:basedOn w:val="DefaultParagraphFont"/>
    <w:link w:val="BVIfnrCarCarCarCar"/>
    <w:uiPriority w:val="99"/>
    <w:unhideWhenUsed/>
    <w:qFormat/>
    <w:rsid w:val="00AD5494"/>
    <w:rPr>
      <w:vertAlign w:val="superscript"/>
    </w:rPr>
  </w:style>
  <w:style w:type="paragraph" w:styleId="ListParagraph">
    <w:name w:val="List Paragraph"/>
    <w:basedOn w:val="Normal"/>
    <w:uiPriority w:val="34"/>
    <w:qFormat/>
    <w:rsid w:val="00C12C2A"/>
    <w:pPr>
      <w:ind w:left="720"/>
      <w:contextualSpacing/>
    </w:pPr>
  </w:style>
  <w:style w:type="character" w:styleId="Hyperlink">
    <w:name w:val="Hyperlink"/>
    <w:basedOn w:val="DefaultParagraphFont"/>
    <w:uiPriority w:val="99"/>
    <w:unhideWhenUsed/>
    <w:rsid w:val="00896DD0"/>
    <w:rPr>
      <w:color w:val="0563C1" w:themeColor="hyperlink"/>
      <w:u w:val="single"/>
    </w:rPr>
  </w:style>
  <w:style w:type="character" w:styleId="UnresolvedMention">
    <w:name w:val="Unresolved Mention"/>
    <w:basedOn w:val="DefaultParagraphFont"/>
    <w:uiPriority w:val="99"/>
    <w:semiHidden/>
    <w:unhideWhenUsed/>
    <w:rsid w:val="00896DD0"/>
    <w:rPr>
      <w:color w:val="605E5C"/>
      <w:shd w:val="clear" w:color="auto" w:fill="E1DFDD"/>
    </w:rPr>
  </w:style>
  <w:style w:type="paragraph" w:styleId="Title">
    <w:name w:val="Title"/>
    <w:basedOn w:val="Normal"/>
    <w:next w:val="Normal"/>
    <w:link w:val="TitleChar"/>
    <w:uiPriority w:val="10"/>
    <w:qFormat/>
    <w:rsid w:val="00E82006"/>
    <w:pPr>
      <w:spacing w:before="0" w:after="0" w:line="360" w:lineRule="auto"/>
      <w:contextualSpacing/>
      <w:jc w:val="center"/>
    </w:pPr>
    <w:rPr>
      <w:rFonts w:ascii="Arial Narrow" w:eastAsiaTheme="majorEastAsia" w:hAnsi="Arial Narrow" w:cstheme="majorBidi"/>
      <w:b/>
      <w:spacing w:val="-10"/>
      <w:kern w:val="28"/>
      <w:sz w:val="36"/>
      <w:szCs w:val="56"/>
      <w:u w:val="single"/>
    </w:rPr>
  </w:style>
  <w:style w:type="character" w:customStyle="1" w:styleId="TitleChar">
    <w:name w:val="Title Char"/>
    <w:basedOn w:val="DefaultParagraphFont"/>
    <w:link w:val="Title"/>
    <w:uiPriority w:val="10"/>
    <w:rsid w:val="00E82006"/>
    <w:rPr>
      <w:rFonts w:ascii="Arial Narrow" w:eastAsiaTheme="majorEastAsia" w:hAnsi="Arial Narrow" w:cstheme="majorBidi"/>
      <w:b/>
      <w:spacing w:val="-10"/>
      <w:kern w:val="28"/>
      <w:sz w:val="36"/>
      <w:szCs w:val="56"/>
      <w:u w:val="single"/>
    </w:rPr>
  </w:style>
  <w:style w:type="paragraph" w:styleId="Header">
    <w:name w:val="header"/>
    <w:basedOn w:val="Normal"/>
    <w:link w:val="HeaderChar"/>
    <w:uiPriority w:val="99"/>
    <w:rsid w:val="0006562A"/>
    <w:pPr>
      <w:tabs>
        <w:tab w:val="center" w:pos="4320"/>
        <w:tab w:val="right" w:pos="8640"/>
      </w:tabs>
      <w:spacing w:before="0" w:after="0" w:line="240" w:lineRule="auto"/>
    </w:pPr>
    <w:rPr>
      <w:rFonts w:eastAsia="MS Mincho" w:cs="Times New Roman"/>
      <w:sz w:val="18"/>
      <w:szCs w:val="24"/>
    </w:rPr>
  </w:style>
  <w:style w:type="character" w:customStyle="1" w:styleId="HeaderChar">
    <w:name w:val="Header Char"/>
    <w:basedOn w:val="DefaultParagraphFont"/>
    <w:link w:val="Header"/>
    <w:uiPriority w:val="99"/>
    <w:rsid w:val="0006562A"/>
    <w:rPr>
      <w:rFonts w:ascii="Arial" w:eastAsia="MS Mincho" w:hAnsi="Arial" w:cs="Times New Roman"/>
      <w:sz w:val="18"/>
      <w:szCs w:val="24"/>
    </w:rPr>
  </w:style>
  <w:style w:type="paragraph" w:styleId="TOCHeading">
    <w:name w:val="TOC Heading"/>
    <w:basedOn w:val="Heading1"/>
    <w:next w:val="Normal"/>
    <w:uiPriority w:val="39"/>
    <w:unhideWhenUsed/>
    <w:qFormat/>
    <w:rsid w:val="003939D6"/>
    <w:pPr>
      <w:numPr>
        <w:numId w:val="0"/>
      </w:numPr>
      <w:spacing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3939D6"/>
    <w:pPr>
      <w:spacing w:after="100"/>
    </w:pPr>
  </w:style>
  <w:style w:type="paragraph" w:styleId="TOC2">
    <w:name w:val="toc 2"/>
    <w:basedOn w:val="Normal"/>
    <w:next w:val="Normal"/>
    <w:autoRedefine/>
    <w:uiPriority w:val="39"/>
    <w:unhideWhenUsed/>
    <w:rsid w:val="003C7B6D"/>
    <w:pPr>
      <w:tabs>
        <w:tab w:val="left" w:pos="880"/>
        <w:tab w:val="right" w:leader="dot" w:pos="9350"/>
      </w:tabs>
      <w:spacing w:after="100"/>
      <w:ind w:left="220"/>
    </w:pPr>
    <w:rPr>
      <w:b/>
      <w:noProof/>
      <w:lang w:val="es-ES_tradnl"/>
    </w:rPr>
  </w:style>
  <w:style w:type="paragraph" w:styleId="TOC3">
    <w:name w:val="toc 3"/>
    <w:basedOn w:val="Normal"/>
    <w:next w:val="Normal"/>
    <w:autoRedefine/>
    <w:uiPriority w:val="39"/>
    <w:unhideWhenUsed/>
    <w:rsid w:val="003939D6"/>
    <w:pPr>
      <w:spacing w:after="100"/>
      <w:ind w:left="440"/>
    </w:pPr>
  </w:style>
  <w:style w:type="paragraph" w:styleId="Footer">
    <w:name w:val="footer"/>
    <w:basedOn w:val="Normal"/>
    <w:link w:val="FooterChar"/>
    <w:uiPriority w:val="99"/>
    <w:unhideWhenUsed/>
    <w:rsid w:val="003718F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3718F9"/>
    <w:rPr>
      <w:rFonts w:ascii="Arial" w:hAnsi="Arial"/>
    </w:rPr>
  </w:style>
  <w:style w:type="character" w:styleId="CommentReference">
    <w:name w:val="annotation reference"/>
    <w:basedOn w:val="DefaultParagraphFont"/>
    <w:uiPriority w:val="99"/>
    <w:semiHidden/>
    <w:unhideWhenUsed/>
    <w:rsid w:val="009F3D17"/>
    <w:rPr>
      <w:sz w:val="16"/>
      <w:szCs w:val="16"/>
    </w:rPr>
  </w:style>
  <w:style w:type="paragraph" w:styleId="CommentText">
    <w:name w:val="annotation text"/>
    <w:basedOn w:val="Normal"/>
    <w:link w:val="CommentTextChar"/>
    <w:uiPriority w:val="99"/>
    <w:semiHidden/>
    <w:unhideWhenUsed/>
    <w:rsid w:val="009F3D17"/>
    <w:pPr>
      <w:spacing w:line="240" w:lineRule="auto"/>
    </w:pPr>
    <w:rPr>
      <w:szCs w:val="20"/>
    </w:rPr>
  </w:style>
  <w:style w:type="character" w:customStyle="1" w:styleId="CommentTextChar">
    <w:name w:val="Comment Text Char"/>
    <w:basedOn w:val="DefaultParagraphFont"/>
    <w:link w:val="CommentText"/>
    <w:uiPriority w:val="99"/>
    <w:semiHidden/>
    <w:rsid w:val="009F3D1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8693E"/>
    <w:rPr>
      <w:b/>
      <w:bCs/>
    </w:rPr>
  </w:style>
  <w:style w:type="character" w:customStyle="1" w:styleId="CommentSubjectChar">
    <w:name w:val="Comment Subject Char"/>
    <w:basedOn w:val="CommentTextChar"/>
    <w:link w:val="CommentSubject"/>
    <w:uiPriority w:val="99"/>
    <w:semiHidden/>
    <w:rsid w:val="0008693E"/>
    <w:rPr>
      <w:rFonts w:ascii="Arial" w:hAnsi="Arial"/>
      <w:b/>
      <w:bCs/>
      <w:sz w:val="20"/>
      <w:szCs w:val="20"/>
    </w:rPr>
  </w:style>
  <w:style w:type="paragraph" w:customStyle="1" w:styleId="BVIfnrCarCarCarCar">
    <w:name w:val="BVI fnr Car Car Car Car"/>
    <w:basedOn w:val="Normal"/>
    <w:link w:val="FootnoteReference"/>
    <w:uiPriority w:val="99"/>
    <w:rsid w:val="008A708F"/>
    <w:pPr>
      <w:spacing w:before="0" w:after="160" w:line="240" w:lineRule="exact"/>
      <w:jc w:val="lef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5479">
      <w:bodyDiv w:val="1"/>
      <w:marLeft w:val="0"/>
      <w:marRight w:val="0"/>
      <w:marTop w:val="0"/>
      <w:marBottom w:val="0"/>
      <w:divBdr>
        <w:top w:val="none" w:sz="0" w:space="0" w:color="auto"/>
        <w:left w:val="none" w:sz="0" w:space="0" w:color="auto"/>
        <w:bottom w:val="none" w:sz="0" w:space="0" w:color="auto"/>
        <w:right w:val="none" w:sz="0" w:space="0" w:color="auto"/>
      </w:divBdr>
    </w:div>
    <w:div w:id="398093622">
      <w:bodyDiv w:val="1"/>
      <w:marLeft w:val="0"/>
      <w:marRight w:val="0"/>
      <w:marTop w:val="0"/>
      <w:marBottom w:val="0"/>
      <w:divBdr>
        <w:top w:val="none" w:sz="0" w:space="0" w:color="auto"/>
        <w:left w:val="none" w:sz="0" w:space="0" w:color="auto"/>
        <w:bottom w:val="none" w:sz="0" w:space="0" w:color="auto"/>
        <w:right w:val="none" w:sz="0" w:space="0" w:color="auto"/>
      </w:divBdr>
    </w:div>
    <w:div w:id="478351482">
      <w:bodyDiv w:val="1"/>
      <w:marLeft w:val="0"/>
      <w:marRight w:val="0"/>
      <w:marTop w:val="0"/>
      <w:marBottom w:val="0"/>
      <w:divBdr>
        <w:top w:val="none" w:sz="0" w:space="0" w:color="auto"/>
        <w:left w:val="none" w:sz="0" w:space="0" w:color="auto"/>
        <w:bottom w:val="none" w:sz="0" w:space="0" w:color="auto"/>
        <w:right w:val="none" w:sz="0" w:space="0" w:color="auto"/>
      </w:divBdr>
    </w:div>
    <w:div w:id="637343982">
      <w:bodyDiv w:val="1"/>
      <w:marLeft w:val="0"/>
      <w:marRight w:val="0"/>
      <w:marTop w:val="0"/>
      <w:marBottom w:val="0"/>
      <w:divBdr>
        <w:top w:val="none" w:sz="0" w:space="0" w:color="auto"/>
        <w:left w:val="none" w:sz="0" w:space="0" w:color="auto"/>
        <w:bottom w:val="none" w:sz="0" w:space="0" w:color="auto"/>
        <w:right w:val="none" w:sz="0" w:space="0" w:color="auto"/>
      </w:divBdr>
    </w:div>
    <w:div w:id="878586753">
      <w:bodyDiv w:val="1"/>
      <w:marLeft w:val="0"/>
      <w:marRight w:val="0"/>
      <w:marTop w:val="0"/>
      <w:marBottom w:val="0"/>
      <w:divBdr>
        <w:top w:val="none" w:sz="0" w:space="0" w:color="auto"/>
        <w:left w:val="none" w:sz="0" w:space="0" w:color="auto"/>
        <w:bottom w:val="none" w:sz="0" w:space="0" w:color="auto"/>
        <w:right w:val="none" w:sz="0" w:space="0" w:color="auto"/>
      </w:divBdr>
    </w:div>
    <w:div w:id="1100643858">
      <w:bodyDiv w:val="1"/>
      <w:marLeft w:val="0"/>
      <w:marRight w:val="0"/>
      <w:marTop w:val="0"/>
      <w:marBottom w:val="0"/>
      <w:divBdr>
        <w:top w:val="none" w:sz="0" w:space="0" w:color="auto"/>
        <w:left w:val="none" w:sz="0" w:space="0" w:color="auto"/>
        <w:bottom w:val="none" w:sz="0" w:space="0" w:color="auto"/>
        <w:right w:val="none" w:sz="0" w:space="0" w:color="auto"/>
      </w:divBdr>
    </w:div>
    <w:div w:id="1147627251">
      <w:bodyDiv w:val="1"/>
      <w:marLeft w:val="0"/>
      <w:marRight w:val="0"/>
      <w:marTop w:val="0"/>
      <w:marBottom w:val="0"/>
      <w:divBdr>
        <w:top w:val="none" w:sz="0" w:space="0" w:color="auto"/>
        <w:left w:val="none" w:sz="0" w:space="0" w:color="auto"/>
        <w:bottom w:val="none" w:sz="0" w:space="0" w:color="auto"/>
        <w:right w:val="none" w:sz="0" w:space="0" w:color="auto"/>
      </w:divBdr>
    </w:div>
    <w:div w:id="1655837217">
      <w:bodyDiv w:val="1"/>
      <w:marLeft w:val="0"/>
      <w:marRight w:val="0"/>
      <w:marTop w:val="0"/>
      <w:marBottom w:val="0"/>
      <w:divBdr>
        <w:top w:val="none" w:sz="0" w:space="0" w:color="auto"/>
        <w:left w:val="none" w:sz="0" w:space="0" w:color="auto"/>
        <w:bottom w:val="none" w:sz="0" w:space="0" w:color="auto"/>
        <w:right w:val="none" w:sz="0" w:space="0" w:color="auto"/>
      </w:divBdr>
    </w:div>
    <w:div w:id="188975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7.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s://www.iadb.org/document.cfm?id=EZSHARE-1474758834-2" TargetMode="External"/><Relationship Id="rId1" Type="http://schemas.openxmlformats.org/officeDocument/2006/relationships/hyperlink" Target="https://r4v.info/es/situations/platfor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87113B793DE7C43965EB0FC672CA23A" ma:contentTypeVersion="0" ma:contentTypeDescription="A content type to manage public (operations) IDB documents" ma:contentTypeScope="" ma:versionID="c8f59d48ba20ddf2dfe7684e7257ca6d">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SCL/MIG</Division_x0020_or_x0020_Unit>
    <_dlc_DocId xmlns="cdc7663a-08f0-4737-9e8c-148ce897a09c">EZSHARE-1873308016-4</_dlc_DocId>
    <Document_x0020_Author xmlns="cdc7663a-08f0-4737-9e8c-148ce897a09c">Zegarra Azcui Francisco</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b26cdb1da78c4bb4b1c1bac2f6ac5911 xmlns="cdc7663a-08f0-4737-9e8c-148ce897a09c">
      <Terms xmlns="http://schemas.microsoft.com/office/infopath/2007/PartnerControls"/>
    </b26cdb1da78c4bb4b1c1bac2f6ac5911>
    <Extracted_x0020_Keywords xmlns="cdc7663a-08f0-4737-9e8c-148ce897a09c">
      <Value>población migrante</Value>
      <Value>territorio nacional</Value>
      <Value>mercado laboral</Value>
      <Value>costo fiscal</Value>
      <Value>ciudadanos venezolanos</Value>
      <Value>apoyo</Value>
      <Value>escenarios</Value>
      <Value>salud</Value>
      <Value>integración socioeconómica</Value>
      <Value>atención</Value>
      <Value>información</Value>
      <Value>implementación</Value>
      <Value>esfuerzos</Value>
      <Value>Política Económica</Value>
      <Value>integración regional</Value>
      <Value>migración venezolana</Value>
      <Value>políticas</Value>
      <Value>economía</Value>
      <Value>desafíos</Value>
      <Value>regularización</Value>
      <Value>Participación</Value>
      <Value>Nacionalización</Value>
      <Value>inmigración</Value>
      <Value>ejecución</Value>
      <Value>educación</Value>
    </Extracted_x0020_Keywords>
    <Project_x0020_Number xmlns="cdc7663a-08f0-4737-9e8c-148ce897a09c">CO-L1272</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MIGRATION ＆ MIGRANTS</TermName>
          <TermId xmlns="http://schemas.microsoft.com/office/infopath/2007/PartnerControls">249eb24d-9db0-433e-a327-7ea6b4c84b8f</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_dlc_DocIdUrl xmlns="cdc7663a-08f0-4737-9e8c-148ce897a09c">
      <Url>https://idbg.sharepoint.com/teams/EZ-CO-LON/CO-L1272/_layouts/15/DocIdRedir.aspx?ID=EZSHARE-1873308016-4</Url>
      <Description>EZSHARE-1873308016-4</Description>
    </_dlc_DocIdUrl>
    <Phase xmlns="cdc7663a-08f0-4737-9e8c-148ce897a09c" xsi:nil="true"/>
    <Other_x0020_Author xmlns="cdc7663a-08f0-4737-9e8c-148ce897a09c" xsi:nil="true"/>
    <IDBDocs_x0020_Number xmlns="cdc7663a-08f0-4737-9e8c-148ce897a09c" xsi:nil="true"/>
    <TaxCatchAll xmlns="cdc7663a-08f0-4737-9e8c-148ce897a09c">
      <Value>48</Value>
      <Value>816</Value>
      <Value>31</Value>
      <Value>1</Value>
      <Value>27</Value>
    </TaxCatchAll>
    <Fiscal_x0020_Year_x0020_IDB xmlns="cdc7663a-08f0-4737-9e8c-148ce897a09c">2021</Fiscal_x0020_Year_x0020_IDB>
    <Operation_x0020_Type xmlns="cdc7663a-08f0-4737-9e8c-148ce897a09c">Loan Operation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150ED5C-0936-423B-B35B-4F0024EC747F}">
  <ds:schemaRefs>
    <ds:schemaRef ds:uri="http://schemas.openxmlformats.org/officeDocument/2006/bibliography"/>
  </ds:schemaRefs>
</ds:datastoreItem>
</file>

<file path=customXml/itemProps2.xml><?xml version="1.0" encoding="utf-8"?>
<ds:datastoreItem xmlns:ds="http://schemas.openxmlformats.org/officeDocument/2006/customXml" ds:itemID="{6B3C0293-6571-41B0-A188-E36E868C46B3}"/>
</file>

<file path=customXml/itemProps3.xml><?xml version="1.0" encoding="utf-8"?>
<ds:datastoreItem xmlns:ds="http://schemas.openxmlformats.org/officeDocument/2006/customXml" ds:itemID="{B4B397EF-4292-4E38-AF92-DDBC40A4D237}"/>
</file>

<file path=customXml/itemProps4.xml><?xml version="1.0" encoding="utf-8"?>
<ds:datastoreItem xmlns:ds="http://schemas.openxmlformats.org/officeDocument/2006/customXml" ds:itemID="{511BC66C-19DE-4B32-B296-60361564851C}"/>
</file>

<file path=customXml/itemProps5.xml><?xml version="1.0" encoding="utf-8"?>
<ds:datastoreItem xmlns:ds="http://schemas.openxmlformats.org/officeDocument/2006/customXml" ds:itemID="{AA602BC5-438F-4059-B447-9588C125DD84}"/>
</file>

<file path=customXml/itemProps6.xml><?xml version="1.0" encoding="utf-8"?>
<ds:datastoreItem xmlns:ds="http://schemas.openxmlformats.org/officeDocument/2006/customXml" ds:itemID="{D652AE55-88B5-49C6-AACA-26A2AE239BA7}"/>
</file>

<file path=customXml/itemProps7.xml><?xml version="1.0" encoding="utf-8"?>
<ds:datastoreItem xmlns:ds="http://schemas.openxmlformats.org/officeDocument/2006/customXml" ds:itemID="{3289BB0D-8870-45FB-8D82-8AFD4D90A992}"/>
</file>

<file path=docProps/app.xml><?xml version="1.0" encoding="utf-8"?>
<Properties xmlns="http://schemas.openxmlformats.org/officeDocument/2006/extended-properties" xmlns:vt="http://schemas.openxmlformats.org/officeDocument/2006/docPropsVTypes">
  <Template>Normal</Template>
  <TotalTime>1</TotalTime>
  <Pages>9</Pages>
  <Words>3236</Words>
  <Characters>18446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Zegarra Azcui, Francisco</dc:creator>
  <cp:keywords/>
  <dc:description/>
  <cp:lastModifiedBy>Zegarra Azcui, Francisco</cp:lastModifiedBy>
  <cp:revision>2</cp:revision>
  <dcterms:created xsi:type="dcterms:W3CDTF">2021-09-10T18:20:00Z</dcterms:created>
  <dcterms:modified xsi:type="dcterms:W3CDTF">2021-09-10T18:20:00Z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7" name="Sub-Sector">
    <vt:lpwstr>816;#MIGRATION ＆ MIGRANTS|249eb24d-9db0-433e-a327-7ea6b4c84b8f</vt:lpwstr>
  </property>
  <property fmtid="{D5CDD505-2E9C-101B-9397-08002B2CF9AE}" pid="8" name="Country">
    <vt:lpwstr>27;#Colombia|c7d386d6-75f3-4fc0-bde8-e021ccd68f5c</vt:lpwstr>
  </property>
  <property fmtid="{D5CDD505-2E9C-101B-9397-08002B2CF9AE}" pid="9" name="_dlc_DocIdItemGuid">
    <vt:lpwstr>d9df1157-de7f-42b3-aa2e-250c234dbffb</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ector_x0020_IDB">
    <vt:lpwstr/>
  </property>
  <property fmtid="{D5CDD505-2E9C-101B-9397-08002B2CF9AE}" pid="18" name="ContentTypeId">
    <vt:lpwstr>0x0101001A458A224826124E8B45B1D613300CFC00687113B793DE7C43965EB0FC672CA23A</vt:lpwstr>
  </property>
  <property fmtid="{D5CDD505-2E9C-101B-9397-08002B2CF9AE}" pid="19" name="Series Operations IDB">
    <vt:lpwstr/>
  </property>
</Properties>
</file>