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51B" w:rsidRPr="00D10EFF" w:rsidRDefault="0074351B" w:rsidP="0074351B">
      <w:pPr>
        <w:pStyle w:val="Heading1"/>
        <w:jc w:val="center"/>
        <w:rPr>
          <w:smallCaps/>
          <w:color w:val="000000"/>
          <w:sz w:val="28"/>
          <w:szCs w:val="28"/>
          <w:lang w:val="es-ES_tradnl"/>
        </w:rPr>
      </w:pPr>
      <w:r w:rsidRPr="00D10EFF">
        <w:rPr>
          <w:smallCaps/>
          <w:sz w:val="28"/>
          <w:szCs w:val="28"/>
          <w:lang w:val="es-ES_tradnl"/>
        </w:rPr>
        <w:t xml:space="preserve">México </w:t>
      </w:r>
    </w:p>
    <w:p w:rsidR="0074351B" w:rsidRPr="00D10EFF" w:rsidRDefault="0074351B" w:rsidP="0074351B">
      <w:pPr>
        <w:pStyle w:val="Default"/>
        <w:rPr>
          <w:b/>
          <w:bCs/>
          <w:sz w:val="28"/>
          <w:szCs w:val="28"/>
          <w:lang w:val="es-ES_tradnl"/>
        </w:rPr>
      </w:pPr>
    </w:p>
    <w:p w:rsidR="0074351B" w:rsidRPr="00D10EFF" w:rsidRDefault="0074351B" w:rsidP="0074351B">
      <w:pPr>
        <w:tabs>
          <w:tab w:val="left" w:pos="1440"/>
          <w:tab w:val="left" w:pos="3060"/>
        </w:tabs>
        <w:jc w:val="center"/>
        <w:rPr>
          <w:rFonts w:ascii="Times New Roman" w:hAnsi="Times New Roman"/>
          <w:smallCaps/>
          <w:sz w:val="28"/>
          <w:szCs w:val="28"/>
          <w:lang w:val="es-ES_tradnl"/>
        </w:rPr>
      </w:pPr>
      <w:r w:rsidRPr="00D10EFF">
        <w:rPr>
          <w:rFonts w:ascii="Times New Roman" w:hAnsi="Times New Roman"/>
          <w:smallCaps/>
          <w:sz w:val="28"/>
          <w:szCs w:val="28"/>
          <w:lang w:val="es-ES_tradnl"/>
        </w:rPr>
        <w:t>Equipo de Apoyo a la Agenda de Cambio Climático de México</w:t>
      </w:r>
    </w:p>
    <w:p w:rsidR="0074351B" w:rsidRPr="00D10EFF" w:rsidRDefault="0074351B" w:rsidP="0074351B">
      <w:pPr>
        <w:pStyle w:val="Default"/>
        <w:jc w:val="center"/>
        <w:rPr>
          <w:b/>
          <w:smallCaps/>
          <w:sz w:val="28"/>
          <w:szCs w:val="28"/>
          <w:lang w:val="es-ES_tradnl"/>
        </w:rPr>
      </w:pPr>
    </w:p>
    <w:p w:rsidR="0074351B" w:rsidRPr="00D10EFF" w:rsidRDefault="0074351B" w:rsidP="0074351B">
      <w:pPr>
        <w:pStyle w:val="Default"/>
        <w:jc w:val="center"/>
        <w:rPr>
          <w:b/>
          <w:bCs/>
          <w:smallCaps/>
          <w:sz w:val="28"/>
          <w:szCs w:val="28"/>
          <w:lang w:val="es-ES_tradnl"/>
        </w:rPr>
      </w:pPr>
      <w:r w:rsidRPr="00D10EFF">
        <w:rPr>
          <w:b/>
          <w:smallCaps/>
          <w:sz w:val="28"/>
          <w:szCs w:val="28"/>
          <w:lang w:val="es-ES"/>
        </w:rPr>
        <w:t>ME-T1111</w:t>
      </w:r>
    </w:p>
    <w:p w:rsidR="0074351B" w:rsidRPr="000B23B0" w:rsidRDefault="0074351B" w:rsidP="0074351B">
      <w:pPr>
        <w:pStyle w:val="FootnoteText"/>
        <w:jc w:val="center"/>
        <w:rPr>
          <w:b/>
          <w:bCs/>
          <w:sz w:val="24"/>
          <w:szCs w:val="24"/>
          <w:lang w:val="es-ES_tradnl"/>
        </w:rPr>
      </w:pPr>
    </w:p>
    <w:p w:rsidR="0074351B" w:rsidRPr="000B23B0" w:rsidRDefault="0074351B" w:rsidP="0074351B">
      <w:pPr>
        <w:pStyle w:val="FootnoteText"/>
        <w:jc w:val="center"/>
        <w:rPr>
          <w:b/>
          <w:bCs/>
          <w:sz w:val="24"/>
          <w:szCs w:val="24"/>
          <w:lang w:val="es-ES_tradnl"/>
        </w:rPr>
      </w:pPr>
      <w:r w:rsidRPr="000B23B0">
        <w:rPr>
          <w:b/>
          <w:bCs/>
          <w:sz w:val="24"/>
          <w:szCs w:val="24"/>
          <w:lang w:val="es-ES_tradnl"/>
        </w:rPr>
        <w:t xml:space="preserve">PLAN DE ADQUISICIONES AÑO </w:t>
      </w:r>
      <w:r>
        <w:rPr>
          <w:b/>
          <w:bCs/>
          <w:sz w:val="24"/>
          <w:szCs w:val="24"/>
          <w:lang w:val="es-ES_tradnl"/>
        </w:rPr>
        <w:t>2012</w:t>
      </w:r>
    </w:p>
    <w:p w:rsidR="0074351B" w:rsidRDefault="0074351B" w:rsidP="0074351B">
      <w:pPr>
        <w:jc w:val="both"/>
        <w:rPr>
          <w:rFonts w:ascii="Times New Roman" w:hAnsi="Times New Roman"/>
          <w:b/>
          <w:sz w:val="24"/>
          <w:szCs w:val="24"/>
          <w:u w:val="single"/>
          <w:lang w:val="es-ES_tradnl"/>
        </w:rPr>
      </w:pPr>
    </w:p>
    <w:p w:rsidR="0074351B" w:rsidRDefault="0074351B" w:rsidP="0074351B">
      <w:pPr>
        <w:jc w:val="both"/>
        <w:rPr>
          <w:rFonts w:ascii="Times New Roman" w:hAnsi="Times New Roman"/>
          <w:b/>
          <w:sz w:val="24"/>
          <w:szCs w:val="24"/>
          <w:lang w:val="es-ES_tradnl"/>
        </w:rPr>
      </w:pPr>
      <w:r>
        <w:rPr>
          <w:rFonts w:ascii="Times New Roman" w:hAnsi="Times New Roman"/>
          <w:b/>
          <w:sz w:val="24"/>
          <w:szCs w:val="24"/>
          <w:u w:val="single"/>
          <w:lang w:val="es-ES_tradnl"/>
        </w:rPr>
        <w:t>Información General</w:t>
      </w:r>
    </w:p>
    <w:p w:rsidR="0074351B" w:rsidRDefault="0074351B" w:rsidP="0074351B">
      <w:pPr>
        <w:jc w:val="both"/>
        <w:rPr>
          <w:rFonts w:ascii="Times New Roman" w:hAnsi="Times New Roman"/>
          <w:b/>
          <w:sz w:val="24"/>
          <w:szCs w:val="24"/>
          <w:lang w:val="es-ES_tradnl"/>
        </w:rPr>
      </w:pPr>
    </w:p>
    <w:tbl>
      <w:tblPr>
        <w:tblW w:w="0" w:type="auto"/>
        <w:tblLook w:val="0000"/>
      </w:tblPr>
      <w:tblGrid>
        <w:gridCol w:w="3348"/>
        <w:gridCol w:w="5508"/>
      </w:tblGrid>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País:</w:t>
            </w:r>
          </w:p>
        </w:tc>
        <w:tc>
          <w:tcPr>
            <w:tcW w:w="5508" w:type="dxa"/>
          </w:tcPr>
          <w:p w:rsidR="0074351B" w:rsidRPr="0000480F" w:rsidRDefault="0074351B" w:rsidP="00377DCD">
            <w:pPr>
              <w:jc w:val="both"/>
              <w:rPr>
                <w:rFonts w:ascii="Times New Roman" w:hAnsi="Times New Roman"/>
                <w:bCs/>
                <w:sz w:val="24"/>
                <w:szCs w:val="24"/>
                <w:lang w:val="es-ES_tradnl"/>
              </w:rPr>
            </w:pPr>
            <w:r w:rsidRPr="0000480F">
              <w:rPr>
                <w:rFonts w:ascii="Times New Roman" w:hAnsi="Times New Roman"/>
                <w:bCs/>
                <w:sz w:val="24"/>
                <w:szCs w:val="24"/>
                <w:lang w:val="es-ES_tradnl"/>
              </w:rPr>
              <w:t>México</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Ejecutor:</w:t>
            </w:r>
          </w:p>
        </w:tc>
        <w:tc>
          <w:tcPr>
            <w:tcW w:w="5508" w:type="dxa"/>
          </w:tcPr>
          <w:p w:rsidR="0074351B" w:rsidRPr="00E412F4" w:rsidRDefault="0074351B" w:rsidP="00377DCD">
            <w:pPr>
              <w:jc w:val="both"/>
              <w:rPr>
                <w:rFonts w:ascii="Times New Roman" w:hAnsi="Times New Roman"/>
                <w:bCs/>
                <w:sz w:val="24"/>
                <w:szCs w:val="24"/>
                <w:lang w:val="es-ES_tradnl"/>
              </w:rPr>
            </w:pPr>
            <w:r>
              <w:rPr>
                <w:rFonts w:ascii="Times New Roman" w:hAnsi="Times New Roman"/>
                <w:sz w:val="24"/>
                <w:szCs w:val="24"/>
                <w:lang w:val="es-CO"/>
              </w:rPr>
              <w:t>Banco Interamericano de Desarrollo</w:t>
            </w:r>
            <w:r w:rsidRPr="00E412F4">
              <w:rPr>
                <w:rFonts w:ascii="Times New Roman" w:hAnsi="Times New Roman"/>
                <w:sz w:val="24"/>
                <w:szCs w:val="24"/>
                <w:lang w:val="es-CO"/>
              </w:rPr>
              <w:t xml:space="preserve"> </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Nombre del Proyecto:</w:t>
            </w:r>
          </w:p>
        </w:tc>
        <w:tc>
          <w:tcPr>
            <w:tcW w:w="5508" w:type="dxa"/>
          </w:tcPr>
          <w:p w:rsidR="0074351B" w:rsidRPr="0000480F" w:rsidRDefault="0074351B" w:rsidP="00377DCD">
            <w:pPr>
              <w:rPr>
                <w:rFonts w:ascii="Times New Roman" w:hAnsi="Times New Roman"/>
                <w:sz w:val="24"/>
                <w:szCs w:val="24"/>
                <w:lang w:val="es-ES_tradnl"/>
              </w:rPr>
            </w:pPr>
            <w:r>
              <w:rPr>
                <w:rFonts w:ascii="Times New Roman" w:hAnsi="Times New Roman"/>
                <w:sz w:val="24"/>
                <w:szCs w:val="24"/>
                <w:lang w:val="es-ES_tradnl"/>
              </w:rPr>
              <w:t>Equipo de Apoyo a la Agenda de Cambio Climático de México</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Números del Proyecto y de la</w:t>
            </w:r>
          </w:p>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Operación:</w:t>
            </w:r>
          </w:p>
        </w:tc>
        <w:tc>
          <w:tcPr>
            <w:tcW w:w="5508" w:type="dxa"/>
          </w:tcPr>
          <w:p w:rsidR="0074351B" w:rsidRPr="0000480F" w:rsidRDefault="0074351B" w:rsidP="00377DCD">
            <w:pPr>
              <w:pStyle w:val="Default"/>
            </w:pPr>
            <w:r w:rsidRPr="0000480F">
              <w:t>ME-T1</w:t>
            </w:r>
            <w:r>
              <w:t>111</w:t>
            </w:r>
          </w:p>
          <w:p w:rsidR="0074351B" w:rsidRPr="0000480F" w:rsidRDefault="0074351B" w:rsidP="00377DCD">
            <w:pPr>
              <w:pStyle w:val="Default"/>
              <w:rPr>
                <w:b/>
                <w:bCs/>
                <w:smallCaps/>
                <w:lang w:val="es-ES_tradnl"/>
              </w:rPr>
            </w:pPr>
            <w:r w:rsidRPr="0000480F">
              <w:rPr>
                <w:bCs/>
                <w:lang w:val="es-ES_tradnl"/>
              </w:rPr>
              <w:t>ATN/</w:t>
            </w:r>
            <w:r>
              <w:rPr>
                <w:bCs/>
                <w:lang w:val="es-ES_tradnl"/>
              </w:rPr>
              <w:t>OC-11561-ME</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Breve descripción de los objetivos y componentes del Proyecto:</w:t>
            </w:r>
          </w:p>
        </w:tc>
        <w:tc>
          <w:tcPr>
            <w:tcW w:w="5508" w:type="dxa"/>
          </w:tcPr>
          <w:p w:rsidR="0074351B" w:rsidRDefault="0074351B" w:rsidP="00377DCD">
            <w:pPr>
              <w:pStyle w:val="Paragraph"/>
              <w:numPr>
                <w:ilvl w:val="0"/>
                <w:numId w:val="0"/>
              </w:numPr>
              <w:rPr>
                <w:lang w:val="es-MX"/>
              </w:rPr>
            </w:pPr>
            <w:r w:rsidRPr="007233AC">
              <w:t xml:space="preserve">El objetivo general es </w:t>
            </w:r>
            <w:r>
              <w:rPr>
                <w:lang w:val="es-MX"/>
              </w:rPr>
              <w:t xml:space="preserve">canalizar apoyo complementario al Beneficiario en las diversas actividades que sean necesarias para la preparación, ejecución y coordinación de las diversas actividades que comprende la Agenda de Cambio Climático de Mexico. </w:t>
            </w:r>
          </w:p>
          <w:p w:rsidR="0074351B" w:rsidRDefault="0074351B" w:rsidP="00377DCD">
            <w:pPr>
              <w:pStyle w:val="Paragraph"/>
              <w:numPr>
                <w:ilvl w:val="0"/>
                <w:numId w:val="0"/>
              </w:numPr>
              <w:rPr>
                <w:lang w:val="es-MX"/>
              </w:rPr>
            </w:pPr>
            <w:r>
              <w:rPr>
                <w:lang w:val="es-MX"/>
              </w:rPr>
              <w:t>Actividades: Para el logro de los objetivos descritos, el Programa financiará las siguientes actividades:</w:t>
            </w:r>
          </w:p>
          <w:p w:rsidR="0074351B" w:rsidRDefault="0074351B" w:rsidP="00377DCD">
            <w:pPr>
              <w:pStyle w:val="Paragraph"/>
              <w:numPr>
                <w:ilvl w:val="0"/>
                <w:numId w:val="0"/>
              </w:numPr>
              <w:rPr>
                <w:lang w:val="es-MX"/>
              </w:rPr>
            </w:pPr>
            <w:r>
              <w:rPr>
                <w:lang w:val="es-MX"/>
              </w:rPr>
              <w:t>Actividad 1: Bajo este componente, la cooperación técnica financiará un análisis de costo-efectividad de diferentes actividades que permitan entregar una cantidad equivalente de reducción de emisiones y que en conjunto logren una reducción acumulada del 30% por debajo de la línea base para el año 2020. El análisis incluirá la identificación de acciones por parte del Estado que permitan reducir barreras para lograr este volumen de reducciones.</w:t>
            </w:r>
          </w:p>
          <w:p w:rsidR="0074351B" w:rsidRDefault="0074351B" w:rsidP="00377DCD">
            <w:pPr>
              <w:pStyle w:val="Paragraph"/>
              <w:numPr>
                <w:ilvl w:val="0"/>
                <w:numId w:val="0"/>
              </w:numPr>
              <w:rPr>
                <w:lang w:val="es-MX"/>
              </w:rPr>
            </w:pPr>
            <w:r>
              <w:rPr>
                <w:lang w:val="es-MX"/>
              </w:rPr>
              <w:t>Actividad 2: La cooperación técnica financiará un estudio de transición a una economía más sustentable para Mexico, identificando políticas e incentivos que conduzcan a una utilización de los recursos naturales que no vaya en detrimento del bienestar de la población; a la generación de opciones para mantener la seguridad en el suministro del agua y lo alimentos; y al desarrollo de infraestructura inteligente.</w:t>
            </w:r>
          </w:p>
          <w:p w:rsidR="0074351B" w:rsidRPr="00A04123" w:rsidRDefault="0074351B" w:rsidP="00377DCD">
            <w:pPr>
              <w:pStyle w:val="Paragraph"/>
              <w:numPr>
                <w:ilvl w:val="0"/>
                <w:numId w:val="0"/>
              </w:numPr>
            </w:pPr>
            <w:r w:rsidRPr="00A8745D">
              <w:t xml:space="preserve"> </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Fecha de aprobación:</w:t>
            </w:r>
          </w:p>
        </w:tc>
        <w:tc>
          <w:tcPr>
            <w:tcW w:w="5508" w:type="dxa"/>
          </w:tcPr>
          <w:p w:rsidR="0074351B" w:rsidRDefault="0074351B" w:rsidP="00377DCD">
            <w:pPr>
              <w:jc w:val="both"/>
              <w:rPr>
                <w:rFonts w:ascii="Times New Roman" w:hAnsi="Times New Roman"/>
                <w:bCs/>
                <w:sz w:val="24"/>
                <w:szCs w:val="24"/>
                <w:lang w:val="es-ES_tradnl"/>
              </w:rPr>
            </w:pPr>
            <w:r>
              <w:rPr>
                <w:rFonts w:ascii="Times New Roman" w:hAnsi="Times New Roman"/>
                <w:bCs/>
                <w:sz w:val="24"/>
                <w:szCs w:val="24"/>
                <w:lang w:val="es-ES_tradnl"/>
              </w:rPr>
              <w:t>Febrero 25, 2009</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lastRenderedPageBreak/>
              <w:t>Fecha de firma del Convenio:</w:t>
            </w:r>
          </w:p>
        </w:tc>
        <w:tc>
          <w:tcPr>
            <w:tcW w:w="5508" w:type="dxa"/>
          </w:tcPr>
          <w:p w:rsidR="0074351B" w:rsidRDefault="0074351B" w:rsidP="00377DCD">
            <w:pPr>
              <w:jc w:val="both"/>
              <w:rPr>
                <w:rFonts w:ascii="Times New Roman" w:hAnsi="Times New Roman"/>
                <w:bCs/>
                <w:sz w:val="24"/>
                <w:szCs w:val="24"/>
                <w:lang w:val="es-ES_tradnl"/>
              </w:rPr>
            </w:pPr>
            <w:r>
              <w:rPr>
                <w:rFonts w:ascii="Times New Roman" w:hAnsi="Times New Roman"/>
                <w:bCs/>
                <w:sz w:val="24"/>
                <w:szCs w:val="24"/>
                <w:lang w:val="es-ES_tradnl"/>
              </w:rPr>
              <w:t>Marzo 6, 2009</w:t>
            </w:r>
          </w:p>
        </w:tc>
      </w:tr>
      <w:tr w:rsidR="0074351B" w:rsidTr="00377DCD">
        <w:tc>
          <w:tcPr>
            <w:tcW w:w="3348" w:type="dxa"/>
          </w:tcPr>
          <w:p w:rsidR="0074351B" w:rsidRDefault="0074351B" w:rsidP="00377DCD">
            <w:pPr>
              <w:jc w:val="both"/>
              <w:rPr>
                <w:rFonts w:ascii="Times New Roman" w:hAnsi="Times New Roman"/>
                <w:b/>
                <w:sz w:val="24"/>
                <w:szCs w:val="24"/>
                <w:lang w:val="es-ES_tradnl"/>
              </w:rPr>
            </w:pPr>
            <w:r>
              <w:rPr>
                <w:rFonts w:ascii="Times New Roman" w:hAnsi="Times New Roman"/>
                <w:b/>
                <w:sz w:val="24"/>
                <w:szCs w:val="24"/>
                <w:lang w:val="es-ES_tradnl"/>
              </w:rPr>
              <w:t>Fecha para el último desembolso:</w:t>
            </w:r>
          </w:p>
        </w:tc>
        <w:tc>
          <w:tcPr>
            <w:tcW w:w="5508" w:type="dxa"/>
          </w:tcPr>
          <w:p w:rsidR="0074351B" w:rsidRDefault="0074351B" w:rsidP="00377DCD">
            <w:pPr>
              <w:jc w:val="both"/>
              <w:rPr>
                <w:rFonts w:ascii="Times New Roman" w:hAnsi="Times New Roman"/>
                <w:bCs/>
                <w:sz w:val="24"/>
                <w:szCs w:val="24"/>
                <w:lang w:val="es-ES_tradnl"/>
              </w:rPr>
            </w:pPr>
            <w:r>
              <w:rPr>
                <w:rFonts w:ascii="Times New Roman" w:hAnsi="Times New Roman"/>
                <w:bCs/>
                <w:sz w:val="24"/>
                <w:szCs w:val="24"/>
                <w:lang w:val="es-ES_tradnl"/>
              </w:rPr>
              <w:t>Noviembre 30,  2012</w:t>
            </w:r>
          </w:p>
        </w:tc>
      </w:tr>
    </w:tbl>
    <w:p w:rsidR="0074351B" w:rsidRDefault="0074351B" w:rsidP="0074351B">
      <w:pPr>
        <w:pStyle w:val="Subtitle"/>
        <w:numPr>
          <w:ilvl w:val="0"/>
          <w:numId w:val="0"/>
        </w:numPr>
        <w:rPr>
          <w:rFonts w:ascii="Times New Roman" w:hAnsi="Times New Roman"/>
          <w:sz w:val="24"/>
          <w:szCs w:val="24"/>
          <w:lang w:val="es-ES_tradnl"/>
        </w:rPr>
      </w:pPr>
    </w:p>
    <w:p w:rsidR="0074351B" w:rsidRDefault="0074351B" w:rsidP="0074351B">
      <w:pPr>
        <w:pStyle w:val="Subtitle"/>
        <w:numPr>
          <w:ilvl w:val="0"/>
          <w:numId w:val="0"/>
        </w:numPr>
        <w:rPr>
          <w:rFonts w:ascii="Times New Roman" w:hAnsi="Times New Roman"/>
          <w:sz w:val="24"/>
          <w:szCs w:val="24"/>
          <w:lang w:val="es-ES_tradnl"/>
        </w:rPr>
      </w:pPr>
      <w:r>
        <w:rPr>
          <w:rFonts w:ascii="Times New Roman" w:hAnsi="Times New Roman"/>
          <w:sz w:val="24"/>
          <w:szCs w:val="24"/>
          <w:lang w:val="es-ES_tradnl"/>
        </w:rPr>
        <w:t>A) Introducción</w:t>
      </w:r>
    </w:p>
    <w:p w:rsidR="0074351B" w:rsidRDefault="0074351B" w:rsidP="0074351B">
      <w:pPr>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sz w:val="24"/>
          <w:szCs w:val="24"/>
          <w:lang w:val="es-ES_tradnl"/>
        </w:rPr>
        <w:t>Las contrataciones para el proyecto propuesto se llevarán a cabo de acuerdo con las</w:t>
      </w:r>
      <w:r>
        <w:rPr>
          <w:rFonts w:ascii="Times New Roman" w:hAnsi="Times New Roman"/>
          <w:b/>
          <w:i/>
          <w:sz w:val="24"/>
          <w:szCs w:val="24"/>
          <w:lang w:val="es-ES_tradnl"/>
        </w:rPr>
        <w:t xml:space="preserve"> “Políticas para la  Adquisición de Bienes y Obras Financiados por el Banco Interamericano de Desarrollo” (GN-2349-9)</w:t>
      </w:r>
      <w:r>
        <w:rPr>
          <w:rFonts w:ascii="Times New Roman" w:hAnsi="Times New Roman"/>
          <w:sz w:val="24"/>
          <w:szCs w:val="24"/>
          <w:lang w:val="es-ES_tradnl"/>
        </w:rPr>
        <w:t>, de marzo de 2011, y con las</w:t>
      </w:r>
      <w:r>
        <w:rPr>
          <w:rFonts w:ascii="Times New Roman" w:hAnsi="Times New Roman"/>
          <w:b/>
          <w:i/>
          <w:sz w:val="24"/>
          <w:szCs w:val="24"/>
          <w:lang w:val="es-ES_tradnl"/>
        </w:rPr>
        <w:t xml:space="preserve"> “Políticas para la Selección y Contratación de Consultores Financiados por el Banco Interamericano de Desarrollo” (GN-2350-9)</w:t>
      </w:r>
      <w:r>
        <w:rPr>
          <w:rFonts w:ascii="Times New Roman" w:hAnsi="Times New Roman"/>
          <w:sz w:val="24"/>
          <w:szCs w:val="24"/>
          <w:lang w:val="es-ES_tradnl"/>
        </w:rPr>
        <w:t xml:space="preserve"> de abril de 2011, y con lo establecido en el Convenio de Cooperación Técnica y el presente Plan de Adquisiciones.</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b/>
          <w:sz w:val="24"/>
          <w:szCs w:val="24"/>
          <w:lang w:val="es-ES_tradnl"/>
        </w:rPr>
      </w:pPr>
      <w:r>
        <w:rPr>
          <w:rFonts w:ascii="Times New Roman" w:hAnsi="Times New Roman"/>
          <w:b/>
          <w:sz w:val="24"/>
          <w:szCs w:val="24"/>
          <w:lang w:val="es-ES_tradnl"/>
        </w:rPr>
        <w:t>B) El Plan de Adquisiciones</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sz w:val="24"/>
          <w:szCs w:val="24"/>
          <w:lang w:val="es-ES_tradnl"/>
        </w:rPr>
        <w:t xml:space="preserve">El Plan de Adquisiciones del </w:t>
      </w:r>
      <w:r>
        <w:rPr>
          <w:rFonts w:ascii="Times New Roman" w:hAnsi="Times New Roman"/>
          <w:bCs/>
          <w:sz w:val="24"/>
          <w:szCs w:val="24"/>
          <w:lang w:val="es-ES_tradnl"/>
        </w:rPr>
        <w:t xml:space="preserve">Programa, </w:t>
      </w:r>
      <w:r>
        <w:rPr>
          <w:rFonts w:ascii="Times New Roman" w:hAnsi="Times New Roman"/>
          <w:sz w:val="24"/>
          <w:szCs w:val="24"/>
          <w:lang w:val="es-ES_tradnl"/>
        </w:rPr>
        <w:t xml:space="preserve">que cubre </w:t>
      </w:r>
      <w:r>
        <w:rPr>
          <w:rFonts w:ascii="Times New Roman" w:hAnsi="Times New Roman"/>
          <w:iCs/>
          <w:sz w:val="24"/>
          <w:szCs w:val="24"/>
          <w:lang w:val="es-ES_tradnl"/>
        </w:rPr>
        <w:t xml:space="preserve">los 24 </w:t>
      </w:r>
      <w:r>
        <w:rPr>
          <w:rFonts w:ascii="Times New Roman" w:hAnsi="Times New Roman"/>
          <w:sz w:val="24"/>
          <w:szCs w:val="24"/>
          <w:lang w:val="es-ES_tradnl"/>
        </w:rPr>
        <w:t xml:space="preserve">meses de ejecución del Proyecto. El Plan indica para cada contrato o grupo de contratos el procedimiento de adquisición o método de selección de consultores, los costos estimados de cada contrato o grupo de contratos, el requerimiento de revisión ex-ante o ex-post por parte del Banco y las fechas estimadas de publicación de los avisos específicos de adquisiciones y de terminación de los contratos contemplados en este proyecto.  El Plan de Adquisiciones se actualizará anualmente o cuando sea necesario ó requerido por el Banco.  </w:t>
      </w:r>
    </w:p>
    <w:p w:rsidR="0074351B" w:rsidRDefault="0074351B" w:rsidP="0074351B">
      <w:pPr>
        <w:spacing w:before="240"/>
        <w:jc w:val="both"/>
        <w:rPr>
          <w:rFonts w:ascii="Times New Roman" w:hAnsi="Times New Roman"/>
          <w:sz w:val="24"/>
          <w:szCs w:val="24"/>
          <w:lang w:val="es-ES_tradnl"/>
        </w:rPr>
      </w:pPr>
      <w:r>
        <w:rPr>
          <w:rFonts w:ascii="Times New Roman" w:hAnsi="Times New Roman"/>
          <w:sz w:val="24"/>
          <w:szCs w:val="24"/>
          <w:lang w:val="es-ES_tradnl"/>
        </w:rPr>
        <w:t xml:space="preserve">El Plan de Adquisiciones está disponible en la página Internet del Banco: </w:t>
      </w:r>
      <w:hyperlink r:id="rId7" w:history="1">
        <w:r>
          <w:rPr>
            <w:rStyle w:val="Hyperlink"/>
            <w:rFonts w:ascii="Times New Roman" w:hAnsi="Times New Roman"/>
            <w:sz w:val="24"/>
            <w:szCs w:val="24"/>
            <w:lang w:val="es-ES_tradnl"/>
          </w:rPr>
          <w:t>www.iadb.org</w:t>
        </w:r>
      </w:hyperlink>
      <w:r>
        <w:rPr>
          <w:rFonts w:ascii="Times New Roman" w:hAnsi="Times New Roman"/>
          <w:sz w:val="24"/>
          <w:szCs w:val="24"/>
          <w:lang w:val="es-ES_tradnl"/>
        </w:rPr>
        <w:t xml:space="preserve"> </w:t>
      </w:r>
      <w:hyperlink r:id="rId8" w:history="1">
        <w:r>
          <w:rPr>
            <w:rStyle w:val="Hyperlink"/>
            <w:rFonts w:ascii="Times New Roman" w:hAnsi="Times New Roman"/>
            <w:color w:val="auto"/>
            <w:sz w:val="24"/>
            <w:szCs w:val="24"/>
            <w:lang w:val="es-ES_tradnl"/>
          </w:rPr>
          <w:t>Información de Adquisiciones de Proyecto</w:t>
        </w:r>
      </w:hyperlink>
      <w:r>
        <w:rPr>
          <w:rFonts w:ascii="Times New Roman" w:hAnsi="Times New Roman"/>
          <w:sz w:val="24"/>
          <w:szCs w:val="24"/>
          <w:lang w:val="es-ES_tradnl"/>
        </w:rPr>
        <w:t xml:space="preserve">. </w:t>
      </w:r>
    </w:p>
    <w:p w:rsidR="0074351B" w:rsidRDefault="0074351B" w:rsidP="0074351B">
      <w:pPr>
        <w:jc w:val="both"/>
        <w:rPr>
          <w:rFonts w:ascii="Times New Roman" w:hAnsi="Times New Roman"/>
          <w:b/>
          <w:sz w:val="24"/>
          <w:szCs w:val="24"/>
          <w:lang w:val="es-ES_tradnl"/>
        </w:rPr>
      </w:pPr>
    </w:p>
    <w:p w:rsidR="0074351B" w:rsidRDefault="0074351B" w:rsidP="0074351B">
      <w:pPr>
        <w:jc w:val="both"/>
        <w:rPr>
          <w:rFonts w:ascii="Times New Roman" w:hAnsi="Times New Roman"/>
          <w:b/>
          <w:sz w:val="24"/>
          <w:szCs w:val="24"/>
          <w:lang w:val="es-ES_tradnl"/>
        </w:rPr>
      </w:pPr>
      <w:r>
        <w:rPr>
          <w:rFonts w:ascii="Times New Roman" w:hAnsi="Times New Roman"/>
          <w:b/>
          <w:sz w:val="24"/>
          <w:szCs w:val="24"/>
          <w:lang w:val="es-ES_tradnl"/>
        </w:rPr>
        <w:t>C) Adquisiciones para el Proyecto</w:t>
      </w:r>
    </w:p>
    <w:p w:rsidR="0074351B" w:rsidRDefault="0074351B" w:rsidP="0074351B">
      <w:pPr>
        <w:jc w:val="both"/>
        <w:rPr>
          <w:rFonts w:ascii="Times New Roman" w:hAnsi="Times New Roman"/>
          <w:b/>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sz w:val="24"/>
          <w:szCs w:val="24"/>
          <w:lang w:val="es-ES_tradnl"/>
        </w:rPr>
        <w:t>A continuación se describen en forma general las adquisiciones a realizarse para el proyecto propuesto.</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i/>
          <w:sz w:val="24"/>
          <w:szCs w:val="24"/>
          <w:lang w:val="es-ES_tradnl"/>
        </w:rPr>
      </w:pPr>
      <w:r>
        <w:rPr>
          <w:rFonts w:ascii="Times New Roman" w:hAnsi="Times New Roman"/>
          <w:b/>
          <w:sz w:val="24"/>
          <w:szCs w:val="24"/>
          <w:lang w:val="es-ES_tradnl"/>
        </w:rPr>
        <w:t>Adquisición de Obras:</w:t>
      </w:r>
      <w:r>
        <w:rPr>
          <w:rFonts w:ascii="Times New Roman" w:hAnsi="Times New Roman"/>
          <w:sz w:val="24"/>
          <w:szCs w:val="24"/>
          <w:lang w:val="es-ES_tradnl"/>
        </w:rPr>
        <w:t xml:space="preserve"> N/A</w:t>
      </w:r>
    </w:p>
    <w:p w:rsidR="0074351B" w:rsidRDefault="0074351B" w:rsidP="0074351B">
      <w:pPr>
        <w:jc w:val="both"/>
        <w:rPr>
          <w:rFonts w:ascii="Times New Roman" w:hAnsi="Times New Roman"/>
          <w:i/>
          <w:sz w:val="24"/>
          <w:szCs w:val="24"/>
          <w:lang w:val="es-ES_tradnl"/>
        </w:rPr>
      </w:pPr>
    </w:p>
    <w:p w:rsidR="0074351B" w:rsidRPr="00560550" w:rsidRDefault="0074351B" w:rsidP="0074351B">
      <w:pPr>
        <w:jc w:val="both"/>
        <w:rPr>
          <w:rFonts w:ascii="Times New Roman" w:hAnsi="Times New Roman"/>
          <w:sz w:val="24"/>
          <w:szCs w:val="24"/>
        </w:rPr>
      </w:pPr>
      <w:r>
        <w:rPr>
          <w:rFonts w:ascii="Times New Roman" w:hAnsi="Times New Roman"/>
          <w:b/>
          <w:sz w:val="24"/>
          <w:szCs w:val="24"/>
          <w:lang w:val="es-ES_tradnl"/>
        </w:rPr>
        <w:t>Adquisición de Bienes:</w:t>
      </w:r>
      <w:r>
        <w:rPr>
          <w:rFonts w:ascii="Times New Roman" w:hAnsi="Times New Roman"/>
          <w:sz w:val="24"/>
          <w:szCs w:val="24"/>
          <w:lang w:val="es-ES_tradnl"/>
        </w:rPr>
        <w:t xml:space="preserve"> </w:t>
      </w:r>
      <w:r>
        <w:rPr>
          <w:rFonts w:ascii="Times New Roman" w:hAnsi="Times New Roman"/>
          <w:sz w:val="24"/>
          <w:lang w:val="es-ES_tradnl"/>
        </w:rPr>
        <w:t xml:space="preserve"> N/A </w:t>
      </w:r>
    </w:p>
    <w:p w:rsidR="0074351B" w:rsidRPr="00B36DE8" w:rsidRDefault="0074351B" w:rsidP="0074351B">
      <w:pPr>
        <w:jc w:val="both"/>
        <w:rPr>
          <w:rFonts w:ascii="Times New Roman" w:hAnsi="Times New Roman"/>
          <w:sz w:val="24"/>
          <w:szCs w:val="24"/>
        </w:rPr>
      </w:pPr>
    </w:p>
    <w:p w:rsidR="0074351B" w:rsidRDefault="0074351B" w:rsidP="0074351B">
      <w:pPr>
        <w:jc w:val="both"/>
        <w:rPr>
          <w:rFonts w:ascii="Times New Roman" w:hAnsi="Times New Roman"/>
          <w:sz w:val="24"/>
          <w:szCs w:val="24"/>
          <w:lang w:val="es-ES_tradnl"/>
        </w:rPr>
      </w:pPr>
      <w:r>
        <w:rPr>
          <w:rFonts w:ascii="Times New Roman" w:hAnsi="Times New Roman"/>
          <w:b/>
          <w:sz w:val="24"/>
          <w:szCs w:val="24"/>
          <w:lang w:val="es-ES_tradnl"/>
        </w:rPr>
        <w:t xml:space="preserve">Adquisición de Servicios Diferentes a Consultoría: </w:t>
      </w:r>
      <w:r>
        <w:rPr>
          <w:rFonts w:ascii="Times New Roman" w:hAnsi="Times New Roman"/>
          <w:sz w:val="24"/>
          <w:szCs w:val="24"/>
          <w:lang w:val="es-ES_tradnl"/>
        </w:rPr>
        <w:t>N/A</w:t>
      </w:r>
    </w:p>
    <w:p w:rsidR="0074351B" w:rsidRDefault="0074351B" w:rsidP="0074351B">
      <w:pPr>
        <w:jc w:val="both"/>
        <w:rPr>
          <w:rFonts w:ascii="Times New Roman" w:hAnsi="Times New Roman"/>
          <w:b/>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b/>
          <w:sz w:val="24"/>
          <w:szCs w:val="24"/>
          <w:lang w:val="es-ES_tradnl"/>
        </w:rPr>
        <w:t>Adquisición de Servicios de Consultoría:</w:t>
      </w:r>
      <w:r>
        <w:rPr>
          <w:rFonts w:ascii="Times New Roman" w:hAnsi="Times New Roman"/>
          <w:sz w:val="24"/>
          <w:szCs w:val="24"/>
          <w:lang w:val="es-ES_tradnl"/>
        </w:rPr>
        <w:t xml:space="preserve"> Los servicios de consultoría bajo el proyecto incluyen, entre otros: asistencia técnica en temas relacionados con mitigación y adaptación al cambio climático. </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sz w:val="24"/>
          <w:szCs w:val="24"/>
          <w:lang w:val="es-ES_tradnl"/>
        </w:rPr>
        <w:t xml:space="preserve">La selección de los consultores individuales se hará teniendo en cuenta lo establecido en el capítulo V de la Política GN-2350-9. </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sz w:val="24"/>
          <w:szCs w:val="24"/>
          <w:lang w:val="es-ES_tradnl"/>
        </w:rPr>
        <w:t xml:space="preserve">Las contrataciones de los consultores individuales que se realizaran mediante Selección Directa, se debe a que la duración de ninguna de las mismas excede de 6 meses. </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sz w:val="24"/>
          <w:szCs w:val="24"/>
          <w:lang w:val="es-ES_tradnl"/>
        </w:rPr>
      </w:pPr>
      <w:r>
        <w:rPr>
          <w:rFonts w:ascii="Times New Roman" w:hAnsi="Times New Roman"/>
          <w:b/>
          <w:sz w:val="24"/>
          <w:szCs w:val="24"/>
          <w:lang w:val="es-ES_tradnl"/>
        </w:rPr>
        <w:t>Costos Operativos:</w:t>
      </w:r>
      <w:r>
        <w:rPr>
          <w:rFonts w:ascii="Times New Roman" w:hAnsi="Times New Roman"/>
          <w:sz w:val="24"/>
          <w:szCs w:val="24"/>
          <w:lang w:val="es-ES_tradnl"/>
        </w:rPr>
        <w:t xml:space="preserve"> N/A</w:t>
      </w:r>
    </w:p>
    <w:p w:rsidR="0074351B" w:rsidRDefault="0074351B" w:rsidP="0074351B">
      <w:pPr>
        <w:jc w:val="both"/>
        <w:rPr>
          <w:rFonts w:ascii="Times New Roman" w:hAnsi="Times New Roman"/>
          <w:iCs/>
          <w:sz w:val="24"/>
          <w:szCs w:val="24"/>
          <w:lang w:val="es-ES_tradnl"/>
        </w:rPr>
      </w:pPr>
      <w:r>
        <w:rPr>
          <w:rFonts w:ascii="Times New Roman" w:hAnsi="Times New Roman"/>
          <w:b/>
          <w:sz w:val="24"/>
          <w:szCs w:val="24"/>
          <w:lang w:val="es-ES_tradnl"/>
        </w:rPr>
        <w:t>Otros:</w:t>
      </w:r>
      <w:r>
        <w:rPr>
          <w:rFonts w:ascii="Times New Roman" w:hAnsi="Times New Roman"/>
          <w:sz w:val="24"/>
          <w:szCs w:val="24"/>
          <w:lang w:val="es-ES_tradnl"/>
        </w:rPr>
        <w:t xml:space="preserve"> N/A</w:t>
      </w:r>
      <w:r>
        <w:rPr>
          <w:rFonts w:ascii="Times New Roman" w:hAnsi="Times New Roman"/>
          <w:i/>
          <w:sz w:val="24"/>
          <w:szCs w:val="24"/>
          <w:lang w:val="es-ES_tradnl"/>
        </w:rPr>
        <w:t>.</w:t>
      </w:r>
    </w:p>
    <w:p w:rsidR="0074351B" w:rsidRDefault="0074351B" w:rsidP="0074351B">
      <w:pPr>
        <w:jc w:val="both"/>
        <w:rPr>
          <w:rFonts w:ascii="Times New Roman" w:hAnsi="Times New Roman"/>
          <w:sz w:val="24"/>
          <w:szCs w:val="24"/>
          <w:lang w:val="es-ES_tradnl"/>
        </w:rPr>
      </w:pPr>
    </w:p>
    <w:p w:rsidR="0074351B" w:rsidRDefault="0074351B" w:rsidP="0074351B">
      <w:pPr>
        <w:jc w:val="both"/>
        <w:rPr>
          <w:rFonts w:ascii="Times New Roman" w:hAnsi="Times New Roman"/>
          <w:i/>
          <w:sz w:val="24"/>
          <w:szCs w:val="24"/>
          <w:lang w:val="es-ES_tradnl"/>
        </w:rPr>
      </w:pPr>
      <w:r>
        <w:rPr>
          <w:rFonts w:ascii="Times New Roman" w:hAnsi="Times New Roman"/>
          <w:b/>
          <w:sz w:val="24"/>
          <w:szCs w:val="24"/>
          <w:lang w:val="es-ES_tradnl"/>
        </w:rPr>
        <w:t>Contratación Anticipada y Financiamiento Retroactivo:</w:t>
      </w:r>
      <w:r>
        <w:rPr>
          <w:rFonts w:ascii="Times New Roman" w:hAnsi="Times New Roman"/>
          <w:sz w:val="24"/>
          <w:szCs w:val="24"/>
          <w:lang w:val="es-ES_tradnl"/>
        </w:rPr>
        <w:t xml:space="preserve"> </w:t>
      </w:r>
      <w:r>
        <w:rPr>
          <w:rFonts w:ascii="Times New Roman" w:hAnsi="Times New Roman"/>
          <w:iCs/>
          <w:sz w:val="24"/>
          <w:szCs w:val="24"/>
          <w:lang w:val="es-ES_tradnl"/>
        </w:rPr>
        <w:t>N/A.</w:t>
      </w:r>
    </w:p>
    <w:p w:rsidR="0074351B" w:rsidRDefault="0074351B" w:rsidP="0074351B">
      <w:pPr>
        <w:jc w:val="both"/>
        <w:rPr>
          <w:rFonts w:ascii="Times New Roman" w:hAnsi="Times New Roman"/>
          <w:i/>
          <w:sz w:val="24"/>
          <w:szCs w:val="24"/>
          <w:lang w:val="es-ES_tradnl"/>
        </w:rPr>
      </w:pPr>
    </w:p>
    <w:p w:rsidR="0074351B" w:rsidRDefault="0074351B" w:rsidP="0074351B">
      <w:pPr>
        <w:jc w:val="both"/>
        <w:rPr>
          <w:rFonts w:ascii="Times New Roman" w:hAnsi="Times New Roman"/>
          <w:b/>
          <w:sz w:val="24"/>
          <w:szCs w:val="24"/>
          <w:lang w:val="es-ES_tradnl"/>
        </w:rPr>
      </w:pPr>
      <w:r>
        <w:rPr>
          <w:rFonts w:ascii="Times New Roman" w:hAnsi="Times New Roman"/>
          <w:b/>
          <w:sz w:val="24"/>
          <w:szCs w:val="24"/>
          <w:lang w:val="es-ES_tradnl"/>
        </w:rPr>
        <w:t>D) Revisión por parte del Banco de las Decisiones en Materia de Contrataciones</w:t>
      </w:r>
    </w:p>
    <w:p w:rsidR="0074351B" w:rsidRDefault="0074351B" w:rsidP="0074351B">
      <w:pPr>
        <w:jc w:val="both"/>
        <w:rPr>
          <w:rFonts w:ascii="Times New Roman" w:hAnsi="Times New Roman"/>
          <w:sz w:val="24"/>
          <w:szCs w:val="24"/>
          <w:lang w:val="es-ES_tradnl"/>
        </w:rPr>
      </w:pPr>
      <w:r>
        <w:rPr>
          <w:rFonts w:ascii="Times New Roman" w:hAnsi="Times New Roman"/>
          <w:b/>
          <w:sz w:val="24"/>
          <w:szCs w:val="24"/>
          <w:lang w:val="es-ES_tradnl"/>
        </w:rPr>
        <w:t>N/A</w:t>
      </w:r>
    </w:p>
    <w:p w:rsidR="0074351B" w:rsidRDefault="0074351B" w:rsidP="0074351B">
      <w:pPr>
        <w:jc w:val="both"/>
        <w:rPr>
          <w:rFonts w:ascii="Times New Roman" w:hAnsi="Times New Roman"/>
          <w:sz w:val="24"/>
          <w:szCs w:val="24"/>
          <w:lang w:val="es-ES_tradnl"/>
        </w:rPr>
      </w:pPr>
    </w:p>
    <w:p w:rsidR="0074351B" w:rsidRPr="00F10319" w:rsidRDefault="0074351B" w:rsidP="0074351B">
      <w:pPr>
        <w:jc w:val="both"/>
        <w:rPr>
          <w:rFonts w:ascii="Times New Roman" w:hAnsi="Times New Roman"/>
          <w:sz w:val="24"/>
          <w:szCs w:val="24"/>
          <w:lang w:val="es-MX"/>
        </w:rPr>
      </w:pPr>
      <w:r>
        <w:rPr>
          <w:rFonts w:ascii="Times New Roman" w:hAnsi="Times New Roman"/>
          <w:b/>
          <w:sz w:val="24"/>
          <w:szCs w:val="24"/>
          <w:lang w:val="es-ES_tradnl"/>
        </w:rPr>
        <w:t xml:space="preserve">E) Preferencia Nacional: </w:t>
      </w:r>
      <w:r>
        <w:rPr>
          <w:rFonts w:ascii="Times New Roman" w:hAnsi="Times New Roman"/>
          <w:sz w:val="24"/>
          <w:szCs w:val="24"/>
          <w:lang w:val="es-ES_tradnl"/>
        </w:rPr>
        <w:t>N/A</w:t>
      </w:r>
    </w:p>
    <w:p w:rsidR="0074351B" w:rsidRDefault="0074351B" w:rsidP="0074351B">
      <w:pPr>
        <w:jc w:val="both"/>
        <w:rPr>
          <w:rFonts w:ascii="Times New Roman" w:hAnsi="Times New Roman"/>
          <w:i/>
          <w:sz w:val="24"/>
          <w:szCs w:val="24"/>
          <w:lang w:val="es-ES_tradnl"/>
        </w:rPr>
      </w:pPr>
    </w:p>
    <w:p w:rsidR="0074351B" w:rsidRDefault="0074351B" w:rsidP="0074351B">
      <w:pPr>
        <w:rPr>
          <w:rFonts w:ascii="Times New Roman" w:hAnsi="Times New Roman"/>
          <w:sz w:val="24"/>
          <w:szCs w:val="24"/>
          <w:lang w:val="es-ES_tradnl"/>
        </w:rPr>
        <w:sectPr w:rsidR="0074351B">
          <w:headerReference w:type="default" r:id="rId9"/>
          <w:footerReference w:type="even" r:id="rId10"/>
          <w:footerReference w:type="default" r:id="rId11"/>
          <w:pgSz w:w="12240" w:h="15840"/>
          <w:pgMar w:top="1440" w:right="1800" w:bottom="1440" w:left="1800" w:header="720" w:footer="720" w:gutter="0"/>
          <w:cols w:space="720"/>
          <w:docGrid w:linePitch="360"/>
        </w:sectPr>
      </w:pPr>
    </w:p>
    <w:p w:rsidR="0074351B" w:rsidRDefault="0074351B" w:rsidP="0074351B">
      <w:pPr>
        <w:rPr>
          <w:lang w:val="es-ES_tradnl"/>
        </w:rPr>
      </w:pPr>
    </w:p>
    <w:tbl>
      <w:tblPr>
        <w:tblW w:w="5000" w:type="pct"/>
        <w:tblLook w:val="04A0"/>
      </w:tblPr>
      <w:tblGrid>
        <w:gridCol w:w="546"/>
        <w:gridCol w:w="582"/>
        <w:gridCol w:w="2972"/>
        <w:gridCol w:w="985"/>
        <w:gridCol w:w="1001"/>
        <w:gridCol w:w="1110"/>
        <w:gridCol w:w="770"/>
        <w:gridCol w:w="834"/>
        <w:gridCol w:w="1914"/>
        <w:gridCol w:w="1045"/>
        <w:gridCol w:w="1057"/>
      </w:tblGrid>
      <w:tr w:rsidR="0074351B" w:rsidRPr="00937E78" w:rsidTr="00377DCD">
        <w:trPr>
          <w:trHeight w:val="272"/>
        </w:trPr>
        <w:tc>
          <w:tcPr>
            <w:tcW w:w="5000" w:type="pct"/>
            <w:gridSpan w:val="11"/>
            <w:tcBorders>
              <w:top w:val="single" w:sz="8" w:space="0" w:color="auto"/>
              <w:left w:val="single" w:sz="8" w:space="0" w:color="auto"/>
              <w:bottom w:val="single" w:sz="4" w:space="0" w:color="auto"/>
              <w:right w:val="single" w:sz="8" w:space="0" w:color="000000"/>
            </w:tcBorders>
            <w:shd w:val="clear" w:color="000000" w:fill="8DB4E3"/>
            <w:noWrap/>
            <w:vAlign w:val="bottom"/>
            <w:hideMark/>
          </w:tcPr>
          <w:p w:rsidR="0074351B" w:rsidRPr="00937E78" w:rsidRDefault="0074351B" w:rsidP="00377DCD">
            <w:pPr>
              <w:jc w:val="center"/>
              <w:rPr>
                <w:rFonts w:ascii="Calibri" w:hAnsi="Calibri" w:cs="Arial"/>
                <w:b/>
                <w:bCs/>
                <w:sz w:val="24"/>
                <w:szCs w:val="24"/>
                <w:lang w:val="es-MX"/>
              </w:rPr>
            </w:pPr>
            <w:r w:rsidRPr="00937E78">
              <w:rPr>
                <w:rFonts w:ascii="Calibri" w:hAnsi="Calibri" w:cs="Arial"/>
                <w:b/>
                <w:bCs/>
                <w:sz w:val="24"/>
                <w:szCs w:val="24"/>
                <w:lang w:val="es-MX"/>
              </w:rPr>
              <w:t>PLAN DE ADQUISICIONES  DE</w:t>
            </w:r>
            <w:r>
              <w:rPr>
                <w:rFonts w:ascii="Calibri" w:hAnsi="Calibri" w:cs="Arial"/>
                <w:b/>
                <w:bCs/>
                <w:sz w:val="24"/>
                <w:szCs w:val="24"/>
                <w:lang w:val="es-MX"/>
              </w:rPr>
              <w:t xml:space="preserve"> </w:t>
            </w:r>
            <w:r w:rsidRPr="00937E78">
              <w:rPr>
                <w:rFonts w:ascii="Calibri" w:hAnsi="Calibri" w:cs="Arial"/>
                <w:b/>
                <w:bCs/>
                <w:sz w:val="24"/>
                <w:szCs w:val="24"/>
                <w:lang w:val="es-MX"/>
              </w:rPr>
              <w:t>COOPERACIONES TECNICAS NO REEMBOLSABLES</w:t>
            </w:r>
          </w:p>
        </w:tc>
      </w:tr>
      <w:tr w:rsidR="0074351B" w:rsidRPr="00937E78" w:rsidTr="00377DCD">
        <w:trPr>
          <w:trHeight w:val="330"/>
        </w:trPr>
        <w:tc>
          <w:tcPr>
            <w:tcW w:w="2401" w:type="pct"/>
            <w:gridSpan w:val="5"/>
            <w:tcBorders>
              <w:top w:val="single" w:sz="4" w:space="0" w:color="auto"/>
              <w:left w:val="single" w:sz="8" w:space="0" w:color="auto"/>
              <w:bottom w:val="nil"/>
              <w:right w:val="single" w:sz="4" w:space="0" w:color="auto"/>
            </w:tcBorders>
            <w:shd w:val="clear" w:color="auto" w:fill="auto"/>
            <w:noWrap/>
            <w:vAlign w:val="bottom"/>
            <w:hideMark/>
          </w:tcPr>
          <w:p w:rsidR="0074351B" w:rsidRPr="00937E78" w:rsidRDefault="0074351B" w:rsidP="00377DCD">
            <w:pPr>
              <w:rPr>
                <w:rFonts w:ascii="Calibri" w:hAnsi="Calibri" w:cs="Arial"/>
                <w:b/>
                <w:bCs/>
                <w:szCs w:val="22"/>
                <w:lang w:val="en-US"/>
              </w:rPr>
            </w:pPr>
            <w:r w:rsidRPr="00937E78">
              <w:rPr>
                <w:rFonts w:ascii="Calibri" w:hAnsi="Calibri" w:cs="Arial"/>
                <w:b/>
                <w:bCs/>
                <w:szCs w:val="22"/>
                <w:lang w:val="en-US"/>
              </w:rPr>
              <w:t>País: México</w:t>
            </w:r>
          </w:p>
        </w:tc>
        <w:tc>
          <w:tcPr>
            <w:tcW w:w="2599" w:type="pct"/>
            <w:gridSpan w:val="6"/>
            <w:tcBorders>
              <w:top w:val="single" w:sz="4" w:space="0" w:color="auto"/>
              <w:left w:val="nil"/>
              <w:bottom w:val="nil"/>
              <w:right w:val="single" w:sz="8" w:space="0" w:color="000000"/>
            </w:tcBorders>
            <w:shd w:val="clear" w:color="auto" w:fill="auto"/>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 xml:space="preserve">Agencia Ejecutora (AE):   BID                                              Sector Público: o Privado: </w:t>
            </w:r>
            <w:r w:rsidRPr="00937E78">
              <w:rPr>
                <w:rFonts w:ascii="Calibri" w:hAnsi="Calibri" w:cs="Arial"/>
                <w:b/>
                <w:bCs/>
                <w:sz w:val="20"/>
                <w:lang w:val="es-MX"/>
              </w:rPr>
              <w:t>Público</w:t>
            </w:r>
          </w:p>
        </w:tc>
      </w:tr>
      <w:tr w:rsidR="0074351B" w:rsidRPr="00937E78" w:rsidTr="00377DCD">
        <w:trPr>
          <w:trHeight w:val="80"/>
        </w:trPr>
        <w:tc>
          <w:tcPr>
            <w:tcW w:w="2401" w:type="pct"/>
            <w:gridSpan w:val="5"/>
            <w:tcBorders>
              <w:top w:val="nil"/>
              <w:left w:val="single" w:sz="8" w:space="0" w:color="auto"/>
              <w:bottom w:val="single" w:sz="4" w:space="0" w:color="auto"/>
              <w:right w:val="single" w:sz="4" w:space="0" w:color="auto"/>
            </w:tcBorders>
            <w:shd w:val="clear" w:color="auto" w:fill="auto"/>
            <w:noWrap/>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Número del Proyecto: ME-T1111</w:t>
            </w:r>
          </w:p>
        </w:tc>
        <w:tc>
          <w:tcPr>
            <w:tcW w:w="2599" w:type="pct"/>
            <w:gridSpan w:val="6"/>
            <w:tcBorders>
              <w:top w:val="nil"/>
              <w:left w:val="nil"/>
              <w:bottom w:val="single" w:sz="4" w:space="0" w:color="auto"/>
              <w:right w:val="single" w:sz="8" w:space="0" w:color="000000"/>
            </w:tcBorders>
            <w:shd w:val="clear" w:color="auto" w:fill="auto"/>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 xml:space="preserve">Apoyo a la Agenda de Cambio Climático en México </w:t>
            </w:r>
          </w:p>
        </w:tc>
      </w:tr>
      <w:tr w:rsidR="0074351B" w:rsidRPr="00937E78" w:rsidTr="00377DCD">
        <w:trPr>
          <w:trHeight w:val="420"/>
        </w:trPr>
        <w:tc>
          <w:tcPr>
            <w:tcW w:w="5000" w:type="pct"/>
            <w:gridSpan w:val="11"/>
            <w:tcBorders>
              <w:top w:val="single" w:sz="4" w:space="0" w:color="auto"/>
              <w:left w:val="single" w:sz="8" w:space="0" w:color="auto"/>
              <w:bottom w:val="nil"/>
              <w:right w:val="single" w:sz="8" w:space="0" w:color="000000"/>
            </w:tcBorders>
            <w:shd w:val="clear" w:color="000000" w:fill="8DB4E3"/>
            <w:noWrap/>
            <w:vAlign w:val="bottom"/>
            <w:hideMark/>
          </w:tcPr>
          <w:p w:rsidR="0074351B" w:rsidRPr="00937E78" w:rsidRDefault="0074351B" w:rsidP="00377DCD">
            <w:pPr>
              <w:rPr>
                <w:rFonts w:ascii="Calibri" w:hAnsi="Calibri" w:cs="Arial"/>
                <w:b/>
                <w:bCs/>
                <w:color w:val="8DB4E3"/>
                <w:szCs w:val="22"/>
                <w:lang w:val="en-US"/>
              </w:rPr>
            </w:pPr>
            <w:r w:rsidRPr="00937E78">
              <w:rPr>
                <w:rFonts w:ascii="Calibri" w:hAnsi="Calibri" w:cs="Arial"/>
                <w:b/>
                <w:bCs/>
                <w:color w:val="8DB4E3"/>
                <w:szCs w:val="22"/>
                <w:lang w:val="en-US"/>
              </w:rPr>
              <w:t>Período del Plan:</w:t>
            </w:r>
          </w:p>
        </w:tc>
      </w:tr>
      <w:tr w:rsidR="0074351B" w:rsidRPr="00937E78" w:rsidTr="00377DCD">
        <w:trPr>
          <w:trHeight w:val="450"/>
        </w:trPr>
        <w:tc>
          <w:tcPr>
            <w:tcW w:w="1749" w:type="pct"/>
            <w:gridSpan w:val="3"/>
            <w:tcBorders>
              <w:top w:val="nil"/>
              <w:left w:val="single" w:sz="8" w:space="0" w:color="auto"/>
              <w:bottom w:val="nil"/>
              <w:right w:val="nil"/>
            </w:tcBorders>
            <w:shd w:val="clear" w:color="auto" w:fill="auto"/>
            <w:noWrap/>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Monto límite para revisión ex post de adquisiciones:</w:t>
            </w:r>
          </w:p>
        </w:tc>
        <w:tc>
          <w:tcPr>
            <w:tcW w:w="1293" w:type="pct"/>
            <w:gridSpan w:val="4"/>
            <w:tcBorders>
              <w:top w:val="nil"/>
              <w:left w:val="nil"/>
              <w:bottom w:val="nil"/>
              <w:right w:val="nil"/>
            </w:tcBorders>
            <w:shd w:val="clear" w:color="auto" w:fill="auto"/>
            <w:noWrap/>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Bienes y servicios (monto en U$S):_______</w:t>
            </w:r>
          </w:p>
        </w:tc>
        <w:tc>
          <w:tcPr>
            <w:tcW w:w="1200" w:type="pct"/>
            <w:gridSpan w:val="3"/>
            <w:tcBorders>
              <w:top w:val="nil"/>
              <w:left w:val="nil"/>
              <w:bottom w:val="nil"/>
              <w:right w:val="nil"/>
            </w:tcBorders>
            <w:shd w:val="clear" w:color="auto" w:fill="auto"/>
            <w:noWrap/>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Consultorías (monto en U$S):___450,000______</w:t>
            </w:r>
          </w:p>
        </w:tc>
        <w:tc>
          <w:tcPr>
            <w:tcW w:w="759" w:type="pct"/>
            <w:tcBorders>
              <w:top w:val="nil"/>
              <w:left w:val="nil"/>
              <w:bottom w:val="nil"/>
              <w:right w:val="single" w:sz="8" w:space="0" w:color="auto"/>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r>
      <w:tr w:rsidR="0074351B" w:rsidRPr="00937E78" w:rsidTr="00377DCD">
        <w:trPr>
          <w:trHeight w:val="80"/>
        </w:trPr>
        <w:tc>
          <w:tcPr>
            <w:tcW w:w="221" w:type="pct"/>
            <w:tcBorders>
              <w:top w:val="nil"/>
              <w:left w:val="single" w:sz="8" w:space="0" w:color="auto"/>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237"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1291"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319"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334"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382"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258"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258"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613"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328" w:type="pct"/>
            <w:tcBorders>
              <w:top w:val="nil"/>
              <w:left w:val="nil"/>
              <w:bottom w:val="single" w:sz="4" w:space="0" w:color="auto"/>
              <w:right w:val="nil"/>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c>
          <w:tcPr>
            <w:tcW w:w="759" w:type="pct"/>
            <w:tcBorders>
              <w:top w:val="nil"/>
              <w:left w:val="nil"/>
              <w:bottom w:val="single" w:sz="4" w:space="0" w:color="auto"/>
              <w:right w:val="single" w:sz="8" w:space="0" w:color="auto"/>
            </w:tcBorders>
            <w:shd w:val="clear" w:color="auto" w:fill="auto"/>
            <w:noWrap/>
            <w:vAlign w:val="bottom"/>
            <w:hideMark/>
          </w:tcPr>
          <w:p w:rsidR="0074351B" w:rsidRPr="00937E78" w:rsidRDefault="0074351B" w:rsidP="00377DCD">
            <w:pPr>
              <w:rPr>
                <w:rFonts w:ascii="Calibri" w:hAnsi="Calibri" w:cs="Arial"/>
                <w:szCs w:val="22"/>
                <w:lang w:val="es-MX"/>
              </w:rPr>
            </w:pPr>
            <w:r w:rsidRPr="00937E78">
              <w:rPr>
                <w:rFonts w:ascii="Calibri" w:hAnsi="Calibri" w:cs="Arial"/>
                <w:szCs w:val="22"/>
                <w:lang w:val="es-MX"/>
              </w:rPr>
              <w:t> </w:t>
            </w:r>
          </w:p>
        </w:tc>
      </w:tr>
      <w:tr w:rsidR="0074351B" w:rsidRPr="00937E78" w:rsidTr="00377DCD">
        <w:trPr>
          <w:trHeight w:val="810"/>
        </w:trPr>
        <w:tc>
          <w:tcPr>
            <w:tcW w:w="221" w:type="pct"/>
            <w:vMerge w:val="restart"/>
            <w:tcBorders>
              <w:top w:val="nil"/>
              <w:left w:val="single" w:sz="8" w:space="0" w:color="auto"/>
              <w:bottom w:val="nil"/>
              <w:right w:val="single" w:sz="4" w:space="0" w:color="auto"/>
            </w:tcBorders>
            <w:shd w:val="clear" w:color="000000" w:fill="8DB4E3"/>
            <w:vAlign w:val="center"/>
            <w:hideMark/>
          </w:tcPr>
          <w:p w:rsidR="0074351B" w:rsidRPr="00937E78" w:rsidRDefault="0074351B" w:rsidP="00377DCD">
            <w:pPr>
              <w:rPr>
                <w:rFonts w:ascii="Calibri" w:hAnsi="Calibri" w:cs="Arial"/>
                <w:b/>
                <w:bCs/>
                <w:sz w:val="20"/>
                <w:lang w:val="en-US"/>
              </w:rPr>
            </w:pPr>
            <w:r w:rsidRPr="00937E78">
              <w:rPr>
                <w:rFonts w:ascii="Calibri" w:hAnsi="Calibri" w:cs="Arial"/>
                <w:b/>
                <w:bCs/>
                <w:sz w:val="20"/>
                <w:lang w:val="en-US"/>
              </w:rPr>
              <w:t>No. Item</w:t>
            </w:r>
          </w:p>
        </w:tc>
        <w:tc>
          <w:tcPr>
            <w:tcW w:w="237" w:type="pct"/>
            <w:vMerge w:val="restart"/>
            <w:tcBorders>
              <w:top w:val="nil"/>
              <w:left w:val="single" w:sz="8" w:space="0" w:color="auto"/>
              <w:bottom w:val="nil"/>
              <w:right w:val="single" w:sz="4" w:space="0" w:color="auto"/>
            </w:tcBorders>
            <w:shd w:val="clear" w:color="000000" w:fill="8DB4E3"/>
            <w:vAlign w:val="center"/>
            <w:hideMark/>
          </w:tcPr>
          <w:p w:rsidR="0074351B" w:rsidRPr="00937E78" w:rsidRDefault="0074351B" w:rsidP="00377DCD">
            <w:pPr>
              <w:rPr>
                <w:rFonts w:ascii="Calibri" w:hAnsi="Calibri" w:cs="Arial"/>
                <w:b/>
                <w:bCs/>
                <w:sz w:val="20"/>
                <w:lang w:val="en-US"/>
              </w:rPr>
            </w:pPr>
            <w:r w:rsidRPr="00937E78">
              <w:rPr>
                <w:rFonts w:ascii="Calibri" w:hAnsi="Calibri" w:cs="Arial"/>
                <w:b/>
                <w:bCs/>
                <w:sz w:val="20"/>
                <w:lang w:val="en-US"/>
              </w:rPr>
              <w:t>Ref. POA</w:t>
            </w:r>
          </w:p>
        </w:tc>
        <w:tc>
          <w:tcPr>
            <w:tcW w:w="1291" w:type="pct"/>
            <w:vMerge w:val="restart"/>
            <w:tcBorders>
              <w:top w:val="nil"/>
              <w:left w:val="single" w:sz="4" w:space="0" w:color="auto"/>
              <w:bottom w:val="nil"/>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Descripción de las adquisiciones (1)</w:t>
            </w:r>
          </w:p>
        </w:tc>
        <w:tc>
          <w:tcPr>
            <w:tcW w:w="319" w:type="pct"/>
            <w:vMerge w:val="restart"/>
            <w:tcBorders>
              <w:top w:val="nil"/>
              <w:left w:val="single" w:sz="4" w:space="0" w:color="auto"/>
              <w:bottom w:val="single" w:sz="4" w:space="0" w:color="auto"/>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s-MX"/>
              </w:rPr>
            </w:pPr>
            <w:r w:rsidRPr="00937E78">
              <w:rPr>
                <w:rFonts w:ascii="Calibri" w:hAnsi="Calibri" w:cs="Arial"/>
                <w:b/>
                <w:bCs/>
                <w:sz w:val="20"/>
                <w:lang w:val="es-MX"/>
              </w:rPr>
              <w:t>Costo estimado de la Adquisición         (US$)</w:t>
            </w:r>
          </w:p>
        </w:tc>
        <w:tc>
          <w:tcPr>
            <w:tcW w:w="334" w:type="pct"/>
            <w:vMerge w:val="restart"/>
            <w:tcBorders>
              <w:top w:val="nil"/>
              <w:left w:val="single" w:sz="4" w:space="0" w:color="auto"/>
              <w:bottom w:val="single" w:sz="4" w:space="0" w:color="auto"/>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 xml:space="preserve">Método de Adquisición </w:t>
            </w:r>
            <w:r w:rsidRPr="00937E78">
              <w:rPr>
                <w:rFonts w:ascii="Calibri" w:hAnsi="Calibri" w:cs="Arial"/>
                <w:b/>
                <w:bCs/>
                <w:sz w:val="20"/>
                <w:vertAlign w:val="superscript"/>
                <w:lang w:val="en-US"/>
              </w:rPr>
              <w:t>(2)</w:t>
            </w:r>
          </w:p>
        </w:tc>
        <w:tc>
          <w:tcPr>
            <w:tcW w:w="382" w:type="pct"/>
            <w:vMerge w:val="restart"/>
            <w:tcBorders>
              <w:top w:val="nil"/>
              <w:left w:val="single" w:sz="4" w:space="0" w:color="auto"/>
              <w:bottom w:val="single" w:sz="4" w:space="0" w:color="auto"/>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s-MX"/>
              </w:rPr>
            </w:pPr>
            <w:r w:rsidRPr="00937E78">
              <w:rPr>
                <w:rFonts w:ascii="Calibri" w:hAnsi="Calibri" w:cs="Arial"/>
                <w:b/>
                <w:bCs/>
                <w:sz w:val="20"/>
                <w:lang w:val="es-MX"/>
              </w:rPr>
              <w:t>Revisión  de adquisiciones (Ex ante-Ex Post) (3)</w:t>
            </w:r>
          </w:p>
        </w:tc>
        <w:tc>
          <w:tcPr>
            <w:tcW w:w="517" w:type="pct"/>
            <w:gridSpan w:val="2"/>
            <w:tcBorders>
              <w:top w:val="single" w:sz="4" w:space="0" w:color="auto"/>
              <w:left w:val="nil"/>
              <w:bottom w:val="single" w:sz="4" w:space="0" w:color="auto"/>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s-MX"/>
              </w:rPr>
            </w:pPr>
            <w:r w:rsidRPr="00937E78">
              <w:rPr>
                <w:rFonts w:ascii="Calibri" w:hAnsi="Calibri" w:cs="Arial"/>
                <w:b/>
                <w:bCs/>
                <w:sz w:val="20"/>
                <w:lang w:val="es-MX"/>
              </w:rPr>
              <w:t>Fuente de Financiamiento y porcentaje</w:t>
            </w:r>
          </w:p>
        </w:tc>
        <w:tc>
          <w:tcPr>
            <w:tcW w:w="613" w:type="pct"/>
            <w:vMerge w:val="restart"/>
            <w:tcBorders>
              <w:top w:val="nil"/>
              <w:left w:val="single" w:sz="4" w:space="0" w:color="auto"/>
              <w:bottom w:val="nil"/>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s-MX"/>
              </w:rPr>
            </w:pPr>
            <w:r w:rsidRPr="00937E78">
              <w:rPr>
                <w:rFonts w:ascii="Calibri" w:hAnsi="Calibri" w:cs="Arial"/>
                <w:b/>
                <w:bCs/>
                <w:sz w:val="20"/>
                <w:lang w:val="es-MX"/>
              </w:rPr>
              <w:t xml:space="preserve">Fecha estimada del Anuncio de Adquisición o del Inicio de la contratación </w:t>
            </w:r>
          </w:p>
        </w:tc>
        <w:tc>
          <w:tcPr>
            <w:tcW w:w="328" w:type="pct"/>
            <w:vMerge w:val="restart"/>
            <w:tcBorders>
              <w:top w:val="nil"/>
              <w:left w:val="single" w:sz="4" w:space="0" w:color="auto"/>
              <w:bottom w:val="single" w:sz="4" w:space="0" w:color="auto"/>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Revisión técnica del JEP (4)</w:t>
            </w:r>
          </w:p>
        </w:tc>
        <w:tc>
          <w:tcPr>
            <w:tcW w:w="759" w:type="pct"/>
            <w:vMerge w:val="restart"/>
            <w:tcBorders>
              <w:top w:val="nil"/>
              <w:left w:val="single" w:sz="4" w:space="0" w:color="auto"/>
              <w:bottom w:val="single" w:sz="4" w:space="0" w:color="auto"/>
              <w:right w:val="single" w:sz="8"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Comentarios</w:t>
            </w:r>
          </w:p>
        </w:tc>
      </w:tr>
      <w:tr w:rsidR="0074351B" w:rsidRPr="00937E78" w:rsidTr="00377DCD">
        <w:trPr>
          <w:trHeight w:val="810"/>
        </w:trPr>
        <w:tc>
          <w:tcPr>
            <w:tcW w:w="221" w:type="pct"/>
            <w:vMerge/>
            <w:tcBorders>
              <w:top w:val="nil"/>
              <w:left w:val="single" w:sz="8" w:space="0" w:color="auto"/>
              <w:bottom w:val="nil"/>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237" w:type="pct"/>
            <w:vMerge/>
            <w:tcBorders>
              <w:top w:val="nil"/>
              <w:left w:val="single" w:sz="8" w:space="0" w:color="auto"/>
              <w:bottom w:val="nil"/>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1291" w:type="pct"/>
            <w:vMerge/>
            <w:tcBorders>
              <w:top w:val="nil"/>
              <w:left w:val="single" w:sz="4" w:space="0" w:color="auto"/>
              <w:bottom w:val="nil"/>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319" w:type="pct"/>
            <w:vMerge/>
            <w:tcBorders>
              <w:top w:val="nil"/>
              <w:left w:val="single" w:sz="4" w:space="0" w:color="auto"/>
              <w:bottom w:val="single" w:sz="4" w:space="0" w:color="auto"/>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334" w:type="pct"/>
            <w:vMerge/>
            <w:tcBorders>
              <w:top w:val="nil"/>
              <w:left w:val="single" w:sz="4" w:space="0" w:color="auto"/>
              <w:bottom w:val="single" w:sz="4" w:space="0" w:color="auto"/>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382" w:type="pct"/>
            <w:vMerge/>
            <w:tcBorders>
              <w:top w:val="nil"/>
              <w:left w:val="single" w:sz="4" w:space="0" w:color="auto"/>
              <w:bottom w:val="single" w:sz="4" w:space="0" w:color="auto"/>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258" w:type="pct"/>
            <w:tcBorders>
              <w:top w:val="nil"/>
              <w:left w:val="nil"/>
              <w:bottom w:val="nil"/>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BID/MIF %</w:t>
            </w:r>
          </w:p>
        </w:tc>
        <w:tc>
          <w:tcPr>
            <w:tcW w:w="258" w:type="pct"/>
            <w:tcBorders>
              <w:top w:val="nil"/>
              <w:left w:val="nil"/>
              <w:bottom w:val="nil"/>
              <w:right w:val="single" w:sz="4" w:space="0" w:color="auto"/>
            </w:tcBorders>
            <w:shd w:val="clear" w:color="000000" w:fill="8DB4E3"/>
            <w:vAlign w:val="center"/>
            <w:hideMark/>
          </w:tcPr>
          <w:p w:rsidR="0074351B" w:rsidRPr="00937E78" w:rsidRDefault="0074351B" w:rsidP="00377DCD">
            <w:pPr>
              <w:jc w:val="center"/>
              <w:rPr>
                <w:rFonts w:ascii="Calibri" w:hAnsi="Calibri" w:cs="Arial"/>
                <w:b/>
                <w:bCs/>
                <w:sz w:val="20"/>
                <w:lang w:val="en-US"/>
              </w:rPr>
            </w:pPr>
            <w:r w:rsidRPr="00937E78">
              <w:rPr>
                <w:rFonts w:ascii="Calibri" w:hAnsi="Calibri" w:cs="Arial"/>
                <w:b/>
                <w:bCs/>
                <w:sz w:val="20"/>
                <w:lang w:val="en-US"/>
              </w:rPr>
              <w:t>Local / Otro %</w:t>
            </w:r>
          </w:p>
        </w:tc>
        <w:tc>
          <w:tcPr>
            <w:tcW w:w="613" w:type="pct"/>
            <w:vMerge/>
            <w:tcBorders>
              <w:top w:val="nil"/>
              <w:left w:val="single" w:sz="4" w:space="0" w:color="auto"/>
              <w:bottom w:val="nil"/>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328" w:type="pct"/>
            <w:vMerge/>
            <w:tcBorders>
              <w:top w:val="nil"/>
              <w:left w:val="single" w:sz="4" w:space="0" w:color="auto"/>
              <w:bottom w:val="single" w:sz="4" w:space="0" w:color="auto"/>
              <w:right w:val="single" w:sz="4" w:space="0" w:color="auto"/>
            </w:tcBorders>
            <w:vAlign w:val="center"/>
            <w:hideMark/>
          </w:tcPr>
          <w:p w:rsidR="0074351B" w:rsidRPr="00937E78" w:rsidRDefault="0074351B" w:rsidP="00377DCD">
            <w:pPr>
              <w:rPr>
                <w:rFonts w:ascii="Calibri" w:hAnsi="Calibri" w:cs="Arial"/>
                <w:b/>
                <w:bCs/>
                <w:sz w:val="20"/>
                <w:lang w:val="en-US"/>
              </w:rPr>
            </w:pPr>
          </w:p>
        </w:tc>
        <w:tc>
          <w:tcPr>
            <w:tcW w:w="759" w:type="pct"/>
            <w:vMerge/>
            <w:tcBorders>
              <w:top w:val="nil"/>
              <w:left w:val="single" w:sz="4" w:space="0" w:color="auto"/>
              <w:bottom w:val="single" w:sz="4" w:space="0" w:color="auto"/>
              <w:right w:val="single" w:sz="8" w:space="0" w:color="auto"/>
            </w:tcBorders>
            <w:vAlign w:val="center"/>
            <w:hideMark/>
          </w:tcPr>
          <w:p w:rsidR="0074351B" w:rsidRPr="00937E78" w:rsidRDefault="0074351B" w:rsidP="00377DCD">
            <w:pPr>
              <w:rPr>
                <w:rFonts w:ascii="Calibri" w:hAnsi="Calibri" w:cs="Arial"/>
                <w:b/>
                <w:bCs/>
                <w:sz w:val="20"/>
                <w:lang w:val="en-US"/>
              </w:rPr>
            </w:pPr>
          </w:p>
        </w:tc>
      </w:tr>
      <w:tr w:rsidR="0074351B" w:rsidRPr="00937E78" w:rsidTr="00377DCD">
        <w:trPr>
          <w:trHeight w:val="30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351B" w:rsidRPr="00937E78" w:rsidRDefault="0074351B" w:rsidP="00377DCD">
            <w:pPr>
              <w:rPr>
                <w:rFonts w:ascii="Calibri" w:hAnsi="Calibri" w:cs="Arial"/>
                <w:b/>
                <w:bCs/>
                <w:szCs w:val="22"/>
                <w:lang w:val="es-MX"/>
              </w:rPr>
            </w:pPr>
            <w:r w:rsidRPr="00937E78">
              <w:rPr>
                <w:rFonts w:ascii="Calibri" w:hAnsi="Calibri" w:cs="Arial"/>
                <w:b/>
                <w:bCs/>
                <w:szCs w:val="22"/>
                <w:lang w:val="es-MX"/>
              </w:rPr>
              <w:t>Actividad 1 Identificación de alternativas de desarrollo económico a bajo carbono</w:t>
            </w:r>
          </w:p>
        </w:tc>
      </w:tr>
      <w:tr w:rsidR="0074351B" w:rsidRPr="00937E78" w:rsidTr="00377DCD">
        <w:trPr>
          <w:trHeight w:val="885"/>
        </w:trPr>
        <w:tc>
          <w:tcPr>
            <w:tcW w:w="221" w:type="pct"/>
            <w:tcBorders>
              <w:top w:val="nil"/>
              <w:left w:val="single" w:sz="4" w:space="0" w:color="auto"/>
              <w:bottom w:val="single" w:sz="4" w:space="0" w:color="auto"/>
              <w:right w:val="single" w:sz="4" w:space="0" w:color="auto"/>
            </w:tcBorders>
            <w:shd w:val="clear" w:color="auto" w:fill="auto"/>
            <w:hideMark/>
          </w:tcPr>
          <w:p w:rsidR="0074351B" w:rsidRPr="00937E78" w:rsidRDefault="0074351B" w:rsidP="00377DCD">
            <w:pPr>
              <w:rPr>
                <w:rFonts w:ascii="Calibri" w:hAnsi="Calibri" w:cs="Arial"/>
                <w:bCs/>
                <w:szCs w:val="22"/>
                <w:lang w:val="en-US"/>
              </w:rPr>
            </w:pPr>
            <w:r>
              <w:rPr>
                <w:rFonts w:ascii="Calibri" w:hAnsi="Calibri" w:cs="Arial"/>
                <w:bCs/>
                <w:szCs w:val="22"/>
                <w:lang w:val="en-US"/>
              </w:rPr>
              <w:t>1.1</w:t>
            </w:r>
          </w:p>
        </w:tc>
        <w:tc>
          <w:tcPr>
            <w:tcW w:w="237"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Calibri" w:hAnsi="Calibri" w:cs="Arial"/>
                <w:szCs w:val="22"/>
                <w:lang w:val="en-US"/>
              </w:rPr>
            </w:pPr>
            <w:r w:rsidRPr="00937E78">
              <w:rPr>
                <w:rFonts w:ascii="Calibri" w:hAnsi="Calibr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EC6D9D" w:rsidRDefault="0074351B" w:rsidP="00377DCD">
            <w:pPr>
              <w:rPr>
                <w:rFonts w:ascii="Calibri" w:hAnsi="Calibri" w:cs="Arial"/>
                <w:sz w:val="20"/>
                <w:lang w:val="es-MX"/>
              </w:rPr>
            </w:pPr>
            <w:r w:rsidRPr="00EC6D9D">
              <w:rPr>
                <w:rFonts w:ascii="Calibri" w:hAnsi="Calibri" w:cs="Arial"/>
                <w:sz w:val="20"/>
                <w:lang w:val="es-MX"/>
              </w:rPr>
              <w:t>Consultoría  Identificación de alternativas de desarrollo económico a bajo carbono.</w:t>
            </w:r>
          </w:p>
        </w:tc>
        <w:tc>
          <w:tcPr>
            <w:tcW w:w="319" w:type="pct"/>
            <w:tcBorders>
              <w:top w:val="nil"/>
              <w:left w:val="nil"/>
              <w:bottom w:val="single" w:sz="4" w:space="0" w:color="auto"/>
              <w:right w:val="single" w:sz="4" w:space="0" w:color="auto"/>
            </w:tcBorders>
            <w:shd w:val="clear" w:color="auto" w:fill="auto"/>
            <w:hideMark/>
          </w:tcPr>
          <w:p w:rsidR="0074351B" w:rsidRPr="00EC6D9D" w:rsidRDefault="0074351B" w:rsidP="00377DCD">
            <w:pPr>
              <w:rPr>
                <w:rFonts w:ascii="Calibri" w:hAnsi="Calibri" w:cs="Arial"/>
                <w:sz w:val="20"/>
                <w:lang w:val="en-US"/>
              </w:rPr>
            </w:pPr>
            <w:r w:rsidRPr="00EC6D9D">
              <w:rPr>
                <w:rFonts w:ascii="Calibri" w:hAnsi="Calibri" w:cs="Arial"/>
                <w:sz w:val="20"/>
                <w:lang w:val="en-US"/>
              </w:rPr>
              <w:t>150,000</w:t>
            </w:r>
          </w:p>
        </w:tc>
        <w:tc>
          <w:tcPr>
            <w:tcW w:w="334"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Times New Roman" w:hAnsi="Times New Roman"/>
                <w:sz w:val="20"/>
                <w:lang w:val="es-ES_tradnl"/>
              </w:rPr>
            </w:pPr>
            <w:r>
              <w:rPr>
                <w:rFonts w:ascii="Times New Roman" w:hAnsi="Times New Roman"/>
                <w:sz w:val="20"/>
                <w:lang w:val="es-ES_tradnl"/>
              </w:rPr>
              <w:t>A ser determinada</w:t>
            </w:r>
          </w:p>
        </w:tc>
        <w:tc>
          <w:tcPr>
            <w:tcW w:w="382"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Times New Roman" w:hAnsi="Times New Roman"/>
                <w:sz w:val="20"/>
                <w:lang w:val="es-ES_tradnl"/>
              </w:rPr>
            </w:pPr>
            <w:r w:rsidRPr="00937E78">
              <w:rPr>
                <w:rFonts w:ascii="Times New Roman" w:hAnsi="Times New Roman"/>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Calibri" w:hAnsi="Calibri" w:cs="Arial"/>
                <w:szCs w:val="22"/>
                <w:lang w:val="en-US"/>
              </w:rPr>
            </w:pPr>
            <w:r w:rsidRPr="00937E78">
              <w:rPr>
                <w:rFonts w:ascii="Calibri" w:hAnsi="Calibri" w:cs="Arial"/>
                <w:szCs w:val="22"/>
                <w:lang w:val="en-US"/>
              </w:rPr>
              <w:t>100</w:t>
            </w:r>
          </w:p>
        </w:tc>
        <w:tc>
          <w:tcPr>
            <w:tcW w:w="258"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Calibri" w:hAnsi="Calibri" w:cs="Arial"/>
                <w:szCs w:val="22"/>
                <w:lang w:val="en-US"/>
              </w:rPr>
            </w:pPr>
            <w:r w:rsidRPr="00937E78">
              <w:rPr>
                <w:rFonts w:ascii="Calibri" w:hAnsi="Calibri" w:cs="Arial"/>
                <w:szCs w:val="22"/>
                <w:lang w:val="en-US"/>
              </w:rPr>
              <w:t>0</w:t>
            </w:r>
          </w:p>
        </w:tc>
        <w:tc>
          <w:tcPr>
            <w:tcW w:w="613" w:type="pct"/>
            <w:tcBorders>
              <w:top w:val="nil"/>
              <w:left w:val="nil"/>
              <w:bottom w:val="single" w:sz="4" w:space="0" w:color="auto"/>
              <w:right w:val="single" w:sz="4" w:space="0" w:color="auto"/>
            </w:tcBorders>
            <w:shd w:val="clear" w:color="auto" w:fill="auto"/>
            <w:hideMark/>
          </w:tcPr>
          <w:p w:rsidR="0074351B" w:rsidRPr="00937E78" w:rsidRDefault="0074351B" w:rsidP="00377DCD">
            <w:pPr>
              <w:jc w:val="right"/>
              <w:rPr>
                <w:rFonts w:ascii="Calibri" w:hAnsi="Calibri" w:cs="Arial"/>
                <w:szCs w:val="22"/>
                <w:lang w:val="en-US"/>
              </w:rPr>
            </w:pPr>
          </w:p>
        </w:tc>
        <w:tc>
          <w:tcPr>
            <w:tcW w:w="328"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Calibri" w:hAnsi="Calibri" w:cs="Arial"/>
                <w:szCs w:val="22"/>
                <w:lang w:val="en-US"/>
              </w:rPr>
            </w:pPr>
            <w:r w:rsidRPr="00937E78">
              <w:rPr>
                <w:rFonts w:ascii="Calibri" w:hAnsi="Calibri" w:cs="Arial"/>
                <w:szCs w:val="22"/>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937E78" w:rsidRDefault="0074351B" w:rsidP="00377DCD">
            <w:pPr>
              <w:rPr>
                <w:rFonts w:ascii="Calibri" w:hAnsi="Calibri" w:cs="Arial"/>
                <w:szCs w:val="22"/>
                <w:lang w:val="en-US"/>
              </w:rPr>
            </w:pPr>
            <w:r w:rsidRPr="00937E78">
              <w:rPr>
                <w:rFonts w:ascii="Calibri" w:hAnsi="Calibri" w:cs="Arial"/>
                <w:szCs w:val="22"/>
                <w:lang w:val="en-US"/>
              </w:rPr>
              <w:t> </w:t>
            </w:r>
            <w:r w:rsidRPr="00937E78">
              <w:rPr>
                <w:rFonts w:ascii="Times New Roman" w:hAnsi="Times New Roman"/>
                <w:sz w:val="20"/>
                <w:lang w:val="es-ES_tradnl"/>
              </w:rPr>
              <w:t>Pendiente</w:t>
            </w:r>
          </w:p>
        </w:tc>
      </w:tr>
      <w:tr w:rsidR="0074351B" w:rsidRPr="00937E78" w:rsidTr="00377DCD">
        <w:trPr>
          <w:trHeight w:val="30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4351B" w:rsidRPr="00EC6D9D" w:rsidRDefault="0074351B" w:rsidP="00377DCD">
            <w:pPr>
              <w:rPr>
                <w:rFonts w:ascii="Calibri" w:hAnsi="Calibri" w:cs="Arial"/>
                <w:b/>
                <w:sz w:val="20"/>
                <w:lang w:val="es-MX"/>
              </w:rPr>
            </w:pPr>
            <w:r w:rsidRPr="00EC6D9D">
              <w:rPr>
                <w:rFonts w:ascii="Calibri" w:hAnsi="Calibri" w:cs="Arial"/>
                <w:b/>
                <w:sz w:val="20"/>
                <w:lang w:val="es-MX"/>
              </w:rPr>
              <w:t>Actividad 2. Estudios de transición a la economía verde para México</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2.1</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s-MX"/>
              </w:rPr>
            </w:pPr>
            <w:r w:rsidRPr="007F50C5">
              <w:rPr>
                <w:rFonts w:asciiTheme="minorHAnsi" w:hAnsiTheme="minorHAnsi"/>
                <w:sz w:val="20"/>
              </w:rPr>
              <w:t xml:space="preserve">Consultor de Apoyo a Economista Senior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35,000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eastAsia="es-ES"/>
              </w:rPr>
              <w:t>CCIN</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ExPost</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51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2.2</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s-MX"/>
              </w:rPr>
            </w:pPr>
            <w:r w:rsidRPr="007F50C5">
              <w:rPr>
                <w:rFonts w:asciiTheme="minorHAnsi" w:hAnsiTheme="minorHAnsi"/>
                <w:sz w:val="20"/>
              </w:rPr>
              <w:t xml:space="preserve">Consultor de apoyo técnico administrativo a INE proyecto GESS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eastAsia="es-E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15"/>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2.3</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s-MX"/>
              </w:rPr>
            </w:pPr>
            <w:r w:rsidRPr="007F50C5">
              <w:rPr>
                <w:rFonts w:asciiTheme="minorHAnsi" w:hAnsiTheme="minorHAnsi"/>
                <w:sz w:val="20"/>
              </w:rPr>
              <w:t xml:space="preserve">Consultor Economista ambiental GESS actividades complementarias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30,000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1-Jul-12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2.4</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s-MX"/>
              </w:rPr>
            </w:pPr>
            <w:r w:rsidRPr="007F50C5">
              <w:rPr>
                <w:rFonts w:asciiTheme="minorHAnsi" w:hAnsiTheme="minorHAnsi"/>
                <w:sz w:val="20"/>
              </w:rPr>
              <w:t xml:space="preserve">Consultor Economista senior complemento. GESS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1-Jun-12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2.5</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rPr>
              <w:t xml:space="preserve">Consultor en Agricultura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2.6</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rPr>
              <w:t xml:space="preserve">Consultor en Construcción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lastRenderedPageBreak/>
              <w:t>2.7</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rPr>
              <w:t>Consultor en Energía</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2.8</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rPr>
              <w:t xml:space="preserve">Consultor en Energía 2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30,000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15-abr-2012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2.9</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rPr>
              <w:t xml:space="preserve">Consultor en Modelaje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30,000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1-Jun-12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51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2.1</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s-MX"/>
              </w:rPr>
            </w:pPr>
            <w:r w:rsidRPr="007F50C5">
              <w:rPr>
                <w:rFonts w:asciiTheme="minorHAnsi" w:hAnsiTheme="minorHAnsi"/>
                <w:sz w:val="20"/>
              </w:rPr>
              <w:t xml:space="preserve">Consultor para </w:t>
            </w:r>
            <w:r w:rsidRPr="007F50C5">
              <w:rPr>
                <w:rFonts w:asciiTheme="minorHAnsi" w:hAnsiTheme="minorHAnsi" w:cs="Arial"/>
                <w:sz w:val="20"/>
              </w:rPr>
              <w:t xml:space="preserve">Edición, traducción y diseño del documento GEES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20,000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1-Sep-12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51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2.11</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s-MX"/>
              </w:rPr>
            </w:pPr>
            <w:r w:rsidRPr="007F50C5">
              <w:rPr>
                <w:rFonts w:asciiTheme="minorHAnsi" w:hAnsiTheme="minorHAnsi"/>
                <w:sz w:val="20"/>
              </w:rPr>
              <w:t xml:space="preserve">Consultor para </w:t>
            </w:r>
            <w:r w:rsidRPr="007F50C5">
              <w:rPr>
                <w:rFonts w:asciiTheme="minorHAnsi" w:hAnsiTheme="minorHAnsi" w:cs="Arial"/>
                <w:sz w:val="20"/>
              </w:rPr>
              <w:t xml:space="preserve">Biodiversidad dentro de cuentas nacionales </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 w:val="20"/>
                <w:lang w:val="en-US"/>
              </w:rPr>
            </w:pPr>
            <w:r w:rsidRPr="007F50C5">
              <w:rPr>
                <w:rFonts w:asciiTheme="minorHAnsi" w:hAnsiTheme="minorHAnsi" w:cs="Arial"/>
                <w:sz w:val="20"/>
                <w:lang w:val="en-US"/>
              </w:rPr>
              <w:t>55,000</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SD</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s-ES_tradnl"/>
              </w:rPr>
              <w:t>Ex Ante</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100</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rPr>
              <w:t>0</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right"/>
              <w:rPr>
                <w:rFonts w:asciiTheme="minorHAnsi" w:hAnsiTheme="minorHAnsi"/>
                <w:sz w:val="20"/>
                <w:lang w:val="en-US"/>
              </w:rPr>
            </w:pPr>
            <w:r w:rsidRPr="007F50C5">
              <w:rPr>
                <w:rFonts w:asciiTheme="minorHAnsi" w:hAnsiTheme="minorHAnsi"/>
                <w:sz w:val="20"/>
                <w:lang w:val="es-ES_tradnl" w:eastAsia="es-ES"/>
              </w:rPr>
              <w:t>1-Jul-12</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sz w:val="20"/>
                <w:lang w:val="en-US"/>
              </w:rPr>
            </w:pPr>
            <w:r w:rsidRPr="007F50C5">
              <w:rPr>
                <w:rFonts w:asciiTheme="minorHAnsi" w:hAnsiTheme="minorHAnsi"/>
                <w:sz w:val="20"/>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jc w:val="both"/>
              <w:rPr>
                <w:rFonts w:asciiTheme="minorHAnsi" w:hAnsiTheme="minorHAnsi"/>
                <w:sz w:val="20"/>
                <w:lang w:val="en-US"/>
              </w:rPr>
            </w:pPr>
            <w:r w:rsidRPr="007F50C5">
              <w:rPr>
                <w:rFonts w:asciiTheme="minorHAnsi" w:hAnsiTheme="minorHAnsi"/>
                <w:sz w:val="20"/>
                <w:lang w:val="es-ES_tradnl"/>
              </w:rPr>
              <w:t>Pendiente</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19"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r>
      <w:tr w:rsidR="0074351B" w:rsidRPr="007F50C5" w:rsidTr="00377DCD">
        <w:trPr>
          <w:trHeight w:val="300"/>
        </w:trPr>
        <w:tc>
          <w:tcPr>
            <w:tcW w:w="221" w:type="pct"/>
            <w:tcBorders>
              <w:top w:val="nil"/>
              <w:left w:val="single" w:sz="4" w:space="0" w:color="auto"/>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37"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1291"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19"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34"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82"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25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613"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328"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c>
          <w:tcPr>
            <w:tcW w:w="759" w:type="pct"/>
            <w:tcBorders>
              <w:top w:val="nil"/>
              <w:left w:val="nil"/>
              <w:bottom w:val="single" w:sz="4" w:space="0" w:color="auto"/>
              <w:right w:val="single" w:sz="4" w:space="0" w:color="auto"/>
            </w:tcBorders>
            <w:shd w:val="clear" w:color="auto" w:fill="auto"/>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r>
      <w:tr w:rsidR="0074351B" w:rsidRPr="007F50C5" w:rsidTr="00377DCD">
        <w:trPr>
          <w:trHeight w:val="390"/>
        </w:trPr>
        <w:tc>
          <w:tcPr>
            <w:tcW w:w="174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1B" w:rsidRPr="007F50C5" w:rsidRDefault="0074351B" w:rsidP="00377DCD">
            <w:pPr>
              <w:jc w:val="center"/>
              <w:rPr>
                <w:rFonts w:asciiTheme="minorHAnsi" w:hAnsiTheme="minorHAnsi" w:cs="Arial"/>
                <w:b/>
                <w:bCs/>
                <w:szCs w:val="22"/>
                <w:lang w:val="en-US"/>
              </w:rPr>
            </w:pPr>
            <w:r w:rsidRPr="007F50C5">
              <w:rPr>
                <w:rFonts w:asciiTheme="minorHAnsi" w:hAnsiTheme="minorHAnsi" w:cs="Arial"/>
                <w:b/>
                <w:bCs/>
                <w:szCs w:val="22"/>
                <w:lang w:val="en-US"/>
              </w:rPr>
              <w:t>Total</w:t>
            </w:r>
          </w:p>
        </w:tc>
        <w:tc>
          <w:tcPr>
            <w:tcW w:w="31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jc w:val="right"/>
              <w:rPr>
                <w:rFonts w:asciiTheme="minorHAnsi" w:hAnsiTheme="minorHAnsi" w:cs="Arial"/>
                <w:szCs w:val="22"/>
                <w:lang w:val="en-US"/>
              </w:rPr>
            </w:pPr>
            <w:r w:rsidRPr="007F50C5">
              <w:rPr>
                <w:rFonts w:asciiTheme="minorHAnsi" w:hAnsiTheme="minorHAnsi" w:cs="Arial"/>
                <w:szCs w:val="22"/>
                <w:lang w:val="en-US"/>
              </w:rPr>
              <w:t>450,000</w:t>
            </w:r>
          </w:p>
        </w:tc>
        <w:tc>
          <w:tcPr>
            <w:tcW w:w="974" w:type="pct"/>
            <w:gridSpan w:val="3"/>
            <w:tcBorders>
              <w:top w:val="single" w:sz="4" w:space="0" w:color="auto"/>
              <w:left w:val="nil"/>
              <w:bottom w:val="single" w:sz="4" w:space="0" w:color="auto"/>
              <w:right w:val="single" w:sz="4" w:space="0" w:color="auto"/>
            </w:tcBorders>
            <w:shd w:val="clear" w:color="auto" w:fill="auto"/>
            <w:noWrap/>
            <w:vAlign w:val="bottom"/>
            <w:hideMark/>
          </w:tcPr>
          <w:p w:rsidR="0074351B" w:rsidRPr="007F50C5" w:rsidRDefault="0074351B" w:rsidP="00377DCD">
            <w:pPr>
              <w:rPr>
                <w:rFonts w:asciiTheme="minorHAnsi" w:hAnsiTheme="minorHAnsi" w:cs="Arial"/>
                <w:b/>
                <w:bCs/>
                <w:szCs w:val="22"/>
                <w:lang w:val="en-US"/>
              </w:rPr>
            </w:pPr>
            <w:r w:rsidRPr="007F50C5">
              <w:rPr>
                <w:rFonts w:asciiTheme="minorHAnsi" w:hAnsiTheme="minorHAnsi" w:cs="Arial"/>
                <w:b/>
                <w:bCs/>
                <w:szCs w:val="22"/>
                <w:lang w:val="en-US"/>
              </w:rPr>
              <w:t>Preparado por: CCS/CME</w:t>
            </w:r>
          </w:p>
        </w:tc>
        <w:tc>
          <w:tcPr>
            <w:tcW w:w="1200" w:type="pct"/>
            <w:gridSpan w:val="3"/>
            <w:tcBorders>
              <w:top w:val="single" w:sz="4" w:space="0" w:color="auto"/>
              <w:left w:val="nil"/>
              <w:bottom w:val="single" w:sz="4" w:space="0" w:color="auto"/>
              <w:right w:val="single" w:sz="4" w:space="0" w:color="auto"/>
            </w:tcBorders>
            <w:shd w:val="clear" w:color="auto" w:fill="auto"/>
            <w:noWrap/>
            <w:vAlign w:val="bottom"/>
            <w:hideMark/>
          </w:tcPr>
          <w:p w:rsidR="0074351B" w:rsidRPr="007F50C5" w:rsidRDefault="0074351B" w:rsidP="00377DCD">
            <w:pPr>
              <w:rPr>
                <w:rFonts w:asciiTheme="minorHAnsi" w:hAnsiTheme="minorHAnsi" w:cs="Arial"/>
                <w:b/>
                <w:bCs/>
                <w:szCs w:val="22"/>
                <w:lang w:val="en-US"/>
              </w:rPr>
            </w:pPr>
            <w:r w:rsidRPr="007F50C5">
              <w:rPr>
                <w:rFonts w:asciiTheme="minorHAnsi" w:hAnsiTheme="minorHAnsi" w:cs="Arial"/>
                <w:b/>
                <w:bCs/>
                <w:szCs w:val="22"/>
                <w:lang w:val="en-US"/>
              </w:rPr>
              <w:t>3-04-2012</w:t>
            </w:r>
          </w:p>
        </w:tc>
        <w:tc>
          <w:tcPr>
            <w:tcW w:w="759" w:type="pct"/>
            <w:tcBorders>
              <w:top w:val="nil"/>
              <w:left w:val="nil"/>
              <w:bottom w:val="single" w:sz="4" w:space="0" w:color="auto"/>
              <w:right w:val="single" w:sz="4" w:space="0" w:color="auto"/>
            </w:tcBorders>
            <w:shd w:val="clear" w:color="auto" w:fill="auto"/>
            <w:noWrap/>
            <w:vAlign w:val="bottom"/>
            <w:hideMark/>
          </w:tcPr>
          <w:p w:rsidR="0074351B" w:rsidRPr="007F50C5" w:rsidRDefault="0074351B" w:rsidP="00377DCD">
            <w:pPr>
              <w:rPr>
                <w:rFonts w:asciiTheme="minorHAnsi" w:hAnsiTheme="minorHAnsi" w:cs="Arial"/>
                <w:szCs w:val="22"/>
                <w:lang w:val="en-US"/>
              </w:rPr>
            </w:pPr>
            <w:r w:rsidRPr="007F50C5">
              <w:rPr>
                <w:rFonts w:asciiTheme="minorHAnsi" w:hAnsiTheme="minorHAnsi" w:cs="Arial"/>
                <w:szCs w:val="22"/>
                <w:lang w:val="en-US"/>
              </w:rPr>
              <w:t> </w:t>
            </w:r>
          </w:p>
        </w:tc>
      </w:tr>
      <w:tr w:rsidR="0074351B" w:rsidRPr="007F50C5" w:rsidTr="00377DCD">
        <w:trPr>
          <w:trHeight w:val="1170"/>
        </w:trPr>
        <w:tc>
          <w:tcPr>
            <w:tcW w:w="5000" w:type="pct"/>
            <w:gridSpan w:val="11"/>
            <w:tcBorders>
              <w:top w:val="nil"/>
              <w:left w:val="single" w:sz="8" w:space="0" w:color="auto"/>
              <w:bottom w:val="single" w:sz="8" w:space="0" w:color="auto"/>
              <w:right w:val="single" w:sz="8" w:space="0" w:color="000000"/>
            </w:tcBorders>
            <w:shd w:val="clear" w:color="auto" w:fill="auto"/>
            <w:hideMark/>
          </w:tcPr>
          <w:p w:rsidR="0074351B" w:rsidRPr="007F50C5" w:rsidRDefault="0074351B" w:rsidP="00377DCD">
            <w:pPr>
              <w:rPr>
                <w:rFonts w:asciiTheme="minorHAnsi" w:hAnsiTheme="minorHAnsi" w:cs="Arial"/>
                <w:sz w:val="20"/>
                <w:lang w:val="es-MX"/>
              </w:rPr>
            </w:pPr>
            <w:r w:rsidRPr="007F50C5">
              <w:rPr>
                <w:rFonts w:asciiTheme="minorHAnsi" w:hAnsiTheme="minorHAnsi" w:cs="Arial"/>
                <w:b/>
                <w:bCs/>
                <w:sz w:val="20"/>
                <w:vertAlign w:val="superscript"/>
                <w:lang w:val="es-MX"/>
              </w:rPr>
              <w:t>(1)</w:t>
            </w:r>
            <w:r w:rsidRPr="007F50C5">
              <w:rPr>
                <w:rFonts w:asciiTheme="minorHAnsi" w:hAnsiTheme="minorHAnsi" w:cs="Arial"/>
                <w:sz w:val="20"/>
                <w:lang w:val="es-MX"/>
              </w:rPr>
              <w:t xml:space="preserve"> Se recomienda el agrupamiento de adquisiciones de naturaleza similar tales como equipos informáticos, mobiliario, publicaciones. pasajes, etc. Si hubiesen grupos de contratos individuales similares que van a ser ejecutados en distintas períodos, éstos pueden incluirse agrupados bajo un solo rubro con una explicación en la columna de comentarios indicando el valor promedio individual y el período durante el cual serían ejecutados.  Por ejemplo: En un proyecto de promoción de exportaciones que incluye viajes para participar en ferias, se pondría un ítem que diría “Pasajes aéreos Ferias", el valor total estimado en US$ 5 mil y una explicación en la columna Comentarios:  “Este es un agrupamiento de aproximadamente 4 pasajes para participar en ferias de la región durante el año X y X1.</w:t>
            </w:r>
          </w:p>
        </w:tc>
      </w:tr>
      <w:tr w:rsidR="0074351B" w:rsidRPr="007F50C5" w:rsidTr="00377DCD">
        <w:trPr>
          <w:trHeight w:val="435"/>
        </w:trPr>
        <w:tc>
          <w:tcPr>
            <w:tcW w:w="5000" w:type="pct"/>
            <w:gridSpan w:val="11"/>
            <w:tcBorders>
              <w:top w:val="nil"/>
              <w:left w:val="single" w:sz="8" w:space="0" w:color="auto"/>
              <w:bottom w:val="nil"/>
              <w:right w:val="single" w:sz="8" w:space="0" w:color="000000"/>
            </w:tcBorders>
            <w:shd w:val="clear" w:color="auto" w:fill="auto"/>
            <w:hideMark/>
          </w:tcPr>
          <w:p w:rsidR="0074351B" w:rsidRPr="007F50C5" w:rsidRDefault="0074351B" w:rsidP="00377DCD">
            <w:pPr>
              <w:rPr>
                <w:rFonts w:asciiTheme="minorHAnsi" w:hAnsiTheme="minorHAnsi" w:cs="Arial"/>
                <w:sz w:val="20"/>
                <w:lang w:val="es-MX"/>
              </w:rPr>
            </w:pPr>
            <w:r w:rsidRPr="007F50C5">
              <w:rPr>
                <w:rFonts w:asciiTheme="minorHAnsi" w:hAnsiTheme="minorHAnsi" w:cs="Arial"/>
                <w:b/>
                <w:bCs/>
                <w:sz w:val="20"/>
                <w:vertAlign w:val="superscript"/>
                <w:lang w:val="es-MX"/>
              </w:rPr>
              <w:t>(2)</w:t>
            </w:r>
            <w:r w:rsidRPr="007F50C5">
              <w:rPr>
                <w:rFonts w:asciiTheme="minorHAnsi" w:hAnsiTheme="minorHAnsi" w:cs="Arial"/>
                <w:sz w:val="20"/>
                <w:lang w:val="es-MX"/>
              </w:rPr>
              <w:t xml:space="preserve"> </w:t>
            </w:r>
            <w:r w:rsidRPr="007F50C5">
              <w:rPr>
                <w:rFonts w:asciiTheme="minorHAnsi" w:hAnsiTheme="minorHAnsi" w:cs="Arial"/>
                <w:b/>
                <w:bCs/>
                <w:sz w:val="20"/>
                <w:u w:val="single"/>
                <w:lang w:val="es-MX"/>
              </w:rPr>
              <w:t>Bienes y Obras</w:t>
            </w:r>
            <w:r w:rsidRPr="007F50C5">
              <w:rPr>
                <w:rFonts w:asciiTheme="minorHAnsi" w:hAnsiTheme="minorHAnsi" w:cs="Arial"/>
                <w:sz w:val="20"/>
                <w:lang w:val="es-MX"/>
              </w:rPr>
              <w:t xml:space="preserve">:  </w:t>
            </w:r>
            <w:r w:rsidRPr="007F50C5">
              <w:rPr>
                <w:rFonts w:asciiTheme="minorHAnsi" w:hAnsiTheme="minorHAnsi" w:cs="Arial"/>
                <w:b/>
                <w:bCs/>
                <w:sz w:val="20"/>
                <w:lang w:val="es-MX"/>
              </w:rPr>
              <w:t>LP</w:t>
            </w:r>
            <w:r w:rsidRPr="007F50C5">
              <w:rPr>
                <w:rFonts w:asciiTheme="minorHAnsi" w:hAnsiTheme="minorHAnsi" w:cs="Arial"/>
                <w:sz w:val="20"/>
                <w:lang w:val="es-MX"/>
              </w:rPr>
              <w:t xml:space="preserve">: Licitación Pública;  </w:t>
            </w:r>
            <w:r w:rsidRPr="007F50C5">
              <w:rPr>
                <w:rFonts w:asciiTheme="minorHAnsi" w:hAnsiTheme="minorHAnsi" w:cs="Arial"/>
                <w:b/>
                <w:bCs/>
                <w:sz w:val="20"/>
                <w:lang w:val="es-MX"/>
              </w:rPr>
              <w:t>CP</w:t>
            </w:r>
            <w:r w:rsidRPr="007F50C5">
              <w:rPr>
                <w:rFonts w:asciiTheme="minorHAnsi" w:hAnsiTheme="minorHAnsi" w:cs="Arial"/>
                <w:sz w:val="20"/>
                <w:lang w:val="es-MX"/>
              </w:rPr>
              <w:t xml:space="preserve">: Comparación de Precios;  </w:t>
            </w:r>
            <w:r w:rsidRPr="007F50C5">
              <w:rPr>
                <w:rFonts w:asciiTheme="minorHAnsi" w:hAnsiTheme="minorHAnsi" w:cs="Arial"/>
                <w:b/>
                <w:bCs/>
                <w:sz w:val="20"/>
                <w:lang w:val="es-MX"/>
              </w:rPr>
              <w:t>CD</w:t>
            </w:r>
            <w:r w:rsidRPr="007F50C5">
              <w:rPr>
                <w:rFonts w:asciiTheme="minorHAnsi" w:hAnsiTheme="minorHAnsi" w:cs="Arial"/>
                <w:sz w:val="20"/>
                <w:lang w:val="es-MX"/>
              </w:rPr>
              <w:t xml:space="preserve">: Contratación Directa.    </w:t>
            </w:r>
          </w:p>
        </w:tc>
      </w:tr>
      <w:tr w:rsidR="0074351B" w:rsidRPr="007F50C5" w:rsidTr="00377DCD">
        <w:trPr>
          <w:trHeight w:val="780"/>
        </w:trPr>
        <w:tc>
          <w:tcPr>
            <w:tcW w:w="5000" w:type="pct"/>
            <w:gridSpan w:val="11"/>
            <w:tcBorders>
              <w:top w:val="single" w:sz="8" w:space="0" w:color="auto"/>
              <w:left w:val="single" w:sz="8" w:space="0" w:color="auto"/>
              <w:bottom w:val="single" w:sz="8" w:space="0" w:color="auto"/>
              <w:right w:val="single" w:sz="8" w:space="0" w:color="000000"/>
            </w:tcBorders>
            <w:shd w:val="clear" w:color="auto" w:fill="auto"/>
            <w:hideMark/>
          </w:tcPr>
          <w:p w:rsidR="0074351B" w:rsidRPr="007F50C5" w:rsidRDefault="0074351B" w:rsidP="00377DCD">
            <w:pPr>
              <w:rPr>
                <w:rFonts w:asciiTheme="minorHAnsi" w:hAnsiTheme="minorHAnsi" w:cs="Arial"/>
                <w:sz w:val="20"/>
                <w:lang w:val="en-US"/>
              </w:rPr>
            </w:pPr>
            <w:r w:rsidRPr="007F50C5">
              <w:rPr>
                <w:rFonts w:asciiTheme="minorHAnsi" w:hAnsiTheme="minorHAnsi" w:cs="Arial"/>
                <w:sz w:val="20"/>
                <w:vertAlign w:val="superscript"/>
                <w:lang w:val="es-MX"/>
              </w:rPr>
              <w:t>(2)</w:t>
            </w:r>
            <w:r w:rsidRPr="007F50C5">
              <w:rPr>
                <w:rFonts w:asciiTheme="minorHAnsi" w:hAnsiTheme="minorHAnsi" w:cs="Arial"/>
                <w:sz w:val="20"/>
                <w:lang w:val="es-MX"/>
              </w:rPr>
              <w:t xml:space="preserve"> </w:t>
            </w:r>
            <w:r w:rsidRPr="007F50C5">
              <w:rPr>
                <w:rFonts w:asciiTheme="minorHAnsi" w:hAnsiTheme="minorHAnsi" w:cs="Arial"/>
                <w:b/>
                <w:bCs/>
                <w:sz w:val="20"/>
                <w:u w:val="single"/>
                <w:lang w:val="es-MX"/>
              </w:rPr>
              <w:t>Firmas de consultoría</w:t>
            </w:r>
            <w:r w:rsidRPr="007F50C5">
              <w:rPr>
                <w:rFonts w:asciiTheme="minorHAnsi" w:hAnsiTheme="minorHAnsi" w:cs="Arial"/>
                <w:sz w:val="20"/>
                <w:lang w:val="es-MX"/>
              </w:rPr>
              <w:t xml:space="preserve">:  SCC: Selección Basada en la Calificación de los Consultores; SBCC: Selección Basada en Calidad y Costo; SBMC: Selección Basada en el Menor Costo; SBPF: Selección Basada en Presupuesto Fijo. </w:t>
            </w:r>
            <w:r w:rsidRPr="007F50C5">
              <w:rPr>
                <w:rFonts w:asciiTheme="minorHAnsi" w:hAnsiTheme="minorHAnsi" w:cs="Arial"/>
                <w:sz w:val="20"/>
                <w:lang w:val="en-US"/>
              </w:rPr>
              <w:t>SD: Selección Directa; SBC: Selección Basada en Calidad</w:t>
            </w:r>
          </w:p>
        </w:tc>
      </w:tr>
      <w:tr w:rsidR="0074351B" w:rsidRPr="007F50C5" w:rsidTr="00377DCD">
        <w:trPr>
          <w:trHeight w:val="525"/>
        </w:trPr>
        <w:tc>
          <w:tcPr>
            <w:tcW w:w="5000" w:type="pct"/>
            <w:gridSpan w:val="11"/>
            <w:tcBorders>
              <w:top w:val="single" w:sz="8" w:space="0" w:color="auto"/>
              <w:left w:val="single" w:sz="8" w:space="0" w:color="auto"/>
              <w:bottom w:val="single" w:sz="8" w:space="0" w:color="auto"/>
              <w:right w:val="single" w:sz="8" w:space="0" w:color="000000"/>
            </w:tcBorders>
            <w:shd w:val="clear" w:color="auto" w:fill="auto"/>
            <w:hideMark/>
          </w:tcPr>
          <w:p w:rsidR="0074351B" w:rsidRPr="007F50C5" w:rsidRDefault="0074351B" w:rsidP="00377DCD">
            <w:pPr>
              <w:rPr>
                <w:rFonts w:asciiTheme="minorHAnsi" w:hAnsiTheme="minorHAnsi" w:cs="Arial"/>
                <w:b/>
                <w:bCs/>
                <w:sz w:val="20"/>
                <w:u w:val="single"/>
                <w:lang w:val="es-MX"/>
              </w:rPr>
            </w:pPr>
            <w:r w:rsidRPr="007F50C5">
              <w:rPr>
                <w:rFonts w:asciiTheme="minorHAnsi" w:hAnsiTheme="minorHAnsi" w:cs="Arial"/>
                <w:b/>
                <w:bCs/>
                <w:sz w:val="20"/>
                <w:u w:val="single"/>
                <w:vertAlign w:val="superscript"/>
                <w:lang w:val="es-MX"/>
              </w:rPr>
              <w:t xml:space="preserve">(2) </w:t>
            </w:r>
            <w:r w:rsidRPr="007F50C5">
              <w:rPr>
                <w:rFonts w:asciiTheme="minorHAnsi" w:hAnsiTheme="minorHAnsi" w:cs="Arial"/>
                <w:b/>
                <w:bCs/>
                <w:sz w:val="20"/>
                <w:u w:val="single"/>
                <w:lang w:val="es-MX"/>
              </w:rPr>
              <w:t>Consultores Individuales</w:t>
            </w:r>
            <w:r w:rsidRPr="007F50C5">
              <w:rPr>
                <w:rFonts w:asciiTheme="minorHAnsi" w:hAnsiTheme="minorHAnsi" w:cs="Arial"/>
                <w:sz w:val="20"/>
                <w:lang w:val="es-MX"/>
              </w:rPr>
              <w:t xml:space="preserve">: </w:t>
            </w:r>
            <w:r w:rsidRPr="007F50C5">
              <w:rPr>
                <w:rFonts w:asciiTheme="minorHAnsi" w:hAnsiTheme="minorHAnsi" w:cs="Arial"/>
                <w:b/>
                <w:bCs/>
                <w:sz w:val="20"/>
                <w:lang w:val="es-MX"/>
              </w:rPr>
              <w:t>CCIN</w:t>
            </w:r>
            <w:r w:rsidRPr="007F50C5">
              <w:rPr>
                <w:rFonts w:asciiTheme="minorHAnsi" w:hAnsiTheme="minorHAnsi" w:cs="Arial"/>
                <w:sz w:val="20"/>
                <w:lang w:val="es-MX"/>
              </w:rPr>
              <w:t xml:space="preserve">: Selección basada en la Comparación de Calificaciones Consultor Individual ; SD: Selección Directa. </w:t>
            </w:r>
          </w:p>
        </w:tc>
      </w:tr>
      <w:tr w:rsidR="0074351B" w:rsidRPr="007F50C5" w:rsidTr="00377DCD">
        <w:trPr>
          <w:trHeight w:val="585"/>
        </w:trPr>
        <w:tc>
          <w:tcPr>
            <w:tcW w:w="5000" w:type="pct"/>
            <w:gridSpan w:val="11"/>
            <w:tcBorders>
              <w:top w:val="nil"/>
              <w:left w:val="single" w:sz="8" w:space="0" w:color="auto"/>
              <w:bottom w:val="nil"/>
              <w:right w:val="single" w:sz="8" w:space="0" w:color="000000"/>
            </w:tcBorders>
            <w:shd w:val="clear" w:color="auto" w:fill="auto"/>
            <w:vAlign w:val="center"/>
            <w:hideMark/>
          </w:tcPr>
          <w:p w:rsidR="0074351B" w:rsidRPr="007F50C5" w:rsidRDefault="0074351B" w:rsidP="00377DCD">
            <w:pPr>
              <w:rPr>
                <w:rFonts w:asciiTheme="minorHAnsi" w:hAnsiTheme="minorHAnsi" w:cs="Arial"/>
                <w:sz w:val="20"/>
                <w:lang w:val="es-MX"/>
              </w:rPr>
            </w:pPr>
            <w:r w:rsidRPr="007F50C5">
              <w:rPr>
                <w:rFonts w:asciiTheme="minorHAnsi" w:hAnsiTheme="minorHAnsi" w:cs="Arial"/>
                <w:sz w:val="20"/>
                <w:vertAlign w:val="superscript"/>
                <w:lang w:val="es-MX"/>
              </w:rPr>
              <w:t>(3)</w:t>
            </w:r>
            <w:r w:rsidRPr="007F50C5">
              <w:rPr>
                <w:rFonts w:asciiTheme="minorHAnsi" w:hAnsiTheme="minorHAnsi" w:cs="Arial"/>
                <w:sz w:val="20"/>
                <w:lang w:val="es-MX"/>
              </w:rPr>
              <w:t xml:space="preserve"> </w:t>
            </w:r>
            <w:r w:rsidRPr="007F50C5">
              <w:rPr>
                <w:rFonts w:asciiTheme="minorHAnsi" w:hAnsiTheme="minorHAnsi" w:cs="Arial"/>
                <w:b/>
                <w:bCs/>
                <w:sz w:val="20"/>
                <w:u w:val="single"/>
                <w:lang w:val="es-MX"/>
              </w:rPr>
              <w:t xml:space="preserve"> Revisión ex ante/ ex post</w:t>
            </w:r>
            <w:r w:rsidRPr="007F50C5">
              <w:rPr>
                <w:rFonts w:asciiTheme="minorHAnsi" w:hAnsiTheme="minorHAnsi" w:cs="Arial"/>
                <w:sz w:val="20"/>
                <w:lang w:val="es-MX"/>
              </w:rPr>
              <w:t>. En general, dependiendo de la capacidad institucional y el nivel de riesgo asociados a las adquisiciones la modalidad estándar es revisión ex post. Para procesos críticos o complejos podrá establecerse la revisión ex ante.</w:t>
            </w:r>
          </w:p>
        </w:tc>
      </w:tr>
      <w:tr w:rsidR="0074351B" w:rsidRPr="007F50C5" w:rsidTr="00377DCD">
        <w:trPr>
          <w:trHeight w:val="600"/>
        </w:trPr>
        <w:tc>
          <w:tcPr>
            <w:tcW w:w="5000" w:type="pct"/>
            <w:gridSpan w:val="11"/>
            <w:tcBorders>
              <w:top w:val="single" w:sz="8" w:space="0" w:color="auto"/>
              <w:left w:val="single" w:sz="8" w:space="0" w:color="auto"/>
              <w:bottom w:val="single" w:sz="8" w:space="0" w:color="auto"/>
              <w:right w:val="single" w:sz="8" w:space="0" w:color="000000"/>
            </w:tcBorders>
            <w:shd w:val="clear" w:color="auto" w:fill="auto"/>
            <w:vAlign w:val="bottom"/>
            <w:hideMark/>
          </w:tcPr>
          <w:p w:rsidR="0074351B" w:rsidRPr="007F50C5" w:rsidRDefault="0074351B" w:rsidP="00377DCD">
            <w:pPr>
              <w:rPr>
                <w:rFonts w:asciiTheme="minorHAnsi" w:hAnsiTheme="minorHAnsi" w:cs="Arial"/>
                <w:sz w:val="20"/>
                <w:lang w:val="es-MX"/>
              </w:rPr>
            </w:pPr>
            <w:r w:rsidRPr="007F50C5">
              <w:rPr>
                <w:rFonts w:asciiTheme="minorHAnsi" w:hAnsiTheme="minorHAnsi" w:cs="Arial"/>
                <w:sz w:val="20"/>
                <w:vertAlign w:val="superscript"/>
                <w:lang w:val="es-MX"/>
              </w:rPr>
              <w:t>(4)</w:t>
            </w:r>
            <w:r w:rsidRPr="007F50C5">
              <w:rPr>
                <w:rFonts w:asciiTheme="minorHAnsi" w:hAnsiTheme="minorHAnsi" w:cs="Arial"/>
                <w:sz w:val="20"/>
                <w:lang w:val="es-MX"/>
              </w:rPr>
              <w:t xml:space="preserve">  </w:t>
            </w:r>
            <w:r w:rsidRPr="007F50C5">
              <w:rPr>
                <w:rFonts w:asciiTheme="minorHAnsi" w:hAnsiTheme="minorHAnsi" w:cs="Arial"/>
                <w:b/>
                <w:bCs/>
                <w:sz w:val="20"/>
                <w:u w:val="single"/>
                <w:lang w:val="es-MX"/>
              </w:rPr>
              <w:t>Revisión técnica</w:t>
            </w:r>
            <w:r w:rsidRPr="007F50C5">
              <w:rPr>
                <w:rFonts w:asciiTheme="minorHAnsi" w:hAnsiTheme="minorHAnsi" w:cs="Arial"/>
                <w:sz w:val="20"/>
                <w:lang w:val="es-MX"/>
              </w:rPr>
              <w:t>: Esta columna será utilizada por el JEP para definir aquellas adquisiciones que considere "críticas" o "complejas" que requieran la revisión ex ante de los términos de referencia, especificaciones técnicas, informes, productos, u otros.</w:t>
            </w:r>
          </w:p>
        </w:tc>
      </w:tr>
    </w:tbl>
    <w:p w:rsidR="0074351B" w:rsidRPr="007F50C5" w:rsidRDefault="0074351B" w:rsidP="0074351B">
      <w:pPr>
        <w:jc w:val="both"/>
        <w:rPr>
          <w:rFonts w:asciiTheme="minorHAnsi" w:hAnsiTheme="minorHAnsi"/>
          <w:lang w:val="es-MX"/>
        </w:rPr>
      </w:pPr>
    </w:p>
    <w:p w:rsidR="001467F8" w:rsidRPr="00937E78" w:rsidRDefault="001467F8" w:rsidP="00166F28">
      <w:pPr>
        <w:jc w:val="both"/>
        <w:rPr>
          <w:lang w:val="es-MX"/>
        </w:rPr>
      </w:pPr>
    </w:p>
    <w:sectPr w:rsidR="001467F8" w:rsidRPr="00937E78" w:rsidSect="00166F28">
      <w:pgSz w:w="15840" w:h="12240" w:orient="landscape" w:code="1"/>
      <w:pgMar w:top="1418" w:right="180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319" w:rsidRDefault="00F10319">
      <w:r>
        <w:separator/>
      </w:r>
    </w:p>
  </w:endnote>
  <w:endnote w:type="continuationSeparator" w:id="0">
    <w:p w:rsidR="00F10319" w:rsidRDefault="00F103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1B" w:rsidRDefault="007435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351B" w:rsidRDefault="007435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1B" w:rsidRDefault="007435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4351B" w:rsidRDefault="0074351B">
    <w:pPr>
      <w:pStyle w:val="Tit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319" w:rsidRDefault="00F10319">
      <w:r>
        <w:separator/>
      </w:r>
    </w:p>
  </w:footnote>
  <w:footnote w:type="continuationSeparator" w:id="0">
    <w:p w:rsidR="00F10319" w:rsidRDefault="00F103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1B" w:rsidRPr="00D10EFF" w:rsidRDefault="0074351B" w:rsidP="00166F28">
    <w:pPr>
      <w:pStyle w:val="Header"/>
      <w:jc w:val="right"/>
      <w:rPr>
        <w:smallCaps/>
        <w:snapToGrid w:val="0"/>
        <w:sz w:val="22"/>
        <w:szCs w:val="22"/>
        <w:lang w:val="es-CO"/>
      </w:rPr>
    </w:pPr>
    <w:r w:rsidRPr="00D10EFF">
      <w:rPr>
        <w:rStyle w:val="PageNumber"/>
        <w:smallCaps/>
        <w:snapToGrid w:val="0"/>
        <w:sz w:val="22"/>
        <w:szCs w:val="22"/>
        <w:lang w:val="es-CO"/>
      </w:rPr>
      <w:t>Anexo II – Plan de Adquisiciones</w:t>
    </w:r>
  </w:p>
  <w:p w:rsidR="0074351B" w:rsidRPr="00D10EFF" w:rsidRDefault="0074351B" w:rsidP="000B23B0">
    <w:pPr>
      <w:tabs>
        <w:tab w:val="left" w:pos="1440"/>
        <w:tab w:val="left" w:pos="3060"/>
      </w:tabs>
      <w:jc w:val="right"/>
      <w:rPr>
        <w:rFonts w:ascii="Times New Roman" w:hAnsi="Times New Roman"/>
        <w:smallCaps/>
        <w:szCs w:val="22"/>
        <w:lang w:val="es-ES_tradnl"/>
      </w:rPr>
    </w:pPr>
    <w:r w:rsidRPr="00D10EFF">
      <w:rPr>
        <w:rFonts w:ascii="Times New Roman" w:hAnsi="Times New Roman"/>
        <w:smallCaps/>
        <w:szCs w:val="22"/>
        <w:lang w:val="es-ES_tradnl"/>
      </w:rPr>
      <w:t>Equipo de Apoyo a la Agenda de Cambio Climático de México</w:t>
    </w:r>
  </w:p>
  <w:p w:rsidR="0074351B" w:rsidRPr="00D10EFF" w:rsidRDefault="0074351B" w:rsidP="00166F28">
    <w:pPr>
      <w:pStyle w:val="Header"/>
      <w:tabs>
        <w:tab w:val="clear" w:pos="4320"/>
        <w:tab w:val="clear" w:pos="8640"/>
        <w:tab w:val="center" w:pos="12960"/>
      </w:tabs>
      <w:jc w:val="right"/>
      <w:rPr>
        <w:smallCaps/>
        <w:snapToGrid w:val="0"/>
        <w:sz w:val="22"/>
        <w:szCs w:val="22"/>
        <w:lang w:val="es-CO"/>
      </w:rPr>
    </w:pPr>
    <w:r w:rsidRPr="00D10EFF">
      <w:rPr>
        <w:rStyle w:val="PageNumber"/>
        <w:smallCaps/>
        <w:snapToGrid w:val="0"/>
        <w:sz w:val="22"/>
        <w:szCs w:val="22"/>
        <w:lang w:val="es-CO"/>
      </w:rPr>
      <w:t>ME-T1111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B7FC9"/>
    <w:multiLevelType w:val="multilevel"/>
    <w:tmpl w:val="6E46E614"/>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hint="default"/>
      </w:rPr>
    </w:lvl>
    <w:lvl w:ilvl="3">
      <w:start w:val="1"/>
      <w:numFmt w:val="lowerRoman"/>
      <w:pStyle w:val="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3DC059A"/>
    <w:multiLevelType w:val="hybridMultilevel"/>
    <w:tmpl w:val="D73A546C"/>
    <w:lvl w:ilvl="0" w:tplc="184ECF14">
      <w:start w:val="1"/>
      <w:numFmt w:val="lowerLetter"/>
      <w:lvlText w:val="%1)"/>
      <w:lvlJc w:val="left"/>
      <w:pPr>
        <w:tabs>
          <w:tab w:val="num" w:pos="1800"/>
        </w:tabs>
        <w:ind w:left="1800" w:hanging="360"/>
      </w:pPr>
      <w:rPr>
        <w:rFonts w:hint="default"/>
        <w:u w:val="none"/>
      </w:rPr>
    </w:lvl>
    <w:lvl w:ilvl="1" w:tplc="10C6C128">
      <w:start w:val="1"/>
      <w:numFmt w:val="lowerRoman"/>
      <w:lvlText w:val="(%2)"/>
      <w:lvlJc w:val="left"/>
      <w:pPr>
        <w:tabs>
          <w:tab w:val="num" w:pos="2880"/>
        </w:tabs>
        <w:ind w:left="2880" w:hanging="720"/>
      </w:pPr>
      <w:rPr>
        <w:rFonts w:hint="default"/>
      </w:rPr>
    </w:lvl>
    <w:lvl w:ilvl="2" w:tplc="2F4CE824">
      <w:start w:val="1"/>
      <w:numFmt w:val="lowerRoman"/>
      <w:lvlText w:val="(%3)"/>
      <w:lvlJc w:val="left"/>
      <w:pPr>
        <w:tabs>
          <w:tab w:val="num" w:pos="378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59C44B8"/>
    <w:multiLevelType w:val="singleLevel"/>
    <w:tmpl w:val="8A789C4E"/>
    <w:lvl w:ilvl="0">
      <w:start w:val="1"/>
      <w:numFmt w:val="upperLetter"/>
      <w:pStyle w:val="Subtitle"/>
      <w:lvlText w:val="%1)"/>
      <w:lvlJc w:val="left"/>
      <w:pPr>
        <w:tabs>
          <w:tab w:val="num" w:pos="360"/>
        </w:tabs>
        <w:ind w:left="360" w:hanging="360"/>
      </w:pPr>
      <w:rPr>
        <w:rFonts w:hint="default"/>
      </w:rPr>
    </w:lvl>
  </w:abstractNum>
  <w:abstractNum w:abstractNumId="3">
    <w:nsid w:val="29C65D5E"/>
    <w:multiLevelType w:val="hybridMultilevel"/>
    <w:tmpl w:val="028605AE"/>
    <w:lvl w:ilvl="0" w:tplc="360A763C">
      <w:start w:val="1"/>
      <w:numFmt w:val="decimal"/>
      <w:lvlText w:val="%1."/>
      <w:lvlJc w:val="left"/>
      <w:pPr>
        <w:tabs>
          <w:tab w:val="num" w:pos="360"/>
        </w:tabs>
        <w:ind w:left="0" w:firstLine="0"/>
      </w:pPr>
      <w:rPr>
        <w:rFonts w:ascii="Times New Roman" w:hAnsi="Times New Roman" w:hint="default"/>
        <w:b/>
        <w:i w:val="0"/>
        <w:sz w:val="18"/>
      </w:rPr>
    </w:lvl>
    <w:lvl w:ilvl="1" w:tplc="5C64F9DA">
      <w:start w:val="1"/>
      <w:numFmt w:val="bullet"/>
      <w:lvlText w:val=""/>
      <w:lvlJc w:val="left"/>
      <w:pPr>
        <w:tabs>
          <w:tab w:val="num" w:pos="1080"/>
        </w:tabs>
        <w:ind w:left="1080" w:hanging="360"/>
      </w:pPr>
      <w:rPr>
        <w:rFonts w:ascii="Symbol" w:hAnsi="Symbol" w:hint="default"/>
      </w:rPr>
    </w:lvl>
    <w:lvl w:ilvl="2" w:tplc="A810FE24">
      <w:start w:val="1"/>
      <w:numFmt w:val="lowerLetter"/>
      <w:lvlText w:val="%3)"/>
      <w:lvlJc w:val="left"/>
      <w:pPr>
        <w:tabs>
          <w:tab w:val="num" w:pos="1980"/>
        </w:tabs>
        <w:ind w:left="1980" w:hanging="360"/>
      </w:pPr>
      <w:rPr>
        <w:rFonts w:hint="default"/>
      </w:rPr>
    </w:lvl>
    <w:lvl w:ilvl="3" w:tplc="76228BBE" w:tentative="1">
      <w:start w:val="1"/>
      <w:numFmt w:val="decimal"/>
      <w:lvlText w:val="%4."/>
      <w:lvlJc w:val="left"/>
      <w:pPr>
        <w:tabs>
          <w:tab w:val="num" w:pos="2520"/>
        </w:tabs>
        <w:ind w:left="2520" w:hanging="360"/>
      </w:pPr>
    </w:lvl>
    <w:lvl w:ilvl="4" w:tplc="690C8CE8" w:tentative="1">
      <w:start w:val="1"/>
      <w:numFmt w:val="lowerLetter"/>
      <w:lvlText w:val="%5."/>
      <w:lvlJc w:val="left"/>
      <w:pPr>
        <w:tabs>
          <w:tab w:val="num" w:pos="3240"/>
        </w:tabs>
        <w:ind w:left="3240" w:hanging="360"/>
      </w:pPr>
    </w:lvl>
    <w:lvl w:ilvl="5" w:tplc="4962A272" w:tentative="1">
      <w:start w:val="1"/>
      <w:numFmt w:val="lowerRoman"/>
      <w:lvlText w:val="%6."/>
      <w:lvlJc w:val="right"/>
      <w:pPr>
        <w:tabs>
          <w:tab w:val="num" w:pos="3960"/>
        </w:tabs>
        <w:ind w:left="3960" w:hanging="180"/>
      </w:pPr>
    </w:lvl>
    <w:lvl w:ilvl="6" w:tplc="78945D1E" w:tentative="1">
      <w:start w:val="1"/>
      <w:numFmt w:val="decimal"/>
      <w:lvlText w:val="%7."/>
      <w:lvlJc w:val="left"/>
      <w:pPr>
        <w:tabs>
          <w:tab w:val="num" w:pos="4680"/>
        </w:tabs>
        <w:ind w:left="4680" w:hanging="360"/>
      </w:pPr>
    </w:lvl>
    <w:lvl w:ilvl="7" w:tplc="B8E839CA" w:tentative="1">
      <w:start w:val="1"/>
      <w:numFmt w:val="lowerLetter"/>
      <w:lvlText w:val="%8."/>
      <w:lvlJc w:val="left"/>
      <w:pPr>
        <w:tabs>
          <w:tab w:val="num" w:pos="5400"/>
        </w:tabs>
        <w:ind w:left="5400" w:hanging="360"/>
      </w:pPr>
    </w:lvl>
    <w:lvl w:ilvl="8" w:tplc="893C5FE0" w:tentative="1">
      <w:start w:val="1"/>
      <w:numFmt w:val="lowerRoman"/>
      <w:lvlText w:val="%9."/>
      <w:lvlJc w:val="right"/>
      <w:pPr>
        <w:tabs>
          <w:tab w:val="num" w:pos="6120"/>
        </w:tabs>
        <w:ind w:left="6120" w:hanging="180"/>
      </w:pPr>
    </w:lvl>
  </w:abstractNum>
  <w:abstractNum w:abstractNumId="4">
    <w:nsid w:val="31665D22"/>
    <w:multiLevelType w:val="hybridMultilevel"/>
    <w:tmpl w:val="7472993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7DAD244C"/>
    <w:multiLevelType w:val="hybridMultilevel"/>
    <w:tmpl w:val="6262AD34"/>
    <w:lvl w:ilvl="0" w:tplc="596AAB08">
      <w:start w:val="1"/>
      <w:numFmt w:val="bullet"/>
      <w:lvlText w:val=""/>
      <w:lvlJc w:val="left"/>
      <w:pPr>
        <w:tabs>
          <w:tab w:val="num" w:pos="720"/>
        </w:tabs>
        <w:ind w:left="720" w:hanging="360"/>
      </w:pPr>
      <w:rPr>
        <w:rFonts w:ascii="Symbol" w:hAnsi="Symbol" w:hint="default"/>
      </w:rPr>
    </w:lvl>
    <w:lvl w:ilvl="1" w:tplc="D7046240" w:tentative="1">
      <w:start w:val="1"/>
      <w:numFmt w:val="bullet"/>
      <w:lvlText w:val="o"/>
      <w:lvlJc w:val="left"/>
      <w:pPr>
        <w:tabs>
          <w:tab w:val="num" w:pos="1440"/>
        </w:tabs>
        <w:ind w:left="1440" w:hanging="360"/>
      </w:pPr>
      <w:rPr>
        <w:rFonts w:ascii="Courier New" w:hAnsi="Courier New" w:cs="Courier New" w:hint="default"/>
      </w:rPr>
    </w:lvl>
    <w:lvl w:ilvl="2" w:tplc="B840F75A" w:tentative="1">
      <w:start w:val="1"/>
      <w:numFmt w:val="bullet"/>
      <w:lvlText w:val=""/>
      <w:lvlJc w:val="left"/>
      <w:pPr>
        <w:tabs>
          <w:tab w:val="num" w:pos="2160"/>
        </w:tabs>
        <w:ind w:left="2160" w:hanging="360"/>
      </w:pPr>
      <w:rPr>
        <w:rFonts w:ascii="Wingdings" w:hAnsi="Wingdings" w:hint="default"/>
      </w:rPr>
    </w:lvl>
    <w:lvl w:ilvl="3" w:tplc="FAB0EFF0" w:tentative="1">
      <w:start w:val="1"/>
      <w:numFmt w:val="bullet"/>
      <w:lvlText w:val=""/>
      <w:lvlJc w:val="left"/>
      <w:pPr>
        <w:tabs>
          <w:tab w:val="num" w:pos="2880"/>
        </w:tabs>
        <w:ind w:left="2880" w:hanging="360"/>
      </w:pPr>
      <w:rPr>
        <w:rFonts w:ascii="Symbol" w:hAnsi="Symbol" w:hint="default"/>
      </w:rPr>
    </w:lvl>
    <w:lvl w:ilvl="4" w:tplc="7004EBD0" w:tentative="1">
      <w:start w:val="1"/>
      <w:numFmt w:val="bullet"/>
      <w:lvlText w:val="o"/>
      <w:lvlJc w:val="left"/>
      <w:pPr>
        <w:tabs>
          <w:tab w:val="num" w:pos="3600"/>
        </w:tabs>
        <w:ind w:left="3600" w:hanging="360"/>
      </w:pPr>
      <w:rPr>
        <w:rFonts w:ascii="Courier New" w:hAnsi="Courier New" w:cs="Courier New" w:hint="default"/>
      </w:rPr>
    </w:lvl>
    <w:lvl w:ilvl="5" w:tplc="1E2A8576" w:tentative="1">
      <w:start w:val="1"/>
      <w:numFmt w:val="bullet"/>
      <w:lvlText w:val=""/>
      <w:lvlJc w:val="left"/>
      <w:pPr>
        <w:tabs>
          <w:tab w:val="num" w:pos="4320"/>
        </w:tabs>
        <w:ind w:left="4320" w:hanging="360"/>
      </w:pPr>
      <w:rPr>
        <w:rFonts w:ascii="Wingdings" w:hAnsi="Wingdings" w:hint="default"/>
      </w:rPr>
    </w:lvl>
    <w:lvl w:ilvl="6" w:tplc="771E5A6C" w:tentative="1">
      <w:start w:val="1"/>
      <w:numFmt w:val="bullet"/>
      <w:lvlText w:val=""/>
      <w:lvlJc w:val="left"/>
      <w:pPr>
        <w:tabs>
          <w:tab w:val="num" w:pos="5040"/>
        </w:tabs>
        <w:ind w:left="5040" w:hanging="360"/>
      </w:pPr>
      <w:rPr>
        <w:rFonts w:ascii="Symbol" w:hAnsi="Symbol" w:hint="default"/>
      </w:rPr>
    </w:lvl>
    <w:lvl w:ilvl="7" w:tplc="78ACEDF4" w:tentative="1">
      <w:start w:val="1"/>
      <w:numFmt w:val="bullet"/>
      <w:lvlText w:val="o"/>
      <w:lvlJc w:val="left"/>
      <w:pPr>
        <w:tabs>
          <w:tab w:val="num" w:pos="5760"/>
        </w:tabs>
        <w:ind w:left="5760" w:hanging="360"/>
      </w:pPr>
      <w:rPr>
        <w:rFonts w:ascii="Courier New" w:hAnsi="Courier New" w:cs="Courier New" w:hint="default"/>
      </w:rPr>
    </w:lvl>
    <w:lvl w:ilvl="8" w:tplc="439C23E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rsids>
    <w:rsidRoot w:val="007F2426"/>
    <w:rsid w:val="0000480F"/>
    <w:rsid w:val="00006425"/>
    <w:rsid w:val="0004146E"/>
    <w:rsid w:val="000737DD"/>
    <w:rsid w:val="000B23B0"/>
    <w:rsid w:val="000E14CF"/>
    <w:rsid w:val="001467F8"/>
    <w:rsid w:val="00166F28"/>
    <w:rsid w:val="00183E5C"/>
    <w:rsid w:val="001965EA"/>
    <w:rsid w:val="001A6939"/>
    <w:rsid w:val="001C667F"/>
    <w:rsid w:val="001E1C8A"/>
    <w:rsid w:val="001E5A32"/>
    <w:rsid w:val="0020516E"/>
    <w:rsid w:val="002255D0"/>
    <w:rsid w:val="00231FAF"/>
    <w:rsid w:val="00240671"/>
    <w:rsid w:val="00276CEE"/>
    <w:rsid w:val="002A3493"/>
    <w:rsid w:val="002C0280"/>
    <w:rsid w:val="002E58AE"/>
    <w:rsid w:val="002E6DB2"/>
    <w:rsid w:val="00312F2C"/>
    <w:rsid w:val="0034275D"/>
    <w:rsid w:val="00365996"/>
    <w:rsid w:val="003C28CC"/>
    <w:rsid w:val="003C4D16"/>
    <w:rsid w:val="003E1B78"/>
    <w:rsid w:val="00414877"/>
    <w:rsid w:val="00435E89"/>
    <w:rsid w:val="00450505"/>
    <w:rsid w:val="00483AEB"/>
    <w:rsid w:val="004A18A5"/>
    <w:rsid w:val="004A4778"/>
    <w:rsid w:val="004E64BB"/>
    <w:rsid w:val="00536597"/>
    <w:rsid w:val="0053720C"/>
    <w:rsid w:val="00541238"/>
    <w:rsid w:val="00586CEC"/>
    <w:rsid w:val="005A54D9"/>
    <w:rsid w:val="005B605A"/>
    <w:rsid w:val="00623885"/>
    <w:rsid w:val="00694C10"/>
    <w:rsid w:val="006A25B5"/>
    <w:rsid w:val="00711B91"/>
    <w:rsid w:val="00732EE8"/>
    <w:rsid w:val="00740153"/>
    <w:rsid w:val="0074351B"/>
    <w:rsid w:val="007449A5"/>
    <w:rsid w:val="00795E6A"/>
    <w:rsid w:val="007A0A6B"/>
    <w:rsid w:val="007B256C"/>
    <w:rsid w:val="007D06EC"/>
    <w:rsid w:val="007F2426"/>
    <w:rsid w:val="0085381E"/>
    <w:rsid w:val="00853DA9"/>
    <w:rsid w:val="0085630B"/>
    <w:rsid w:val="00937E78"/>
    <w:rsid w:val="00985694"/>
    <w:rsid w:val="009A086A"/>
    <w:rsid w:val="009C5FC8"/>
    <w:rsid w:val="009F461D"/>
    <w:rsid w:val="009F4AA1"/>
    <w:rsid w:val="00A04123"/>
    <w:rsid w:val="00A1398E"/>
    <w:rsid w:val="00AD54A7"/>
    <w:rsid w:val="00AE2142"/>
    <w:rsid w:val="00AF6574"/>
    <w:rsid w:val="00B36DE8"/>
    <w:rsid w:val="00B51143"/>
    <w:rsid w:val="00B55205"/>
    <w:rsid w:val="00B65112"/>
    <w:rsid w:val="00B760C4"/>
    <w:rsid w:val="00BF0BE4"/>
    <w:rsid w:val="00C3350D"/>
    <w:rsid w:val="00C70795"/>
    <w:rsid w:val="00CB30FB"/>
    <w:rsid w:val="00CE6894"/>
    <w:rsid w:val="00D00D00"/>
    <w:rsid w:val="00D10EFF"/>
    <w:rsid w:val="00D14525"/>
    <w:rsid w:val="00D81051"/>
    <w:rsid w:val="00DA2311"/>
    <w:rsid w:val="00DD16EC"/>
    <w:rsid w:val="00DD79E4"/>
    <w:rsid w:val="00E235FF"/>
    <w:rsid w:val="00E412F4"/>
    <w:rsid w:val="00E814FF"/>
    <w:rsid w:val="00E9339C"/>
    <w:rsid w:val="00ED187A"/>
    <w:rsid w:val="00F10319"/>
    <w:rsid w:val="00F423A3"/>
    <w:rsid w:val="00F8025C"/>
    <w:rsid w:val="00FD73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3AEB"/>
    <w:rPr>
      <w:rFonts w:ascii="Arial" w:hAnsi="Arial"/>
      <w:sz w:val="22"/>
      <w:lang w:val="es-ES"/>
    </w:rPr>
  </w:style>
  <w:style w:type="paragraph" w:styleId="Heading1">
    <w:name w:val="heading 1"/>
    <w:basedOn w:val="Normal"/>
    <w:next w:val="Normal"/>
    <w:qFormat/>
    <w:rsid w:val="00483AEB"/>
    <w:pPr>
      <w:keepNext/>
      <w:outlineLvl w:val="0"/>
    </w:pPr>
    <w:rPr>
      <w:rFonts w:ascii="Times New Roman" w:hAnsi="Times New Roman"/>
      <w:b/>
      <w:bCs/>
      <w:sz w:val="24"/>
      <w:szCs w:val="24"/>
    </w:rPr>
  </w:style>
  <w:style w:type="paragraph" w:styleId="Heading2">
    <w:name w:val="heading 2"/>
    <w:basedOn w:val="Normal"/>
    <w:next w:val="Normal"/>
    <w:qFormat/>
    <w:rsid w:val="00483AEB"/>
    <w:pPr>
      <w:keepNext/>
      <w:ind w:left="650"/>
      <w:outlineLvl w:val="1"/>
    </w:pPr>
    <w:rPr>
      <w:rFonts w:ascii="Times New Roman" w:hAnsi="Times New Roman"/>
      <w:b/>
      <w:bCs/>
      <w:sz w:val="24"/>
      <w:szCs w:val="24"/>
      <w:u w:val="single"/>
      <w:lang w:val="es-ES_tradnl" w:eastAsia="es-ES"/>
    </w:rPr>
  </w:style>
  <w:style w:type="paragraph" w:styleId="Heading3">
    <w:name w:val="heading 3"/>
    <w:basedOn w:val="Normal"/>
    <w:next w:val="Normal"/>
    <w:qFormat/>
    <w:rsid w:val="00483AEB"/>
    <w:pPr>
      <w:keepNext/>
      <w:widowControl w:val="0"/>
      <w:outlineLvl w:val="2"/>
    </w:pPr>
    <w:rPr>
      <w:rFonts w:ascii="Times New Roman" w:hAnsi="Times New Roman"/>
      <w:b/>
      <w:sz w:val="20"/>
      <w:lang w:val="en-US"/>
    </w:rPr>
  </w:style>
  <w:style w:type="paragraph" w:styleId="Heading5">
    <w:name w:val="heading 5"/>
    <w:basedOn w:val="Normal"/>
    <w:next w:val="Normal"/>
    <w:qFormat/>
    <w:rsid w:val="00483AEB"/>
    <w:pPr>
      <w:keepNext/>
      <w:widowControl w:val="0"/>
      <w:ind w:left="720"/>
      <w:outlineLvl w:val="4"/>
    </w:pPr>
    <w:rPr>
      <w:b/>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83AEB"/>
    <w:pPr>
      <w:jc w:val="center"/>
    </w:pPr>
    <w:rPr>
      <w:b/>
      <w:bCs/>
      <w:sz w:val="20"/>
      <w:lang w:val="es-CO"/>
    </w:rPr>
  </w:style>
  <w:style w:type="paragraph" w:styleId="FootnoteText">
    <w:name w:val="footnote text"/>
    <w:basedOn w:val="Normal"/>
    <w:semiHidden/>
    <w:rsid w:val="00483AEB"/>
    <w:rPr>
      <w:rFonts w:ascii="Times New Roman" w:hAnsi="Times New Roman"/>
      <w:sz w:val="20"/>
      <w:lang w:val="en-US"/>
    </w:rPr>
  </w:style>
  <w:style w:type="paragraph" w:styleId="Header">
    <w:name w:val="header"/>
    <w:basedOn w:val="Normal"/>
    <w:rsid w:val="00483AEB"/>
    <w:pPr>
      <w:tabs>
        <w:tab w:val="center" w:pos="4320"/>
        <w:tab w:val="right" w:pos="8640"/>
      </w:tabs>
    </w:pPr>
    <w:rPr>
      <w:rFonts w:ascii="Times New Roman" w:hAnsi="Times New Roman"/>
      <w:sz w:val="24"/>
      <w:szCs w:val="24"/>
      <w:lang w:val="en-US"/>
    </w:rPr>
  </w:style>
  <w:style w:type="paragraph" w:styleId="Footer">
    <w:name w:val="footer"/>
    <w:basedOn w:val="Normal"/>
    <w:rsid w:val="00483AEB"/>
    <w:pPr>
      <w:tabs>
        <w:tab w:val="center" w:pos="4320"/>
        <w:tab w:val="right" w:pos="8640"/>
      </w:tabs>
    </w:pPr>
    <w:rPr>
      <w:rFonts w:ascii="Times New Roman" w:hAnsi="Times New Roman"/>
      <w:sz w:val="24"/>
      <w:szCs w:val="24"/>
      <w:lang w:val="en-US"/>
    </w:rPr>
  </w:style>
  <w:style w:type="paragraph" w:styleId="Subtitle">
    <w:name w:val="Subtitle"/>
    <w:basedOn w:val="Normal"/>
    <w:qFormat/>
    <w:rsid w:val="00483AEB"/>
    <w:pPr>
      <w:numPr>
        <w:numId w:val="1"/>
      </w:numPr>
    </w:pPr>
    <w:rPr>
      <w:b/>
      <w:sz w:val="20"/>
      <w:lang w:val="es-CO"/>
    </w:rPr>
  </w:style>
  <w:style w:type="paragraph" w:styleId="BalloonText">
    <w:name w:val="Balloon Text"/>
    <w:basedOn w:val="Normal"/>
    <w:semiHidden/>
    <w:rsid w:val="00483AEB"/>
    <w:rPr>
      <w:rFonts w:ascii="Tahoma" w:hAnsi="Tahoma"/>
      <w:sz w:val="16"/>
      <w:szCs w:val="16"/>
      <w:lang w:val="en-US"/>
    </w:rPr>
  </w:style>
  <w:style w:type="paragraph" w:styleId="BodyText2">
    <w:name w:val="Body Text 2"/>
    <w:basedOn w:val="Normal"/>
    <w:rsid w:val="00483AEB"/>
    <w:rPr>
      <w:rFonts w:ascii="Times New Roman" w:hAnsi="Times New Roman"/>
      <w:b/>
      <w:sz w:val="20"/>
    </w:rPr>
  </w:style>
  <w:style w:type="paragraph" w:styleId="BodyText3">
    <w:name w:val="Body Text 3"/>
    <w:basedOn w:val="Normal"/>
    <w:rsid w:val="00483AEB"/>
    <w:pPr>
      <w:jc w:val="both"/>
    </w:pPr>
    <w:rPr>
      <w:rFonts w:ascii="Times New Roman" w:hAnsi="Times New Roman"/>
      <w:sz w:val="24"/>
      <w:szCs w:val="24"/>
    </w:rPr>
  </w:style>
  <w:style w:type="character" w:styleId="FootnoteReference">
    <w:name w:val="footnote reference"/>
    <w:basedOn w:val="DefaultParagraphFont"/>
    <w:semiHidden/>
    <w:rsid w:val="00483AEB"/>
    <w:rPr>
      <w:vertAlign w:val="superscript"/>
    </w:rPr>
  </w:style>
  <w:style w:type="character" w:styleId="Hyperlink">
    <w:name w:val="Hyperlink"/>
    <w:basedOn w:val="DefaultParagraphFont"/>
    <w:rsid w:val="00483AEB"/>
    <w:rPr>
      <w:color w:val="0000FF"/>
      <w:u w:val="single"/>
    </w:rPr>
  </w:style>
  <w:style w:type="character" w:styleId="PageNumber">
    <w:name w:val="page number"/>
    <w:basedOn w:val="DefaultParagraphFont"/>
    <w:rsid w:val="00483AEB"/>
  </w:style>
  <w:style w:type="character" w:styleId="Strong">
    <w:name w:val="Strong"/>
    <w:basedOn w:val="DefaultParagraphFont"/>
    <w:qFormat/>
    <w:rsid w:val="00483AEB"/>
    <w:rPr>
      <w:b/>
      <w:bCs/>
    </w:rPr>
  </w:style>
  <w:style w:type="character" w:styleId="FollowedHyperlink">
    <w:name w:val="FollowedHyperlink"/>
    <w:basedOn w:val="DefaultParagraphFont"/>
    <w:rsid w:val="00483AEB"/>
    <w:rPr>
      <w:color w:val="800080"/>
      <w:u w:val="single"/>
    </w:rPr>
  </w:style>
  <w:style w:type="paragraph" w:customStyle="1" w:styleId="Chapter">
    <w:name w:val="Chapter"/>
    <w:basedOn w:val="Normal"/>
    <w:next w:val="Normal"/>
    <w:rsid w:val="00483AEB"/>
    <w:pPr>
      <w:numPr>
        <w:numId w:val="3"/>
      </w:numPr>
      <w:tabs>
        <w:tab w:val="left" w:pos="1440"/>
      </w:tabs>
      <w:spacing w:before="240" w:after="240"/>
      <w:jc w:val="center"/>
    </w:pPr>
    <w:rPr>
      <w:rFonts w:ascii="Times New Roman" w:hAnsi="Times New Roman"/>
      <w:b/>
      <w:smallCaps/>
      <w:sz w:val="24"/>
      <w:lang w:val="es-ES_tradnl"/>
    </w:rPr>
  </w:style>
  <w:style w:type="paragraph" w:customStyle="1" w:styleId="Paragraph">
    <w:name w:val="Paragraph"/>
    <w:aliases w:val="paragraph,p,PARAGRAPH,PG,pa,at"/>
    <w:basedOn w:val="BodyTextIndent"/>
    <w:rsid w:val="00483AEB"/>
    <w:pPr>
      <w:numPr>
        <w:ilvl w:val="1"/>
        <w:numId w:val="3"/>
      </w:numPr>
      <w:spacing w:before="120"/>
      <w:jc w:val="both"/>
      <w:outlineLvl w:val="1"/>
    </w:pPr>
    <w:rPr>
      <w:rFonts w:ascii="Times New Roman" w:hAnsi="Times New Roman"/>
      <w:sz w:val="24"/>
      <w:lang w:val="es-ES_tradnl"/>
    </w:rPr>
  </w:style>
  <w:style w:type="character" w:customStyle="1" w:styleId="notacreditos1">
    <w:name w:val="nota_creditos1"/>
    <w:basedOn w:val="DefaultParagraphFont"/>
    <w:rsid w:val="00483AEB"/>
    <w:rPr>
      <w:sz w:val="15"/>
      <w:szCs w:val="15"/>
    </w:rPr>
  </w:style>
  <w:style w:type="character" w:customStyle="1" w:styleId="textoresaltado1">
    <w:name w:val="textoresaltado1"/>
    <w:basedOn w:val="DefaultParagraphFont"/>
    <w:rsid w:val="00483AEB"/>
    <w:rPr>
      <w:rFonts w:ascii="Verdana" w:hAnsi="Verdana" w:hint="default"/>
      <w:b w:val="0"/>
      <w:bCs w:val="0"/>
      <w:i w:val="0"/>
      <w:iCs w:val="0"/>
      <w:caps w:val="0"/>
      <w:color w:val="3300FF"/>
      <w:sz w:val="16"/>
      <w:szCs w:val="16"/>
    </w:rPr>
  </w:style>
  <w:style w:type="paragraph" w:styleId="BodyTextIndent">
    <w:name w:val="Body Text Indent"/>
    <w:basedOn w:val="Normal"/>
    <w:rsid w:val="00483AEB"/>
    <w:pPr>
      <w:spacing w:after="120"/>
      <w:ind w:left="360"/>
    </w:pPr>
  </w:style>
  <w:style w:type="paragraph" w:customStyle="1" w:styleId="Default">
    <w:name w:val="Default"/>
    <w:rsid w:val="00483AEB"/>
    <w:pPr>
      <w:autoSpaceDE w:val="0"/>
      <w:autoSpaceDN w:val="0"/>
      <w:adjustRightInd w:val="0"/>
    </w:pPr>
    <w:rPr>
      <w:color w:val="000000"/>
      <w:sz w:val="24"/>
      <w:szCs w:val="24"/>
    </w:rPr>
  </w:style>
  <w:style w:type="paragraph" w:customStyle="1" w:styleId="subpar">
    <w:name w:val="subpar"/>
    <w:basedOn w:val="BodyTextIndent3"/>
    <w:rsid w:val="00483AEB"/>
    <w:pPr>
      <w:numPr>
        <w:ilvl w:val="3"/>
        <w:numId w:val="3"/>
      </w:numPr>
      <w:spacing w:before="120"/>
      <w:jc w:val="both"/>
      <w:outlineLvl w:val="2"/>
    </w:pPr>
    <w:rPr>
      <w:rFonts w:ascii="Times New Roman" w:hAnsi="Times New Roman"/>
      <w:sz w:val="24"/>
      <w:szCs w:val="20"/>
      <w:lang w:val="es-ES_tradnl"/>
    </w:rPr>
  </w:style>
  <w:style w:type="paragraph" w:styleId="BodyTextIndent3">
    <w:name w:val="Body Text Indent 3"/>
    <w:basedOn w:val="Normal"/>
    <w:rsid w:val="00483AEB"/>
    <w:pPr>
      <w:spacing w:after="120"/>
      <w:ind w:left="360"/>
    </w:pPr>
    <w:rPr>
      <w:sz w:val="16"/>
      <w:szCs w:val="16"/>
    </w:rPr>
  </w:style>
  <w:style w:type="paragraph" w:styleId="DocumentMap">
    <w:name w:val="Document Map"/>
    <w:basedOn w:val="Normal"/>
    <w:semiHidden/>
    <w:rsid w:val="007F2426"/>
    <w:pPr>
      <w:shd w:val="clear" w:color="auto" w:fill="000080"/>
    </w:pPr>
    <w:rPr>
      <w:rFonts w:ascii="Tahoma" w:hAnsi="Tahoma" w:cs="Tahoma"/>
      <w:sz w:val="20"/>
    </w:rPr>
  </w:style>
  <w:style w:type="paragraph" w:customStyle="1" w:styleId="SubSubPar">
    <w:name w:val="SubSubPar"/>
    <w:basedOn w:val="subpar"/>
    <w:rsid w:val="00694C10"/>
    <w:pPr>
      <w:numPr>
        <w:ilvl w:val="0"/>
        <w:numId w:val="0"/>
      </w:numPr>
      <w:tabs>
        <w:tab w:val="left" w:pos="0"/>
        <w:tab w:val="num" w:pos="720"/>
      </w:tabs>
      <w:ind w:left="720" w:hanging="720"/>
    </w:pPr>
    <w:rPr>
      <w:rFonts w:ascii="Arial" w:hAnsi="Arial"/>
      <w:lang w:val="en-US"/>
    </w:rPr>
  </w:style>
  <w:style w:type="paragraph" w:styleId="ListParagraph">
    <w:name w:val="List Paragraph"/>
    <w:basedOn w:val="Normal"/>
    <w:uiPriority w:val="34"/>
    <w:qFormat/>
    <w:rsid w:val="00240671"/>
    <w:pPr>
      <w:spacing w:after="200" w:line="276" w:lineRule="auto"/>
      <w:ind w:left="720"/>
      <w:contextualSpacing/>
    </w:pPr>
    <w:rPr>
      <w:rFonts w:asciiTheme="minorHAnsi" w:eastAsiaTheme="minorHAnsi" w:hAnsiTheme="minorHAnsi" w:cstheme="minorBidi"/>
      <w:szCs w:val="22"/>
      <w:lang w:val="es-MX"/>
    </w:rPr>
  </w:style>
</w:styles>
</file>

<file path=word/webSettings.xml><?xml version="1.0" encoding="utf-8"?>
<w:webSettings xmlns:r="http://schemas.openxmlformats.org/officeDocument/2006/relationships" xmlns:w="http://schemas.openxmlformats.org/wordprocessingml/2006/main">
  <w:divs>
    <w:div w:id="586304237">
      <w:bodyDiv w:val="1"/>
      <w:marLeft w:val="0"/>
      <w:marRight w:val="0"/>
      <w:marTop w:val="0"/>
      <w:marBottom w:val="0"/>
      <w:divBdr>
        <w:top w:val="none" w:sz="0" w:space="0" w:color="auto"/>
        <w:left w:val="none" w:sz="0" w:space="0" w:color="auto"/>
        <w:bottom w:val="none" w:sz="0" w:space="0" w:color="auto"/>
        <w:right w:val="none" w:sz="0" w:space="0" w:color="auto"/>
      </w:divBdr>
    </w:div>
    <w:div w:id="188798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dc05.iadb.org/idbppi/aspx/ppProcurement.aspx?pLanguage=SPANISH"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http://www.iadb.org"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6C694AD02DECE44B52D8543D6EE0DEE" ma:contentTypeVersion="1464" ma:contentTypeDescription="A content type to manage public (operations) IDB documents" ma:contentTypeScope="" ma:versionID="964c14fd49597941a490f0cf008b2f44">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36780880</IDBDocs_x0020_Number>
    <TaxCatchAll xmlns="cdc7663a-08f0-4737-9e8c-148ce897a09c">
      <Value>31</Value>
      <Value>2</Value>
      <Value>21</Value>
    </TaxCatchAll>
    <Phase xmlns="cdc7663a-08f0-4737-9e8c-148ce897a09c" xsi:nil="true"/>
    <SISCOR_x0020_Number xmlns="cdc7663a-08f0-4737-9e8c-148ce897a09c" xsi:nil="true"/>
    <Division_x0020_or_x0020_Unit xmlns="cdc7663a-08f0-4737-9e8c-148ce897a09c">CID/CME</Division_x0020_or_x0020_Unit>
    <Approval_x0020_Number xmlns="cdc7663a-08f0-4737-9e8c-148ce897a09c" xsi:nil="true"/>
    <Document_x0020_Author xmlns="cdc7663a-08f0-4737-9e8c-148ce897a09c">Ramirez Ramirez, Gmelina Juliana</Document_x0020_Author>
    <Fiscal_x0020_Year_x0020_IDB xmlns="cdc7663a-08f0-4737-9e8c-148ce897a09c">2012</Fiscal_x0020_Year_x0020_IDB>
    <Other_x0020_Author xmlns="cdc7663a-08f0-4737-9e8c-148ce897a09c" xsi:nil="true"/>
    <Project_x0020_Number xmlns="cdc7663a-08f0-4737-9e8c-148ce897a09c">ME-T1111</Project_x0020_Number>
    <Package_x0020_Code xmlns="cdc7663a-08f0-4737-9e8c-148ce897a09c" xsi:nil="true"/>
    <Key_x0020_Document xmlns="cdc7663a-08f0-4737-9e8c-148ce897a09c">false</Key_x0020_Document>
    <Migration_x0020_Info xmlns="cdc7663a-08f0-4737-9e8c-148ce897a09c">&lt;div class="ExternalClass7EC8C37207F44B43B9C40DEE001E48A5"&gt;MS WORDPAProcurement Plan1NPO-ME-T1111-Plan74856294&lt;/div&gt;</Migration_x0020_Info>
    <Operation_x0020_Type xmlns="cdc7663a-08f0-4737-9e8c-148ce897a09c" xsi:nil="true"/>
    <Record_x0020_Number xmlns="cdc7663a-08f0-4737-9e8c-148ce897a09c">R0002766353</Record_x0020_Number>
    <Document_x0020_Language_x0020_IDB xmlns="cdc7663a-08f0-4737-9e8c-148ce897a09c">Spanish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Procurement Plan</Disclosure_x0020_Activity>
    <Region xmlns="cdc7663a-08f0-4737-9e8c-148ce897a09c" xsi:nil="true"/>
    <_dlc_DocId xmlns="cdc7663a-08f0-4737-9e8c-148ce897a09c">EZSHARE-1879000907-45</_dlc_DocId>
    <Publication_x0020_Type xmlns="cdc7663a-08f0-4737-9e8c-148ce897a09c" xsi:nil="true"/>
    <Issue_x0020_Date xmlns="cdc7663a-08f0-4737-9e8c-148ce897a09c" xsi:nil="true"/>
    <KP_x0020_Topics xmlns="cdc7663a-08f0-4737-9e8c-148ce897a09c" xsi:nil="true"/>
    <Webtopic xmlns="cdc7663a-08f0-4737-9e8c-148ce897a09c">Climate Change and Renewable Energy</Webtopic>
    <Publishing_x0020_House xmlns="cdc7663a-08f0-4737-9e8c-148ce897a09c" xsi:nil="true"/>
    <Disclosed xmlns="cdc7663a-08f0-4737-9e8c-148ce897a09c">true</Disclosed>
    <_dlc_DocIdUrl xmlns="cdc7663a-08f0-4737-9e8c-148ce897a09c">
      <Url>https://idbg.sharepoint.com/teams/EZ-ME-TCP/ME-T1111/_layouts/15/DocIdRedir.aspx?ID=EZSHARE-1879000907-45</Url>
      <Description>EZSHARE-1879000907-45</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FAC0EAA-1339-4461-91C4-7B92731FDA4F}"/>
</file>

<file path=customXml/itemProps2.xml><?xml version="1.0" encoding="utf-8"?>
<ds:datastoreItem xmlns:ds="http://schemas.openxmlformats.org/officeDocument/2006/customXml" ds:itemID="{F1D23D35-423B-453C-8629-F00B8E09266F}"/>
</file>

<file path=customXml/itemProps3.xml><?xml version="1.0" encoding="utf-8"?>
<ds:datastoreItem xmlns:ds="http://schemas.openxmlformats.org/officeDocument/2006/customXml" ds:itemID="{08FB16AF-C6E7-4D61-8EAA-25BF28507637}"/>
</file>

<file path=customXml/itemProps4.xml><?xml version="1.0" encoding="utf-8"?>
<ds:datastoreItem xmlns:ds="http://schemas.openxmlformats.org/officeDocument/2006/customXml" ds:itemID="{72B8FA74-E644-4373-864F-25C1E9D0AFC3}"/>
</file>

<file path=customXml/itemProps5.xml><?xml version="1.0" encoding="utf-8"?>
<ds:datastoreItem xmlns:ds="http://schemas.openxmlformats.org/officeDocument/2006/customXml" ds:itemID="{F7DE6363-51E4-42EB-9329-3551219A26DA}"/>
</file>

<file path=customXml/itemProps6.xml><?xml version="1.0" encoding="utf-8"?>
<ds:datastoreItem xmlns:ds="http://schemas.openxmlformats.org/officeDocument/2006/customXml" ds:itemID="{D654AC21-680D-460B-963B-45E77780A1A1}"/>
</file>

<file path=docProps/app.xml><?xml version="1.0" encoding="utf-8"?>
<Properties xmlns="http://schemas.openxmlformats.org/officeDocument/2006/extended-properties" xmlns:vt="http://schemas.openxmlformats.org/officeDocument/2006/docPropsVTypes">
  <Template>Normal.dotm</Template>
  <TotalTime>76</TotalTime>
  <Pages>5</Pages>
  <Words>1174</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II</vt:lpstr>
    </vt:vector>
  </TitlesOfParts>
  <Company>Inter-American Development Bank</Company>
  <LinksUpToDate>false</LinksUpToDate>
  <CharactersWithSpaces>8169</CharactersWithSpaces>
  <SharedDoc>false</SharedDoc>
  <HLinks>
    <vt:vector size="18" baseType="variant">
      <vt:variant>
        <vt:i4>12583076</vt:i4>
      </vt:variant>
      <vt:variant>
        <vt:i4>6</vt:i4>
      </vt:variant>
      <vt:variant>
        <vt:i4>0</vt:i4>
      </vt:variant>
      <vt:variant>
        <vt:i4>5</vt:i4>
      </vt:variant>
      <vt:variant>
        <vt:lpwstr>C:\IeTemp\Temporary Internet Files\OLK7F\PLAN ADQUISICIONES 9852- MATRIZ BID-AVANCEa_jun07.xls</vt:lpwstr>
      </vt:variant>
      <vt:variant>
        <vt:lpwstr>RANGE!#¡REF!#RANGE!#¡REF!</vt:lpwstr>
      </vt:variant>
      <vt:variant>
        <vt:i4>1638472</vt:i4>
      </vt:variant>
      <vt:variant>
        <vt:i4>3</vt:i4>
      </vt:variant>
      <vt:variant>
        <vt:i4>0</vt:i4>
      </vt:variant>
      <vt:variant>
        <vt:i4>5</vt:i4>
      </vt:variant>
      <vt:variant>
        <vt:lpwstr>http://condc05.iadb.org/idbppi/aspx/ppProcurement.aspx?pLanguage=SPANISH</vt:lpwstr>
      </vt:variant>
      <vt:variant>
        <vt:lpwstr/>
      </vt:variant>
      <vt:variant>
        <vt:i4>5570651</vt:i4>
      </vt:variant>
      <vt:variant>
        <vt:i4>0</vt:i4>
      </vt:variant>
      <vt:variant>
        <vt:i4>0</vt:i4>
      </vt:variant>
      <vt:variant>
        <vt:i4>5</vt:i4>
      </vt:variant>
      <vt:variant>
        <vt:lpwstr>http://www.iadb.org/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adquisiciones actualizado abril 2012</dc:title>
  <dc:subject/>
  <dc:creator>DAVIDW</dc:creator>
  <cp:keywords/>
  <dc:description/>
  <cp:lastModifiedBy>IADB</cp:lastModifiedBy>
  <cp:revision>9</cp:revision>
  <cp:lastPrinted>2012-04-04T18:01:00Z</cp:lastPrinted>
  <dcterms:created xsi:type="dcterms:W3CDTF">2012-04-04T16:49:00Z</dcterms:created>
  <dcterms:modified xsi:type="dcterms:W3CDTF">2012-04-17T16:59:00Z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0x0101001A458A224826124E8B45B1D613300CFC0096C694AD02DECE44B52D8543D6EE0DEE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8" name="Country">
    <vt:lpwstr>31;#Mexico|0eba6470-e7ea-46fd-a959-d4c243acaf26</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3" name="Sector IDB">
    <vt:lpwstr/>
  </property>
  <property fmtid="{D5CDD505-2E9C-101B-9397-08002B2CF9AE}" pid="14" name="Function Operations IDB">
    <vt:lpwstr>2;#Project Preparation, Planning and Design|29ca0c72-1fc4-435f-a09c-28585cb5eac9</vt:lpwstr>
  </property>
  <property fmtid="{D5CDD505-2E9C-101B-9397-08002B2CF9AE}" pid="15" name="Sub-Sector">
    <vt:lpwstr/>
  </property>
  <property fmtid="{D5CDD505-2E9C-101B-9397-08002B2CF9AE}" pid="16" name="Order">
    <vt:r8>4500</vt:r8>
  </property>
  <property fmtid="{D5CDD505-2E9C-101B-9397-08002B2CF9AE}" pid="17" name="_dlc_DocIdItemGuid">
    <vt:lpwstr>ce9390c8-7346-40d6-8ad3-ba0afe69685c</vt:lpwstr>
  </property>
</Properties>
</file>