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3D3B8" w14:textId="77777777" w:rsidR="00DD2CB1" w:rsidRPr="0049576D" w:rsidRDefault="0049576D" w:rsidP="003F39E8">
      <w:pPr>
        <w:autoSpaceDE w:val="0"/>
        <w:autoSpaceDN w:val="0"/>
        <w:adjustRightInd w:val="0"/>
        <w:jc w:val="center"/>
        <w:rPr>
          <w:rFonts w:ascii="Arial" w:hAnsi="Arial" w:cs="Arial"/>
          <w:b/>
          <w:smallCaps/>
        </w:rPr>
      </w:pPr>
      <w:r w:rsidRPr="0049576D">
        <w:rPr>
          <w:rFonts w:ascii="Arial" w:hAnsi="Arial" w:cs="Arial"/>
          <w:b/>
          <w:smallCaps/>
        </w:rPr>
        <w:t xml:space="preserve">Acuerdos </w:t>
      </w:r>
      <w:r>
        <w:rPr>
          <w:rFonts w:ascii="Arial" w:hAnsi="Arial" w:cs="Arial"/>
          <w:b/>
          <w:smallCaps/>
        </w:rPr>
        <w:t>y</w:t>
      </w:r>
      <w:r w:rsidRPr="0049576D">
        <w:rPr>
          <w:rFonts w:ascii="Arial" w:hAnsi="Arial" w:cs="Arial"/>
          <w:b/>
          <w:smallCaps/>
        </w:rPr>
        <w:t xml:space="preserve"> Requisitos Fiduciarios</w:t>
      </w:r>
    </w:p>
    <w:p w14:paraId="7CFE22AA" w14:textId="77777777" w:rsidR="00DD2CB1" w:rsidRPr="0049576D" w:rsidRDefault="00DD2CB1" w:rsidP="00B13A41">
      <w:pPr>
        <w:autoSpaceDE w:val="0"/>
        <w:autoSpaceDN w:val="0"/>
        <w:adjustRightInd w:val="0"/>
        <w:jc w:val="both"/>
        <w:rPr>
          <w:rFonts w:ascii="Arial" w:hAnsi="Arial" w:cs="Arial"/>
          <w:i/>
          <w:smallCaps/>
          <w:sz w:val="22"/>
          <w:szCs w:val="22"/>
        </w:rPr>
      </w:pPr>
    </w:p>
    <w:p w14:paraId="3C84D862" w14:textId="77777777" w:rsidR="00233F6C" w:rsidRPr="0049576D" w:rsidRDefault="0049576D" w:rsidP="0049576D">
      <w:pPr>
        <w:autoSpaceDE w:val="0"/>
        <w:autoSpaceDN w:val="0"/>
        <w:adjustRightInd w:val="0"/>
        <w:ind w:left="2880" w:hanging="2880"/>
        <w:jc w:val="both"/>
        <w:rPr>
          <w:rFonts w:ascii="Arial" w:hAnsi="Arial" w:cs="Arial"/>
          <w:b/>
          <w:sz w:val="22"/>
          <w:szCs w:val="22"/>
        </w:rPr>
      </w:pPr>
      <w:r w:rsidRPr="0049576D">
        <w:rPr>
          <w:rFonts w:ascii="Arial" w:hAnsi="Arial" w:cs="Arial"/>
          <w:b/>
          <w:smallCaps/>
          <w:sz w:val="22"/>
          <w:szCs w:val="22"/>
        </w:rPr>
        <w:t>País:</w:t>
      </w:r>
      <w:r w:rsidRPr="0049576D">
        <w:rPr>
          <w:rFonts w:ascii="Arial" w:hAnsi="Arial" w:cs="Arial"/>
          <w:sz w:val="22"/>
          <w:szCs w:val="22"/>
        </w:rPr>
        <w:t xml:space="preserve"> </w:t>
      </w:r>
      <w:r w:rsidR="00233F6C" w:rsidRPr="0049576D">
        <w:rPr>
          <w:rFonts w:ascii="Arial" w:hAnsi="Arial" w:cs="Arial"/>
          <w:sz w:val="22"/>
          <w:szCs w:val="22"/>
        </w:rPr>
        <w:tab/>
        <w:t>Colombia</w:t>
      </w:r>
    </w:p>
    <w:p w14:paraId="4F6DEE8F" w14:textId="77777777" w:rsidR="00233F6C" w:rsidRPr="0049576D" w:rsidRDefault="0049576D" w:rsidP="0049576D">
      <w:pPr>
        <w:autoSpaceDE w:val="0"/>
        <w:autoSpaceDN w:val="0"/>
        <w:adjustRightInd w:val="0"/>
        <w:ind w:left="2880" w:hanging="2880"/>
        <w:jc w:val="both"/>
        <w:rPr>
          <w:rFonts w:ascii="Arial" w:hAnsi="Arial" w:cs="Arial"/>
          <w:sz w:val="22"/>
          <w:szCs w:val="22"/>
        </w:rPr>
      </w:pPr>
      <w:r w:rsidRPr="0049576D">
        <w:rPr>
          <w:rFonts w:ascii="Arial" w:hAnsi="Arial" w:cs="Arial"/>
          <w:b/>
          <w:smallCaps/>
          <w:sz w:val="22"/>
          <w:szCs w:val="22"/>
        </w:rPr>
        <w:t xml:space="preserve">Proyecto </w:t>
      </w:r>
      <w:proofErr w:type="spellStart"/>
      <w:r w:rsidRPr="0049576D">
        <w:rPr>
          <w:rFonts w:ascii="Arial" w:hAnsi="Arial" w:cs="Arial"/>
          <w:b/>
          <w:smallCaps/>
          <w:sz w:val="22"/>
          <w:szCs w:val="22"/>
        </w:rPr>
        <w:t>Nº</w:t>
      </w:r>
      <w:proofErr w:type="spellEnd"/>
      <w:r w:rsidR="00A67D6A">
        <w:rPr>
          <w:rFonts w:ascii="Arial" w:hAnsi="Arial" w:cs="Arial"/>
          <w:b/>
          <w:smallCaps/>
          <w:sz w:val="22"/>
          <w:szCs w:val="22"/>
        </w:rPr>
        <w:t>:</w:t>
      </w:r>
      <w:r w:rsidRPr="0049576D">
        <w:rPr>
          <w:rFonts w:ascii="Arial" w:hAnsi="Arial" w:cs="Arial"/>
          <w:sz w:val="22"/>
          <w:szCs w:val="22"/>
        </w:rPr>
        <w:t xml:space="preserve"> </w:t>
      </w:r>
      <w:r w:rsidR="00233F6C" w:rsidRPr="0049576D">
        <w:rPr>
          <w:rFonts w:ascii="Arial" w:hAnsi="Arial" w:cs="Arial"/>
          <w:sz w:val="22"/>
          <w:szCs w:val="22"/>
        </w:rPr>
        <w:tab/>
        <w:t>CO-</w:t>
      </w:r>
      <w:r w:rsidR="00784CD6" w:rsidRPr="0049576D">
        <w:rPr>
          <w:rFonts w:ascii="Arial" w:hAnsi="Arial" w:cs="Arial"/>
          <w:sz w:val="22"/>
          <w:szCs w:val="22"/>
        </w:rPr>
        <w:t>L1</w:t>
      </w:r>
      <w:r w:rsidR="00D47B36" w:rsidRPr="0049576D">
        <w:rPr>
          <w:rFonts w:ascii="Arial" w:hAnsi="Arial" w:cs="Arial"/>
          <w:sz w:val="22"/>
          <w:szCs w:val="22"/>
        </w:rPr>
        <w:t>222</w:t>
      </w:r>
      <w:r w:rsidR="00233F6C" w:rsidRPr="0049576D">
        <w:rPr>
          <w:rFonts w:ascii="Arial" w:hAnsi="Arial" w:cs="Arial"/>
          <w:sz w:val="22"/>
          <w:szCs w:val="22"/>
        </w:rPr>
        <w:t xml:space="preserve">   </w:t>
      </w:r>
    </w:p>
    <w:p w14:paraId="4765BE50" w14:textId="16C46053" w:rsidR="00233F6C" w:rsidRPr="0049576D" w:rsidRDefault="0049576D" w:rsidP="0049576D">
      <w:pPr>
        <w:autoSpaceDE w:val="0"/>
        <w:autoSpaceDN w:val="0"/>
        <w:adjustRightInd w:val="0"/>
        <w:ind w:left="2880" w:hanging="2880"/>
        <w:jc w:val="both"/>
        <w:rPr>
          <w:rFonts w:ascii="Arial" w:hAnsi="Arial" w:cs="Arial"/>
          <w:sz w:val="22"/>
          <w:szCs w:val="22"/>
        </w:rPr>
      </w:pPr>
      <w:r w:rsidRPr="0049576D">
        <w:rPr>
          <w:rFonts w:ascii="Arial" w:hAnsi="Arial" w:cs="Arial"/>
          <w:b/>
          <w:smallCaps/>
          <w:sz w:val="22"/>
          <w:szCs w:val="22"/>
        </w:rPr>
        <w:t>Nombre:</w:t>
      </w:r>
      <w:r w:rsidRPr="0049576D">
        <w:rPr>
          <w:rFonts w:ascii="Arial" w:hAnsi="Arial" w:cs="Arial"/>
          <w:sz w:val="22"/>
          <w:szCs w:val="22"/>
        </w:rPr>
        <w:t xml:space="preserve"> </w:t>
      </w:r>
      <w:r w:rsidR="00233F6C" w:rsidRPr="0049576D">
        <w:rPr>
          <w:rFonts w:ascii="Arial" w:hAnsi="Arial" w:cs="Arial"/>
          <w:sz w:val="22"/>
          <w:szCs w:val="22"/>
        </w:rPr>
        <w:tab/>
      </w:r>
      <w:r w:rsidR="003D777B">
        <w:rPr>
          <w:rFonts w:ascii="Arial" w:hAnsi="Arial" w:cs="Arial"/>
          <w:sz w:val="22"/>
          <w:szCs w:val="22"/>
        </w:rPr>
        <w:t xml:space="preserve">Cuarto </w:t>
      </w:r>
      <w:bookmarkStart w:id="0" w:name="_GoBack"/>
      <w:bookmarkEnd w:id="0"/>
      <w:r w:rsidR="00D47B36" w:rsidRPr="0049576D">
        <w:rPr>
          <w:rFonts w:ascii="Arial" w:hAnsi="Arial" w:cs="Arial"/>
          <w:sz w:val="22"/>
          <w:szCs w:val="22"/>
        </w:rPr>
        <w:t>Programa para el Financiamiento de Proyectos de Inversión, Reconversión Productiva y Desarrollo Exportador</w:t>
      </w:r>
    </w:p>
    <w:p w14:paraId="2542DF27" w14:textId="1F9782C9" w:rsidR="00B842EF" w:rsidRPr="0049576D" w:rsidRDefault="0049576D" w:rsidP="0049576D">
      <w:pPr>
        <w:autoSpaceDE w:val="0"/>
        <w:autoSpaceDN w:val="0"/>
        <w:adjustRightInd w:val="0"/>
        <w:ind w:left="2880" w:hanging="2880"/>
        <w:jc w:val="both"/>
        <w:rPr>
          <w:rFonts w:ascii="Arial" w:hAnsi="Arial" w:cs="Arial"/>
          <w:b/>
          <w:smallCaps/>
          <w:sz w:val="22"/>
          <w:szCs w:val="22"/>
        </w:rPr>
      </w:pPr>
      <w:r w:rsidRPr="0049576D">
        <w:rPr>
          <w:rFonts w:ascii="Arial" w:hAnsi="Arial" w:cs="Arial"/>
          <w:b/>
          <w:smallCaps/>
          <w:sz w:val="22"/>
          <w:szCs w:val="22"/>
        </w:rPr>
        <w:t>Organismo Ejecutor</w:t>
      </w:r>
      <w:r w:rsidR="00410FF4">
        <w:rPr>
          <w:rFonts w:ascii="Arial" w:hAnsi="Arial" w:cs="Arial"/>
          <w:b/>
          <w:smallCaps/>
          <w:sz w:val="22"/>
          <w:szCs w:val="22"/>
        </w:rPr>
        <w:t xml:space="preserve"> (OE)</w:t>
      </w:r>
    </w:p>
    <w:p w14:paraId="117797B7" w14:textId="760179E6" w:rsidR="00233F6C" w:rsidRPr="0049576D" w:rsidRDefault="0049576D" w:rsidP="0049576D">
      <w:pPr>
        <w:autoSpaceDE w:val="0"/>
        <w:autoSpaceDN w:val="0"/>
        <w:adjustRightInd w:val="0"/>
        <w:ind w:left="2880" w:hanging="2880"/>
        <w:jc w:val="both"/>
        <w:rPr>
          <w:rFonts w:ascii="Arial" w:hAnsi="Arial" w:cs="Arial"/>
          <w:sz w:val="22"/>
          <w:szCs w:val="22"/>
        </w:rPr>
      </w:pPr>
      <w:r>
        <w:rPr>
          <w:rFonts w:ascii="Arial" w:hAnsi="Arial" w:cs="Arial"/>
          <w:b/>
          <w:smallCaps/>
          <w:sz w:val="22"/>
          <w:szCs w:val="22"/>
        </w:rPr>
        <w:t>y</w:t>
      </w:r>
      <w:r w:rsidRPr="0049576D">
        <w:rPr>
          <w:rFonts w:ascii="Arial" w:hAnsi="Arial" w:cs="Arial"/>
          <w:b/>
          <w:smallCaps/>
          <w:sz w:val="22"/>
          <w:szCs w:val="22"/>
        </w:rPr>
        <w:t xml:space="preserve"> Prestatario:</w:t>
      </w:r>
      <w:r w:rsidRPr="0049576D">
        <w:rPr>
          <w:rFonts w:ascii="Arial" w:hAnsi="Arial" w:cs="Arial"/>
          <w:sz w:val="22"/>
          <w:szCs w:val="22"/>
        </w:rPr>
        <w:t xml:space="preserve"> </w:t>
      </w:r>
      <w:r w:rsidR="00B842EF" w:rsidRPr="0049576D">
        <w:rPr>
          <w:rFonts w:ascii="Arial" w:hAnsi="Arial" w:cs="Arial"/>
          <w:sz w:val="22"/>
          <w:szCs w:val="22"/>
        </w:rPr>
        <w:tab/>
      </w:r>
      <w:r w:rsidR="00CB43A5" w:rsidRPr="0049576D">
        <w:rPr>
          <w:rFonts w:ascii="Arial" w:hAnsi="Arial" w:cs="Arial"/>
          <w:sz w:val="22"/>
          <w:szCs w:val="22"/>
        </w:rPr>
        <w:t>Banco de Comercio Exterior de Colombia</w:t>
      </w:r>
      <w:r w:rsidR="002B3B49">
        <w:rPr>
          <w:rFonts w:ascii="Arial" w:hAnsi="Arial" w:cs="Arial"/>
          <w:sz w:val="22"/>
          <w:szCs w:val="22"/>
        </w:rPr>
        <w:t xml:space="preserve"> S.A.</w:t>
      </w:r>
      <w:r w:rsidR="00207A47">
        <w:rPr>
          <w:rFonts w:ascii="Arial" w:hAnsi="Arial" w:cs="Arial"/>
          <w:sz w:val="22"/>
          <w:szCs w:val="22"/>
        </w:rPr>
        <w:t xml:space="preserve"> (</w:t>
      </w:r>
      <w:r w:rsidR="00F97BA3" w:rsidRPr="0049576D">
        <w:rPr>
          <w:rFonts w:ascii="Arial" w:hAnsi="Arial" w:cs="Arial"/>
          <w:sz w:val="22"/>
          <w:szCs w:val="22"/>
        </w:rPr>
        <w:t>Bancóldex</w:t>
      </w:r>
      <w:r w:rsidR="00207A47">
        <w:rPr>
          <w:rFonts w:ascii="Arial" w:hAnsi="Arial" w:cs="Arial"/>
          <w:sz w:val="22"/>
          <w:szCs w:val="22"/>
        </w:rPr>
        <w:t>)</w:t>
      </w:r>
    </w:p>
    <w:p w14:paraId="3403F1F7" w14:textId="77777777" w:rsidR="00233F6C" w:rsidRPr="0049576D" w:rsidRDefault="0049576D" w:rsidP="0049576D">
      <w:pPr>
        <w:autoSpaceDE w:val="0"/>
        <w:autoSpaceDN w:val="0"/>
        <w:adjustRightInd w:val="0"/>
        <w:ind w:left="2880" w:hanging="2880"/>
        <w:jc w:val="both"/>
        <w:rPr>
          <w:rFonts w:ascii="Arial" w:hAnsi="Arial" w:cs="Arial"/>
          <w:sz w:val="22"/>
          <w:szCs w:val="22"/>
        </w:rPr>
      </w:pPr>
      <w:r w:rsidRPr="0049576D">
        <w:rPr>
          <w:rFonts w:ascii="Arial" w:hAnsi="Arial" w:cs="Arial"/>
          <w:b/>
          <w:smallCaps/>
          <w:sz w:val="22"/>
          <w:szCs w:val="22"/>
        </w:rPr>
        <w:t>Preparado Por:</w:t>
      </w:r>
      <w:r w:rsidRPr="0049576D">
        <w:rPr>
          <w:rFonts w:ascii="Arial" w:hAnsi="Arial" w:cs="Arial"/>
          <w:sz w:val="22"/>
          <w:szCs w:val="22"/>
        </w:rPr>
        <w:t xml:space="preserve"> </w:t>
      </w:r>
      <w:r w:rsidR="00233F6C" w:rsidRPr="0049576D">
        <w:rPr>
          <w:rFonts w:ascii="Arial" w:hAnsi="Arial" w:cs="Arial"/>
          <w:sz w:val="22"/>
          <w:szCs w:val="22"/>
        </w:rPr>
        <w:tab/>
      </w:r>
      <w:r w:rsidR="00DD2065" w:rsidRPr="0049576D">
        <w:rPr>
          <w:rFonts w:ascii="Arial" w:hAnsi="Arial" w:cs="Arial"/>
          <w:sz w:val="22"/>
          <w:szCs w:val="22"/>
        </w:rPr>
        <w:t>M</w:t>
      </w:r>
      <w:r w:rsidR="00233F6C" w:rsidRPr="0049576D">
        <w:rPr>
          <w:rFonts w:ascii="Arial" w:hAnsi="Arial" w:cs="Arial"/>
          <w:sz w:val="22"/>
          <w:szCs w:val="22"/>
        </w:rPr>
        <w:t>ylenna Cárdenas</w:t>
      </w:r>
      <w:r w:rsidR="003A66E4" w:rsidRPr="0049576D">
        <w:rPr>
          <w:rFonts w:ascii="Arial" w:hAnsi="Arial" w:cs="Arial"/>
          <w:sz w:val="22"/>
          <w:szCs w:val="22"/>
        </w:rPr>
        <w:t xml:space="preserve"> García</w:t>
      </w:r>
      <w:r w:rsidR="00233F6C" w:rsidRPr="0049576D">
        <w:rPr>
          <w:rFonts w:ascii="Arial" w:hAnsi="Arial" w:cs="Arial"/>
          <w:sz w:val="22"/>
          <w:szCs w:val="22"/>
        </w:rPr>
        <w:t>, Especialista</w:t>
      </w:r>
      <w:r w:rsidR="003A66E4" w:rsidRPr="0049576D">
        <w:rPr>
          <w:rFonts w:ascii="Arial" w:hAnsi="Arial" w:cs="Arial"/>
          <w:sz w:val="22"/>
          <w:szCs w:val="22"/>
        </w:rPr>
        <w:t xml:space="preserve"> Fiduciario</w:t>
      </w:r>
      <w:r w:rsidR="00233F6C" w:rsidRPr="0049576D">
        <w:rPr>
          <w:rFonts w:ascii="Arial" w:hAnsi="Arial" w:cs="Arial"/>
          <w:sz w:val="22"/>
          <w:szCs w:val="22"/>
        </w:rPr>
        <w:t xml:space="preserve"> en Gestión Financiera</w:t>
      </w:r>
    </w:p>
    <w:p w14:paraId="16666A33" w14:textId="77777777" w:rsidR="00233F6C" w:rsidRPr="0049576D" w:rsidRDefault="00D47B36" w:rsidP="0049576D">
      <w:pPr>
        <w:autoSpaceDE w:val="0"/>
        <w:autoSpaceDN w:val="0"/>
        <w:adjustRightInd w:val="0"/>
        <w:ind w:left="2880"/>
        <w:jc w:val="both"/>
        <w:rPr>
          <w:rFonts w:ascii="Arial" w:hAnsi="Arial" w:cs="Arial"/>
          <w:sz w:val="22"/>
          <w:szCs w:val="22"/>
        </w:rPr>
      </w:pPr>
      <w:r w:rsidRPr="0049576D">
        <w:rPr>
          <w:rFonts w:ascii="Arial" w:hAnsi="Arial" w:cs="Arial"/>
          <w:sz w:val="22"/>
          <w:szCs w:val="22"/>
        </w:rPr>
        <w:t xml:space="preserve">Eugenio </w:t>
      </w:r>
      <w:proofErr w:type="spellStart"/>
      <w:r w:rsidRPr="0049576D">
        <w:rPr>
          <w:rFonts w:ascii="Arial" w:hAnsi="Arial" w:cs="Arial"/>
          <w:sz w:val="22"/>
          <w:szCs w:val="22"/>
        </w:rPr>
        <w:t>Hillman</w:t>
      </w:r>
      <w:proofErr w:type="spellEnd"/>
      <w:r w:rsidR="00233F6C" w:rsidRPr="0049576D">
        <w:rPr>
          <w:rFonts w:ascii="Arial" w:hAnsi="Arial" w:cs="Arial"/>
          <w:sz w:val="22"/>
          <w:szCs w:val="22"/>
        </w:rPr>
        <w:t xml:space="preserve">, Especialista </w:t>
      </w:r>
      <w:r w:rsidR="003A66E4" w:rsidRPr="0049576D">
        <w:rPr>
          <w:rFonts w:ascii="Arial" w:hAnsi="Arial" w:cs="Arial"/>
          <w:sz w:val="22"/>
          <w:szCs w:val="22"/>
        </w:rPr>
        <w:t xml:space="preserve">Fiduciario </w:t>
      </w:r>
      <w:r w:rsidR="00233F6C" w:rsidRPr="0049576D">
        <w:rPr>
          <w:rFonts w:ascii="Arial" w:hAnsi="Arial" w:cs="Arial"/>
          <w:sz w:val="22"/>
          <w:szCs w:val="22"/>
        </w:rPr>
        <w:t>en Adquisiciones</w:t>
      </w:r>
    </w:p>
    <w:p w14:paraId="7204D55B" w14:textId="77777777" w:rsidR="00DD2CB1" w:rsidRPr="0049576D" w:rsidRDefault="0049576D"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Resumen Ejecutivo</w:t>
      </w:r>
    </w:p>
    <w:p w14:paraId="3E79F20E" w14:textId="23234453" w:rsidR="009D6EF5" w:rsidRPr="0049576D" w:rsidRDefault="00F97BA3" w:rsidP="0049576D">
      <w:pPr>
        <w:pStyle w:val="ListParagraph"/>
        <w:numPr>
          <w:ilvl w:val="0"/>
          <w:numId w:val="31"/>
        </w:numPr>
        <w:autoSpaceDE w:val="0"/>
        <w:autoSpaceDN w:val="0"/>
        <w:adjustRightInd w:val="0"/>
        <w:ind w:left="540" w:hanging="540"/>
        <w:jc w:val="both"/>
        <w:rPr>
          <w:rFonts w:ascii="Arial" w:hAnsi="Arial" w:cs="Arial"/>
          <w:sz w:val="22"/>
          <w:szCs w:val="22"/>
        </w:rPr>
      </w:pPr>
      <w:bookmarkStart w:id="1" w:name="_Hlk495243452"/>
      <w:r w:rsidRPr="0049576D">
        <w:rPr>
          <w:rFonts w:ascii="Arial" w:hAnsi="Arial" w:cs="Arial"/>
          <w:sz w:val="22"/>
          <w:szCs w:val="22"/>
        </w:rPr>
        <w:t>Bancóldex</w:t>
      </w:r>
      <w:bookmarkEnd w:id="1"/>
      <w:r w:rsidRPr="0049576D">
        <w:rPr>
          <w:rFonts w:ascii="Arial" w:hAnsi="Arial" w:cs="Arial"/>
          <w:sz w:val="22"/>
          <w:szCs w:val="22"/>
        </w:rPr>
        <w:t xml:space="preserve"> </w:t>
      </w:r>
      <w:r w:rsidR="00597EFB" w:rsidRPr="0049576D">
        <w:rPr>
          <w:rFonts w:ascii="Arial" w:hAnsi="Arial" w:cs="Arial"/>
          <w:sz w:val="22"/>
          <w:szCs w:val="22"/>
        </w:rPr>
        <w:t xml:space="preserve">es una entidad financiera de segundo piso, con personería jurídica, autonomía administrativa y patrimonio propio; sometida a la vigilancia de la Superintendencia Financiera, y vinculada al Ministerio de Comercio, Industria y Turismo (MCIT). </w:t>
      </w:r>
      <w:r w:rsidRPr="0049576D">
        <w:rPr>
          <w:rFonts w:ascii="Arial" w:hAnsi="Arial" w:cs="Arial"/>
          <w:sz w:val="22"/>
          <w:szCs w:val="22"/>
        </w:rPr>
        <w:t>Bancóldex</w:t>
      </w:r>
      <w:r w:rsidR="00DD2065" w:rsidRPr="0049576D">
        <w:rPr>
          <w:rFonts w:ascii="Arial" w:hAnsi="Arial" w:cs="Arial"/>
          <w:sz w:val="22"/>
          <w:szCs w:val="22"/>
        </w:rPr>
        <w:t xml:space="preserve"> </w:t>
      </w:r>
      <w:r w:rsidR="00C313DB" w:rsidRPr="0049576D">
        <w:rPr>
          <w:rFonts w:ascii="Arial" w:hAnsi="Arial" w:cs="Arial"/>
          <w:sz w:val="22"/>
          <w:szCs w:val="22"/>
        </w:rPr>
        <w:t xml:space="preserve">tiene experiencia en </w:t>
      </w:r>
      <w:r w:rsidR="00654314" w:rsidRPr="0049576D">
        <w:rPr>
          <w:rFonts w:ascii="Arial" w:hAnsi="Arial" w:cs="Arial"/>
          <w:sz w:val="22"/>
          <w:szCs w:val="22"/>
        </w:rPr>
        <w:t xml:space="preserve">la ejecución de </w:t>
      </w:r>
      <w:r w:rsidR="00322EE5" w:rsidRPr="0049576D">
        <w:rPr>
          <w:rFonts w:ascii="Arial" w:hAnsi="Arial" w:cs="Arial"/>
          <w:sz w:val="22"/>
          <w:szCs w:val="22"/>
        </w:rPr>
        <w:t>p</w:t>
      </w:r>
      <w:r w:rsidR="00DD2065" w:rsidRPr="0049576D">
        <w:rPr>
          <w:rFonts w:ascii="Arial" w:hAnsi="Arial" w:cs="Arial"/>
          <w:sz w:val="22"/>
          <w:szCs w:val="22"/>
        </w:rPr>
        <w:t>ro</w:t>
      </w:r>
      <w:r w:rsidR="00AF0254" w:rsidRPr="0049576D">
        <w:rPr>
          <w:rFonts w:ascii="Arial" w:hAnsi="Arial" w:cs="Arial"/>
          <w:sz w:val="22"/>
          <w:szCs w:val="22"/>
        </w:rPr>
        <w:t>grama</w:t>
      </w:r>
      <w:r w:rsidR="00DD2065" w:rsidRPr="0049576D">
        <w:rPr>
          <w:rFonts w:ascii="Arial" w:hAnsi="Arial" w:cs="Arial"/>
          <w:sz w:val="22"/>
          <w:szCs w:val="22"/>
        </w:rPr>
        <w:t xml:space="preserve"> </w:t>
      </w:r>
      <w:r w:rsidR="00654314" w:rsidRPr="0049576D">
        <w:rPr>
          <w:rFonts w:ascii="Arial" w:hAnsi="Arial" w:cs="Arial"/>
          <w:sz w:val="22"/>
          <w:szCs w:val="22"/>
        </w:rPr>
        <w:t>c</w:t>
      </w:r>
      <w:r w:rsidR="00DD2065" w:rsidRPr="0049576D">
        <w:rPr>
          <w:rFonts w:ascii="Arial" w:hAnsi="Arial" w:cs="Arial"/>
          <w:sz w:val="22"/>
          <w:szCs w:val="22"/>
        </w:rPr>
        <w:t>on</w:t>
      </w:r>
      <w:r w:rsidR="00654314" w:rsidRPr="0049576D">
        <w:rPr>
          <w:rFonts w:ascii="Arial" w:hAnsi="Arial" w:cs="Arial"/>
          <w:sz w:val="22"/>
          <w:szCs w:val="22"/>
        </w:rPr>
        <w:t xml:space="preserve"> recursos financiados por</w:t>
      </w:r>
      <w:r w:rsidR="00DD2065" w:rsidRPr="0049576D">
        <w:rPr>
          <w:rFonts w:ascii="Arial" w:hAnsi="Arial" w:cs="Arial"/>
          <w:sz w:val="22"/>
          <w:szCs w:val="22"/>
        </w:rPr>
        <w:t xml:space="preserve"> el B</w:t>
      </w:r>
      <w:r w:rsidR="000C5112" w:rsidRPr="0049576D">
        <w:rPr>
          <w:rFonts w:ascii="Arial" w:hAnsi="Arial" w:cs="Arial"/>
          <w:sz w:val="22"/>
          <w:szCs w:val="22"/>
        </w:rPr>
        <w:t>ID</w:t>
      </w:r>
      <w:r w:rsidR="00DD2065" w:rsidRPr="0049576D">
        <w:rPr>
          <w:rFonts w:ascii="Arial" w:hAnsi="Arial" w:cs="Arial"/>
          <w:sz w:val="22"/>
          <w:szCs w:val="22"/>
        </w:rPr>
        <w:t xml:space="preserve"> </w:t>
      </w:r>
      <w:r w:rsidR="00C9260A" w:rsidRPr="0049576D">
        <w:rPr>
          <w:rFonts w:ascii="Arial" w:hAnsi="Arial" w:cs="Arial"/>
          <w:sz w:val="22"/>
          <w:szCs w:val="22"/>
        </w:rPr>
        <w:t>y ha demostrado</w:t>
      </w:r>
      <w:r w:rsidR="006351DC" w:rsidRPr="0049576D">
        <w:rPr>
          <w:rFonts w:ascii="Arial" w:hAnsi="Arial" w:cs="Arial"/>
          <w:sz w:val="22"/>
          <w:szCs w:val="22"/>
        </w:rPr>
        <w:t xml:space="preserve"> desde el año 2008</w:t>
      </w:r>
      <w:r w:rsidR="00C9260A" w:rsidRPr="0049576D">
        <w:rPr>
          <w:rFonts w:ascii="Arial" w:hAnsi="Arial" w:cs="Arial"/>
          <w:sz w:val="22"/>
          <w:szCs w:val="22"/>
        </w:rPr>
        <w:t xml:space="preserve"> su capacidad como ejecutor por medio de</w:t>
      </w:r>
      <w:r w:rsidR="00CD4005" w:rsidRPr="0049576D">
        <w:rPr>
          <w:rFonts w:ascii="Arial" w:hAnsi="Arial" w:cs="Arial"/>
          <w:sz w:val="22"/>
          <w:szCs w:val="22"/>
        </w:rPr>
        <w:t xml:space="preserve"> </w:t>
      </w:r>
      <w:r w:rsidR="00C9260A" w:rsidRPr="0049576D">
        <w:rPr>
          <w:rFonts w:ascii="Arial" w:hAnsi="Arial" w:cs="Arial"/>
          <w:sz w:val="22"/>
          <w:szCs w:val="22"/>
        </w:rPr>
        <w:t>l</w:t>
      </w:r>
      <w:r w:rsidR="00CD4005" w:rsidRPr="0049576D">
        <w:rPr>
          <w:rFonts w:ascii="Arial" w:hAnsi="Arial" w:cs="Arial"/>
          <w:sz w:val="22"/>
          <w:szCs w:val="22"/>
        </w:rPr>
        <w:t xml:space="preserve">os </w:t>
      </w:r>
      <w:r w:rsidR="00E71C23" w:rsidRPr="0049576D">
        <w:rPr>
          <w:rFonts w:ascii="Arial" w:hAnsi="Arial" w:cs="Arial"/>
          <w:sz w:val="22"/>
          <w:szCs w:val="22"/>
        </w:rPr>
        <w:t xml:space="preserve">tres </w:t>
      </w:r>
      <w:r w:rsidR="00CD4005" w:rsidRPr="0049576D">
        <w:rPr>
          <w:rFonts w:ascii="Arial" w:hAnsi="Arial" w:cs="Arial"/>
          <w:sz w:val="22"/>
          <w:szCs w:val="22"/>
        </w:rPr>
        <w:t>pro</w:t>
      </w:r>
      <w:r w:rsidR="00AF0254" w:rsidRPr="0049576D">
        <w:rPr>
          <w:rFonts w:ascii="Arial" w:hAnsi="Arial" w:cs="Arial"/>
          <w:sz w:val="22"/>
          <w:szCs w:val="22"/>
        </w:rPr>
        <w:t>gramas</w:t>
      </w:r>
      <w:r w:rsidR="00410FF4">
        <w:rPr>
          <w:rFonts w:ascii="Arial" w:hAnsi="Arial" w:cs="Arial"/>
          <w:sz w:val="22"/>
          <w:szCs w:val="22"/>
        </w:rPr>
        <w:t>:</w:t>
      </w:r>
      <w:r w:rsidR="006351DC" w:rsidRPr="0049576D">
        <w:rPr>
          <w:rFonts w:ascii="Arial" w:hAnsi="Arial" w:cs="Arial"/>
          <w:sz w:val="22"/>
          <w:szCs w:val="22"/>
        </w:rPr>
        <w:t xml:space="preserve"> </w:t>
      </w:r>
      <w:r w:rsidR="006351DC" w:rsidRPr="0049576D">
        <w:rPr>
          <w:rFonts w:ascii="Arial" w:hAnsi="Arial" w:cs="Arial"/>
          <w:sz w:val="22"/>
          <w:szCs w:val="22"/>
          <w:lang w:val="es-ES"/>
        </w:rPr>
        <w:t>2080/OC-CO por US</w:t>
      </w:r>
      <w:r w:rsidR="00A67D6A">
        <w:rPr>
          <w:rFonts w:ascii="Arial" w:hAnsi="Arial" w:cs="Arial"/>
          <w:sz w:val="22"/>
          <w:szCs w:val="22"/>
          <w:lang w:val="es-ES"/>
        </w:rPr>
        <w:t>$</w:t>
      </w:r>
      <w:r w:rsidR="006351DC" w:rsidRPr="0049576D">
        <w:rPr>
          <w:rFonts w:ascii="Arial" w:hAnsi="Arial" w:cs="Arial"/>
          <w:sz w:val="22"/>
          <w:szCs w:val="22"/>
          <w:lang w:val="es-ES"/>
        </w:rPr>
        <w:t>100 millones</w:t>
      </w:r>
      <w:r w:rsidR="00E71C23" w:rsidRPr="0049576D">
        <w:rPr>
          <w:rFonts w:ascii="Arial" w:hAnsi="Arial" w:cs="Arial"/>
          <w:sz w:val="22"/>
          <w:szCs w:val="22"/>
          <w:lang w:val="es-ES"/>
        </w:rPr>
        <w:t xml:space="preserve">, </w:t>
      </w:r>
      <w:r w:rsidR="006351DC" w:rsidRPr="0049576D">
        <w:rPr>
          <w:rFonts w:ascii="Arial" w:hAnsi="Arial" w:cs="Arial"/>
          <w:sz w:val="22"/>
          <w:szCs w:val="22"/>
          <w:lang w:val="es-ES"/>
        </w:rPr>
        <w:t>2193/OC-CO por US</w:t>
      </w:r>
      <w:r w:rsidR="00A67D6A">
        <w:rPr>
          <w:rFonts w:ascii="Arial" w:hAnsi="Arial" w:cs="Arial"/>
          <w:sz w:val="22"/>
          <w:szCs w:val="22"/>
          <w:lang w:val="es-ES"/>
        </w:rPr>
        <w:t>$</w:t>
      </w:r>
      <w:r w:rsidR="006351DC" w:rsidRPr="0049576D">
        <w:rPr>
          <w:rFonts w:ascii="Arial" w:hAnsi="Arial" w:cs="Arial"/>
          <w:sz w:val="22"/>
          <w:szCs w:val="22"/>
          <w:lang w:val="es-ES"/>
        </w:rPr>
        <w:t>200 millones</w:t>
      </w:r>
      <w:r w:rsidR="00E71C23" w:rsidRPr="0049576D">
        <w:rPr>
          <w:rFonts w:ascii="Arial" w:hAnsi="Arial" w:cs="Arial"/>
          <w:sz w:val="22"/>
          <w:szCs w:val="22"/>
          <w:lang w:val="es-ES"/>
        </w:rPr>
        <w:t xml:space="preserve"> y 2949/OC-CO por US$200 millones</w:t>
      </w:r>
      <w:r w:rsidR="00B66F28" w:rsidRPr="0049576D">
        <w:rPr>
          <w:rFonts w:ascii="Arial" w:hAnsi="Arial" w:cs="Arial"/>
          <w:sz w:val="22"/>
          <w:szCs w:val="22"/>
          <w:lang w:val="es-ES"/>
        </w:rPr>
        <w:t xml:space="preserve">, financiados </w:t>
      </w:r>
      <w:r w:rsidR="00C9260A" w:rsidRPr="0049576D">
        <w:rPr>
          <w:rFonts w:ascii="Arial" w:hAnsi="Arial" w:cs="Arial"/>
          <w:sz w:val="22"/>
          <w:szCs w:val="22"/>
        </w:rPr>
        <w:t xml:space="preserve">bajo la </w:t>
      </w:r>
      <w:r w:rsidR="0001707D" w:rsidRPr="0049576D">
        <w:rPr>
          <w:rFonts w:ascii="Arial" w:hAnsi="Arial" w:cs="Arial"/>
          <w:sz w:val="22"/>
          <w:szCs w:val="22"/>
        </w:rPr>
        <w:t>L</w:t>
      </w:r>
      <w:r w:rsidR="00C9260A" w:rsidRPr="0049576D">
        <w:rPr>
          <w:rFonts w:ascii="Arial" w:hAnsi="Arial" w:cs="Arial"/>
          <w:sz w:val="22"/>
          <w:szCs w:val="22"/>
        </w:rPr>
        <w:t>ínea</w:t>
      </w:r>
      <w:r w:rsidR="006230E1" w:rsidRPr="0049576D">
        <w:rPr>
          <w:rFonts w:ascii="Arial" w:hAnsi="Arial" w:cs="Arial"/>
          <w:sz w:val="22"/>
          <w:szCs w:val="22"/>
        </w:rPr>
        <w:t xml:space="preserve"> de </w:t>
      </w:r>
      <w:r w:rsidR="0001707D" w:rsidRPr="0049576D">
        <w:rPr>
          <w:rFonts w:ascii="Arial" w:hAnsi="Arial" w:cs="Arial"/>
          <w:sz w:val="22"/>
          <w:szCs w:val="22"/>
        </w:rPr>
        <w:t>C</w:t>
      </w:r>
      <w:r w:rsidR="006230E1" w:rsidRPr="0049576D">
        <w:rPr>
          <w:rFonts w:ascii="Arial" w:hAnsi="Arial" w:cs="Arial"/>
          <w:sz w:val="22"/>
          <w:szCs w:val="22"/>
        </w:rPr>
        <w:t>rédito</w:t>
      </w:r>
      <w:r w:rsidR="00B004F2" w:rsidRPr="0049576D">
        <w:rPr>
          <w:rFonts w:ascii="Arial" w:hAnsi="Arial" w:cs="Arial"/>
          <w:sz w:val="22"/>
          <w:szCs w:val="22"/>
        </w:rPr>
        <w:t xml:space="preserve"> </w:t>
      </w:r>
      <w:r w:rsidR="0001707D" w:rsidRPr="0049576D">
        <w:rPr>
          <w:rFonts w:ascii="Arial" w:hAnsi="Arial" w:cs="Arial"/>
          <w:sz w:val="22"/>
          <w:szCs w:val="22"/>
        </w:rPr>
        <w:t>Condicional para P</w:t>
      </w:r>
      <w:r w:rsidR="00B004F2" w:rsidRPr="0049576D">
        <w:rPr>
          <w:rFonts w:ascii="Arial" w:hAnsi="Arial" w:cs="Arial"/>
          <w:sz w:val="22"/>
          <w:szCs w:val="22"/>
        </w:rPr>
        <w:t xml:space="preserve">royectos de </w:t>
      </w:r>
      <w:r w:rsidR="0001707D" w:rsidRPr="0049576D">
        <w:rPr>
          <w:rFonts w:ascii="Arial" w:hAnsi="Arial" w:cs="Arial"/>
          <w:sz w:val="22"/>
          <w:szCs w:val="22"/>
        </w:rPr>
        <w:t>I</w:t>
      </w:r>
      <w:r w:rsidR="00B004F2" w:rsidRPr="0049576D">
        <w:rPr>
          <w:rFonts w:ascii="Arial" w:hAnsi="Arial" w:cs="Arial"/>
          <w:sz w:val="22"/>
          <w:szCs w:val="22"/>
        </w:rPr>
        <w:t>nversión (CCLIP)</w:t>
      </w:r>
      <w:r w:rsidR="00B66F28" w:rsidRPr="0049576D">
        <w:rPr>
          <w:rFonts w:ascii="Arial" w:hAnsi="Arial" w:cs="Arial"/>
          <w:sz w:val="22"/>
          <w:szCs w:val="22"/>
        </w:rPr>
        <w:t xml:space="preserve"> aprobada en 2008 por US</w:t>
      </w:r>
      <w:r w:rsidR="00A67D6A">
        <w:rPr>
          <w:rFonts w:ascii="Arial" w:hAnsi="Arial" w:cs="Arial"/>
          <w:sz w:val="22"/>
          <w:szCs w:val="22"/>
        </w:rPr>
        <w:t>$</w:t>
      </w:r>
      <w:r w:rsidR="00B66F28" w:rsidRPr="0049576D">
        <w:rPr>
          <w:rFonts w:ascii="Arial" w:hAnsi="Arial" w:cs="Arial"/>
          <w:sz w:val="22"/>
          <w:szCs w:val="22"/>
        </w:rPr>
        <w:t>650 millones</w:t>
      </w:r>
      <w:r w:rsidR="00576CA7" w:rsidRPr="0049576D">
        <w:rPr>
          <w:rFonts w:ascii="Arial" w:hAnsi="Arial" w:cs="Arial"/>
          <w:sz w:val="22"/>
          <w:szCs w:val="22"/>
        </w:rPr>
        <w:t xml:space="preserve"> (CO-X1007)</w:t>
      </w:r>
      <w:r w:rsidR="00C9260A" w:rsidRPr="0049576D">
        <w:rPr>
          <w:rFonts w:ascii="Arial" w:hAnsi="Arial" w:cs="Arial"/>
          <w:sz w:val="22"/>
          <w:szCs w:val="22"/>
        </w:rPr>
        <w:t>.</w:t>
      </w:r>
      <w:r w:rsidR="00B004F2" w:rsidRPr="0049576D">
        <w:rPr>
          <w:rFonts w:ascii="Arial" w:hAnsi="Arial" w:cs="Arial"/>
          <w:sz w:val="22"/>
          <w:szCs w:val="22"/>
        </w:rPr>
        <w:t xml:space="preserve"> Actualmente</w:t>
      </w:r>
      <w:r w:rsidR="007023BF" w:rsidRPr="0049576D">
        <w:rPr>
          <w:rFonts w:ascii="Arial" w:hAnsi="Arial" w:cs="Arial"/>
          <w:sz w:val="22"/>
          <w:szCs w:val="22"/>
        </w:rPr>
        <w:t>,</w:t>
      </w:r>
      <w:r w:rsidR="00B004F2" w:rsidRPr="0049576D">
        <w:rPr>
          <w:rFonts w:ascii="Arial" w:hAnsi="Arial" w:cs="Arial"/>
          <w:sz w:val="22"/>
          <w:szCs w:val="22"/>
        </w:rPr>
        <w:t xml:space="preserve"> está ejecutando la</w:t>
      </w:r>
      <w:r w:rsidR="00B66F28" w:rsidRPr="0049576D">
        <w:rPr>
          <w:rFonts w:ascii="Arial" w:hAnsi="Arial" w:cs="Arial"/>
          <w:sz w:val="22"/>
          <w:szCs w:val="22"/>
        </w:rPr>
        <w:t>s</w:t>
      </w:r>
      <w:r w:rsidR="00B004F2" w:rsidRPr="0049576D">
        <w:rPr>
          <w:rFonts w:ascii="Arial" w:hAnsi="Arial" w:cs="Arial"/>
          <w:sz w:val="22"/>
          <w:szCs w:val="22"/>
        </w:rPr>
        <w:t xml:space="preserve"> operaci</w:t>
      </w:r>
      <w:r w:rsidR="00B66F28" w:rsidRPr="0049576D">
        <w:rPr>
          <w:rFonts w:ascii="Arial" w:hAnsi="Arial" w:cs="Arial"/>
          <w:sz w:val="22"/>
          <w:szCs w:val="22"/>
        </w:rPr>
        <w:t>ones</w:t>
      </w:r>
      <w:r w:rsidR="00094CC2" w:rsidRPr="0049576D">
        <w:rPr>
          <w:rFonts w:ascii="Arial" w:hAnsi="Arial" w:cs="Arial"/>
          <w:sz w:val="22"/>
          <w:szCs w:val="22"/>
        </w:rPr>
        <w:t xml:space="preserve"> </w:t>
      </w:r>
      <w:r w:rsidR="00A67D6A">
        <w:rPr>
          <w:rFonts w:ascii="Arial" w:hAnsi="Arial" w:cs="Arial"/>
          <w:sz w:val="22"/>
          <w:szCs w:val="22"/>
        </w:rPr>
        <w:t>2983/TC-CO por US$</w:t>
      </w:r>
      <w:r w:rsidR="00B66F28" w:rsidRPr="0049576D">
        <w:rPr>
          <w:rFonts w:ascii="Arial" w:hAnsi="Arial" w:cs="Arial"/>
          <w:sz w:val="22"/>
          <w:szCs w:val="22"/>
        </w:rPr>
        <w:t>10 millones y 3003/TC-CO por US</w:t>
      </w:r>
      <w:r w:rsidR="00A67D6A">
        <w:rPr>
          <w:rFonts w:ascii="Arial" w:hAnsi="Arial" w:cs="Arial"/>
          <w:sz w:val="22"/>
          <w:szCs w:val="22"/>
        </w:rPr>
        <w:t>$</w:t>
      </w:r>
      <w:r w:rsidR="00B66F28" w:rsidRPr="0049576D">
        <w:rPr>
          <w:rFonts w:ascii="Arial" w:hAnsi="Arial" w:cs="Arial"/>
          <w:sz w:val="22"/>
          <w:szCs w:val="22"/>
        </w:rPr>
        <w:t>40 millones</w:t>
      </w:r>
      <w:r w:rsidR="00115A6E" w:rsidRPr="0049576D">
        <w:rPr>
          <w:rStyle w:val="FootnoteReference"/>
          <w:rFonts w:ascii="Arial" w:hAnsi="Arial" w:cs="Arial"/>
          <w:sz w:val="22"/>
          <w:szCs w:val="22"/>
        </w:rPr>
        <w:footnoteReference w:id="2"/>
      </w:r>
      <w:r w:rsidR="00FA6987" w:rsidRPr="0049576D">
        <w:rPr>
          <w:rFonts w:ascii="Arial" w:hAnsi="Arial" w:cs="Arial"/>
          <w:sz w:val="22"/>
          <w:szCs w:val="22"/>
        </w:rPr>
        <w:t>;</w:t>
      </w:r>
      <w:r w:rsidR="002B2B94" w:rsidRPr="0049576D">
        <w:rPr>
          <w:rFonts w:ascii="Arial" w:hAnsi="Arial" w:cs="Arial"/>
          <w:sz w:val="22"/>
          <w:szCs w:val="22"/>
        </w:rPr>
        <w:t xml:space="preserve"> y l</w:t>
      </w:r>
      <w:r w:rsidR="00D742E9" w:rsidRPr="0049576D">
        <w:rPr>
          <w:rFonts w:ascii="Arial" w:hAnsi="Arial" w:cs="Arial"/>
          <w:sz w:val="22"/>
          <w:szCs w:val="22"/>
        </w:rPr>
        <w:t>a operación 3661/TC-CO por US</w:t>
      </w:r>
      <w:r w:rsidR="00A67D6A">
        <w:rPr>
          <w:rFonts w:ascii="Arial" w:hAnsi="Arial" w:cs="Arial"/>
          <w:sz w:val="22"/>
          <w:szCs w:val="22"/>
        </w:rPr>
        <w:t>$</w:t>
      </w:r>
      <w:r w:rsidR="00D742E9" w:rsidRPr="0049576D">
        <w:rPr>
          <w:rFonts w:ascii="Arial" w:hAnsi="Arial" w:cs="Arial"/>
          <w:sz w:val="22"/>
          <w:szCs w:val="22"/>
        </w:rPr>
        <w:t>9</w:t>
      </w:r>
      <w:r w:rsidR="002B3B49">
        <w:rPr>
          <w:rFonts w:ascii="Arial" w:hAnsi="Arial" w:cs="Arial"/>
          <w:sz w:val="22"/>
          <w:szCs w:val="22"/>
        </w:rPr>
        <w:t>,</w:t>
      </w:r>
      <w:r w:rsidR="00D742E9" w:rsidRPr="0049576D">
        <w:rPr>
          <w:rFonts w:ascii="Arial" w:hAnsi="Arial" w:cs="Arial"/>
          <w:sz w:val="22"/>
          <w:szCs w:val="22"/>
        </w:rPr>
        <w:t xml:space="preserve">265 millones </w:t>
      </w:r>
      <w:r w:rsidR="00634B10" w:rsidRPr="0049576D">
        <w:rPr>
          <w:rFonts w:ascii="Arial" w:hAnsi="Arial" w:cs="Arial"/>
          <w:sz w:val="22"/>
          <w:szCs w:val="22"/>
        </w:rPr>
        <w:t xml:space="preserve">que </w:t>
      </w:r>
      <w:r w:rsidR="005F2C8F" w:rsidRPr="0049576D">
        <w:rPr>
          <w:rFonts w:ascii="Arial" w:hAnsi="Arial" w:cs="Arial"/>
          <w:sz w:val="22"/>
          <w:szCs w:val="22"/>
        </w:rPr>
        <w:t xml:space="preserve">se encuentra en proceso de cumplimiento de condiciones </w:t>
      </w:r>
      <w:r w:rsidR="00D742E9" w:rsidRPr="0049576D">
        <w:rPr>
          <w:rFonts w:ascii="Arial" w:hAnsi="Arial" w:cs="Arial"/>
          <w:sz w:val="22"/>
          <w:szCs w:val="22"/>
        </w:rPr>
        <w:t>de elegibilidad.</w:t>
      </w:r>
      <w:r w:rsidR="0061121B" w:rsidRPr="0049576D">
        <w:rPr>
          <w:rFonts w:ascii="Arial" w:hAnsi="Arial" w:cs="Arial"/>
          <w:sz w:val="22"/>
          <w:szCs w:val="22"/>
        </w:rPr>
        <w:t xml:space="preserve"> </w:t>
      </w:r>
      <w:r w:rsidRPr="0049576D">
        <w:rPr>
          <w:rFonts w:ascii="Arial" w:hAnsi="Arial" w:cs="Arial"/>
          <w:sz w:val="22"/>
          <w:szCs w:val="22"/>
        </w:rPr>
        <w:t>Bancóldex</w:t>
      </w:r>
      <w:r w:rsidR="00DD2065" w:rsidRPr="0049576D">
        <w:rPr>
          <w:rFonts w:ascii="Arial" w:hAnsi="Arial" w:cs="Arial"/>
          <w:sz w:val="22"/>
          <w:szCs w:val="22"/>
        </w:rPr>
        <w:t xml:space="preserve"> </w:t>
      </w:r>
      <w:r w:rsidR="002B2B94" w:rsidRPr="0049576D">
        <w:rPr>
          <w:rFonts w:ascii="Arial" w:hAnsi="Arial" w:cs="Arial"/>
          <w:sz w:val="22"/>
          <w:szCs w:val="22"/>
        </w:rPr>
        <w:t xml:space="preserve">sigue contando </w:t>
      </w:r>
      <w:r w:rsidR="0061121B" w:rsidRPr="0049576D">
        <w:rPr>
          <w:rFonts w:ascii="Arial" w:hAnsi="Arial" w:cs="Arial"/>
          <w:sz w:val="22"/>
          <w:szCs w:val="22"/>
        </w:rPr>
        <w:t>con la capacidad suficiente para realizar las actividades de gestión fi</w:t>
      </w:r>
      <w:r w:rsidR="00174205" w:rsidRPr="0049576D">
        <w:rPr>
          <w:rFonts w:ascii="Arial" w:hAnsi="Arial" w:cs="Arial"/>
          <w:sz w:val="22"/>
          <w:szCs w:val="22"/>
        </w:rPr>
        <w:t>nanciera</w:t>
      </w:r>
      <w:r w:rsidR="0061121B" w:rsidRPr="0049576D">
        <w:rPr>
          <w:rFonts w:ascii="Arial" w:hAnsi="Arial" w:cs="Arial"/>
          <w:sz w:val="22"/>
          <w:szCs w:val="22"/>
        </w:rPr>
        <w:t xml:space="preserve"> y administración de los recursos de</w:t>
      </w:r>
      <w:r w:rsidR="00B633DE" w:rsidRPr="0049576D">
        <w:rPr>
          <w:rFonts w:ascii="Arial" w:hAnsi="Arial" w:cs="Arial"/>
          <w:sz w:val="22"/>
          <w:szCs w:val="22"/>
        </w:rPr>
        <w:t xml:space="preserve"> </w:t>
      </w:r>
      <w:r w:rsidR="00094CC2" w:rsidRPr="0049576D">
        <w:rPr>
          <w:rFonts w:ascii="Arial" w:hAnsi="Arial" w:cs="Arial"/>
          <w:sz w:val="22"/>
          <w:szCs w:val="22"/>
        </w:rPr>
        <w:t>esta</w:t>
      </w:r>
      <w:r w:rsidR="00B633DE" w:rsidRPr="0049576D">
        <w:rPr>
          <w:rFonts w:ascii="Arial" w:hAnsi="Arial" w:cs="Arial"/>
          <w:sz w:val="22"/>
          <w:szCs w:val="22"/>
        </w:rPr>
        <w:t xml:space="preserve"> operación.</w:t>
      </w:r>
      <w:r w:rsidR="0080611A" w:rsidRPr="0049576D">
        <w:rPr>
          <w:rFonts w:ascii="Arial" w:hAnsi="Arial" w:cs="Arial"/>
          <w:sz w:val="22"/>
          <w:szCs w:val="22"/>
        </w:rPr>
        <w:t xml:space="preserve"> </w:t>
      </w:r>
      <w:r w:rsidR="00A65395" w:rsidRPr="0049576D">
        <w:rPr>
          <w:rFonts w:ascii="Arial" w:hAnsi="Arial" w:cs="Arial"/>
          <w:sz w:val="22"/>
          <w:szCs w:val="22"/>
        </w:rPr>
        <w:t xml:space="preserve">El riesgo </w:t>
      </w:r>
      <w:r w:rsidR="006F79C0" w:rsidRPr="0049576D">
        <w:rPr>
          <w:rFonts w:ascii="Arial" w:hAnsi="Arial" w:cs="Arial"/>
          <w:sz w:val="22"/>
          <w:szCs w:val="22"/>
        </w:rPr>
        <w:t xml:space="preserve">fiduciario </w:t>
      </w:r>
      <w:r w:rsidR="00A65395" w:rsidRPr="0049576D">
        <w:rPr>
          <w:rFonts w:ascii="Arial" w:hAnsi="Arial" w:cs="Arial"/>
          <w:sz w:val="22"/>
          <w:szCs w:val="22"/>
        </w:rPr>
        <w:t xml:space="preserve">es </w:t>
      </w:r>
      <w:r w:rsidR="00433739" w:rsidRPr="0049576D">
        <w:rPr>
          <w:rFonts w:ascii="Arial" w:hAnsi="Arial" w:cs="Arial"/>
          <w:sz w:val="22"/>
          <w:szCs w:val="22"/>
        </w:rPr>
        <w:t>bajo</w:t>
      </w:r>
      <w:r w:rsidR="008D39AC" w:rsidRPr="0049576D">
        <w:rPr>
          <w:rFonts w:ascii="Arial" w:hAnsi="Arial" w:cs="Arial"/>
          <w:sz w:val="22"/>
          <w:szCs w:val="22"/>
        </w:rPr>
        <w:t>.</w:t>
      </w:r>
    </w:p>
    <w:p w14:paraId="6747CF70" w14:textId="77777777" w:rsidR="0009793D" w:rsidRPr="0049576D" w:rsidRDefault="0009793D" w:rsidP="00B13A41">
      <w:pPr>
        <w:autoSpaceDE w:val="0"/>
        <w:autoSpaceDN w:val="0"/>
        <w:adjustRightInd w:val="0"/>
        <w:ind w:left="360"/>
        <w:jc w:val="both"/>
        <w:rPr>
          <w:rFonts w:ascii="Arial" w:hAnsi="Arial" w:cs="Arial"/>
          <w:sz w:val="22"/>
          <w:szCs w:val="22"/>
        </w:rPr>
      </w:pPr>
    </w:p>
    <w:p w14:paraId="48EDD90C" w14:textId="77777777" w:rsidR="00A51C4C" w:rsidRPr="0049576D" w:rsidRDefault="00B97489" w:rsidP="0049576D">
      <w:pPr>
        <w:pStyle w:val="ListParagraph"/>
        <w:numPr>
          <w:ilvl w:val="0"/>
          <w:numId w:val="31"/>
        </w:numPr>
        <w:autoSpaceDE w:val="0"/>
        <w:autoSpaceDN w:val="0"/>
        <w:adjustRightInd w:val="0"/>
        <w:ind w:left="540" w:hanging="540"/>
        <w:jc w:val="both"/>
        <w:rPr>
          <w:rFonts w:ascii="Arial" w:hAnsi="Arial" w:cs="Arial"/>
          <w:sz w:val="22"/>
          <w:szCs w:val="22"/>
        </w:rPr>
      </w:pPr>
      <w:r w:rsidRPr="0049576D">
        <w:rPr>
          <w:rFonts w:ascii="Arial" w:hAnsi="Arial" w:cs="Arial"/>
          <w:sz w:val="22"/>
          <w:szCs w:val="22"/>
        </w:rPr>
        <w:t xml:space="preserve">En razón a que </w:t>
      </w:r>
      <w:r w:rsidR="00F97BA3" w:rsidRPr="0049576D">
        <w:rPr>
          <w:rFonts w:ascii="Arial" w:hAnsi="Arial" w:cs="Arial"/>
          <w:sz w:val="22"/>
          <w:szCs w:val="22"/>
        </w:rPr>
        <w:t>Bancóldex</w:t>
      </w:r>
      <w:r w:rsidR="00FC03ED" w:rsidRPr="0049576D">
        <w:rPr>
          <w:rFonts w:ascii="Arial" w:hAnsi="Arial" w:cs="Arial"/>
          <w:sz w:val="22"/>
          <w:szCs w:val="22"/>
        </w:rPr>
        <w:t xml:space="preserve"> </w:t>
      </w:r>
      <w:r w:rsidR="00B900DB" w:rsidRPr="0049576D">
        <w:rPr>
          <w:rFonts w:ascii="Arial" w:hAnsi="Arial" w:cs="Arial"/>
          <w:sz w:val="22"/>
          <w:szCs w:val="22"/>
        </w:rPr>
        <w:t xml:space="preserve">no </w:t>
      </w:r>
      <w:r w:rsidRPr="0049576D">
        <w:rPr>
          <w:rFonts w:ascii="Arial" w:hAnsi="Arial" w:cs="Arial"/>
          <w:sz w:val="22"/>
          <w:szCs w:val="22"/>
        </w:rPr>
        <w:t>forma</w:t>
      </w:r>
      <w:r w:rsidR="00B900DB" w:rsidRPr="0049576D">
        <w:rPr>
          <w:rFonts w:ascii="Arial" w:hAnsi="Arial" w:cs="Arial"/>
          <w:sz w:val="22"/>
          <w:szCs w:val="22"/>
        </w:rPr>
        <w:t xml:space="preserve"> parte del </w:t>
      </w:r>
      <w:r w:rsidRPr="0049576D">
        <w:rPr>
          <w:rFonts w:ascii="Arial" w:hAnsi="Arial" w:cs="Arial"/>
          <w:sz w:val="22"/>
          <w:szCs w:val="22"/>
        </w:rPr>
        <w:t>P</w:t>
      </w:r>
      <w:r w:rsidR="00B900DB" w:rsidRPr="0049576D">
        <w:rPr>
          <w:rFonts w:ascii="Arial" w:hAnsi="Arial" w:cs="Arial"/>
          <w:sz w:val="22"/>
          <w:szCs w:val="22"/>
        </w:rPr>
        <w:t xml:space="preserve">resupuesto </w:t>
      </w:r>
      <w:r w:rsidRPr="0049576D">
        <w:rPr>
          <w:rFonts w:ascii="Arial" w:hAnsi="Arial" w:cs="Arial"/>
          <w:sz w:val="22"/>
          <w:szCs w:val="22"/>
        </w:rPr>
        <w:t>G</w:t>
      </w:r>
      <w:r w:rsidR="00B900DB" w:rsidRPr="0049576D">
        <w:rPr>
          <w:rFonts w:ascii="Arial" w:hAnsi="Arial" w:cs="Arial"/>
          <w:sz w:val="22"/>
          <w:szCs w:val="22"/>
        </w:rPr>
        <w:t xml:space="preserve">eneral de la </w:t>
      </w:r>
      <w:r w:rsidRPr="0049576D">
        <w:rPr>
          <w:rFonts w:ascii="Arial" w:hAnsi="Arial" w:cs="Arial"/>
          <w:sz w:val="22"/>
          <w:szCs w:val="22"/>
        </w:rPr>
        <w:t>N</w:t>
      </w:r>
      <w:r w:rsidR="00B900DB" w:rsidRPr="0049576D">
        <w:rPr>
          <w:rFonts w:ascii="Arial" w:hAnsi="Arial" w:cs="Arial"/>
          <w:sz w:val="22"/>
          <w:szCs w:val="22"/>
        </w:rPr>
        <w:t>ación</w:t>
      </w:r>
      <w:r w:rsidR="00015FBB" w:rsidRPr="0049576D">
        <w:rPr>
          <w:rFonts w:ascii="Arial" w:hAnsi="Arial" w:cs="Arial"/>
          <w:sz w:val="22"/>
          <w:szCs w:val="22"/>
        </w:rPr>
        <w:t>, debido a que es una sociedad de economía mixta del orden nacional</w:t>
      </w:r>
      <w:r w:rsidR="00B900DB" w:rsidRPr="0049576D">
        <w:rPr>
          <w:rFonts w:ascii="Arial" w:hAnsi="Arial" w:cs="Arial"/>
          <w:sz w:val="22"/>
          <w:szCs w:val="22"/>
        </w:rPr>
        <w:t>,</w:t>
      </w:r>
      <w:r w:rsidRPr="0049576D">
        <w:rPr>
          <w:rFonts w:ascii="Arial" w:hAnsi="Arial" w:cs="Arial"/>
          <w:sz w:val="22"/>
          <w:szCs w:val="22"/>
        </w:rPr>
        <w:t xml:space="preserve"> </w:t>
      </w:r>
      <w:r w:rsidR="0088007E" w:rsidRPr="0049576D">
        <w:rPr>
          <w:rFonts w:ascii="Arial" w:hAnsi="Arial" w:cs="Arial"/>
          <w:sz w:val="22"/>
          <w:szCs w:val="22"/>
        </w:rPr>
        <w:t>n</w:t>
      </w:r>
      <w:r w:rsidR="009E5AA6" w:rsidRPr="0049576D">
        <w:rPr>
          <w:rFonts w:ascii="Arial" w:hAnsi="Arial" w:cs="Arial"/>
          <w:sz w:val="22"/>
          <w:szCs w:val="22"/>
        </w:rPr>
        <w:t>o está obligad</w:t>
      </w:r>
      <w:r w:rsidR="003B6DD0" w:rsidRPr="0049576D">
        <w:rPr>
          <w:rFonts w:ascii="Arial" w:hAnsi="Arial" w:cs="Arial"/>
          <w:sz w:val="22"/>
          <w:szCs w:val="22"/>
        </w:rPr>
        <w:t>a</w:t>
      </w:r>
      <w:r w:rsidR="009E5AA6" w:rsidRPr="0049576D">
        <w:rPr>
          <w:rFonts w:ascii="Arial" w:hAnsi="Arial" w:cs="Arial"/>
          <w:sz w:val="22"/>
          <w:szCs w:val="22"/>
        </w:rPr>
        <w:t xml:space="preserve"> a</w:t>
      </w:r>
      <w:r w:rsidRPr="0049576D">
        <w:rPr>
          <w:rFonts w:ascii="Arial" w:hAnsi="Arial" w:cs="Arial"/>
          <w:sz w:val="22"/>
          <w:szCs w:val="22"/>
        </w:rPr>
        <w:t xml:space="preserve"> llevar sus registros contables y su control presupuestal</w:t>
      </w:r>
      <w:r w:rsidR="009E5AA6" w:rsidRPr="0049576D">
        <w:rPr>
          <w:rFonts w:ascii="Arial" w:hAnsi="Arial" w:cs="Arial"/>
          <w:sz w:val="22"/>
          <w:szCs w:val="22"/>
        </w:rPr>
        <w:t xml:space="preserve"> </w:t>
      </w:r>
      <w:r w:rsidRPr="0049576D">
        <w:rPr>
          <w:rFonts w:ascii="Arial" w:hAnsi="Arial" w:cs="Arial"/>
          <w:sz w:val="22"/>
          <w:szCs w:val="22"/>
        </w:rPr>
        <w:t>en los Sistemas de Gestión Financiera Pública (SGFP)</w:t>
      </w:r>
      <w:r w:rsidR="00B900DB" w:rsidRPr="0049576D">
        <w:rPr>
          <w:rFonts w:ascii="Arial" w:hAnsi="Arial" w:cs="Arial"/>
          <w:sz w:val="22"/>
          <w:szCs w:val="22"/>
        </w:rPr>
        <w:t>.</w:t>
      </w:r>
      <w:r w:rsidR="00DD2065" w:rsidRPr="0049576D">
        <w:rPr>
          <w:rFonts w:ascii="Arial" w:hAnsi="Arial" w:cs="Arial"/>
          <w:sz w:val="22"/>
          <w:szCs w:val="22"/>
        </w:rPr>
        <w:t xml:space="preserve"> </w:t>
      </w:r>
      <w:r w:rsidR="00F97BA3" w:rsidRPr="0049576D">
        <w:rPr>
          <w:rFonts w:ascii="Arial" w:hAnsi="Arial" w:cs="Arial"/>
          <w:sz w:val="22"/>
          <w:szCs w:val="22"/>
        </w:rPr>
        <w:t>Bancóldex</w:t>
      </w:r>
      <w:r w:rsidR="00A44CA1" w:rsidRPr="0049576D">
        <w:rPr>
          <w:rFonts w:ascii="Arial" w:hAnsi="Arial" w:cs="Arial"/>
          <w:sz w:val="22"/>
          <w:szCs w:val="22"/>
        </w:rPr>
        <w:t xml:space="preserve"> utiliza </w:t>
      </w:r>
      <w:r w:rsidR="00EF65D2" w:rsidRPr="0049576D">
        <w:rPr>
          <w:rFonts w:ascii="Arial" w:hAnsi="Arial" w:cs="Arial"/>
          <w:sz w:val="22"/>
          <w:szCs w:val="22"/>
        </w:rPr>
        <w:t>un sistema integrado confiable, donde los módul</w:t>
      </w:r>
      <w:r w:rsidR="00DD2065" w:rsidRPr="0049576D">
        <w:rPr>
          <w:rFonts w:ascii="Arial" w:hAnsi="Arial" w:cs="Arial"/>
          <w:sz w:val="22"/>
          <w:szCs w:val="22"/>
        </w:rPr>
        <w:t>os de contabilidad</w:t>
      </w:r>
      <w:r w:rsidR="005B6E8F" w:rsidRPr="0049576D">
        <w:rPr>
          <w:rFonts w:ascii="Arial" w:hAnsi="Arial" w:cs="Arial"/>
          <w:sz w:val="22"/>
          <w:szCs w:val="22"/>
        </w:rPr>
        <w:t>,</w:t>
      </w:r>
      <w:r w:rsidR="00DD2065" w:rsidRPr="0049576D">
        <w:rPr>
          <w:rFonts w:ascii="Arial" w:hAnsi="Arial" w:cs="Arial"/>
          <w:sz w:val="22"/>
          <w:szCs w:val="22"/>
        </w:rPr>
        <w:t xml:space="preserve"> tesorería</w:t>
      </w:r>
      <w:r w:rsidR="0088007E" w:rsidRPr="0049576D">
        <w:rPr>
          <w:rFonts w:ascii="Arial" w:hAnsi="Arial" w:cs="Arial"/>
          <w:sz w:val="22"/>
          <w:szCs w:val="22"/>
        </w:rPr>
        <w:t>, cartera y presupuesto</w:t>
      </w:r>
      <w:r w:rsidR="00DD2065" w:rsidRPr="0049576D">
        <w:rPr>
          <w:rFonts w:ascii="Arial" w:hAnsi="Arial" w:cs="Arial"/>
          <w:sz w:val="22"/>
          <w:szCs w:val="22"/>
        </w:rPr>
        <w:t xml:space="preserve"> </w:t>
      </w:r>
      <w:r w:rsidR="005B6E8F" w:rsidRPr="0049576D">
        <w:rPr>
          <w:rFonts w:ascii="Arial" w:hAnsi="Arial" w:cs="Arial"/>
          <w:sz w:val="22"/>
          <w:szCs w:val="22"/>
        </w:rPr>
        <w:t>están en línea</w:t>
      </w:r>
      <w:r w:rsidR="00DD2065" w:rsidRPr="0049576D">
        <w:rPr>
          <w:rFonts w:ascii="Arial" w:hAnsi="Arial" w:cs="Arial"/>
          <w:sz w:val="22"/>
          <w:szCs w:val="22"/>
        </w:rPr>
        <w:t>.</w:t>
      </w:r>
    </w:p>
    <w:p w14:paraId="67AC87A2" w14:textId="77777777" w:rsidR="006F6AF6" w:rsidRPr="0049576D" w:rsidRDefault="006F6AF6" w:rsidP="00B13A41">
      <w:pPr>
        <w:autoSpaceDE w:val="0"/>
        <w:autoSpaceDN w:val="0"/>
        <w:adjustRightInd w:val="0"/>
        <w:ind w:left="360"/>
        <w:jc w:val="both"/>
        <w:rPr>
          <w:rFonts w:ascii="Arial" w:hAnsi="Arial" w:cs="Arial"/>
          <w:sz w:val="22"/>
          <w:szCs w:val="22"/>
        </w:rPr>
      </w:pPr>
    </w:p>
    <w:p w14:paraId="60DC4FBB" w14:textId="6E8D72E7" w:rsidR="006F6AF6" w:rsidRPr="0049576D" w:rsidRDefault="00DD48CD" w:rsidP="0049576D">
      <w:pPr>
        <w:pStyle w:val="ListParagraph"/>
        <w:numPr>
          <w:ilvl w:val="0"/>
          <w:numId w:val="31"/>
        </w:numPr>
        <w:autoSpaceDE w:val="0"/>
        <w:autoSpaceDN w:val="0"/>
        <w:adjustRightInd w:val="0"/>
        <w:ind w:left="540" w:hanging="540"/>
        <w:jc w:val="both"/>
        <w:rPr>
          <w:rFonts w:ascii="Arial" w:hAnsi="Arial" w:cs="Arial"/>
          <w:sz w:val="22"/>
          <w:szCs w:val="22"/>
        </w:rPr>
      </w:pPr>
      <w:r w:rsidRPr="0049576D">
        <w:rPr>
          <w:rFonts w:ascii="Arial" w:hAnsi="Arial" w:cs="Arial"/>
          <w:sz w:val="22"/>
          <w:szCs w:val="22"/>
        </w:rPr>
        <w:t>El costo total del pr</w:t>
      </w:r>
      <w:r w:rsidR="00AF0254" w:rsidRPr="0049576D">
        <w:rPr>
          <w:rFonts w:ascii="Arial" w:hAnsi="Arial" w:cs="Arial"/>
          <w:sz w:val="22"/>
          <w:szCs w:val="22"/>
        </w:rPr>
        <w:t>ograma</w:t>
      </w:r>
      <w:r w:rsidRPr="0049576D">
        <w:rPr>
          <w:rFonts w:ascii="Arial" w:hAnsi="Arial" w:cs="Arial"/>
          <w:sz w:val="22"/>
          <w:szCs w:val="22"/>
        </w:rPr>
        <w:t xml:space="preserve"> es de US$181</w:t>
      </w:r>
      <w:r w:rsidR="002B3B49">
        <w:rPr>
          <w:rFonts w:ascii="Arial" w:hAnsi="Arial" w:cs="Arial"/>
          <w:sz w:val="22"/>
          <w:szCs w:val="22"/>
        </w:rPr>
        <w:t>,</w:t>
      </w:r>
      <w:r w:rsidRPr="0049576D">
        <w:rPr>
          <w:rFonts w:ascii="Arial" w:hAnsi="Arial" w:cs="Arial"/>
          <w:sz w:val="22"/>
          <w:szCs w:val="22"/>
        </w:rPr>
        <w:t>47 mi</w:t>
      </w:r>
      <w:r w:rsidR="008D77CC">
        <w:rPr>
          <w:rFonts w:ascii="Arial" w:hAnsi="Arial" w:cs="Arial"/>
          <w:sz w:val="22"/>
          <w:szCs w:val="22"/>
        </w:rPr>
        <w:t>llones, de los cuales US$90</w:t>
      </w:r>
      <w:r w:rsidR="002B3B49">
        <w:rPr>
          <w:rFonts w:ascii="Arial" w:hAnsi="Arial" w:cs="Arial"/>
          <w:sz w:val="22"/>
          <w:szCs w:val="22"/>
        </w:rPr>
        <w:t>,</w:t>
      </w:r>
      <w:r w:rsidR="008D77CC">
        <w:rPr>
          <w:rFonts w:ascii="Arial" w:hAnsi="Arial" w:cs="Arial"/>
          <w:sz w:val="22"/>
          <w:szCs w:val="22"/>
        </w:rPr>
        <w:t>735 </w:t>
      </w:r>
      <w:r w:rsidRPr="0049576D">
        <w:rPr>
          <w:rFonts w:ascii="Arial" w:hAnsi="Arial" w:cs="Arial"/>
          <w:sz w:val="22"/>
          <w:szCs w:val="22"/>
        </w:rPr>
        <w:t>millones serán financiados con recursos del B</w:t>
      </w:r>
      <w:r w:rsidR="000C5112" w:rsidRPr="0049576D">
        <w:rPr>
          <w:rFonts w:ascii="Arial" w:hAnsi="Arial" w:cs="Arial"/>
          <w:sz w:val="22"/>
          <w:szCs w:val="22"/>
        </w:rPr>
        <w:t>ID</w:t>
      </w:r>
      <w:r w:rsidRPr="0049576D">
        <w:rPr>
          <w:rFonts w:ascii="Arial" w:hAnsi="Arial" w:cs="Arial"/>
          <w:sz w:val="22"/>
          <w:szCs w:val="22"/>
        </w:rPr>
        <w:t xml:space="preserve"> y US$90</w:t>
      </w:r>
      <w:r w:rsidR="002B3B49">
        <w:rPr>
          <w:rFonts w:ascii="Arial" w:hAnsi="Arial" w:cs="Arial"/>
          <w:sz w:val="22"/>
          <w:szCs w:val="22"/>
        </w:rPr>
        <w:t>,</w:t>
      </w:r>
      <w:r w:rsidRPr="0049576D">
        <w:rPr>
          <w:rFonts w:ascii="Arial" w:hAnsi="Arial" w:cs="Arial"/>
          <w:sz w:val="22"/>
          <w:szCs w:val="22"/>
        </w:rPr>
        <w:t xml:space="preserve">735 millones con aporte local. </w:t>
      </w:r>
      <w:r w:rsidR="00AF0254" w:rsidRPr="0049576D">
        <w:rPr>
          <w:rFonts w:ascii="Arial" w:hAnsi="Arial" w:cs="Arial"/>
          <w:sz w:val="22"/>
          <w:szCs w:val="22"/>
        </w:rPr>
        <w:t>El programa</w:t>
      </w:r>
      <w:r w:rsidRPr="0049576D">
        <w:rPr>
          <w:rFonts w:ascii="Arial" w:hAnsi="Arial" w:cs="Arial"/>
          <w:sz w:val="22"/>
          <w:szCs w:val="22"/>
        </w:rPr>
        <w:t xml:space="preserve"> no incluye financiamiento de otros multilaterales</w:t>
      </w:r>
      <w:r w:rsidR="00771EBD" w:rsidRPr="0049576D">
        <w:rPr>
          <w:rFonts w:ascii="Arial" w:hAnsi="Arial" w:cs="Arial"/>
          <w:sz w:val="22"/>
          <w:szCs w:val="22"/>
        </w:rPr>
        <w:t xml:space="preserve"> y el</w:t>
      </w:r>
      <w:r w:rsidR="00DE6DDE" w:rsidRPr="0049576D">
        <w:rPr>
          <w:rFonts w:ascii="Arial" w:hAnsi="Arial" w:cs="Arial"/>
          <w:sz w:val="22"/>
          <w:szCs w:val="22"/>
        </w:rPr>
        <w:t xml:space="preserve"> plazo de ejecución será de</w:t>
      </w:r>
      <w:r w:rsidR="00962B8C" w:rsidRPr="0049576D">
        <w:rPr>
          <w:rFonts w:ascii="Arial" w:hAnsi="Arial" w:cs="Arial"/>
          <w:sz w:val="22"/>
          <w:szCs w:val="22"/>
        </w:rPr>
        <w:t xml:space="preserve"> c</w:t>
      </w:r>
      <w:r w:rsidR="00764589" w:rsidRPr="0049576D">
        <w:rPr>
          <w:rFonts w:ascii="Arial" w:hAnsi="Arial" w:cs="Arial"/>
          <w:sz w:val="22"/>
          <w:szCs w:val="22"/>
        </w:rPr>
        <w:t>inco</w:t>
      </w:r>
      <w:r w:rsidR="00A67D6A">
        <w:rPr>
          <w:rFonts w:ascii="Arial" w:hAnsi="Arial" w:cs="Arial"/>
          <w:sz w:val="22"/>
          <w:szCs w:val="22"/>
        </w:rPr>
        <w:t> </w:t>
      </w:r>
      <w:r w:rsidR="00771EBD" w:rsidRPr="0049576D">
        <w:rPr>
          <w:rFonts w:ascii="Arial" w:hAnsi="Arial" w:cs="Arial"/>
          <w:sz w:val="22"/>
          <w:szCs w:val="22"/>
        </w:rPr>
        <w:t>años</w:t>
      </w:r>
      <w:r w:rsidR="00204735" w:rsidRPr="0049576D">
        <w:rPr>
          <w:rFonts w:ascii="Arial" w:hAnsi="Arial" w:cs="Arial"/>
          <w:sz w:val="22"/>
          <w:szCs w:val="22"/>
        </w:rPr>
        <w:t>.</w:t>
      </w:r>
    </w:p>
    <w:p w14:paraId="7EEB98C3" w14:textId="77777777" w:rsidR="00DD2CB1" w:rsidRPr="0049576D" w:rsidRDefault="00DD2CB1"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Contexto fiduciario del Organismo Ejecutor</w:t>
      </w:r>
    </w:p>
    <w:p w14:paraId="2F507D42" w14:textId="77777777" w:rsidR="00063393" w:rsidRPr="0049576D" w:rsidRDefault="00F97BA3" w:rsidP="0049576D">
      <w:pPr>
        <w:pStyle w:val="ListParagraph"/>
        <w:numPr>
          <w:ilvl w:val="0"/>
          <w:numId w:val="32"/>
        </w:numPr>
        <w:ind w:left="540" w:hanging="540"/>
        <w:jc w:val="both"/>
        <w:rPr>
          <w:rFonts w:ascii="Arial" w:hAnsi="Arial" w:cs="Arial"/>
          <w:sz w:val="22"/>
          <w:szCs w:val="22"/>
        </w:rPr>
      </w:pPr>
      <w:bookmarkStart w:id="2" w:name="_Hlk492649524"/>
      <w:r w:rsidRPr="0049576D">
        <w:rPr>
          <w:rFonts w:ascii="Arial" w:hAnsi="Arial" w:cs="Arial"/>
          <w:sz w:val="22"/>
          <w:szCs w:val="22"/>
        </w:rPr>
        <w:t>Bancóldex</w:t>
      </w:r>
      <w:r w:rsidR="00063393" w:rsidRPr="0049576D">
        <w:rPr>
          <w:rFonts w:ascii="Arial" w:hAnsi="Arial" w:cs="Arial"/>
          <w:sz w:val="22"/>
          <w:szCs w:val="22"/>
        </w:rPr>
        <w:t xml:space="preserve"> utiliza un sistema contable integrado confiable en AS-400, llamado Sistema Financiero Integrado (S.F.I.), donde las aplicaciones de contabilidad, </w:t>
      </w:r>
      <w:r w:rsidR="00063393" w:rsidRPr="0049576D">
        <w:rPr>
          <w:rFonts w:ascii="Arial" w:hAnsi="Arial" w:cs="Arial"/>
          <w:sz w:val="22"/>
          <w:szCs w:val="22"/>
        </w:rPr>
        <w:lastRenderedPageBreak/>
        <w:t>tesorería, cartera y presupuesto están en línea, y recibe información de los aplicativos de inversiones (</w:t>
      </w:r>
      <w:proofErr w:type="spellStart"/>
      <w:r w:rsidR="00063393" w:rsidRPr="0049576D">
        <w:rPr>
          <w:rFonts w:ascii="Arial" w:hAnsi="Arial" w:cs="Arial"/>
          <w:sz w:val="22"/>
          <w:szCs w:val="22"/>
        </w:rPr>
        <w:t>Alfyn</w:t>
      </w:r>
      <w:proofErr w:type="spellEnd"/>
      <w:r w:rsidR="00063393" w:rsidRPr="0049576D">
        <w:rPr>
          <w:rFonts w:ascii="Arial" w:hAnsi="Arial" w:cs="Arial"/>
          <w:sz w:val="22"/>
          <w:szCs w:val="22"/>
        </w:rPr>
        <w:t>), T24, Caja (Pagaduría), SISA, Tesorería (COBIS), PBO (traslado de saldos) y nómina (SRH). Este sistema permite mantener, manejar y monitorear cuentas contables independientes, que posibilitan el registro de los recursos de los pro</w:t>
      </w:r>
      <w:r w:rsidR="00AF0254" w:rsidRPr="0049576D">
        <w:rPr>
          <w:rFonts w:ascii="Arial" w:hAnsi="Arial" w:cs="Arial"/>
          <w:sz w:val="22"/>
          <w:szCs w:val="22"/>
        </w:rPr>
        <w:t>gramas</w:t>
      </w:r>
      <w:r w:rsidR="00063393" w:rsidRPr="0049576D">
        <w:rPr>
          <w:rFonts w:ascii="Arial" w:hAnsi="Arial" w:cs="Arial"/>
          <w:sz w:val="22"/>
          <w:szCs w:val="22"/>
        </w:rPr>
        <w:t>, facilitando su control e identificación.</w:t>
      </w:r>
    </w:p>
    <w:bookmarkEnd w:id="2"/>
    <w:p w14:paraId="3DE20FBD" w14:textId="77777777" w:rsidR="00063393" w:rsidRPr="0049576D" w:rsidRDefault="00063393" w:rsidP="00B13A41">
      <w:pPr>
        <w:ind w:left="360"/>
        <w:jc w:val="both"/>
        <w:rPr>
          <w:rFonts w:ascii="Arial" w:hAnsi="Arial" w:cs="Arial"/>
          <w:color w:val="FF0000"/>
          <w:sz w:val="22"/>
          <w:szCs w:val="22"/>
          <w:lang w:val="es-ES"/>
        </w:rPr>
      </w:pPr>
    </w:p>
    <w:p w14:paraId="2482996F" w14:textId="77777777" w:rsidR="0020203A" w:rsidRPr="0049576D" w:rsidRDefault="00EC65A4" w:rsidP="0049576D">
      <w:pPr>
        <w:pStyle w:val="ListParagraph"/>
        <w:numPr>
          <w:ilvl w:val="0"/>
          <w:numId w:val="32"/>
        </w:numPr>
        <w:ind w:left="540" w:hanging="540"/>
        <w:jc w:val="both"/>
        <w:rPr>
          <w:rFonts w:ascii="Arial" w:hAnsi="Arial" w:cs="Arial"/>
          <w:sz w:val="22"/>
          <w:szCs w:val="22"/>
        </w:rPr>
      </w:pPr>
      <w:r w:rsidRPr="0049576D">
        <w:rPr>
          <w:rFonts w:ascii="Arial" w:hAnsi="Arial" w:cs="Arial"/>
          <w:sz w:val="22"/>
          <w:szCs w:val="22"/>
        </w:rPr>
        <w:t>L</w:t>
      </w:r>
      <w:r w:rsidR="007800D5" w:rsidRPr="0049576D">
        <w:rPr>
          <w:rFonts w:ascii="Arial" w:hAnsi="Arial" w:cs="Arial"/>
          <w:sz w:val="22"/>
          <w:szCs w:val="22"/>
        </w:rPr>
        <w:t xml:space="preserve">as políticas, procedimientos y </w:t>
      </w:r>
      <w:r w:rsidRPr="0049576D">
        <w:rPr>
          <w:rFonts w:ascii="Arial" w:hAnsi="Arial" w:cs="Arial"/>
          <w:sz w:val="22"/>
          <w:szCs w:val="22"/>
        </w:rPr>
        <w:t xml:space="preserve">procesos de </w:t>
      </w:r>
      <w:r w:rsidR="00F97BA3" w:rsidRPr="0049576D">
        <w:rPr>
          <w:rFonts w:ascii="Arial" w:hAnsi="Arial" w:cs="Arial"/>
          <w:sz w:val="22"/>
          <w:szCs w:val="22"/>
        </w:rPr>
        <w:t>Bancóldex</w:t>
      </w:r>
      <w:r w:rsidR="007800D5" w:rsidRPr="0049576D">
        <w:rPr>
          <w:rFonts w:ascii="Arial" w:hAnsi="Arial" w:cs="Arial"/>
          <w:sz w:val="22"/>
          <w:szCs w:val="22"/>
        </w:rPr>
        <w:t xml:space="preserve"> </w:t>
      </w:r>
      <w:r w:rsidRPr="0049576D">
        <w:rPr>
          <w:rFonts w:ascii="Arial" w:hAnsi="Arial" w:cs="Arial"/>
          <w:sz w:val="22"/>
          <w:szCs w:val="22"/>
        </w:rPr>
        <w:t xml:space="preserve">se encuentran bien definidos, lo cual </w:t>
      </w:r>
      <w:r w:rsidR="00F83341" w:rsidRPr="0049576D">
        <w:rPr>
          <w:rFonts w:ascii="Arial" w:hAnsi="Arial" w:cs="Arial"/>
          <w:sz w:val="22"/>
          <w:szCs w:val="22"/>
        </w:rPr>
        <w:t xml:space="preserve">se ha observado durante </w:t>
      </w:r>
      <w:r w:rsidR="00196ED2" w:rsidRPr="0049576D">
        <w:rPr>
          <w:rFonts w:ascii="Arial" w:hAnsi="Arial" w:cs="Arial"/>
          <w:sz w:val="22"/>
          <w:szCs w:val="22"/>
        </w:rPr>
        <w:t>la supervisión de los préstamos en ejecución,</w:t>
      </w:r>
      <w:r w:rsidR="007800D5" w:rsidRPr="0049576D">
        <w:rPr>
          <w:rFonts w:ascii="Arial" w:hAnsi="Arial" w:cs="Arial"/>
          <w:sz w:val="22"/>
          <w:szCs w:val="22"/>
        </w:rPr>
        <w:t xml:space="preserve"> y cuenta con certificación en el sistema de gestión de calidad ISO-9001.</w:t>
      </w:r>
      <w:r w:rsidR="005E42E0" w:rsidRPr="0049576D">
        <w:rPr>
          <w:rFonts w:ascii="Arial" w:hAnsi="Arial" w:cs="Arial"/>
          <w:sz w:val="22"/>
          <w:szCs w:val="22"/>
        </w:rPr>
        <w:t xml:space="preserve"> Como fortaleza se puede destacar que </w:t>
      </w:r>
      <w:r w:rsidR="00F97BA3" w:rsidRPr="0049576D">
        <w:rPr>
          <w:rFonts w:ascii="Arial" w:hAnsi="Arial" w:cs="Arial"/>
          <w:sz w:val="22"/>
          <w:szCs w:val="22"/>
        </w:rPr>
        <w:t>Bancóldex</w:t>
      </w:r>
      <w:r w:rsidR="005E42E0" w:rsidRPr="0049576D">
        <w:rPr>
          <w:rFonts w:ascii="Arial" w:hAnsi="Arial" w:cs="Arial"/>
          <w:sz w:val="22"/>
          <w:szCs w:val="22"/>
        </w:rPr>
        <w:t xml:space="preserve"> cuenta con personal calificado, sistemas de información funcionales y procedimientos claros y definidos para llevar a cabo cada una de las </w:t>
      </w:r>
      <w:r w:rsidR="0020203A" w:rsidRPr="0049576D">
        <w:rPr>
          <w:rFonts w:ascii="Arial" w:hAnsi="Arial" w:cs="Arial"/>
          <w:sz w:val="22"/>
          <w:szCs w:val="22"/>
        </w:rPr>
        <w:t>actividades programadas</w:t>
      </w:r>
      <w:r w:rsidR="003F2B6E" w:rsidRPr="0049576D">
        <w:rPr>
          <w:rFonts w:ascii="Arial" w:hAnsi="Arial" w:cs="Arial"/>
          <w:sz w:val="22"/>
          <w:szCs w:val="22"/>
        </w:rPr>
        <w:t>;</w:t>
      </w:r>
      <w:r w:rsidR="0020203A" w:rsidRPr="0049576D">
        <w:rPr>
          <w:rFonts w:ascii="Arial" w:hAnsi="Arial" w:cs="Arial"/>
          <w:sz w:val="22"/>
          <w:szCs w:val="22"/>
        </w:rPr>
        <w:t xml:space="preserve"> así mismo</w:t>
      </w:r>
      <w:r w:rsidR="003F2B6E" w:rsidRPr="0049576D">
        <w:rPr>
          <w:rFonts w:ascii="Arial" w:hAnsi="Arial" w:cs="Arial"/>
          <w:sz w:val="22"/>
          <w:szCs w:val="22"/>
        </w:rPr>
        <w:t>,</w:t>
      </w:r>
      <w:r w:rsidR="0020203A" w:rsidRPr="0049576D">
        <w:rPr>
          <w:rFonts w:ascii="Arial" w:hAnsi="Arial" w:cs="Arial"/>
          <w:sz w:val="22"/>
          <w:szCs w:val="22"/>
        </w:rPr>
        <w:t xml:space="preserve"> </w:t>
      </w:r>
      <w:r w:rsidR="005E42E0" w:rsidRPr="0049576D">
        <w:rPr>
          <w:rFonts w:ascii="Arial" w:hAnsi="Arial" w:cs="Arial"/>
          <w:sz w:val="22"/>
          <w:szCs w:val="22"/>
        </w:rPr>
        <w:t xml:space="preserve">cuenta con personal técnico </w:t>
      </w:r>
      <w:r w:rsidR="00102311" w:rsidRPr="0049576D">
        <w:rPr>
          <w:rFonts w:ascii="Arial" w:hAnsi="Arial" w:cs="Arial"/>
          <w:sz w:val="22"/>
          <w:szCs w:val="22"/>
        </w:rPr>
        <w:t>con</w:t>
      </w:r>
      <w:r w:rsidR="005E42E0" w:rsidRPr="0049576D">
        <w:rPr>
          <w:rFonts w:ascii="Arial" w:hAnsi="Arial" w:cs="Arial"/>
          <w:sz w:val="22"/>
          <w:szCs w:val="22"/>
        </w:rPr>
        <w:t xml:space="preserve"> buena experiencia, permanencia y antigüedad en cada una de las áreas de la Institución</w:t>
      </w:r>
      <w:r w:rsidR="003F2B6E" w:rsidRPr="0049576D">
        <w:rPr>
          <w:rFonts w:ascii="Arial" w:hAnsi="Arial" w:cs="Arial"/>
          <w:sz w:val="22"/>
          <w:szCs w:val="22"/>
        </w:rPr>
        <w:t>,</w:t>
      </w:r>
      <w:r w:rsidR="005E42E0" w:rsidRPr="0049576D">
        <w:rPr>
          <w:rFonts w:ascii="Arial" w:hAnsi="Arial" w:cs="Arial"/>
          <w:sz w:val="22"/>
          <w:szCs w:val="22"/>
        </w:rPr>
        <w:t xml:space="preserve"> que le permite asegurar la calidad de sus procesos</w:t>
      </w:r>
      <w:r w:rsidR="0020203A" w:rsidRPr="0049576D">
        <w:rPr>
          <w:rFonts w:ascii="Arial" w:hAnsi="Arial" w:cs="Arial"/>
          <w:sz w:val="22"/>
          <w:szCs w:val="22"/>
        </w:rPr>
        <w:t xml:space="preserve"> fiduciarios y administrativos</w:t>
      </w:r>
      <w:r w:rsidR="00F84D4C" w:rsidRPr="0049576D">
        <w:rPr>
          <w:rFonts w:ascii="Arial" w:hAnsi="Arial" w:cs="Arial"/>
          <w:sz w:val="22"/>
          <w:szCs w:val="22"/>
        </w:rPr>
        <w:t>,</w:t>
      </w:r>
      <w:r w:rsidR="0020203A" w:rsidRPr="0049576D">
        <w:rPr>
          <w:rFonts w:ascii="Arial" w:hAnsi="Arial" w:cs="Arial"/>
          <w:sz w:val="22"/>
          <w:szCs w:val="22"/>
        </w:rPr>
        <w:t xml:space="preserve"> </w:t>
      </w:r>
      <w:r w:rsidR="005E42E0" w:rsidRPr="0049576D">
        <w:rPr>
          <w:rFonts w:ascii="Arial" w:hAnsi="Arial" w:cs="Arial"/>
          <w:sz w:val="22"/>
          <w:szCs w:val="22"/>
        </w:rPr>
        <w:t>y la responsabilidad y eficiencia en el desarrollo de sus funciones.</w:t>
      </w:r>
    </w:p>
    <w:p w14:paraId="4144EDA6" w14:textId="77777777" w:rsidR="00DD2CB1" w:rsidRPr="0049576D" w:rsidRDefault="00DD2CB1"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Evaluación del riesgo fiduciario y acciones de mitigación</w:t>
      </w:r>
    </w:p>
    <w:p w14:paraId="0C5DC73C" w14:textId="77777777" w:rsidR="008E1A53" w:rsidRPr="0049576D" w:rsidRDefault="00B8013D" w:rsidP="0049576D">
      <w:pPr>
        <w:pStyle w:val="ListParagraph"/>
        <w:numPr>
          <w:ilvl w:val="0"/>
          <w:numId w:val="33"/>
        </w:numPr>
        <w:autoSpaceDE w:val="0"/>
        <w:autoSpaceDN w:val="0"/>
        <w:adjustRightInd w:val="0"/>
        <w:ind w:left="540" w:hanging="540"/>
        <w:jc w:val="both"/>
        <w:rPr>
          <w:rFonts w:ascii="Arial" w:hAnsi="Arial" w:cs="Arial"/>
          <w:sz w:val="22"/>
          <w:szCs w:val="22"/>
        </w:rPr>
      </w:pPr>
      <w:r w:rsidRPr="0049576D">
        <w:rPr>
          <w:rFonts w:ascii="Arial" w:hAnsi="Arial" w:cs="Arial"/>
          <w:sz w:val="22"/>
          <w:szCs w:val="22"/>
        </w:rPr>
        <w:t>No se identificaron riesgos fiduciarios</w:t>
      </w:r>
      <w:r w:rsidR="008D715A" w:rsidRPr="0049576D">
        <w:rPr>
          <w:rFonts w:ascii="Arial" w:hAnsi="Arial" w:cs="Arial"/>
          <w:sz w:val="22"/>
          <w:szCs w:val="22"/>
        </w:rPr>
        <w:t>.</w:t>
      </w:r>
      <w:r w:rsidR="008E1A53" w:rsidRPr="0049576D">
        <w:rPr>
          <w:rFonts w:ascii="Arial" w:hAnsi="Arial" w:cs="Arial"/>
          <w:sz w:val="22"/>
          <w:szCs w:val="22"/>
        </w:rPr>
        <w:t xml:space="preserve"> </w:t>
      </w:r>
    </w:p>
    <w:p w14:paraId="04B0F8AE" w14:textId="77777777" w:rsidR="00DD2CB1" w:rsidRPr="0049576D" w:rsidRDefault="00445ADE"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Aspectos para considerar</w:t>
      </w:r>
      <w:r w:rsidR="00DD2CB1" w:rsidRPr="0049576D">
        <w:rPr>
          <w:rFonts w:ascii="Arial" w:hAnsi="Arial" w:cs="Arial"/>
          <w:b/>
          <w:smallCaps/>
        </w:rPr>
        <w:t xml:space="preserve"> en Estipulaciones Especiales </w:t>
      </w:r>
      <w:r w:rsidRPr="0049576D">
        <w:rPr>
          <w:rFonts w:ascii="Arial" w:hAnsi="Arial" w:cs="Arial"/>
          <w:b/>
          <w:smallCaps/>
        </w:rPr>
        <w:t>de</w:t>
      </w:r>
      <w:r w:rsidR="00DD2CB1" w:rsidRPr="0049576D">
        <w:rPr>
          <w:rFonts w:ascii="Arial" w:hAnsi="Arial" w:cs="Arial"/>
          <w:b/>
          <w:smallCaps/>
        </w:rPr>
        <w:t xml:space="preserve"> los contratos</w:t>
      </w:r>
    </w:p>
    <w:p w14:paraId="1440E150" w14:textId="77777777" w:rsidR="008B11D0" w:rsidRPr="0049576D" w:rsidRDefault="008B11D0" w:rsidP="0049576D">
      <w:pPr>
        <w:pStyle w:val="ListParagraph"/>
        <w:numPr>
          <w:ilvl w:val="0"/>
          <w:numId w:val="34"/>
        </w:numPr>
        <w:ind w:left="540" w:hanging="540"/>
        <w:jc w:val="both"/>
        <w:rPr>
          <w:rFonts w:ascii="Arial" w:hAnsi="Arial" w:cs="Arial"/>
          <w:b/>
          <w:sz w:val="22"/>
          <w:szCs w:val="22"/>
        </w:rPr>
      </w:pPr>
      <w:r w:rsidRPr="0049576D">
        <w:rPr>
          <w:rFonts w:ascii="Arial" w:hAnsi="Arial" w:cs="Arial"/>
          <w:b/>
          <w:sz w:val="22"/>
          <w:szCs w:val="22"/>
        </w:rPr>
        <w:t>Gestión Financiera</w:t>
      </w:r>
    </w:p>
    <w:p w14:paraId="4A1BCF3C" w14:textId="1FC14F07" w:rsidR="00FB0FCA" w:rsidRPr="0049576D" w:rsidRDefault="004B2A0B" w:rsidP="0049576D">
      <w:pPr>
        <w:numPr>
          <w:ilvl w:val="1"/>
          <w:numId w:val="17"/>
        </w:numPr>
        <w:tabs>
          <w:tab w:val="clear" w:pos="1440"/>
        </w:tabs>
        <w:ind w:left="990" w:hanging="439"/>
        <w:jc w:val="both"/>
        <w:rPr>
          <w:rFonts w:ascii="Arial" w:hAnsi="Arial" w:cs="Arial"/>
          <w:sz w:val="22"/>
          <w:szCs w:val="22"/>
        </w:rPr>
      </w:pPr>
      <w:r w:rsidRPr="0049576D">
        <w:rPr>
          <w:rFonts w:ascii="Arial" w:hAnsi="Arial" w:cs="Arial"/>
          <w:sz w:val="22"/>
          <w:szCs w:val="22"/>
        </w:rPr>
        <w:t>El B</w:t>
      </w:r>
      <w:r w:rsidR="000C5112" w:rsidRPr="0049576D">
        <w:rPr>
          <w:rFonts w:ascii="Arial" w:hAnsi="Arial" w:cs="Arial"/>
          <w:sz w:val="22"/>
          <w:szCs w:val="22"/>
        </w:rPr>
        <w:t xml:space="preserve">ID </w:t>
      </w:r>
      <w:r w:rsidRPr="0049576D">
        <w:rPr>
          <w:rFonts w:ascii="Arial" w:hAnsi="Arial" w:cs="Arial"/>
          <w:sz w:val="22"/>
          <w:szCs w:val="22"/>
        </w:rPr>
        <w:t xml:space="preserve">desembolsará los recursos del proyecto bajo la modalidad de </w:t>
      </w:r>
      <w:r w:rsidR="00410FF4">
        <w:rPr>
          <w:rFonts w:ascii="Arial" w:hAnsi="Arial" w:cs="Arial"/>
          <w:sz w:val="22"/>
          <w:szCs w:val="22"/>
        </w:rPr>
        <w:t>r</w:t>
      </w:r>
      <w:r w:rsidRPr="0049576D">
        <w:rPr>
          <w:rFonts w:ascii="Arial" w:hAnsi="Arial" w:cs="Arial"/>
          <w:sz w:val="22"/>
          <w:szCs w:val="22"/>
        </w:rPr>
        <w:t>eembolso, sin embargo,</w:t>
      </w:r>
      <w:r w:rsidR="00A061C1" w:rsidRPr="0049576D">
        <w:rPr>
          <w:rFonts w:ascii="Arial" w:hAnsi="Arial" w:cs="Arial"/>
          <w:sz w:val="22"/>
          <w:szCs w:val="22"/>
        </w:rPr>
        <w:t xml:space="preserve"> </w:t>
      </w:r>
      <w:r w:rsidRPr="0049576D">
        <w:rPr>
          <w:rFonts w:ascii="Arial" w:hAnsi="Arial" w:cs="Arial"/>
          <w:sz w:val="22"/>
          <w:szCs w:val="22"/>
        </w:rPr>
        <w:t>podrá utilizar otra modalidad de desembolsos, de común acuerdo con el Banco.</w:t>
      </w:r>
      <w:r w:rsidR="00A061C1" w:rsidRPr="0049576D">
        <w:rPr>
          <w:rFonts w:ascii="Arial" w:hAnsi="Arial" w:cs="Arial"/>
          <w:sz w:val="22"/>
          <w:szCs w:val="22"/>
        </w:rPr>
        <w:t xml:space="preserve"> </w:t>
      </w:r>
    </w:p>
    <w:p w14:paraId="27EA0C23" w14:textId="6C61500C" w:rsidR="004B2A0B" w:rsidRPr="0049576D" w:rsidRDefault="004D18E7" w:rsidP="0049576D">
      <w:pPr>
        <w:numPr>
          <w:ilvl w:val="1"/>
          <w:numId w:val="17"/>
        </w:numPr>
        <w:tabs>
          <w:tab w:val="clear" w:pos="1440"/>
        </w:tabs>
        <w:ind w:left="990" w:hanging="439"/>
        <w:jc w:val="both"/>
        <w:rPr>
          <w:rFonts w:ascii="Arial" w:hAnsi="Arial" w:cs="Arial"/>
          <w:sz w:val="22"/>
          <w:szCs w:val="22"/>
        </w:rPr>
      </w:pPr>
      <w:r w:rsidRPr="0049576D">
        <w:rPr>
          <w:rFonts w:ascii="Arial" w:hAnsi="Arial" w:cs="Arial"/>
          <w:sz w:val="22"/>
          <w:szCs w:val="22"/>
        </w:rPr>
        <w:t>La tasa de cambio para la solicitud de los reembolsos será la vigente en la fecha efectiva del pago en pesos colombianos.</w:t>
      </w:r>
    </w:p>
    <w:p w14:paraId="58E05E4D" w14:textId="560178CA" w:rsidR="000A4DA4" w:rsidRPr="0049576D" w:rsidRDefault="00317E19" w:rsidP="0049576D">
      <w:pPr>
        <w:numPr>
          <w:ilvl w:val="1"/>
          <w:numId w:val="17"/>
        </w:numPr>
        <w:tabs>
          <w:tab w:val="clear" w:pos="1440"/>
        </w:tabs>
        <w:ind w:left="990" w:hanging="439"/>
        <w:jc w:val="both"/>
        <w:rPr>
          <w:rFonts w:ascii="Arial" w:hAnsi="Arial" w:cs="Arial"/>
          <w:sz w:val="22"/>
          <w:szCs w:val="22"/>
        </w:rPr>
      </w:pPr>
      <w:r w:rsidRPr="0049576D">
        <w:rPr>
          <w:rFonts w:ascii="Arial" w:hAnsi="Arial" w:cs="Arial"/>
          <w:sz w:val="22"/>
          <w:szCs w:val="22"/>
        </w:rPr>
        <w:t>Se requerirán</w:t>
      </w:r>
      <w:r w:rsidR="00A01A30" w:rsidRPr="0049576D">
        <w:rPr>
          <w:rFonts w:ascii="Arial" w:hAnsi="Arial" w:cs="Arial"/>
          <w:sz w:val="22"/>
          <w:szCs w:val="22"/>
        </w:rPr>
        <w:t xml:space="preserve"> estados </w:t>
      </w:r>
      <w:r w:rsidRPr="0049576D">
        <w:rPr>
          <w:rFonts w:ascii="Arial" w:hAnsi="Arial" w:cs="Arial"/>
          <w:sz w:val="22"/>
          <w:szCs w:val="22"/>
        </w:rPr>
        <w:t>financieros auditados</w:t>
      </w:r>
      <w:r w:rsidR="00B46E6B" w:rsidRPr="0049576D">
        <w:rPr>
          <w:rFonts w:ascii="Arial" w:hAnsi="Arial" w:cs="Arial"/>
          <w:sz w:val="22"/>
          <w:szCs w:val="22"/>
        </w:rPr>
        <w:t xml:space="preserve"> anuales</w:t>
      </w:r>
      <w:r w:rsidRPr="0049576D">
        <w:rPr>
          <w:rFonts w:ascii="Arial" w:hAnsi="Arial" w:cs="Arial"/>
          <w:sz w:val="22"/>
          <w:szCs w:val="22"/>
        </w:rPr>
        <w:t xml:space="preserve"> del </w:t>
      </w:r>
      <w:r w:rsidR="00207A47">
        <w:rPr>
          <w:rFonts w:ascii="Arial" w:hAnsi="Arial" w:cs="Arial"/>
          <w:sz w:val="22"/>
          <w:szCs w:val="22"/>
        </w:rPr>
        <w:t>p</w:t>
      </w:r>
      <w:r w:rsidRPr="0049576D">
        <w:rPr>
          <w:rFonts w:ascii="Arial" w:hAnsi="Arial" w:cs="Arial"/>
          <w:sz w:val="22"/>
          <w:szCs w:val="22"/>
        </w:rPr>
        <w:t>royecto</w:t>
      </w:r>
      <w:r w:rsidR="00B46E6B" w:rsidRPr="0049576D">
        <w:rPr>
          <w:rFonts w:ascii="Arial" w:hAnsi="Arial" w:cs="Arial"/>
          <w:sz w:val="22"/>
          <w:szCs w:val="22"/>
        </w:rPr>
        <w:t xml:space="preserve"> </w:t>
      </w:r>
      <w:r w:rsidRPr="0049576D">
        <w:rPr>
          <w:rFonts w:ascii="Arial" w:hAnsi="Arial" w:cs="Arial"/>
          <w:sz w:val="22"/>
          <w:szCs w:val="22"/>
        </w:rPr>
        <w:t xml:space="preserve">y </w:t>
      </w:r>
      <w:r w:rsidR="00207A47">
        <w:rPr>
          <w:rFonts w:ascii="Arial" w:hAnsi="Arial" w:cs="Arial"/>
          <w:sz w:val="22"/>
          <w:szCs w:val="22"/>
        </w:rPr>
        <w:t>e</w:t>
      </w:r>
      <w:r w:rsidRPr="0049576D">
        <w:rPr>
          <w:rFonts w:ascii="Arial" w:hAnsi="Arial" w:cs="Arial"/>
          <w:sz w:val="22"/>
          <w:szCs w:val="22"/>
        </w:rPr>
        <w:t xml:space="preserve">stados financieros auditados </w:t>
      </w:r>
      <w:r w:rsidR="00B46E6B" w:rsidRPr="0049576D">
        <w:rPr>
          <w:rFonts w:ascii="Arial" w:hAnsi="Arial" w:cs="Arial"/>
          <w:sz w:val="22"/>
          <w:szCs w:val="22"/>
        </w:rPr>
        <w:t xml:space="preserve">anuales </w:t>
      </w:r>
      <w:r w:rsidRPr="0049576D">
        <w:rPr>
          <w:rFonts w:ascii="Arial" w:hAnsi="Arial" w:cs="Arial"/>
          <w:sz w:val="22"/>
          <w:szCs w:val="22"/>
        </w:rPr>
        <w:t xml:space="preserve">del </w:t>
      </w:r>
      <w:r w:rsidR="00410FF4">
        <w:rPr>
          <w:rFonts w:ascii="Arial" w:hAnsi="Arial" w:cs="Arial"/>
          <w:sz w:val="22"/>
          <w:szCs w:val="22"/>
        </w:rPr>
        <w:t>p</w:t>
      </w:r>
      <w:r w:rsidR="000A4DA4" w:rsidRPr="0049576D">
        <w:rPr>
          <w:rFonts w:ascii="Arial" w:hAnsi="Arial" w:cs="Arial"/>
          <w:sz w:val="22"/>
          <w:szCs w:val="22"/>
        </w:rPr>
        <w:t>restatario</w:t>
      </w:r>
      <w:r w:rsidR="00CC4882" w:rsidRPr="0049576D">
        <w:rPr>
          <w:rFonts w:ascii="Arial" w:hAnsi="Arial" w:cs="Arial"/>
          <w:sz w:val="22"/>
          <w:szCs w:val="22"/>
        </w:rPr>
        <w:t>.</w:t>
      </w:r>
    </w:p>
    <w:p w14:paraId="328E83AB" w14:textId="77777777" w:rsidR="00317E19" w:rsidRPr="0049576D" w:rsidRDefault="004C086E" w:rsidP="0049576D">
      <w:pPr>
        <w:numPr>
          <w:ilvl w:val="1"/>
          <w:numId w:val="17"/>
        </w:numPr>
        <w:tabs>
          <w:tab w:val="clear" w:pos="1440"/>
        </w:tabs>
        <w:ind w:left="990" w:hanging="439"/>
        <w:jc w:val="both"/>
        <w:rPr>
          <w:rFonts w:ascii="Arial" w:hAnsi="Arial" w:cs="Arial"/>
          <w:sz w:val="22"/>
          <w:szCs w:val="22"/>
        </w:rPr>
      </w:pPr>
      <w:r w:rsidRPr="0049576D">
        <w:rPr>
          <w:rFonts w:ascii="Arial" w:hAnsi="Arial" w:cs="Arial"/>
          <w:sz w:val="22"/>
          <w:szCs w:val="22"/>
        </w:rPr>
        <w:t>E</w:t>
      </w:r>
      <w:r w:rsidR="00317E19" w:rsidRPr="0049576D">
        <w:rPr>
          <w:rFonts w:ascii="Arial" w:hAnsi="Arial" w:cs="Arial"/>
          <w:sz w:val="22"/>
          <w:szCs w:val="22"/>
        </w:rPr>
        <w:t xml:space="preserve">l ejercicio fiscal del </w:t>
      </w:r>
      <w:r w:rsidR="00207A47">
        <w:rPr>
          <w:rFonts w:ascii="Arial" w:hAnsi="Arial" w:cs="Arial"/>
          <w:sz w:val="22"/>
          <w:szCs w:val="22"/>
        </w:rPr>
        <w:t>p</w:t>
      </w:r>
      <w:r w:rsidR="00317E19" w:rsidRPr="0049576D">
        <w:rPr>
          <w:rFonts w:ascii="Arial" w:hAnsi="Arial" w:cs="Arial"/>
          <w:sz w:val="22"/>
          <w:szCs w:val="22"/>
        </w:rPr>
        <w:t>royecto es el período co</w:t>
      </w:r>
      <w:r w:rsidR="00207A47">
        <w:rPr>
          <w:rFonts w:ascii="Arial" w:hAnsi="Arial" w:cs="Arial"/>
          <w:sz w:val="22"/>
          <w:szCs w:val="22"/>
        </w:rPr>
        <w:t>mprendido entre 1 de enero y 31 </w:t>
      </w:r>
      <w:r w:rsidR="00317E19" w:rsidRPr="0049576D">
        <w:rPr>
          <w:rFonts w:ascii="Arial" w:hAnsi="Arial" w:cs="Arial"/>
          <w:sz w:val="22"/>
          <w:szCs w:val="22"/>
        </w:rPr>
        <w:t>de diciembre de cada año</w:t>
      </w:r>
      <w:r w:rsidRPr="0049576D">
        <w:rPr>
          <w:rFonts w:ascii="Arial" w:hAnsi="Arial" w:cs="Arial"/>
          <w:sz w:val="22"/>
          <w:szCs w:val="22"/>
        </w:rPr>
        <w:t>.</w:t>
      </w:r>
    </w:p>
    <w:p w14:paraId="205E0CD7" w14:textId="77777777" w:rsidR="00DD2CB1" w:rsidRPr="0049576D" w:rsidRDefault="00DD2CB1"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Acuerdos y Requisitos para la Ejecución de las Adquisiciones</w:t>
      </w:r>
    </w:p>
    <w:p w14:paraId="531F6627" w14:textId="03CB6662" w:rsidR="00B809D1" w:rsidRPr="0049576D" w:rsidRDefault="00B809D1" w:rsidP="0049576D">
      <w:pPr>
        <w:pStyle w:val="ListParagraph"/>
        <w:numPr>
          <w:ilvl w:val="0"/>
          <w:numId w:val="35"/>
        </w:numPr>
        <w:autoSpaceDE w:val="0"/>
        <w:autoSpaceDN w:val="0"/>
        <w:adjustRightInd w:val="0"/>
        <w:spacing w:before="120" w:after="120"/>
        <w:ind w:left="540" w:hanging="540"/>
        <w:jc w:val="both"/>
        <w:rPr>
          <w:rFonts w:ascii="Arial" w:hAnsi="Arial" w:cs="Arial"/>
          <w:sz w:val="22"/>
          <w:szCs w:val="22"/>
        </w:rPr>
      </w:pPr>
      <w:r w:rsidRPr="0049576D">
        <w:rPr>
          <w:rFonts w:ascii="Arial" w:hAnsi="Arial" w:cs="Arial"/>
          <w:sz w:val="22"/>
          <w:szCs w:val="22"/>
        </w:rPr>
        <w:t>Con respecto a las adquisiciones de esta operación, se adoptó la estructura característica de un Global de Crédito</w:t>
      </w:r>
      <w:r w:rsidR="001E6AE0">
        <w:rPr>
          <w:rFonts w:ascii="Arial" w:hAnsi="Arial" w:cs="Arial"/>
          <w:sz w:val="22"/>
          <w:szCs w:val="22"/>
        </w:rPr>
        <w:t xml:space="preserve">, </w:t>
      </w:r>
      <w:r w:rsidR="001E6AE0" w:rsidRPr="001E6AE0">
        <w:rPr>
          <w:rFonts w:ascii="Arial" w:hAnsi="Arial" w:cs="Arial"/>
          <w:sz w:val="22"/>
          <w:szCs w:val="22"/>
        </w:rPr>
        <w:t>con un periodo de desembolso de cinco años</w:t>
      </w:r>
      <w:r w:rsidRPr="0049576D">
        <w:rPr>
          <w:rFonts w:ascii="Arial" w:hAnsi="Arial" w:cs="Arial"/>
          <w:sz w:val="22"/>
          <w:szCs w:val="22"/>
        </w:rPr>
        <w:t xml:space="preserve">. En este contexto, los desembolsos de los recursos del crédito serían realizados según las normas estipuladas en el RC, consistente en </w:t>
      </w:r>
      <w:proofErr w:type="spellStart"/>
      <w:r w:rsidRPr="0049576D">
        <w:rPr>
          <w:rFonts w:ascii="Arial" w:hAnsi="Arial" w:cs="Arial"/>
          <w:sz w:val="22"/>
          <w:szCs w:val="22"/>
        </w:rPr>
        <w:t>subpréstamos</w:t>
      </w:r>
      <w:proofErr w:type="spellEnd"/>
      <w:r w:rsidRPr="0049576D">
        <w:rPr>
          <w:rFonts w:ascii="Arial" w:hAnsi="Arial" w:cs="Arial"/>
          <w:sz w:val="22"/>
          <w:szCs w:val="22"/>
        </w:rPr>
        <w:t xml:space="preserve"> otorgados por </w:t>
      </w:r>
      <w:r w:rsidR="008B77BF" w:rsidRPr="0049576D">
        <w:rPr>
          <w:rFonts w:ascii="Arial" w:hAnsi="Arial" w:cs="Arial"/>
          <w:sz w:val="22"/>
          <w:szCs w:val="22"/>
        </w:rPr>
        <w:t>Establecimientos de Crédito</w:t>
      </w:r>
      <w:r w:rsidRPr="0049576D">
        <w:rPr>
          <w:rFonts w:ascii="Arial" w:hAnsi="Arial" w:cs="Arial"/>
          <w:sz w:val="22"/>
          <w:szCs w:val="22"/>
        </w:rPr>
        <w:t xml:space="preserve"> </w:t>
      </w:r>
      <w:r w:rsidR="008B77BF" w:rsidRPr="0049576D">
        <w:rPr>
          <w:rFonts w:ascii="Arial" w:hAnsi="Arial" w:cs="Arial"/>
          <w:sz w:val="22"/>
          <w:szCs w:val="22"/>
        </w:rPr>
        <w:t xml:space="preserve">(EC) </w:t>
      </w:r>
      <w:r w:rsidRPr="0049576D">
        <w:rPr>
          <w:rFonts w:ascii="Arial" w:hAnsi="Arial" w:cs="Arial"/>
          <w:sz w:val="22"/>
          <w:szCs w:val="22"/>
        </w:rPr>
        <w:t xml:space="preserve">del sector privado. Los </w:t>
      </w:r>
      <w:proofErr w:type="spellStart"/>
      <w:r w:rsidRPr="0049576D">
        <w:rPr>
          <w:rFonts w:ascii="Arial" w:hAnsi="Arial" w:cs="Arial"/>
          <w:sz w:val="22"/>
          <w:szCs w:val="22"/>
        </w:rPr>
        <w:t>subprestatarios</w:t>
      </w:r>
      <w:proofErr w:type="spellEnd"/>
      <w:r w:rsidRPr="0049576D">
        <w:rPr>
          <w:rFonts w:ascii="Arial" w:hAnsi="Arial" w:cs="Arial"/>
          <w:sz w:val="22"/>
          <w:szCs w:val="22"/>
        </w:rPr>
        <w:t xml:space="preserve"> tramitarán los procesos de adquisiciones utilizando prácticas del sector privado. </w:t>
      </w:r>
      <w:r w:rsidR="00F97BA3" w:rsidRPr="0049576D">
        <w:rPr>
          <w:rFonts w:ascii="Arial" w:hAnsi="Arial" w:cs="Arial"/>
          <w:sz w:val="22"/>
          <w:szCs w:val="22"/>
        </w:rPr>
        <w:t>Bancóldex</w:t>
      </w:r>
      <w:r w:rsidRPr="0049576D">
        <w:rPr>
          <w:rFonts w:ascii="Arial" w:hAnsi="Arial" w:cs="Arial"/>
          <w:sz w:val="22"/>
          <w:szCs w:val="22"/>
        </w:rPr>
        <w:t xml:space="preserve"> no tramitará procesos de adquisiciones utilizando recursos del financiamiento del Banco.</w:t>
      </w:r>
    </w:p>
    <w:p w14:paraId="42A08541" w14:textId="169933F0" w:rsidR="00B809D1" w:rsidRPr="00F92898" w:rsidRDefault="00B809D1" w:rsidP="00A459E3">
      <w:pPr>
        <w:numPr>
          <w:ilvl w:val="0"/>
          <w:numId w:val="35"/>
        </w:numPr>
        <w:autoSpaceDE w:val="0"/>
        <w:autoSpaceDN w:val="0"/>
        <w:adjustRightInd w:val="0"/>
        <w:spacing w:before="240" w:after="120"/>
        <w:ind w:left="547" w:hanging="547"/>
        <w:jc w:val="both"/>
        <w:rPr>
          <w:rFonts w:ascii="Arial" w:hAnsi="Arial" w:cs="Arial"/>
          <w:b/>
          <w:sz w:val="22"/>
          <w:szCs w:val="22"/>
        </w:rPr>
      </w:pPr>
      <w:bookmarkStart w:id="3" w:name="_Toc244412081"/>
      <w:r w:rsidRPr="0049576D">
        <w:rPr>
          <w:rFonts w:ascii="Arial" w:hAnsi="Arial" w:cs="Arial"/>
          <w:b/>
          <w:sz w:val="22"/>
          <w:szCs w:val="22"/>
        </w:rPr>
        <w:t>Ejecución de las Adquisiciones</w:t>
      </w:r>
      <w:bookmarkEnd w:id="3"/>
      <w:r w:rsidR="0049576D" w:rsidRPr="0049576D">
        <w:rPr>
          <w:rFonts w:ascii="Arial" w:hAnsi="Arial" w:cs="Arial"/>
          <w:b/>
          <w:sz w:val="22"/>
          <w:szCs w:val="22"/>
        </w:rPr>
        <w:t xml:space="preserve">. </w:t>
      </w:r>
      <w:r w:rsidRPr="0049576D">
        <w:rPr>
          <w:rFonts w:ascii="Arial" w:hAnsi="Arial" w:cs="Arial"/>
          <w:sz w:val="22"/>
          <w:szCs w:val="22"/>
        </w:rPr>
        <w:t>De acuerdo con e</w:t>
      </w:r>
      <w:r w:rsidR="00A67D6A">
        <w:rPr>
          <w:rFonts w:ascii="Arial" w:hAnsi="Arial" w:cs="Arial"/>
          <w:sz w:val="22"/>
          <w:szCs w:val="22"/>
        </w:rPr>
        <w:t xml:space="preserve">l numeral 3.12 del documento </w:t>
      </w:r>
      <w:r w:rsidR="00D271DB">
        <w:rPr>
          <w:rFonts w:ascii="Arial" w:hAnsi="Arial" w:cs="Arial"/>
          <w:sz w:val="22"/>
          <w:szCs w:val="22"/>
        </w:rPr>
        <w:t>de Políticas para la A</w:t>
      </w:r>
      <w:r w:rsidR="00D271DB" w:rsidRPr="00D271DB">
        <w:rPr>
          <w:rFonts w:ascii="Arial" w:hAnsi="Arial" w:cs="Arial"/>
          <w:sz w:val="22"/>
          <w:szCs w:val="22"/>
        </w:rPr>
        <w:t xml:space="preserve">dquisición de </w:t>
      </w:r>
      <w:r w:rsidR="00D271DB">
        <w:rPr>
          <w:rFonts w:ascii="Arial" w:hAnsi="Arial" w:cs="Arial"/>
          <w:sz w:val="22"/>
          <w:szCs w:val="22"/>
        </w:rPr>
        <w:t>O</w:t>
      </w:r>
      <w:r w:rsidR="00D271DB" w:rsidRPr="00D271DB">
        <w:rPr>
          <w:rFonts w:ascii="Arial" w:hAnsi="Arial" w:cs="Arial"/>
          <w:sz w:val="22"/>
          <w:szCs w:val="22"/>
        </w:rPr>
        <w:t xml:space="preserve">bras y </w:t>
      </w:r>
      <w:r w:rsidR="00D271DB">
        <w:rPr>
          <w:rFonts w:ascii="Arial" w:hAnsi="Arial" w:cs="Arial"/>
          <w:sz w:val="22"/>
          <w:szCs w:val="22"/>
        </w:rPr>
        <w:t>Bienes F</w:t>
      </w:r>
      <w:r w:rsidR="00D271DB" w:rsidRPr="00D271DB">
        <w:rPr>
          <w:rFonts w:ascii="Arial" w:hAnsi="Arial" w:cs="Arial"/>
          <w:sz w:val="22"/>
          <w:szCs w:val="22"/>
        </w:rPr>
        <w:t>inanciados por el BID</w:t>
      </w:r>
      <w:r w:rsidR="00D271DB">
        <w:rPr>
          <w:rFonts w:ascii="Arial" w:hAnsi="Arial" w:cs="Arial"/>
          <w:sz w:val="22"/>
          <w:szCs w:val="22"/>
        </w:rPr>
        <w:t xml:space="preserve"> </w:t>
      </w:r>
      <w:r w:rsidR="005A6E2C">
        <w:rPr>
          <w:rFonts w:ascii="Arial" w:hAnsi="Arial" w:cs="Arial"/>
          <w:sz w:val="22"/>
          <w:szCs w:val="22"/>
        </w:rPr>
        <w:t>(</w:t>
      </w:r>
      <w:r w:rsidR="00A67D6A">
        <w:rPr>
          <w:rFonts w:ascii="Arial" w:hAnsi="Arial" w:cs="Arial"/>
          <w:sz w:val="22"/>
          <w:szCs w:val="22"/>
        </w:rPr>
        <w:t>GN</w:t>
      </w:r>
      <w:r w:rsidR="00A67D6A">
        <w:rPr>
          <w:rFonts w:ascii="Arial" w:hAnsi="Arial" w:cs="Arial"/>
          <w:sz w:val="22"/>
          <w:szCs w:val="22"/>
        </w:rPr>
        <w:noBreakHyphen/>
      </w:r>
      <w:r w:rsidR="00D271DB">
        <w:rPr>
          <w:rFonts w:ascii="Arial" w:hAnsi="Arial" w:cs="Arial"/>
          <w:sz w:val="22"/>
          <w:szCs w:val="22"/>
        </w:rPr>
        <w:t>2349</w:t>
      </w:r>
      <w:r w:rsidR="00D271DB">
        <w:rPr>
          <w:rFonts w:ascii="Arial" w:hAnsi="Arial" w:cs="Arial"/>
          <w:sz w:val="22"/>
          <w:szCs w:val="22"/>
        </w:rPr>
        <w:noBreakHyphen/>
      </w:r>
      <w:r w:rsidRPr="0049576D">
        <w:rPr>
          <w:rFonts w:ascii="Arial" w:hAnsi="Arial" w:cs="Arial"/>
          <w:sz w:val="22"/>
          <w:szCs w:val="22"/>
        </w:rPr>
        <w:t>9</w:t>
      </w:r>
      <w:r w:rsidR="005A6E2C">
        <w:rPr>
          <w:rFonts w:ascii="Arial" w:hAnsi="Arial" w:cs="Arial"/>
          <w:sz w:val="22"/>
          <w:szCs w:val="22"/>
        </w:rPr>
        <w:t>)</w:t>
      </w:r>
      <w:r w:rsidRPr="0049576D">
        <w:rPr>
          <w:rFonts w:ascii="Arial" w:hAnsi="Arial" w:cs="Arial"/>
          <w:sz w:val="22"/>
          <w:szCs w:val="22"/>
        </w:rPr>
        <w:t xml:space="preserve"> de marzo de 2011, las contrataciones en los préstamos a intermediarios financieros que se trasladen bajo otro préstamo a beneficiarios para el financiamiento de </w:t>
      </w:r>
      <w:proofErr w:type="gramStart"/>
      <w:r w:rsidRPr="0049576D">
        <w:rPr>
          <w:rFonts w:ascii="Arial" w:hAnsi="Arial" w:cs="Arial"/>
          <w:sz w:val="22"/>
          <w:szCs w:val="22"/>
        </w:rPr>
        <w:t>subproyectos,</w:t>
      </w:r>
      <w:proofErr w:type="gramEnd"/>
      <w:r w:rsidRPr="0049576D">
        <w:rPr>
          <w:rFonts w:ascii="Arial" w:hAnsi="Arial" w:cs="Arial"/>
          <w:sz w:val="22"/>
          <w:szCs w:val="22"/>
        </w:rPr>
        <w:t xml:space="preserve"> podrán utilizar prácticas corrientes de adquisiciones de bienes y servicios conexos del sector privado, aceptables para el </w:t>
      </w:r>
      <w:r w:rsidRPr="0049576D">
        <w:rPr>
          <w:rFonts w:ascii="Arial" w:hAnsi="Arial" w:cs="Arial"/>
          <w:sz w:val="22"/>
          <w:szCs w:val="22"/>
        </w:rPr>
        <w:lastRenderedPageBreak/>
        <w:t xml:space="preserve">Banco. En dichos procedimientos de adquisiciones se solicita atender los principios de calidad, economía, eficiencia, competencia y transparencia. </w:t>
      </w:r>
      <w:r w:rsidRPr="00F92898">
        <w:rPr>
          <w:rFonts w:ascii="Arial" w:hAnsi="Arial" w:cs="Arial"/>
          <w:b/>
          <w:sz w:val="22"/>
          <w:szCs w:val="22"/>
        </w:rPr>
        <w:t xml:space="preserve"> </w:t>
      </w:r>
    </w:p>
    <w:p w14:paraId="2324DC51" w14:textId="193928E2" w:rsidR="00B809D1" w:rsidRPr="0049576D" w:rsidRDefault="00B809D1" w:rsidP="0049576D">
      <w:pPr>
        <w:numPr>
          <w:ilvl w:val="0"/>
          <w:numId w:val="35"/>
        </w:numPr>
        <w:autoSpaceDE w:val="0"/>
        <w:autoSpaceDN w:val="0"/>
        <w:adjustRightInd w:val="0"/>
        <w:spacing w:before="120" w:after="120"/>
        <w:ind w:left="540" w:hanging="540"/>
        <w:jc w:val="both"/>
        <w:rPr>
          <w:rFonts w:ascii="Arial" w:hAnsi="Arial" w:cs="Arial"/>
          <w:sz w:val="22"/>
          <w:szCs w:val="22"/>
        </w:rPr>
      </w:pPr>
      <w:bookmarkStart w:id="4" w:name="_Toc244412090"/>
      <w:r w:rsidRPr="0049576D">
        <w:rPr>
          <w:rFonts w:ascii="Arial" w:hAnsi="Arial" w:cs="Arial"/>
          <w:b/>
          <w:sz w:val="22"/>
          <w:szCs w:val="22"/>
        </w:rPr>
        <w:t xml:space="preserve">Adquisiciones </w:t>
      </w:r>
      <w:bookmarkEnd w:id="4"/>
      <w:r w:rsidRPr="0049576D">
        <w:rPr>
          <w:rFonts w:ascii="Arial" w:hAnsi="Arial" w:cs="Arial"/>
          <w:b/>
          <w:sz w:val="22"/>
          <w:szCs w:val="22"/>
        </w:rPr>
        <w:t>Principales</w:t>
      </w:r>
      <w:r w:rsidR="0049576D" w:rsidRPr="0049576D">
        <w:rPr>
          <w:rFonts w:ascii="Arial" w:hAnsi="Arial" w:cs="Arial"/>
          <w:b/>
          <w:sz w:val="22"/>
          <w:szCs w:val="22"/>
        </w:rPr>
        <w:t xml:space="preserve">. </w:t>
      </w:r>
      <w:r w:rsidRPr="0049576D">
        <w:rPr>
          <w:rFonts w:ascii="Arial" w:hAnsi="Arial" w:cs="Arial"/>
          <w:sz w:val="22"/>
          <w:szCs w:val="22"/>
        </w:rPr>
        <w:t>No se contemplan adquisiciones por parte del O</w:t>
      </w:r>
      <w:r w:rsidR="00410FF4">
        <w:rPr>
          <w:rFonts w:ascii="Arial" w:hAnsi="Arial" w:cs="Arial"/>
          <w:sz w:val="22"/>
          <w:szCs w:val="22"/>
        </w:rPr>
        <w:t>E</w:t>
      </w:r>
      <w:r w:rsidRPr="0049576D">
        <w:rPr>
          <w:rFonts w:ascii="Arial" w:hAnsi="Arial" w:cs="Arial"/>
          <w:sz w:val="22"/>
          <w:szCs w:val="22"/>
        </w:rPr>
        <w:t xml:space="preserve"> qui</w:t>
      </w:r>
      <w:r w:rsidR="00410FF4">
        <w:rPr>
          <w:rFonts w:ascii="Arial" w:hAnsi="Arial" w:cs="Arial"/>
          <w:sz w:val="22"/>
          <w:szCs w:val="22"/>
        </w:rPr>
        <w:t>e</w:t>
      </w:r>
      <w:r w:rsidRPr="0049576D">
        <w:rPr>
          <w:rFonts w:ascii="Arial" w:hAnsi="Arial" w:cs="Arial"/>
          <w:sz w:val="22"/>
          <w:szCs w:val="22"/>
        </w:rPr>
        <w:t xml:space="preserve">n opera en todos los casos como </w:t>
      </w:r>
      <w:r w:rsidR="00410FF4">
        <w:rPr>
          <w:rFonts w:ascii="Arial" w:hAnsi="Arial" w:cs="Arial"/>
          <w:sz w:val="22"/>
          <w:szCs w:val="22"/>
        </w:rPr>
        <w:t>banco d</w:t>
      </w:r>
      <w:r w:rsidRPr="0049576D">
        <w:rPr>
          <w:rFonts w:ascii="Arial" w:hAnsi="Arial" w:cs="Arial"/>
          <w:sz w:val="22"/>
          <w:szCs w:val="22"/>
        </w:rPr>
        <w:t>e segundo piso.</w:t>
      </w:r>
      <w:bookmarkStart w:id="5" w:name="_Toc244412091"/>
    </w:p>
    <w:p w14:paraId="5824D0C3" w14:textId="77777777" w:rsidR="00B809D1" w:rsidRPr="0049576D" w:rsidRDefault="00B809D1" w:rsidP="00001B97">
      <w:pPr>
        <w:numPr>
          <w:ilvl w:val="0"/>
          <w:numId w:val="35"/>
        </w:numPr>
        <w:autoSpaceDE w:val="0"/>
        <w:autoSpaceDN w:val="0"/>
        <w:adjustRightInd w:val="0"/>
        <w:spacing w:before="120" w:after="120"/>
        <w:ind w:left="540" w:hanging="540"/>
        <w:jc w:val="both"/>
        <w:rPr>
          <w:rFonts w:ascii="Arial" w:hAnsi="Arial" w:cs="Arial"/>
          <w:sz w:val="22"/>
          <w:szCs w:val="22"/>
        </w:rPr>
      </w:pPr>
      <w:r w:rsidRPr="00A67D6A">
        <w:rPr>
          <w:rFonts w:ascii="Arial" w:hAnsi="Arial" w:cs="Arial"/>
          <w:b/>
          <w:sz w:val="22"/>
          <w:szCs w:val="22"/>
        </w:rPr>
        <w:t>Supervisión de Adquisiciones</w:t>
      </w:r>
      <w:bookmarkEnd w:id="5"/>
      <w:r w:rsidR="0049576D" w:rsidRPr="0049576D">
        <w:rPr>
          <w:rFonts w:ascii="Arial" w:hAnsi="Arial" w:cs="Arial"/>
          <w:b/>
          <w:sz w:val="22"/>
          <w:szCs w:val="22"/>
        </w:rPr>
        <w:t xml:space="preserve">. </w:t>
      </w:r>
      <w:r w:rsidRPr="0049576D">
        <w:rPr>
          <w:rFonts w:ascii="Arial" w:hAnsi="Arial" w:cs="Arial"/>
          <w:sz w:val="22"/>
          <w:szCs w:val="22"/>
        </w:rPr>
        <w:t>Por la naturaleza de esta operación no se llevarán a cabo revisiones de adquisiciones por parte del Banco.</w:t>
      </w:r>
    </w:p>
    <w:p w14:paraId="4CD1A504" w14:textId="4ACD97B5" w:rsidR="00B809D1" w:rsidRPr="0049576D" w:rsidRDefault="00B809D1" w:rsidP="00001B97">
      <w:pPr>
        <w:numPr>
          <w:ilvl w:val="0"/>
          <w:numId w:val="35"/>
        </w:numPr>
        <w:autoSpaceDE w:val="0"/>
        <w:autoSpaceDN w:val="0"/>
        <w:adjustRightInd w:val="0"/>
        <w:spacing w:before="120" w:after="120"/>
        <w:ind w:left="540" w:hanging="540"/>
        <w:jc w:val="both"/>
        <w:rPr>
          <w:rFonts w:ascii="Arial" w:hAnsi="Arial" w:cs="Arial"/>
          <w:sz w:val="22"/>
          <w:szCs w:val="22"/>
        </w:rPr>
      </w:pPr>
      <w:bookmarkStart w:id="6" w:name="_Toc244412099"/>
      <w:r w:rsidRPr="0049576D">
        <w:rPr>
          <w:rFonts w:ascii="Arial" w:hAnsi="Arial" w:cs="Arial"/>
          <w:b/>
          <w:sz w:val="22"/>
          <w:szCs w:val="22"/>
        </w:rPr>
        <w:t>Registros y Archivos</w:t>
      </w:r>
      <w:bookmarkEnd w:id="6"/>
      <w:r w:rsidR="0049576D" w:rsidRPr="0049576D">
        <w:rPr>
          <w:rFonts w:ascii="Arial" w:hAnsi="Arial" w:cs="Arial"/>
          <w:b/>
          <w:sz w:val="22"/>
          <w:szCs w:val="22"/>
        </w:rPr>
        <w:t xml:space="preserve">. </w:t>
      </w:r>
      <w:r w:rsidRPr="0049576D">
        <w:rPr>
          <w:rFonts w:ascii="Arial" w:hAnsi="Arial" w:cs="Arial"/>
          <w:sz w:val="22"/>
          <w:szCs w:val="22"/>
        </w:rPr>
        <w:t xml:space="preserve">La documentación de los </w:t>
      </w:r>
      <w:proofErr w:type="spellStart"/>
      <w:r w:rsidRPr="0049576D">
        <w:rPr>
          <w:rFonts w:ascii="Arial" w:hAnsi="Arial" w:cs="Arial"/>
          <w:sz w:val="22"/>
          <w:szCs w:val="22"/>
        </w:rPr>
        <w:t>subpréstamos</w:t>
      </w:r>
      <w:proofErr w:type="spellEnd"/>
      <w:r w:rsidRPr="0049576D">
        <w:rPr>
          <w:rFonts w:ascii="Arial" w:hAnsi="Arial" w:cs="Arial"/>
          <w:sz w:val="22"/>
          <w:szCs w:val="22"/>
        </w:rPr>
        <w:t xml:space="preserve"> que financia la operación reposará en </w:t>
      </w:r>
      <w:r w:rsidR="008B77BF" w:rsidRPr="0049576D">
        <w:rPr>
          <w:rFonts w:ascii="Arial" w:hAnsi="Arial" w:cs="Arial"/>
          <w:sz w:val="22"/>
          <w:szCs w:val="22"/>
        </w:rPr>
        <w:t>los EC</w:t>
      </w:r>
      <w:r w:rsidRPr="0049576D">
        <w:rPr>
          <w:rFonts w:ascii="Arial" w:hAnsi="Arial" w:cs="Arial"/>
          <w:sz w:val="22"/>
          <w:szCs w:val="22"/>
        </w:rPr>
        <w:t xml:space="preserve"> quienes efectúan el análisis y aprobación de la solicitud de crédito, por lo cual son los EC que asumen enteramente el riesgo crediticio y será responsabilidad exclusiva de éstas llevar a cabo las acciones de monitoreo de la cartera. </w:t>
      </w:r>
    </w:p>
    <w:p w14:paraId="21B477A0" w14:textId="4C41DCAF" w:rsidR="004A1A1A" w:rsidRPr="0049576D" w:rsidRDefault="00B809D1" w:rsidP="00001B97">
      <w:pPr>
        <w:numPr>
          <w:ilvl w:val="0"/>
          <w:numId w:val="35"/>
        </w:numPr>
        <w:autoSpaceDE w:val="0"/>
        <w:autoSpaceDN w:val="0"/>
        <w:adjustRightInd w:val="0"/>
        <w:spacing w:before="120" w:after="120"/>
        <w:ind w:left="540" w:hanging="540"/>
        <w:jc w:val="both"/>
        <w:rPr>
          <w:rFonts w:ascii="Arial" w:eastAsia="Calibri" w:hAnsi="Arial" w:cs="Arial"/>
          <w:sz w:val="22"/>
          <w:szCs w:val="22"/>
          <w:lang w:val="es-ES" w:eastAsia="es-ES"/>
        </w:rPr>
      </w:pPr>
      <w:r w:rsidRPr="0049576D">
        <w:rPr>
          <w:rFonts w:ascii="Arial" w:hAnsi="Arial" w:cs="Arial"/>
          <w:sz w:val="22"/>
          <w:szCs w:val="22"/>
        </w:rPr>
        <w:t xml:space="preserve">Por parte de </w:t>
      </w:r>
      <w:r w:rsidR="00F97BA3" w:rsidRPr="0049576D">
        <w:rPr>
          <w:rFonts w:ascii="Arial" w:hAnsi="Arial" w:cs="Arial"/>
          <w:sz w:val="22"/>
          <w:szCs w:val="22"/>
        </w:rPr>
        <w:t>Bancóldex</w:t>
      </w:r>
      <w:r w:rsidRPr="0049576D">
        <w:rPr>
          <w:rFonts w:ascii="Arial" w:hAnsi="Arial" w:cs="Arial"/>
          <w:sz w:val="22"/>
          <w:szCs w:val="22"/>
        </w:rPr>
        <w:t xml:space="preserve">, el área encargada de mantener los archivos y registros del proyecto será la oficina de Banca Internacional de la Vicepresidencia Financiera y </w:t>
      </w:r>
      <w:r w:rsidR="003A09CE" w:rsidRPr="0049576D">
        <w:rPr>
          <w:rFonts w:ascii="Arial" w:hAnsi="Arial" w:cs="Arial"/>
          <w:sz w:val="22"/>
          <w:szCs w:val="22"/>
        </w:rPr>
        <w:t>Administrativa</w:t>
      </w:r>
      <w:r w:rsidRPr="0049576D">
        <w:rPr>
          <w:rFonts w:ascii="Arial" w:hAnsi="Arial" w:cs="Arial"/>
          <w:sz w:val="22"/>
          <w:szCs w:val="22"/>
        </w:rPr>
        <w:t>.</w:t>
      </w:r>
      <w:r w:rsidR="001448D9" w:rsidRPr="0049576D">
        <w:rPr>
          <w:rFonts w:ascii="Arial" w:hAnsi="Arial" w:cs="Arial"/>
          <w:sz w:val="22"/>
          <w:szCs w:val="22"/>
        </w:rPr>
        <w:t xml:space="preserve"> </w:t>
      </w:r>
      <w:r w:rsidRPr="0049576D">
        <w:rPr>
          <w:rFonts w:ascii="Arial" w:hAnsi="Arial" w:cs="Arial"/>
          <w:sz w:val="22"/>
          <w:szCs w:val="22"/>
        </w:rPr>
        <w:t xml:space="preserve">Para la preparación y archivo de los reportes del presente programa se deben utilizar los formatos oficiales de la solicitud de desembolso en los cuales se registrará la lista de los </w:t>
      </w:r>
      <w:proofErr w:type="spellStart"/>
      <w:r w:rsidRPr="0049576D">
        <w:rPr>
          <w:rFonts w:ascii="Arial" w:hAnsi="Arial" w:cs="Arial"/>
          <w:sz w:val="22"/>
          <w:szCs w:val="22"/>
        </w:rPr>
        <w:t>subpréstamos</w:t>
      </w:r>
      <w:proofErr w:type="spellEnd"/>
      <w:r w:rsidRPr="0049576D">
        <w:rPr>
          <w:rFonts w:ascii="Arial" w:hAnsi="Arial" w:cs="Arial"/>
          <w:sz w:val="22"/>
          <w:szCs w:val="22"/>
        </w:rPr>
        <w:t xml:space="preserve"> objeto del reintegro de gastos.</w:t>
      </w:r>
    </w:p>
    <w:p w14:paraId="235E018E" w14:textId="77777777" w:rsidR="00D2327C" w:rsidRPr="0049576D" w:rsidRDefault="00DD2CB1" w:rsidP="0049576D">
      <w:pPr>
        <w:numPr>
          <w:ilvl w:val="0"/>
          <w:numId w:val="11"/>
        </w:numPr>
        <w:autoSpaceDE w:val="0"/>
        <w:autoSpaceDN w:val="0"/>
        <w:adjustRightInd w:val="0"/>
        <w:spacing w:before="240" w:after="120"/>
        <w:ind w:left="360"/>
        <w:jc w:val="center"/>
        <w:rPr>
          <w:rFonts w:ascii="Arial" w:hAnsi="Arial" w:cs="Arial"/>
          <w:b/>
          <w:smallCaps/>
        </w:rPr>
      </w:pPr>
      <w:r w:rsidRPr="0049576D">
        <w:rPr>
          <w:rFonts w:ascii="Arial" w:hAnsi="Arial" w:cs="Arial"/>
          <w:b/>
          <w:smallCaps/>
        </w:rPr>
        <w:t>Gestión Financiera</w:t>
      </w:r>
    </w:p>
    <w:p w14:paraId="686E628D" w14:textId="70E19FB1" w:rsidR="00E0601E" w:rsidRPr="0049576D" w:rsidRDefault="00DD2CB1" w:rsidP="00410FF4">
      <w:pPr>
        <w:pStyle w:val="ListParagraph"/>
        <w:numPr>
          <w:ilvl w:val="0"/>
          <w:numId w:val="36"/>
        </w:numPr>
        <w:autoSpaceDE w:val="0"/>
        <w:autoSpaceDN w:val="0"/>
        <w:adjustRightInd w:val="0"/>
        <w:ind w:left="540" w:hanging="540"/>
        <w:jc w:val="both"/>
        <w:rPr>
          <w:rFonts w:ascii="Arial" w:hAnsi="Arial" w:cs="Arial"/>
          <w:sz w:val="22"/>
          <w:szCs w:val="22"/>
        </w:rPr>
      </w:pPr>
      <w:r w:rsidRPr="0049576D">
        <w:rPr>
          <w:rFonts w:ascii="Arial" w:hAnsi="Arial" w:cs="Arial"/>
          <w:b/>
          <w:bCs/>
          <w:sz w:val="22"/>
          <w:szCs w:val="22"/>
        </w:rPr>
        <w:t>Programación y presupuesto</w:t>
      </w:r>
      <w:r w:rsidR="0049576D" w:rsidRPr="0049576D">
        <w:rPr>
          <w:rFonts w:ascii="Arial" w:hAnsi="Arial" w:cs="Arial"/>
          <w:b/>
          <w:bCs/>
          <w:sz w:val="22"/>
          <w:szCs w:val="22"/>
        </w:rPr>
        <w:t xml:space="preserve">. </w:t>
      </w:r>
      <w:r w:rsidR="00F97BA3" w:rsidRPr="0049576D">
        <w:rPr>
          <w:rFonts w:ascii="Arial" w:hAnsi="Arial" w:cs="Arial"/>
          <w:sz w:val="22"/>
          <w:szCs w:val="22"/>
        </w:rPr>
        <w:t>Bancóldex</w:t>
      </w:r>
      <w:r w:rsidR="00E0601E" w:rsidRPr="0049576D">
        <w:rPr>
          <w:rFonts w:ascii="Arial" w:hAnsi="Arial" w:cs="Arial"/>
          <w:sz w:val="22"/>
          <w:szCs w:val="22"/>
        </w:rPr>
        <w:t xml:space="preserve"> se encuentra constituido como una sociedad de economía mixta del orden nacional, por lo cual no forma parte del Presupuesto General de la Nación, es decir que no sufraga sus gastos con cargo a recursos del Tesoro </w:t>
      </w:r>
      <w:r w:rsidR="00ED69F1" w:rsidRPr="0049576D">
        <w:rPr>
          <w:rFonts w:ascii="Arial" w:hAnsi="Arial" w:cs="Arial"/>
          <w:sz w:val="22"/>
          <w:szCs w:val="22"/>
        </w:rPr>
        <w:t>Público,</w:t>
      </w:r>
      <w:r w:rsidR="00E0601E" w:rsidRPr="0049576D">
        <w:rPr>
          <w:rFonts w:ascii="Arial" w:hAnsi="Arial" w:cs="Arial"/>
          <w:sz w:val="22"/>
          <w:szCs w:val="22"/>
        </w:rPr>
        <w:t xml:space="preserve"> sino que, por el contrario, sus gastos se pagan con recursos derivados del ejercicio de su propia operación como establecimiento de crédito, es por ello </w:t>
      </w:r>
      <w:proofErr w:type="gramStart"/>
      <w:r w:rsidR="00E0601E" w:rsidRPr="0049576D">
        <w:rPr>
          <w:rFonts w:ascii="Arial" w:hAnsi="Arial" w:cs="Arial"/>
          <w:sz w:val="22"/>
          <w:szCs w:val="22"/>
        </w:rPr>
        <w:t>que</w:t>
      </w:r>
      <w:proofErr w:type="gramEnd"/>
      <w:r w:rsidR="00E0601E" w:rsidRPr="0049576D">
        <w:rPr>
          <w:rFonts w:ascii="Arial" w:hAnsi="Arial" w:cs="Arial"/>
          <w:sz w:val="22"/>
          <w:szCs w:val="22"/>
        </w:rPr>
        <w:t xml:space="preserve"> no está obligado a llevar su control presupuestal en los SGFP. El presupuesto de la entidad se estructura de acuerdo con el Plan de Acción Estratégico que permite establecer el curso de acción de los frentes de negocio para el año planeado y la posterior definición de colocaciones por línea (necesidades de desembolsos de créditos) y gastos de funcionamiento, los que son cubiertos con la generación interna de fondos, captación de recursos y la adquisición de obligaciones con entidades financieras. Es importante destacar, que tanto para la elaboración y el seguimiento al presupuesto, </w:t>
      </w:r>
      <w:r w:rsidR="00F97BA3" w:rsidRPr="0049576D">
        <w:rPr>
          <w:rFonts w:ascii="Arial" w:hAnsi="Arial" w:cs="Arial"/>
          <w:sz w:val="22"/>
          <w:szCs w:val="22"/>
        </w:rPr>
        <w:t>Bancóldex</w:t>
      </w:r>
      <w:r w:rsidR="00E0601E" w:rsidRPr="0049576D">
        <w:rPr>
          <w:rFonts w:ascii="Arial" w:hAnsi="Arial" w:cs="Arial"/>
          <w:sz w:val="22"/>
          <w:szCs w:val="22"/>
        </w:rPr>
        <w:t xml:space="preserve"> maneja políticas claras que se encuentran definidas en los procesos de </w:t>
      </w:r>
      <w:r w:rsidR="00410FF4">
        <w:rPr>
          <w:rFonts w:ascii="Arial" w:hAnsi="Arial" w:cs="Arial"/>
          <w:sz w:val="22"/>
          <w:szCs w:val="22"/>
        </w:rPr>
        <w:t>p</w:t>
      </w:r>
      <w:r w:rsidR="00E0601E" w:rsidRPr="0049576D">
        <w:rPr>
          <w:rFonts w:ascii="Arial" w:hAnsi="Arial" w:cs="Arial"/>
          <w:sz w:val="22"/>
          <w:szCs w:val="22"/>
        </w:rPr>
        <w:t xml:space="preserve">laneación presupuestal y </w:t>
      </w:r>
      <w:r w:rsidR="00410FF4">
        <w:rPr>
          <w:rFonts w:ascii="Arial" w:hAnsi="Arial" w:cs="Arial"/>
          <w:sz w:val="22"/>
          <w:szCs w:val="22"/>
        </w:rPr>
        <w:t>g</w:t>
      </w:r>
      <w:r w:rsidR="00E0601E" w:rsidRPr="0049576D">
        <w:rPr>
          <w:rFonts w:ascii="Arial" w:hAnsi="Arial" w:cs="Arial"/>
          <w:sz w:val="22"/>
          <w:szCs w:val="22"/>
        </w:rPr>
        <w:t xml:space="preserve">estión </w:t>
      </w:r>
      <w:r w:rsidR="00410FF4">
        <w:rPr>
          <w:rFonts w:ascii="Arial" w:hAnsi="Arial" w:cs="Arial"/>
          <w:sz w:val="22"/>
          <w:szCs w:val="22"/>
        </w:rPr>
        <w:t>p</w:t>
      </w:r>
      <w:r w:rsidR="00E0601E" w:rsidRPr="0049576D">
        <w:rPr>
          <w:rFonts w:ascii="Arial" w:hAnsi="Arial" w:cs="Arial"/>
          <w:sz w:val="22"/>
          <w:szCs w:val="22"/>
        </w:rPr>
        <w:t>resupuestal establecidos en la cadena de valor de</w:t>
      </w:r>
      <w:r w:rsidR="00E961F8" w:rsidRPr="0049576D">
        <w:rPr>
          <w:rFonts w:ascii="Arial" w:hAnsi="Arial" w:cs="Arial"/>
          <w:sz w:val="22"/>
          <w:szCs w:val="22"/>
        </w:rPr>
        <w:t xml:space="preserve"> </w:t>
      </w:r>
      <w:r w:rsidR="00E0601E" w:rsidRPr="0049576D">
        <w:rPr>
          <w:rFonts w:ascii="Arial" w:hAnsi="Arial" w:cs="Arial"/>
          <w:sz w:val="22"/>
          <w:szCs w:val="22"/>
        </w:rPr>
        <w:t>l</w:t>
      </w:r>
      <w:r w:rsidR="00E961F8" w:rsidRPr="0049576D">
        <w:rPr>
          <w:rFonts w:ascii="Arial" w:hAnsi="Arial" w:cs="Arial"/>
          <w:sz w:val="22"/>
          <w:szCs w:val="22"/>
        </w:rPr>
        <w:t>a entidad</w:t>
      </w:r>
      <w:r w:rsidR="00E0601E" w:rsidRPr="0049576D">
        <w:rPr>
          <w:rFonts w:ascii="Arial" w:hAnsi="Arial" w:cs="Arial"/>
          <w:sz w:val="22"/>
          <w:szCs w:val="22"/>
        </w:rPr>
        <w:t xml:space="preserve"> y que son aprobados por la alta Dirección. Los presupuestos son aprobados por la </w:t>
      </w:r>
      <w:r w:rsidR="003A09CE" w:rsidRPr="0049576D">
        <w:rPr>
          <w:rFonts w:ascii="Arial" w:hAnsi="Arial" w:cs="Arial"/>
          <w:sz w:val="22"/>
          <w:szCs w:val="22"/>
        </w:rPr>
        <w:t xml:space="preserve">Junta </w:t>
      </w:r>
      <w:r w:rsidR="00E0601E" w:rsidRPr="0049576D">
        <w:rPr>
          <w:rFonts w:ascii="Arial" w:hAnsi="Arial" w:cs="Arial"/>
          <w:sz w:val="22"/>
          <w:szCs w:val="22"/>
        </w:rPr>
        <w:t xml:space="preserve">Directiva para cada vigencia fiscal y para hacer seguimiento a la gestión presupuestal se cuenta con herramientas que permiten realizar las proyecciones del negocio (COGNOS </w:t>
      </w:r>
      <w:r w:rsidR="00E0601E" w:rsidRPr="00A67D6A">
        <w:rPr>
          <w:rFonts w:ascii="Arial" w:hAnsi="Arial" w:cs="Arial"/>
          <w:i/>
          <w:sz w:val="22"/>
          <w:szCs w:val="22"/>
        </w:rPr>
        <w:t>PLANNING</w:t>
      </w:r>
      <w:r w:rsidR="00E0601E" w:rsidRPr="0049576D">
        <w:rPr>
          <w:rFonts w:ascii="Arial" w:hAnsi="Arial" w:cs="Arial"/>
          <w:sz w:val="22"/>
          <w:szCs w:val="22"/>
        </w:rPr>
        <w:t xml:space="preserve">) y herramientas que facilitan el seguimiento de gastos (COGNOS </w:t>
      </w:r>
      <w:r w:rsidR="00E0601E" w:rsidRPr="00A67D6A">
        <w:rPr>
          <w:rFonts w:ascii="Arial" w:hAnsi="Arial" w:cs="Arial"/>
          <w:i/>
          <w:sz w:val="22"/>
          <w:szCs w:val="22"/>
        </w:rPr>
        <w:t>FINANCE</w:t>
      </w:r>
      <w:r w:rsidR="00E0601E" w:rsidRPr="0049576D">
        <w:rPr>
          <w:rFonts w:ascii="Arial" w:hAnsi="Arial" w:cs="Arial"/>
          <w:sz w:val="22"/>
          <w:szCs w:val="22"/>
        </w:rPr>
        <w:t>)</w:t>
      </w:r>
      <w:r w:rsidR="00671F8E" w:rsidRPr="0049576D">
        <w:rPr>
          <w:rFonts w:ascii="Arial" w:hAnsi="Arial" w:cs="Arial"/>
          <w:sz w:val="22"/>
          <w:szCs w:val="22"/>
        </w:rPr>
        <w:t>,</w:t>
      </w:r>
      <w:r w:rsidR="00E0601E" w:rsidRPr="0049576D">
        <w:rPr>
          <w:rFonts w:ascii="Arial" w:hAnsi="Arial" w:cs="Arial"/>
          <w:sz w:val="22"/>
          <w:szCs w:val="22"/>
        </w:rPr>
        <w:t xml:space="preserve"> así como</w:t>
      </w:r>
      <w:r w:rsidR="00671F8E" w:rsidRPr="0049576D">
        <w:rPr>
          <w:rFonts w:ascii="Arial" w:hAnsi="Arial" w:cs="Arial"/>
          <w:sz w:val="22"/>
          <w:szCs w:val="22"/>
        </w:rPr>
        <w:t>,</w:t>
      </w:r>
      <w:r w:rsidR="00E0601E" w:rsidRPr="0049576D">
        <w:rPr>
          <w:rFonts w:ascii="Arial" w:hAnsi="Arial" w:cs="Arial"/>
          <w:sz w:val="22"/>
          <w:szCs w:val="22"/>
        </w:rPr>
        <w:t xml:space="preserve"> el seguimiento a las diferentes líneas de colocación y demás unidades de negocio (DWH-Data </w:t>
      </w:r>
      <w:proofErr w:type="spellStart"/>
      <w:r w:rsidR="00E0601E" w:rsidRPr="00A67D6A">
        <w:rPr>
          <w:rFonts w:ascii="Arial" w:hAnsi="Arial" w:cs="Arial"/>
          <w:i/>
          <w:sz w:val="22"/>
          <w:szCs w:val="22"/>
        </w:rPr>
        <w:t>ware</w:t>
      </w:r>
      <w:proofErr w:type="spellEnd"/>
      <w:r w:rsidR="00E0601E" w:rsidRPr="00A67D6A">
        <w:rPr>
          <w:rFonts w:ascii="Arial" w:hAnsi="Arial" w:cs="Arial"/>
          <w:i/>
          <w:sz w:val="22"/>
          <w:szCs w:val="22"/>
        </w:rPr>
        <w:t xml:space="preserve"> </w:t>
      </w:r>
      <w:proofErr w:type="spellStart"/>
      <w:r w:rsidR="00E0601E" w:rsidRPr="00A67D6A">
        <w:rPr>
          <w:rFonts w:ascii="Arial" w:hAnsi="Arial" w:cs="Arial"/>
          <w:i/>
          <w:sz w:val="22"/>
          <w:szCs w:val="22"/>
        </w:rPr>
        <w:t>house</w:t>
      </w:r>
      <w:proofErr w:type="spellEnd"/>
      <w:r w:rsidR="00E0601E" w:rsidRPr="0049576D">
        <w:rPr>
          <w:rFonts w:ascii="Arial" w:hAnsi="Arial" w:cs="Arial"/>
          <w:sz w:val="22"/>
          <w:szCs w:val="22"/>
        </w:rPr>
        <w:t>). El seguimiento a la ejecución presupuestal se realiza en los Comités de Presidencia de</w:t>
      </w:r>
      <w:r w:rsidR="00E961F8" w:rsidRPr="0049576D">
        <w:rPr>
          <w:rFonts w:ascii="Arial" w:hAnsi="Arial" w:cs="Arial"/>
          <w:sz w:val="22"/>
          <w:szCs w:val="22"/>
        </w:rPr>
        <w:t xml:space="preserve"> </w:t>
      </w:r>
      <w:r w:rsidR="00F97BA3" w:rsidRPr="0049576D">
        <w:rPr>
          <w:rFonts w:ascii="Arial" w:hAnsi="Arial" w:cs="Arial"/>
          <w:sz w:val="22"/>
          <w:szCs w:val="22"/>
        </w:rPr>
        <w:t>Bancóldex</w:t>
      </w:r>
      <w:r w:rsidR="00E0601E" w:rsidRPr="0049576D">
        <w:rPr>
          <w:rFonts w:ascii="Arial" w:hAnsi="Arial" w:cs="Arial"/>
          <w:sz w:val="22"/>
          <w:szCs w:val="22"/>
        </w:rPr>
        <w:t> y en la Junta Directiva.</w:t>
      </w:r>
    </w:p>
    <w:p w14:paraId="6DC79D60" w14:textId="77777777" w:rsidR="00E27D2A" w:rsidRPr="0049576D" w:rsidRDefault="00E27D2A" w:rsidP="00E27D2A">
      <w:pPr>
        <w:ind w:left="720"/>
        <w:jc w:val="both"/>
        <w:rPr>
          <w:rFonts w:ascii="Arial" w:hAnsi="Arial" w:cs="Arial"/>
          <w:sz w:val="22"/>
          <w:szCs w:val="22"/>
        </w:rPr>
      </w:pPr>
    </w:p>
    <w:p w14:paraId="1DED6A22" w14:textId="77777777" w:rsidR="000B0DD7" w:rsidRPr="0049576D" w:rsidRDefault="00DD2CB1" w:rsidP="00A459E3">
      <w:pPr>
        <w:pStyle w:val="ListParagraph"/>
        <w:numPr>
          <w:ilvl w:val="0"/>
          <w:numId w:val="36"/>
        </w:numPr>
        <w:autoSpaceDE w:val="0"/>
        <w:autoSpaceDN w:val="0"/>
        <w:adjustRightInd w:val="0"/>
        <w:ind w:left="540" w:hanging="540"/>
        <w:jc w:val="both"/>
        <w:rPr>
          <w:rFonts w:ascii="Arial" w:hAnsi="Arial" w:cs="Arial"/>
          <w:sz w:val="22"/>
          <w:szCs w:val="22"/>
        </w:rPr>
      </w:pPr>
      <w:r w:rsidRPr="0049576D">
        <w:rPr>
          <w:rFonts w:ascii="Arial" w:hAnsi="Arial" w:cs="Arial"/>
          <w:b/>
          <w:sz w:val="22"/>
          <w:szCs w:val="22"/>
        </w:rPr>
        <w:t>Contabilidad</w:t>
      </w:r>
      <w:r w:rsidRPr="0049576D">
        <w:rPr>
          <w:rFonts w:ascii="Arial" w:hAnsi="Arial" w:cs="Arial"/>
          <w:b/>
          <w:bCs/>
          <w:sz w:val="22"/>
          <w:szCs w:val="22"/>
        </w:rPr>
        <w:t xml:space="preserve"> y sistemas de información</w:t>
      </w:r>
      <w:r w:rsidR="0049576D" w:rsidRPr="0049576D">
        <w:rPr>
          <w:rFonts w:ascii="Arial" w:hAnsi="Arial" w:cs="Arial"/>
          <w:b/>
          <w:bCs/>
          <w:sz w:val="22"/>
          <w:szCs w:val="22"/>
        </w:rPr>
        <w:t xml:space="preserve">. </w:t>
      </w:r>
      <w:r w:rsidR="000B0DD7" w:rsidRPr="0049576D">
        <w:rPr>
          <w:rFonts w:ascii="Arial" w:hAnsi="Arial" w:cs="Arial"/>
          <w:sz w:val="22"/>
          <w:szCs w:val="22"/>
        </w:rPr>
        <w:t>Las políticas de contabilidad y de preparación de los estados financieros de Bancóldex están de acuerdo con las Normas de Contabilidad y de Información Financiera Aceptadas en Colombia e instrucciones y prácticas de la Superintendencia Financiera de Colombia. Para el proceso de convergencia a Normas Internacionales de Información Financiera (NIIF), Bancóldex</w:t>
      </w:r>
      <w:r w:rsidR="00883E50" w:rsidRPr="0049576D">
        <w:rPr>
          <w:rFonts w:ascii="Arial" w:hAnsi="Arial" w:cs="Arial"/>
          <w:sz w:val="22"/>
          <w:szCs w:val="22"/>
        </w:rPr>
        <w:t xml:space="preserve"> por</w:t>
      </w:r>
      <w:r w:rsidR="000B0DD7" w:rsidRPr="0049576D">
        <w:rPr>
          <w:rFonts w:ascii="Arial" w:hAnsi="Arial" w:cs="Arial"/>
          <w:sz w:val="22"/>
          <w:szCs w:val="22"/>
        </w:rPr>
        <w:t xml:space="preserve"> pertenece</w:t>
      </w:r>
      <w:r w:rsidR="00883E50" w:rsidRPr="0049576D">
        <w:rPr>
          <w:rFonts w:ascii="Arial" w:hAnsi="Arial" w:cs="Arial"/>
          <w:sz w:val="22"/>
          <w:szCs w:val="22"/>
        </w:rPr>
        <w:t>r</w:t>
      </w:r>
      <w:r w:rsidR="000B0DD7" w:rsidRPr="0049576D">
        <w:rPr>
          <w:rFonts w:ascii="Arial" w:hAnsi="Arial" w:cs="Arial"/>
          <w:sz w:val="22"/>
          <w:szCs w:val="22"/>
        </w:rPr>
        <w:t xml:space="preserve"> a entidades financieras con regímenes especiales, </w:t>
      </w:r>
      <w:r w:rsidR="00883E50" w:rsidRPr="0049576D">
        <w:rPr>
          <w:rFonts w:ascii="Arial" w:hAnsi="Arial" w:cs="Arial"/>
          <w:sz w:val="22"/>
          <w:szCs w:val="22"/>
        </w:rPr>
        <w:lastRenderedPageBreak/>
        <w:t xml:space="preserve">comenzó el </w:t>
      </w:r>
      <w:r w:rsidR="000B0DD7" w:rsidRPr="0049576D">
        <w:rPr>
          <w:rFonts w:ascii="Arial" w:hAnsi="Arial" w:cs="Arial"/>
          <w:sz w:val="22"/>
          <w:szCs w:val="22"/>
        </w:rPr>
        <w:t xml:space="preserve">periodo de transición el 1 de enero de 2015 y la emisión de los primeros estados financieros bajo el nuevo marco normativo, fue en el año 2016. </w:t>
      </w:r>
      <w:r w:rsidR="00883E50" w:rsidRPr="0049576D">
        <w:rPr>
          <w:rFonts w:ascii="Arial" w:hAnsi="Arial" w:cs="Arial"/>
          <w:sz w:val="22"/>
          <w:szCs w:val="22"/>
        </w:rPr>
        <w:t>La contabilidad del proyecto se registrará bajo el método de causación, en el m</w:t>
      </w:r>
      <w:r w:rsidR="00F84814" w:rsidRPr="0049576D">
        <w:rPr>
          <w:rFonts w:ascii="Arial" w:hAnsi="Arial" w:cs="Arial"/>
          <w:sz w:val="22"/>
          <w:szCs w:val="22"/>
        </w:rPr>
        <w:t>ódulo</w:t>
      </w:r>
      <w:r w:rsidR="000B0DD7" w:rsidRPr="0049576D">
        <w:rPr>
          <w:rFonts w:ascii="Arial" w:hAnsi="Arial" w:cs="Arial"/>
          <w:sz w:val="22"/>
          <w:szCs w:val="22"/>
        </w:rPr>
        <w:t xml:space="preserve"> de </w:t>
      </w:r>
      <w:r w:rsidR="00883E50" w:rsidRPr="0049576D">
        <w:rPr>
          <w:rFonts w:ascii="Arial" w:hAnsi="Arial" w:cs="Arial"/>
          <w:sz w:val="22"/>
          <w:szCs w:val="22"/>
        </w:rPr>
        <w:t>c</w:t>
      </w:r>
      <w:r w:rsidR="000B0DD7" w:rsidRPr="0049576D">
        <w:rPr>
          <w:rFonts w:ascii="Arial" w:hAnsi="Arial" w:cs="Arial"/>
          <w:sz w:val="22"/>
          <w:szCs w:val="22"/>
        </w:rPr>
        <w:t xml:space="preserve">ontabilidad </w:t>
      </w:r>
      <w:r w:rsidR="00883E50" w:rsidRPr="0049576D">
        <w:rPr>
          <w:rFonts w:ascii="Arial" w:hAnsi="Arial" w:cs="Arial"/>
          <w:sz w:val="22"/>
          <w:szCs w:val="22"/>
        </w:rPr>
        <w:t xml:space="preserve">de Bancóldex, el cual </w:t>
      </w:r>
      <w:r w:rsidR="000B0DD7" w:rsidRPr="0049576D">
        <w:rPr>
          <w:rFonts w:ascii="Arial" w:hAnsi="Arial" w:cs="Arial"/>
          <w:sz w:val="22"/>
          <w:szCs w:val="22"/>
        </w:rPr>
        <w:t>se caracteriza por ser multiusuario</w:t>
      </w:r>
      <w:r w:rsidR="00883E50" w:rsidRPr="0049576D">
        <w:rPr>
          <w:rFonts w:ascii="Arial" w:hAnsi="Arial" w:cs="Arial"/>
          <w:sz w:val="22"/>
          <w:szCs w:val="22"/>
        </w:rPr>
        <w:t xml:space="preserve">. </w:t>
      </w:r>
      <w:r w:rsidR="000B0DD7" w:rsidRPr="0049576D">
        <w:rPr>
          <w:rFonts w:ascii="Arial" w:hAnsi="Arial" w:cs="Arial"/>
          <w:sz w:val="22"/>
          <w:szCs w:val="22"/>
        </w:rPr>
        <w:t>La administración de las operaciones y su saldo se realiza</w:t>
      </w:r>
      <w:r w:rsidR="00635AC6" w:rsidRPr="0049576D">
        <w:rPr>
          <w:rFonts w:ascii="Arial" w:hAnsi="Arial" w:cs="Arial"/>
          <w:sz w:val="22"/>
          <w:szCs w:val="22"/>
        </w:rPr>
        <w:t>rá</w:t>
      </w:r>
      <w:r w:rsidR="000B0DD7" w:rsidRPr="0049576D">
        <w:rPr>
          <w:rFonts w:ascii="Arial" w:hAnsi="Arial" w:cs="Arial"/>
          <w:sz w:val="22"/>
          <w:szCs w:val="22"/>
        </w:rPr>
        <w:t xml:space="preserve"> en el </w:t>
      </w:r>
      <w:r w:rsidR="00635AC6" w:rsidRPr="0049576D">
        <w:rPr>
          <w:rFonts w:ascii="Arial" w:hAnsi="Arial" w:cs="Arial"/>
          <w:sz w:val="22"/>
          <w:szCs w:val="22"/>
        </w:rPr>
        <w:t>“</w:t>
      </w:r>
      <w:r w:rsidR="00635AC6" w:rsidRPr="00A67D6A">
        <w:rPr>
          <w:rFonts w:ascii="Arial" w:hAnsi="Arial" w:cs="Arial"/>
          <w:i/>
          <w:sz w:val="22"/>
          <w:szCs w:val="22"/>
        </w:rPr>
        <w:t>C</w:t>
      </w:r>
      <w:r w:rsidR="000B0DD7" w:rsidRPr="00A67D6A">
        <w:rPr>
          <w:rFonts w:ascii="Arial" w:hAnsi="Arial" w:cs="Arial"/>
          <w:i/>
          <w:sz w:val="22"/>
          <w:szCs w:val="22"/>
        </w:rPr>
        <w:t>ore</w:t>
      </w:r>
      <w:r w:rsidR="000B0DD7" w:rsidRPr="0049576D">
        <w:rPr>
          <w:rFonts w:ascii="Arial" w:hAnsi="Arial" w:cs="Arial"/>
          <w:sz w:val="22"/>
          <w:szCs w:val="22"/>
        </w:rPr>
        <w:t xml:space="preserve"> </w:t>
      </w:r>
      <w:r w:rsidR="00635AC6" w:rsidRPr="0049576D">
        <w:rPr>
          <w:rFonts w:ascii="Arial" w:hAnsi="Arial" w:cs="Arial"/>
          <w:sz w:val="22"/>
          <w:szCs w:val="22"/>
        </w:rPr>
        <w:t>B</w:t>
      </w:r>
      <w:r w:rsidR="000B0DD7" w:rsidRPr="0049576D">
        <w:rPr>
          <w:rFonts w:ascii="Arial" w:hAnsi="Arial" w:cs="Arial"/>
          <w:sz w:val="22"/>
          <w:szCs w:val="22"/>
        </w:rPr>
        <w:t>ancario T24</w:t>
      </w:r>
      <w:r w:rsidR="00635AC6" w:rsidRPr="0049576D">
        <w:rPr>
          <w:rFonts w:ascii="Arial" w:hAnsi="Arial" w:cs="Arial"/>
          <w:sz w:val="22"/>
          <w:szCs w:val="22"/>
        </w:rPr>
        <w:t>” (</w:t>
      </w:r>
      <w:r w:rsidR="000B0DD7" w:rsidRPr="00A67D6A">
        <w:rPr>
          <w:rFonts w:ascii="Arial" w:hAnsi="Arial" w:cs="Arial"/>
          <w:i/>
          <w:sz w:val="22"/>
          <w:szCs w:val="22"/>
        </w:rPr>
        <w:t>software</w:t>
      </w:r>
      <w:r w:rsidR="000B0DD7" w:rsidRPr="0049576D">
        <w:rPr>
          <w:rFonts w:ascii="Arial" w:hAnsi="Arial" w:cs="Arial"/>
          <w:sz w:val="22"/>
          <w:szCs w:val="22"/>
        </w:rPr>
        <w:t xml:space="preserve"> estándar para el manejo de operaciones de crédito</w:t>
      </w:r>
      <w:r w:rsidR="00635AC6" w:rsidRPr="0049576D">
        <w:rPr>
          <w:rFonts w:ascii="Arial" w:hAnsi="Arial" w:cs="Arial"/>
          <w:sz w:val="22"/>
          <w:szCs w:val="22"/>
        </w:rPr>
        <w:t>)</w:t>
      </w:r>
      <w:r w:rsidR="000B0DD7" w:rsidRPr="0049576D">
        <w:rPr>
          <w:rFonts w:ascii="Arial" w:hAnsi="Arial" w:cs="Arial"/>
          <w:sz w:val="22"/>
          <w:szCs w:val="22"/>
        </w:rPr>
        <w:t>. La marcación de las operaciones relacionadas con el pro</w:t>
      </w:r>
      <w:r w:rsidR="00BA6353" w:rsidRPr="0049576D">
        <w:rPr>
          <w:rFonts w:ascii="Arial" w:hAnsi="Arial" w:cs="Arial"/>
          <w:sz w:val="22"/>
          <w:szCs w:val="22"/>
        </w:rPr>
        <w:t>yecto</w:t>
      </w:r>
      <w:r w:rsidR="000B0DD7" w:rsidRPr="0049576D">
        <w:rPr>
          <w:rFonts w:ascii="Arial" w:hAnsi="Arial" w:cs="Arial"/>
          <w:sz w:val="22"/>
          <w:szCs w:val="22"/>
        </w:rPr>
        <w:t xml:space="preserve"> </w:t>
      </w:r>
      <w:r w:rsidR="005F0125" w:rsidRPr="0049576D">
        <w:rPr>
          <w:rFonts w:ascii="Arial" w:hAnsi="Arial" w:cs="Arial"/>
          <w:sz w:val="22"/>
          <w:szCs w:val="22"/>
        </w:rPr>
        <w:t xml:space="preserve">estará claramente identificada </w:t>
      </w:r>
      <w:r w:rsidR="000B0DD7" w:rsidRPr="0049576D">
        <w:rPr>
          <w:rFonts w:ascii="Arial" w:hAnsi="Arial" w:cs="Arial"/>
          <w:sz w:val="22"/>
          <w:szCs w:val="22"/>
        </w:rPr>
        <w:t>en la base de datos de Bancóldex y se modifica</w:t>
      </w:r>
      <w:r w:rsidR="00BF78E1" w:rsidRPr="0049576D">
        <w:rPr>
          <w:rFonts w:ascii="Arial" w:hAnsi="Arial" w:cs="Arial"/>
          <w:sz w:val="22"/>
          <w:szCs w:val="22"/>
        </w:rPr>
        <w:t>rá</w:t>
      </w:r>
      <w:r w:rsidR="000B0DD7" w:rsidRPr="0049576D">
        <w:rPr>
          <w:rFonts w:ascii="Arial" w:hAnsi="Arial" w:cs="Arial"/>
          <w:sz w:val="22"/>
          <w:szCs w:val="22"/>
        </w:rPr>
        <w:t xml:space="preserve"> a través de un esquema automático </w:t>
      </w:r>
      <w:r w:rsidR="0010292D" w:rsidRPr="0049576D">
        <w:rPr>
          <w:rFonts w:ascii="Arial" w:hAnsi="Arial" w:cs="Arial"/>
          <w:sz w:val="22"/>
          <w:szCs w:val="22"/>
        </w:rPr>
        <w:t>“</w:t>
      </w:r>
      <w:r w:rsidR="000B0DD7" w:rsidRPr="00A67D6A">
        <w:rPr>
          <w:rFonts w:ascii="Arial" w:hAnsi="Arial" w:cs="Arial"/>
          <w:i/>
          <w:sz w:val="22"/>
          <w:szCs w:val="22"/>
        </w:rPr>
        <w:t>data</w:t>
      </w:r>
      <w:r w:rsidR="003A09CE" w:rsidRPr="00A67D6A">
        <w:rPr>
          <w:rFonts w:ascii="Arial" w:hAnsi="Arial" w:cs="Arial"/>
          <w:i/>
          <w:sz w:val="22"/>
          <w:szCs w:val="22"/>
        </w:rPr>
        <w:t xml:space="preserve"> </w:t>
      </w:r>
      <w:proofErr w:type="spellStart"/>
      <w:r w:rsidR="000B0DD7" w:rsidRPr="00A67D6A">
        <w:rPr>
          <w:rFonts w:ascii="Arial" w:hAnsi="Arial" w:cs="Arial"/>
          <w:i/>
          <w:sz w:val="22"/>
          <w:szCs w:val="22"/>
        </w:rPr>
        <w:t>entry</w:t>
      </w:r>
      <w:proofErr w:type="spellEnd"/>
      <w:r w:rsidR="0010292D" w:rsidRPr="0049576D">
        <w:rPr>
          <w:rFonts w:ascii="Arial" w:hAnsi="Arial" w:cs="Arial"/>
          <w:sz w:val="22"/>
          <w:szCs w:val="22"/>
        </w:rPr>
        <w:t>”</w:t>
      </w:r>
      <w:r w:rsidR="000B0DD7" w:rsidRPr="0049576D">
        <w:rPr>
          <w:rFonts w:ascii="Arial" w:hAnsi="Arial" w:cs="Arial"/>
          <w:sz w:val="22"/>
          <w:szCs w:val="22"/>
        </w:rPr>
        <w:t xml:space="preserve"> en la plataforma </w:t>
      </w:r>
      <w:r w:rsidR="0010292D" w:rsidRPr="0049576D">
        <w:rPr>
          <w:rFonts w:ascii="Arial" w:hAnsi="Arial" w:cs="Arial"/>
          <w:sz w:val="22"/>
          <w:szCs w:val="22"/>
        </w:rPr>
        <w:t>“</w:t>
      </w:r>
      <w:r w:rsidR="000B0DD7" w:rsidRPr="00A67D6A">
        <w:rPr>
          <w:rFonts w:ascii="Arial" w:hAnsi="Arial" w:cs="Arial"/>
          <w:i/>
          <w:sz w:val="22"/>
          <w:szCs w:val="22"/>
        </w:rPr>
        <w:t xml:space="preserve">Oracle </w:t>
      </w:r>
      <w:proofErr w:type="spellStart"/>
      <w:r w:rsidR="000B0DD7" w:rsidRPr="00A67D6A">
        <w:rPr>
          <w:rFonts w:ascii="Arial" w:hAnsi="Arial" w:cs="Arial"/>
          <w:i/>
          <w:sz w:val="22"/>
          <w:szCs w:val="22"/>
        </w:rPr>
        <w:t>Forms</w:t>
      </w:r>
      <w:proofErr w:type="spellEnd"/>
      <w:r w:rsidR="0010292D" w:rsidRPr="0049576D">
        <w:rPr>
          <w:rFonts w:ascii="Arial" w:hAnsi="Arial" w:cs="Arial"/>
          <w:sz w:val="22"/>
          <w:szCs w:val="22"/>
        </w:rPr>
        <w:t>”</w:t>
      </w:r>
      <w:r w:rsidR="000B0DD7" w:rsidRPr="0049576D">
        <w:rPr>
          <w:rFonts w:ascii="Arial" w:hAnsi="Arial" w:cs="Arial"/>
          <w:sz w:val="22"/>
          <w:szCs w:val="22"/>
        </w:rPr>
        <w:t>, en la cual se implementar</w:t>
      </w:r>
      <w:r w:rsidR="0010292D" w:rsidRPr="0049576D">
        <w:rPr>
          <w:rFonts w:ascii="Arial" w:hAnsi="Arial" w:cs="Arial"/>
          <w:sz w:val="22"/>
          <w:szCs w:val="22"/>
        </w:rPr>
        <w:t>á</w:t>
      </w:r>
      <w:r w:rsidR="000B0DD7" w:rsidRPr="0049576D">
        <w:rPr>
          <w:rFonts w:ascii="Arial" w:hAnsi="Arial" w:cs="Arial"/>
          <w:sz w:val="22"/>
          <w:szCs w:val="22"/>
        </w:rPr>
        <w:t>n los controles y validaciones automáticas acordad</w:t>
      </w:r>
      <w:r w:rsidR="00A776BB" w:rsidRPr="0049576D">
        <w:rPr>
          <w:rFonts w:ascii="Arial" w:hAnsi="Arial" w:cs="Arial"/>
          <w:sz w:val="22"/>
          <w:szCs w:val="22"/>
        </w:rPr>
        <w:t>o</w:t>
      </w:r>
      <w:r w:rsidR="000B0DD7" w:rsidRPr="0049576D">
        <w:rPr>
          <w:rFonts w:ascii="Arial" w:hAnsi="Arial" w:cs="Arial"/>
          <w:sz w:val="22"/>
          <w:szCs w:val="22"/>
        </w:rPr>
        <w:t>s con el BID para seleccionar y administrar los estados de las operaciones asociadas. Todas estas herramientas se encuentran inmersas en los esquemas operativos y de manejo de base de datos de Bancóldex.</w:t>
      </w:r>
      <w:r w:rsidR="001E6C08" w:rsidRPr="0049576D">
        <w:rPr>
          <w:rFonts w:ascii="Arial" w:hAnsi="Arial" w:cs="Arial"/>
          <w:sz w:val="22"/>
          <w:szCs w:val="22"/>
        </w:rPr>
        <w:t xml:space="preserve"> </w:t>
      </w:r>
      <w:r w:rsidR="000B0DD7" w:rsidRPr="0049576D">
        <w:rPr>
          <w:rFonts w:ascii="Arial" w:hAnsi="Arial" w:cs="Arial"/>
          <w:sz w:val="22"/>
          <w:szCs w:val="22"/>
        </w:rPr>
        <w:t xml:space="preserve">El control sobre este monto será realizado por </w:t>
      </w:r>
      <w:r w:rsidR="00F97BA3" w:rsidRPr="0049576D">
        <w:rPr>
          <w:rFonts w:ascii="Arial" w:hAnsi="Arial" w:cs="Arial"/>
          <w:sz w:val="22"/>
          <w:szCs w:val="22"/>
        </w:rPr>
        <w:t>Bancóldex</w:t>
      </w:r>
      <w:r w:rsidR="000B0DD7" w:rsidRPr="0049576D">
        <w:rPr>
          <w:rFonts w:ascii="Arial" w:hAnsi="Arial" w:cs="Arial"/>
          <w:sz w:val="22"/>
          <w:szCs w:val="22"/>
        </w:rPr>
        <w:t xml:space="preserve"> en Delfos</w:t>
      </w:r>
      <w:r w:rsidR="001E6C08" w:rsidRPr="0049576D">
        <w:rPr>
          <w:rFonts w:ascii="Arial" w:hAnsi="Arial" w:cs="Arial"/>
          <w:sz w:val="22"/>
          <w:szCs w:val="22"/>
        </w:rPr>
        <w:t xml:space="preserve"> (</w:t>
      </w:r>
      <w:r w:rsidR="000B0DD7" w:rsidRPr="0049576D">
        <w:rPr>
          <w:rFonts w:ascii="Arial" w:hAnsi="Arial" w:cs="Arial"/>
          <w:sz w:val="22"/>
          <w:szCs w:val="22"/>
        </w:rPr>
        <w:t>sistema de información institucional</w:t>
      </w:r>
      <w:r w:rsidR="001E6C08" w:rsidRPr="0049576D">
        <w:rPr>
          <w:rFonts w:ascii="Arial" w:hAnsi="Arial" w:cs="Arial"/>
          <w:sz w:val="22"/>
          <w:szCs w:val="22"/>
        </w:rPr>
        <w:t>)</w:t>
      </w:r>
      <w:r w:rsidR="000B0DD7" w:rsidRPr="0049576D">
        <w:rPr>
          <w:rFonts w:ascii="Arial" w:hAnsi="Arial" w:cs="Arial"/>
          <w:sz w:val="22"/>
          <w:szCs w:val="22"/>
        </w:rPr>
        <w:t xml:space="preserve">. Allí se ha dispuesto de un informe que permite ejercer el control automático de las operaciones que respaldan cada uno de los desembolsos recibidos del BID; dado lo anterior, se debe entender que el control está desligado del sistema contable o transaccional de cartera de </w:t>
      </w:r>
      <w:r w:rsidR="00F97BA3" w:rsidRPr="0049576D">
        <w:rPr>
          <w:rFonts w:ascii="Arial" w:hAnsi="Arial" w:cs="Arial"/>
          <w:sz w:val="22"/>
          <w:szCs w:val="22"/>
        </w:rPr>
        <w:t>Bancóldex</w:t>
      </w:r>
      <w:r w:rsidR="000B0DD7" w:rsidRPr="0049576D">
        <w:rPr>
          <w:rFonts w:ascii="Arial" w:hAnsi="Arial" w:cs="Arial"/>
          <w:sz w:val="22"/>
          <w:szCs w:val="22"/>
        </w:rPr>
        <w:t>. Para la presentación de los estados financieros del proyecto, la información base es tomada desde el aplicativo AS400, pero</w:t>
      </w:r>
      <w:r w:rsidR="00CD0DBC" w:rsidRPr="0049576D">
        <w:rPr>
          <w:rFonts w:ascii="Arial" w:hAnsi="Arial" w:cs="Arial"/>
          <w:sz w:val="22"/>
          <w:szCs w:val="22"/>
        </w:rPr>
        <w:t xml:space="preserve"> los mismos se generan en Excel</w:t>
      </w:r>
      <w:r w:rsidR="000B0DD7" w:rsidRPr="0049576D">
        <w:rPr>
          <w:rFonts w:ascii="Arial" w:hAnsi="Arial" w:cs="Arial"/>
          <w:sz w:val="22"/>
          <w:szCs w:val="22"/>
        </w:rPr>
        <w:t>.</w:t>
      </w:r>
    </w:p>
    <w:p w14:paraId="380D5060" w14:textId="77777777" w:rsidR="007A5668" w:rsidRPr="0049576D" w:rsidRDefault="007A5668" w:rsidP="000B0DD7">
      <w:pPr>
        <w:ind w:left="720"/>
        <w:jc w:val="both"/>
        <w:rPr>
          <w:rFonts w:ascii="Arial" w:hAnsi="Arial" w:cs="Arial"/>
          <w:sz w:val="22"/>
          <w:szCs w:val="22"/>
        </w:rPr>
      </w:pPr>
    </w:p>
    <w:p w14:paraId="71D14B4A" w14:textId="1AB83BA5" w:rsidR="00877C53" w:rsidRPr="0049576D" w:rsidRDefault="00DD2CB1" w:rsidP="00A459E3">
      <w:pPr>
        <w:pStyle w:val="ListParagraph"/>
        <w:numPr>
          <w:ilvl w:val="0"/>
          <w:numId w:val="36"/>
        </w:numPr>
        <w:autoSpaceDE w:val="0"/>
        <w:autoSpaceDN w:val="0"/>
        <w:adjustRightInd w:val="0"/>
        <w:ind w:left="540" w:hanging="540"/>
        <w:jc w:val="both"/>
        <w:rPr>
          <w:rFonts w:ascii="Arial" w:hAnsi="Arial" w:cs="Arial"/>
          <w:sz w:val="22"/>
          <w:szCs w:val="22"/>
        </w:rPr>
      </w:pPr>
      <w:r w:rsidRPr="0049576D">
        <w:rPr>
          <w:rFonts w:ascii="Arial" w:hAnsi="Arial" w:cs="Arial"/>
          <w:b/>
          <w:bCs/>
          <w:sz w:val="22"/>
          <w:szCs w:val="22"/>
        </w:rPr>
        <w:t>Desembolsos y flujo de caja</w:t>
      </w:r>
      <w:r w:rsidR="0049576D" w:rsidRPr="0049576D">
        <w:rPr>
          <w:rFonts w:ascii="Arial" w:hAnsi="Arial" w:cs="Arial"/>
          <w:b/>
          <w:bCs/>
          <w:sz w:val="22"/>
          <w:szCs w:val="22"/>
        </w:rPr>
        <w:t>.</w:t>
      </w:r>
      <w:r w:rsidR="00877C53" w:rsidRPr="0049576D">
        <w:rPr>
          <w:rFonts w:ascii="Arial" w:hAnsi="Arial" w:cs="Arial"/>
          <w:sz w:val="22"/>
          <w:szCs w:val="22"/>
        </w:rPr>
        <w:t xml:space="preserve"> </w:t>
      </w:r>
      <w:r w:rsidR="003671D7" w:rsidRPr="0049576D">
        <w:rPr>
          <w:rFonts w:ascii="Arial" w:hAnsi="Arial" w:cs="Arial"/>
          <w:sz w:val="22"/>
          <w:szCs w:val="22"/>
        </w:rPr>
        <w:t>L</w:t>
      </w:r>
      <w:r w:rsidR="00877C53" w:rsidRPr="0049576D">
        <w:rPr>
          <w:rFonts w:ascii="Arial" w:hAnsi="Arial" w:cs="Arial"/>
          <w:sz w:val="22"/>
          <w:szCs w:val="22"/>
        </w:rPr>
        <w:t>os recursos del proyecto</w:t>
      </w:r>
      <w:r w:rsidR="003671D7" w:rsidRPr="0049576D">
        <w:rPr>
          <w:rFonts w:ascii="Arial" w:hAnsi="Arial" w:cs="Arial"/>
          <w:sz w:val="22"/>
          <w:szCs w:val="22"/>
        </w:rPr>
        <w:t xml:space="preserve"> se desembolsarán</w:t>
      </w:r>
      <w:r w:rsidR="00877C53" w:rsidRPr="0049576D">
        <w:rPr>
          <w:rFonts w:ascii="Arial" w:hAnsi="Arial" w:cs="Arial"/>
          <w:sz w:val="22"/>
          <w:szCs w:val="22"/>
        </w:rPr>
        <w:t xml:space="preserve"> bajo la modalidad de </w:t>
      </w:r>
      <w:r w:rsidR="00410FF4">
        <w:rPr>
          <w:rFonts w:ascii="Arial" w:hAnsi="Arial" w:cs="Arial"/>
          <w:sz w:val="22"/>
          <w:szCs w:val="22"/>
        </w:rPr>
        <w:t>r</w:t>
      </w:r>
      <w:r w:rsidR="00877C53" w:rsidRPr="0049576D">
        <w:rPr>
          <w:rFonts w:ascii="Arial" w:hAnsi="Arial" w:cs="Arial"/>
          <w:sz w:val="22"/>
          <w:szCs w:val="22"/>
        </w:rPr>
        <w:t xml:space="preserve">eembolso, sin embargo, </w:t>
      </w:r>
      <w:r w:rsidR="003671D7" w:rsidRPr="0049576D">
        <w:rPr>
          <w:rFonts w:ascii="Arial" w:hAnsi="Arial" w:cs="Arial"/>
          <w:sz w:val="22"/>
          <w:szCs w:val="22"/>
        </w:rPr>
        <w:t xml:space="preserve">se </w:t>
      </w:r>
      <w:r w:rsidR="00877C53" w:rsidRPr="0049576D">
        <w:rPr>
          <w:rFonts w:ascii="Arial" w:hAnsi="Arial" w:cs="Arial"/>
          <w:sz w:val="22"/>
          <w:szCs w:val="22"/>
        </w:rPr>
        <w:t>podrá utilizar otra modalidad de desembolsos, de común acuerdo con el B</w:t>
      </w:r>
      <w:r w:rsidR="00010F37" w:rsidRPr="0049576D">
        <w:rPr>
          <w:rFonts w:ascii="Arial" w:hAnsi="Arial" w:cs="Arial"/>
          <w:sz w:val="22"/>
          <w:szCs w:val="22"/>
        </w:rPr>
        <w:t>ID</w:t>
      </w:r>
      <w:r w:rsidR="00877C53" w:rsidRPr="0049576D">
        <w:rPr>
          <w:rFonts w:ascii="Arial" w:hAnsi="Arial" w:cs="Arial"/>
          <w:sz w:val="22"/>
          <w:szCs w:val="22"/>
        </w:rPr>
        <w:t xml:space="preserve">. </w:t>
      </w:r>
      <w:bookmarkStart w:id="7" w:name="_Hlk495929000"/>
      <w:r w:rsidR="00877C53" w:rsidRPr="0049576D">
        <w:rPr>
          <w:rFonts w:ascii="Arial" w:hAnsi="Arial" w:cs="Arial"/>
          <w:sz w:val="22"/>
          <w:szCs w:val="22"/>
        </w:rPr>
        <w:t xml:space="preserve">Las solicitudes de desembolso deben ir acompañadas de la lista de créditos elegibles de acuerdo con las condiciones establecidas en el RC. </w:t>
      </w:r>
      <w:bookmarkEnd w:id="7"/>
      <w:r w:rsidR="004D18E7" w:rsidRPr="0049576D">
        <w:rPr>
          <w:rFonts w:ascii="Arial" w:hAnsi="Arial" w:cs="Arial"/>
          <w:sz w:val="22"/>
          <w:szCs w:val="22"/>
        </w:rPr>
        <w:t xml:space="preserve">La tasa de </w:t>
      </w:r>
      <w:r w:rsidR="00234BD3" w:rsidRPr="0049576D">
        <w:rPr>
          <w:rFonts w:ascii="Arial" w:hAnsi="Arial" w:cs="Arial"/>
          <w:sz w:val="22"/>
          <w:szCs w:val="22"/>
        </w:rPr>
        <w:t>cambio para la solicitud de los re</w:t>
      </w:r>
      <w:r w:rsidR="00D7658D" w:rsidRPr="0049576D">
        <w:rPr>
          <w:rFonts w:ascii="Arial" w:hAnsi="Arial" w:cs="Arial"/>
          <w:sz w:val="22"/>
          <w:szCs w:val="22"/>
        </w:rPr>
        <w:t>e</w:t>
      </w:r>
      <w:r w:rsidR="00234BD3" w:rsidRPr="0049576D">
        <w:rPr>
          <w:rFonts w:ascii="Arial" w:hAnsi="Arial" w:cs="Arial"/>
          <w:sz w:val="22"/>
          <w:szCs w:val="22"/>
        </w:rPr>
        <w:t xml:space="preserve">mbolsos será la </w:t>
      </w:r>
      <w:r w:rsidR="004D18E7" w:rsidRPr="0049576D">
        <w:rPr>
          <w:rFonts w:ascii="Arial" w:hAnsi="Arial" w:cs="Arial"/>
          <w:sz w:val="22"/>
          <w:szCs w:val="22"/>
        </w:rPr>
        <w:t xml:space="preserve">vigente en la </w:t>
      </w:r>
      <w:r w:rsidR="00234BD3" w:rsidRPr="0049576D">
        <w:rPr>
          <w:rFonts w:ascii="Arial" w:hAnsi="Arial" w:cs="Arial"/>
          <w:sz w:val="22"/>
          <w:szCs w:val="22"/>
        </w:rPr>
        <w:t>fecha efectiva del pago en pesos colombianos</w:t>
      </w:r>
      <w:r w:rsidR="004D18E7" w:rsidRPr="0049576D">
        <w:rPr>
          <w:rFonts w:ascii="Arial" w:hAnsi="Arial" w:cs="Arial"/>
          <w:sz w:val="22"/>
          <w:szCs w:val="22"/>
        </w:rPr>
        <w:t>.</w:t>
      </w:r>
    </w:p>
    <w:p w14:paraId="05423C9D" w14:textId="77777777" w:rsidR="00E824AC" w:rsidRPr="0049576D" w:rsidRDefault="00E824AC" w:rsidP="00B15570">
      <w:pPr>
        <w:ind w:left="720"/>
        <w:jc w:val="both"/>
        <w:rPr>
          <w:rFonts w:ascii="Arial" w:hAnsi="Arial" w:cs="Arial"/>
          <w:sz w:val="22"/>
          <w:szCs w:val="22"/>
        </w:rPr>
      </w:pPr>
    </w:p>
    <w:p w14:paraId="591C07B5" w14:textId="70ED5163" w:rsidR="009D4075" w:rsidRPr="0049576D" w:rsidRDefault="00DD2CB1" w:rsidP="00A459E3">
      <w:pPr>
        <w:pStyle w:val="ListParagraph"/>
        <w:numPr>
          <w:ilvl w:val="0"/>
          <w:numId w:val="36"/>
        </w:numPr>
        <w:autoSpaceDE w:val="0"/>
        <w:autoSpaceDN w:val="0"/>
        <w:adjustRightInd w:val="0"/>
        <w:ind w:left="540" w:hanging="540"/>
        <w:jc w:val="both"/>
        <w:rPr>
          <w:rFonts w:ascii="Arial" w:hAnsi="Arial" w:cs="Arial"/>
          <w:sz w:val="22"/>
          <w:szCs w:val="22"/>
        </w:rPr>
      </w:pPr>
      <w:r w:rsidRPr="0049576D">
        <w:rPr>
          <w:rFonts w:ascii="Arial" w:hAnsi="Arial" w:cs="Arial"/>
          <w:b/>
          <w:bCs/>
          <w:sz w:val="22"/>
          <w:szCs w:val="22"/>
        </w:rPr>
        <w:t>Control Interno y auditoría interna</w:t>
      </w:r>
      <w:r w:rsidR="0049576D" w:rsidRPr="0049576D">
        <w:rPr>
          <w:rFonts w:ascii="Arial" w:hAnsi="Arial" w:cs="Arial"/>
          <w:b/>
          <w:bCs/>
          <w:sz w:val="22"/>
          <w:szCs w:val="22"/>
        </w:rPr>
        <w:t xml:space="preserve">. </w:t>
      </w:r>
      <w:r w:rsidR="00F97BA3" w:rsidRPr="0049576D">
        <w:rPr>
          <w:rFonts w:ascii="Arial" w:hAnsi="Arial" w:cs="Arial"/>
          <w:sz w:val="22"/>
          <w:szCs w:val="22"/>
        </w:rPr>
        <w:t>Bancóldex</w:t>
      </w:r>
      <w:r w:rsidR="009D4075" w:rsidRPr="0049576D">
        <w:rPr>
          <w:rFonts w:ascii="Arial" w:hAnsi="Arial" w:cs="Arial"/>
          <w:sz w:val="22"/>
          <w:szCs w:val="22"/>
        </w:rPr>
        <w:t xml:space="preserve"> tiene implementado y en funcionamiento el Modelo Estándar de Control Interno MECI 1000:2014 para las entidades del Estado </w:t>
      </w:r>
      <w:r w:rsidR="00410FF4">
        <w:rPr>
          <w:rFonts w:ascii="Arial" w:hAnsi="Arial" w:cs="Arial"/>
          <w:sz w:val="22"/>
          <w:szCs w:val="22"/>
        </w:rPr>
        <w:t>C</w:t>
      </w:r>
      <w:r w:rsidR="009D4075" w:rsidRPr="0049576D">
        <w:rPr>
          <w:rFonts w:ascii="Arial" w:hAnsi="Arial" w:cs="Arial"/>
          <w:sz w:val="22"/>
          <w:szCs w:val="22"/>
        </w:rPr>
        <w:t xml:space="preserve">olombiano, basado en el estándar mundial COSO, el cual se encuentra alineado y articulado con el marco de Sistema de Control Interno establecido por la Superintendencia Financiera de Colombia para sus entidades vigiladas. También forman parte del Sistema de Control Interno los sistemas y políticas de gestión de calidad y de gestión de riesgos aplicables, por estar sometido a la vigilancia y control de dicho ente de control; por lo tanto, </w:t>
      </w:r>
      <w:r w:rsidR="00F97BA3" w:rsidRPr="0049576D">
        <w:rPr>
          <w:rFonts w:ascii="Arial" w:hAnsi="Arial" w:cs="Arial"/>
          <w:sz w:val="22"/>
          <w:szCs w:val="22"/>
        </w:rPr>
        <w:t>Bancóldex</w:t>
      </w:r>
      <w:r w:rsidR="009D4075" w:rsidRPr="0049576D">
        <w:rPr>
          <w:rFonts w:ascii="Arial" w:hAnsi="Arial" w:cs="Arial"/>
          <w:sz w:val="22"/>
          <w:szCs w:val="22"/>
        </w:rPr>
        <w:t xml:space="preserve"> cuenta con las metodologías y manuales para la administración de riesgos obligatorios por </w:t>
      </w:r>
      <w:r w:rsidR="00410FF4">
        <w:rPr>
          <w:rFonts w:ascii="Arial" w:hAnsi="Arial" w:cs="Arial"/>
          <w:sz w:val="22"/>
          <w:szCs w:val="22"/>
        </w:rPr>
        <w:t>l</w:t>
      </w:r>
      <w:r w:rsidR="009D4075" w:rsidRPr="0049576D">
        <w:rPr>
          <w:rFonts w:ascii="Arial" w:hAnsi="Arial" w:cs="Arial"/>
          <w:sz w:val="22"/>
          <w:szCs w:val="22"/>
        </w:rPr>
        <w:t xml:space="preserve">ey, de riesgos de crédito, mercado, liquidez, operativo, lavado de activos y financiación del terrorismo y seguridad de la información. </w:t>
      </w:r>
      <w:r w:rsidR="00F97BA3" w:rsidRPr="0049576D">
        <w:rPr>
          <w:rFonts w:ascii="Arial" w:hAnsi="Arial" w:cs="Arial"/>
          <w:sz w:val="22"/>
          <w:szCs w:val="22"/>
        </w:rPr>
        <w:t>Bancóldex</w:t>
      </w:r>
      <w:r w:rsidR="00F97BA3" w:rsidRPr="0049576D" w:rsidDel="00F97BA3">
        <w:rPr>
          <w:rFonts w:ascii="Arial" w:hAnsi="Arial" w:cs="Arial"/>
          <w:sz w:val="22"/>
          <w:szCs w:val="22"/>
        </w:rPr>
        <w:t xml:space="preserve"> </w:t>
      </w:r>
      <w:r w:rsidR="009D4075" w:rsidRPr="0049576D">
        <w:rPr>
          <w:rFonts w:ascii="Arial" w:hAnsi="Arial" w:cs="Arial"/>
          <w:sz w:val="22"/>
          <w:szCs w:val="22"/>
        </w:rPr>
        <w:t>cuenta con Código de Ética, Código de Buen Gobierno Corporativo, tiene constituido un Comité de Auditoría de la J</w:t>
      </w:r>
      <w:r w:rsidR="006504BC">
        <w:rPr>
          <w:rFonts w:ascii="Arial" w:hAnsi="Arial" w:cs="Arial"/>
          <w:sz w:val="22"/>
          <w:szCs w:val="22"/>
        </w:rPr>
        <w:t xml:space="preserve">unta Directiva conformado por </w:t>
      </w:r>
      <w:r w:rsidR="00410FF4">
        <w:rPr>
          <w:rFonts w:ascii="Arial" w:hAnsi="Arial" w:cs="Arial"/>
          <w:sz w:val="22"/>
          <w:szCs w:val="22"/>
        </w:rPr>
        <w:t>tres</w:t>
      </w:r>
      <w:r w:rsidR="006504BC">
        <w:rPr>
          <w:rFonts w:ascii="Arial" w:hAnsi="Arial" w:cs="Arial"/>
          <w:sz w:val="22"/>
          <w:szCs w:val="22"/>
        </w:rPr>
        <w:t> </w:t>
      </w:r>
      <w:r w:rsidR="009D4075" w:rsidRPr="0049576D">
        <w:rPr>
          <w:rFonts w:ascii="Arial" w:hAnsi="Arial" w:cs="Arial"/>
          <w:sz w:val="22"/>
          <w:szCs w:val="22"/>
        </w:rPr>
        <w:t xml:space="preserve">miembros de Junta, una Política de Control establecida y basada en principios de autorregulación, autogestión, autocontrol y mejoramiento continuo, y Manual de Calidad y Operaciones. </w:t>
      </w:r>
    </w:p>
    <w:p w14:paraId="23609F32" w14:textId="4A2BE58E" w:rsidR="00895751" w:rsidRPr="0049576D" w:rsidRDefault="00F97BA3" w:rsidP="00410FF4">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49576D">
        <w:rPr>
          <w:rFonts w:ascii="Arial" w:hAnsi="Arial" w:cs="Arial"/>
          <w:sz w:val="22"/>
          <w:szCs w:val="22"/>
        </w:rPr>
        <w:t>Bancóldex</w:t>
      </w:r>
      <w:r w:rsidR="009D4075" w:rsidRPr="0049576D">
        <w:rPr>
          <w:rFonts w:ascii="Arial" w:hAnsi="Arial" w:cs="Arial"/>
          <w:sz w:val="22"/>
          <w:szCs w:val="22"/>
        </w:rPr>
        <w:t xml:space="preserve"> realiza anualmente la evaluación normativa independiente a su Sistema de Control Interno (SCI) la cual arrojó resultados de niveles de madurez avanzados y satisfactorios para la vigencia 2016, bajo el Modelo MECI:2014 administrado por el Departamento Administrativo de la Función Pública. Como fortaleza, se evidencia el compromiso de la </w:t>
      </w:r>
      <w:r w:rsidR="00410FF4">
        <w:rPr>
          <w:rFonts w:ascii="Arial" w:hAnsi="Arial" w:cs="Arial"/>
          <w:sz w:val="22"/>
          <w:szCs w:val="22"/>
        </w:rPr>
        <w:t>e</w:t>
      </w:r>
      <w:r w:rsidR="009D4075" w:rsidRPr="0049576D">
        <w:rPr>
          <w:rFonts w:ascii="Arial" w:hAnsi="Arial" w:cs="Arial"/>
          <w:sz w:val="22"/>
          <w:szCs w:val="22"/>
        </w:rPr>
        <w:t xml:space="preserve">ntidad en el mantenimiento y mejora continua del SCI, lo que demuestra responsabilidad frente a los planes estratégicos y directrices propuestos por el Gobierno Nacional en materia de Control Interno y Gestión, complementados con los sistemas de administración de riesgos con que cuenta </w:t>
      </w:r>
      <w:r w:rsidRPr="0049576D">
        <w:rPr>
          <w:rFonts w:ascii="Arial" w:hAnsi="Arial" w:cs="Arial"/>
          <w:sz w:val="22"/>
          <w:szCs w:val="22"/>
        </w:rPr>
        <w:t>Bancóldex</w:t>
      </w:r>
      <w:r w:rsidR="009D4075" w:rsidRPr="0049576D">
        <w:rPr>
          <w:rFonts w:ascii="Arial" w:hAnsi="Arial" w:cs="Arial"/>
          <w:sz w:val="22"/>
          <w:szCs w:val="22"/>
        </w:rPr>
        <w:t xml:space="preserve">. Los </w:t>
      </w:r>
      <w:r w:rsidR="009D4075" w:rsidRPr="0049576D">
        <w:rPr>
          <w:rFonts w:ascii="Arial" w:hAnsi="Arial" w:cs="Arial"/>
          <w:sz w:val="22"/>
          <w:szCs w:val="22"/>
        </w:rPr>
        <w:lastRenderedPageBreak/>
        <w:t>aspectos con oportunidad de mayor avance o mejora forman parte de planes de acción definidos en el tiempo, con seguimiento por sus respectivos responsables.</w:t>
      </w:r>
      <w:r w:rsidR="0056083C" w:rsidRPr="0049576D">
        <w:rPr>
          <w:rFonts w:ascii="Arial" w:hAnsi="Arial" w:cs="Arial"/>
          <w:sz w:val="22"/>
          <w:szCs w:val="22"/>
        </w:rPr>
        <w:t xml:space="preserve"> </w:t>
      </w:r>
      <w:r w:rsidR="009D4075" w:rsidRPr="0049576D">
        <w:rPr>
          <w:rFonts w:ascii="Arial" w:hAnsi="Arial" w:cs="Arial"/>
          <w:sz w:val="22"/>
          <w:szCs w:val="22"/>
        </w:rPr>
        <w:t>También se efectúa evaluación anual del S</w:t>
      </w:r>
      <w:r w:rsidR="00410FF4">
        <w:rPr>
          <w:rFonts w:ascii="Arial" w:hAnsi="Arial" w:cs="Arial"/>
          <w:sz w:val="22"/>
          <w:szCs w:val="22"/>
        </w:rPr>
        <w:t>CI c</w:t>
      </w:r>
      <w:r w:rsidR="009D4075" w:rsidRPr="0049576D">
        <w:rPr>
          <w:rFonts w:ascii="Arial" w:hAnsi="Arial" w:cs="Arial"/>
          <w:sz w:val="22"/>
          <w:szCs w:val="22"/>
        </w:rPr>
        <w:t xml:space="preserve">ontable bajo metodología de la Contaduría General de la Nación, cuyos elementos normativos evaluados corresponden a la existencia y efectividad de controles de: </w:t>
      </w:r>
      <w:r w:rsidR="00410FF4">
        <w:rPr>
          <w:rFonts w:ascii="Arial" w:hAnsi="Arial" w:cs="Arial"/>
          <w:sz w:val="22"/>
          <w:szCs w:val="22"/>
        </w:rPr>
        <w:t>(i) p</w:t>
      </w:r>
      <w:r w:rsidR="009D4075" w:rsidRPr="0049576D">
        <w:rPr>
          <w:rFonts w:ascii="Arial" w:hAnsi="Arial" w:cs="Arial"/>
          <w:sz w:val="22"/>
          <w:szCs w:val="22"/>
        </w:rPr>
        <w:t xml:space="preserve">olíticas contables; </w:t>
      </w:r>
      <w:r w:rsidR="00410FF4">
        <w:rPr>
          <w:rFonts w:ascii="Arial" w:hAnsi="Arial" w:cs="Arial"/>
          <w:sz w:val="22"/>
          <w:szCs w:val="22"/>
        </w:rPr>
        <w:t>(ii) e</w:t>
      </w:r>
      <w:r w:rsidR="009D4075" w:rsidRPr="0049576D">
        <w:rPr>
          <w:rFonts w:ascii="Arial" w:hAnsi="Arial" w:cs="Arial"/>
          <w:sz w:val="22"/>
          <w:szCs w:val="22"/>
        </w:rPr>
        <w:t xml:space="preserve">tapas del proceso contable; </w:t>
      </w:r>
      <w:r w:rsidR="00410FF4">
        <w:rPr>
          <w:rFonts w:ascii="Arial" w:hAnsi="Arial" w:cs="Arial"/>
          <w:sz w:val="22"/>
          <w:szCs w:val="22"/>
        </w:rPr>
        <w:t>(iii) r</w:t>
      </w:r>
      <w:r w:rsidR="009D4075" w:rsidRPr="0049576D">
        <w:rPr>
          <w:rFonts w:ascii="Arial" w:hAnsi="Arial" w:cs="Arial"/>
          <w:sz w:val="22"/>
          <w:szCs w:val="22"/>
        </w:rPr>
        <w:t>endición de cuentas e Información a partes interesadas; y</w:t>
      </w:r>
      <w:r w:rsidR="00410FF4">
        <w:rPr>
          <w:rFonts w:ascii="Arial" w:hAnsi="Arial" w:cs="Arial"/>
          <w:sz w:val="22"/>
          <w:szCs w:val="22"/>
        </w:rPr>
        <w:t xml:space="preserve"> (iv) g</w:t>
      </w:r>
      <w:r w:rsidR="009D4075" w:rsidRPr="0049576D">
        <w:rPr>
          <w:rFonts w:ascii="Arial" w:hAnsi="Arial" w:cs="Arial"/>
          <w:sz w:val="22"/>
          <w:szCs w:val="22"/>
        </w:rPr>
        <w:t xml:space="preserve">estión del riesgo contable. </w:t>
      </w:r>
      <w:r w:rsidR="009D4075" w:rsidRPr="0049576D">
        <w:rPr>
          <w:rFonts w:ascii="Arial" w:hAnsi="Arial" w:cs="Arial"/>
          <w:sz w:val="22"/>
          <w:szCs w:val="22"/>
          <w:lang w:val="es-CO"/>
        </w:rPr>
        <w:t xml:space="preserve">Bajo esta metodología, la calificación independiente resultante para el Sistema de Control </w:t>
      </w:r>
      <w:r w:rsidR="00A67D6A">
        <w:rPr>
          <w:rFonts w:ascii="Arial" w:hAnsi="Arial" w:cs="Arial"/>
          <w:sz w:val="22"/>
          <w:szCs w:val="22"/>
          <w:lang w:val="es-CO"/>
        </w:rPr>
        <w:t>Interno Contable de Bancóldex</w:t>
      </w:r>
      <w:r w:rsidR="00A67D6A">
        <w:rPr>
          <w:rFonts w:ascii="Arial" w:hAnsi="Arial" w:cs="Arial"/>
          <w:sz w:val="22"/>
          <w:szCs w:val="22"/>
          <w:lang w:val="es-CO"/>
        </w:rPr>
        <w:noBreakHyphen/>
      </w:r>
      <w:r w:rsidR="009D4075" w:rsidRPr="0049576D">
        <w:rPr>
          <w:rFonts w:ascii="Arial" w:hAnsi="Arial" w:cs="Arial"/>
          <w:sz w:val="22"/>
          <w:szCs w:val="22"/>
          <w:lang w:val="es-CO"/>
        </w:rPr>
        <w:t>Vigencia 2016 es de 4</w:t>
      </w:r>
      <w:r w:rsidR="00410FF4">
        <w:rPr>
          <w:rFonts w:ascii="Arial" w:hAnsi="Arial" w:cs="Arial"/>
          <w:sz w:val="22"/>
          <w:szCs w:val="22"/>
          <w:lang w:val="es-CO"/>
        </w:rPr>
        <w:t>,</w:t>
      </w:r>
      <w:r w:rsidR="009D4075" w:rsidRPr="0049576D">
        <w:rPr>
          <w:rFonts w:ascii="Arial" w:hAnsi="Arial" w:cs="Arial"/>
          <w:sz w:val="22"/>
          <w:szCs w:val="22"/>
          <w:lang w:val="es-CO"/>
        </w:rPr>
        <w:t>83 sobre 5</w:t>
      </w:r>
      <w:r w:rsidR="00410FF4">
        <w:rPr>
          <w:rFonts w:ascii="Arial" w:hAnsi="Arial" w:cs="Arial"/>
          <w:sz w:val="22"/>
          <w:szCs w:val="22"/>
          <w:lang w:val="es-CO"/>
        </w:rPr>
        <w:t>,</w:t>
      </w:r>
      <w:r w:rsidR="009D4075" w:rsidRPr="0049576D">
        <w:rPr>
          <w:rFonts w:ascii="Arial" w:hAnsi="Arial" w:cs="Arial"/>
          <w:sz w:val="22"/>
          <w:szCs w:val="22"/>
          <w:lang w:val="es-CO"/>
        </w:rPr>
        <w:t>0, considerada</w:t>
      </w:r>
      <w:r w:rsidR="009D4075" w:rsidRPr="00410FF4">
        <w:rPr>
          <w:rFonts w:ascii="Arial" w:hAnsi="Arial" w:cs="Arial"/>
          <w:sz w:val="22"/>
          <w:szCs w:val="22"/>
          <w:lang w:val="es-CO"/>
        </w:rPr>
        <w:t xml:space="preserve"> “</w:t>
      </w:r>
      <w:r w:rsidR="009D4075" w:rsidRPr="00A459E3">
        <w:rPr>
          <w:rFonts w:ascii="Arial" w:hAnsi="Arial" w:cs="Arial"/>
          <w:bCs/>
          <w:sz w:val="22"/>
          <w:szCs w:val="22"/>
          <w:lang w:val="es-CO"/>
        </w:rPr>
        <w:t>Eficiente</w:t>
      </w:r>
      <w:r w:rsidR="009D4075" w:rsidRPr="00410FF4">
        <w:rPr>
          <w:rFonts w:ascii="Arial" w:hAnsi="Arial" w:cs="Arial"/>
          <w:sz w:val="22"/>
          <w:szCs w:val="22"/>
          <w:lang w:val="es-CO"/>
        </w:rPr>
        <w:t xml:space="preserve">” </w:t>
      </w:r>
      <w:r w:rsidR="009D4075" w:rsidRPr="0049576D">
        <w:rPr>
          <w:rFonts w:ascii="Arial" w:hAnsi="Arial" w:cs="Arial"/>
          <w:sz w:val="22"/>
          <w:szCs w:val="22"/>
          <w:lang w:val="es-CO"/>
        </w:rPr>
        <w:t xml:space="preserve">de acuerdo con los rangos de interpretación de la Contaduría. </w:t>
      </w:r>
      <w:r w:rsidR="009D4075" w:rsidRPr="0049576D">
        <w:rPr>
          <w:rFonts w:ascii="Arial" w:hAnsi="Arial" w:cs="Arial"/>
          <w:sz w:val="22"/>
          <w:szCs w:val="22"/>
        </w:rPr>
        <w:t>Los controles con oportunidad de avance forman parte de planes de acción definidos, con seguimiento por sus responsables.</w:t>
      </w:r>
      <w:r w:rsidR="00895751" w:rsidRPr="0049576D">
        <w:rPr>
          <w:rFonts w:ascii="Arial" w:hAnsi="Arial" w:cs="Arial"/>
          <w:sz w:val="22"/>
          <w:szCs w:val="22"/>
        </w:rPr>
        <w:t xml:space="preserve"> </w:t>
      </w:r>
      <w:r w:rsidR="009D4075" w:rsidRPr="0049576D">
        <w:rPr>
          <w:rFonts w:ascii="Arial" w:hAnsi="Arial" w:cs="Arial"/>
          <w:sz w:val="22"/>
          <w:szCs w:val="22"/>
        </w:rPr>
        <w:t xml:space="preserve">La gestión de la entidad se encuentra alineada, en seguimiento periódico mediante planes, metas, presupuesto y proyectos establecidos, y guarda coherencia con el entorno y las políticas de gobierno. </w:t>
      </w:r>
    </w:p>
    <w:p w14:paraId="4CC7FEFB" w14:textId="0702307F" w:rsidR="009D4075" w:rsidRPr="0049576D" w:rsidRDefault="009D4075" w:rsidP="00410FF4">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lang w:val="es-CO"/>
        </w:rPr>
      </w:pPr>
      <w:r w:rsidRPr="0049576D">
        <w:rPr>
          <w:rFonts w:ascii="Arial" w:hAnsi="Arial" w:cs="Arial"/>
          <w:sz w:val="22"/>
          <w:szCs w:val="22"/>
        </w:rPr>
        <w:t xml:space="preserve">Las anteriores características se reflejan también en el resultado de las </w:t>
      </w:r>
      <w:r w:rsidRPr="00001B97">
        <w:rPr>
          <w:rFonts w:ascii="Arial" w:hAnsi="Arial" w:cs="Arial"/>
          <w:sz w:val="22"/>
          <w:szCs w:val="22"/>
          <w:lang w:val="es-CO"/>
        </w:rPr>
        <w:t>evaluaciones</w:t>
      </w:r>
      <w:r w:rsidRPr="0049576D">
        <w:rPr>
          <w:rFonts w:ascii="Arial" w:hAnsi="Arial" w:cs="Arial"/>
          <w:sz w:val="22"/>
          <w:szCs w:val="22"/>
        </w:rPr>
        <w:t xml:space="preserve"> </w:t>
      </w:r>
      <w:r w:rsidRPr="002B3B49">
        <w:rPr>
          <w:rFonts w:ascii="Arial" w:hAnsi="Arial" w:cs="Arial"/>
          <w:sz w:val="22"/>
          <w:szCs w:val="22"/>
        </w:rPr>
        <w:t>resultantes de las Auditorías Gubernamentales por parte de la Contraloría General de la República, que a junio de 2017 feneció la cuenta de la vigencia 2016 de Bancóldex, otorgó a su S</w:t>
      </w:r>
      <w:r w:rsidR="00796C53">
        <w:rPr>
          <w:rFonts w:ascii="Arial" w:hAnsi="Arial" w:cs="Arial"/>
          <w:sz w:val="22"/>
          <w:szCs w:val="22"/>
        </w:rPr>
        <w:t xml:space="preserve">CI </w:t>
      </w:r>
      <w:r w:rsidRPr="002B3B49">
        <w:rPr>
          <w:rFonts w:ascii="Arial" w:hAnsi="Arial" w:cs="Arial"/>
          <w:sz w:val="22"/>
          <w:szCs w:val="22"/>
        </w:rPr>
        <w:t>una </w:t>
      </w:r>
      <w:r w:rsidRPr="00001B97">
        <w:rPr>
          <w:rFonts w:ascii="Arial" w:hAnsi="Arial" w:cs="Arial"/>
          <w:bCs/>
          <w:sz w:val="22"/>
          <w:szCs w:val="22"/>
        </w:rPr>
        <w:t>calificación</w:t>
      </w:r>
      <w:r w:rsidRPr="002B3B49">
        <w:rPr>
          <w:rFonts w:ascii="Arial" w:hAnsi="Arial" w:cs="Arial"/>
          <w:sz w:val="22"/>
          <w:szCs w:val="22"/>
        </w:rPr>
        <w:t xml:space="preserve"> de </w:t>
      </w:r>
      <w:r w:rsidRPr="00001B97">
        <w:rPr>
          <w:rFonts w:ascii="Arial" w:hAnsi="Arial" w:cs="Arial"/>
          <w:bCs/>
          <w:sz w:val="22"/>
          <w:szCs w:val="22"/>
        </w:rPr>
        <w:t>1,089</w:t>
      </w:r>
      <w:r w:rsidRPr="002B3B49">
        <w:rPr>
          <w:rFonts w:ascii="Arial" w:hAnsi="Arial" w:cs="Arial"/>
          <w:sz w:val="22"/>
          <w:szCs w:val="22"/>
        </w:rPr>
        <w:t> que ubica a</w:t>
      </w:r>
      <w:r w:rsidR="0056083C" w:rsidRPr="002B3B49">
        <w:rPr>
          <w:rFonts w:ascii="Arial" w:hAnsi="Arial" w:cs="Arial"/>
          <w:sz w:val="22"/>
          <w:szCs w:val="22"/>
        </w:rPr>
        <w:t xml:space="preserve"> </w:t>
      </w:r>
      <w:r w:rsidR="008B77BF" w:rsidRPr="006504BC">
        <w:rPr>
          <w:rFonts w:ascii="Arial" w:hAnsi="Arial" w:cs="Arial"/>
          <w:sz w:val="22"/>
          <w:szCs w:val="22"/>
        </w:rPr>
        <w:t>Bancóldex</w:t>
      </w:r>
      <w:r w:rsidRPr="006504BC">
        <w:rPr>
          <w:rFonts w:ascii="Arial" w:hAnsi="Arial" w:cs="Arial"/>
          <w:sz w:val="22"/>
          <w:szCs w:val="22"/>
        </w:rPr>
        <w:t xml:space="preserve"> en el rango de </w:t>
      </w:r>
      <w:r w:rsidR="00796C53">
        <w:rPr>
          <w:rFonts w:ascii="Arial" w:hAnsi="Arial" w:cs="Arial"/>
          <w:sz w:val="22"/>
          <w:szCs w:val="22"/>
        </w:rPr>
        <w:t>“</w:t>
      </w:r>
      <w:r w:rsidRPr="006504BC">
        <w:rPr>
          <w:rFonts w:ascii="Arial" w:hAnsi="Arial" w:cs="Arial"/>
          <w:bCs/>
          <w:sz w:val="22"/>
          <w:szCs w:val="22"/>
        </w:rPr>
        <w:t>Eficiente</w:t>
      </w:r>
      <w:r w:rsidR="00796C53">
        <w:rPr>
          <w:rFonts w:ascii="Arial" w:hAnsi="Arial" w:cs="Arial"/>
          <w:bCs/>
          <w:sz w:val="22"/>
          <w:szCs w:val="22"/>
        </w:rPr>
        <w:t>”</w:t>
      </w:r>
      <w:r w:rsidRPr="006504BC">
        <w:rPr>
          <w:rFonts w:ascii="Arial" w:hAnsi="Arial" w:cs="Arial"/>
          <w:sz w:val="22"/>
          <w:szCs w:val="22"/>
        </w:rPr>
        <w:t> </w:t>
      </w:r>
      <w:r w:rsidRPr="006504BC">
        <w:rPr>
          <w:rFonts w:ascii="Arial" w:hAnsi="Arial" w:cs="Arial"/>
          <w:iCs/>
          <w:sz w:val="22"/>
          <w:szCs w:val="22"/>
        </w:rPr>
        <w:t>(La calificación 1,089 en el co</w:t>
      </w:r>
      <w:r w:rsidR="00A67D6A" w:rsidRPr="006504BC">
        <w:rPr>
          <w:rFonts w:ascii="Arial" w:hAnsi="Arial" w:cs="Arial"/>
          <w:iCs/>
          <w:sz w:val="22"/>
          <w:szCs w:val="22"/>
        </w:rPr>
        <w:t>ntrol interno, equivale a 95,55 </w:t>
      </w:r>
      <w:r w:rsidRPr="006504BC">
        <w:rPr>
          <w:rFonts w:ascii="Arial" w:hAnsi="Arial" w:cs="Arial"/>
          <w:iCs/>
          <w:sz w:val="22"/>
          <w:szCs w:val="22"/>
        </w:rPr>
        <w:t xml:space="preserve">puntos para la matriz de calificación de la Gestión y Resultados, de acuerdo a Guía de </w:t>
      </w:r>
      <w:r w:rsidR="00796C53">
        <w:rPr>
          <w:rFonts w:ascii="Arial" w:hAnsi="Arial" w:cs="Arial"/>
          <w:iCs/>
          <w:sz w:val="22"/>
          <w:szCs w:val="22"/>
        </w:rPr>
        <w:t>A</w:t>
      </w:r>
      <w:r w:rsidRPr="006504BC">
        <w:rPr>
          <w:rFonts w:ascii="Arial" w:hAnsi="Arial" w:cs="Arial"/>
          <w:iCs/>
          <w:sz w:val="22"/>
          <w:szCs w:val="22"/>
        </w:rPr>
        <w:t>uditoría de la CGR)</w:t>
      </w:r>
      <w:r w:rsidRPr="006504BC">
        <w:rPr>
          <w:rFonts w:ascii="Arial" w:hAnsi="Arial" w:cs="Arial"/>
          <w:sz w:val="22"/>
          <w:szCs w:val="22"/>
        </w:rPr>
        <w:t xml:space="preserve">; </w:t>
      </w:r>
      <w:r w:rsidR="00796C53">
        <w:rPr>
          <w:rFonts w:ascii="Arial" w:hAnsi="Arial" w:cs="Arial"/>
          <w:sz w:val="22"/>
          <w:szCs w:val="22"/>
        </w:rPr>
        <w:t xml:space="preserve">lo </w:t>
      </w:r>
      <w:r w:rsidRPr="006504BC">
        <w:rPr>
          <w:rFonts w:ascii="Arial" w:hAnsi="Arial" w:cs="Arial"/>
          <w:sz w:val="22"/>
          <w:szCs w:val="22"/>
        </w:rPr>
        <w:t>que </w:t>
      </w:r>
      <w:r w:rsidRPr="006504BC">
        <w:rPr>
          <w:rFonts w:ascii="Arial" w:hAnsi="Arial" w:cs="Arial"/>
          <w:bCs/>
          <w:sz w:val="22"/>
          <w:szCs w:val="22"/>
        </w:rPr>
        <w:t>otorga confiabilidad</w:t>
      </w:r>
      <w:r w:rsidRPr="006504BC">
        <w:rPr>
          <w:rFonts w:ascii="Arial" w:hAnsi="Arial" w:cs="Arial"/>
          <w:sz w:val="22"/>
          <w:szCs w:val="22"/>
        </w:rPr>
        <w:t> en el manejo de los recursos</w:t>
      </w:r>
      <w:r w:rsidRPr="0049576D">
        <w:rPr>
          <w:rFonts w:ascii="Arial" w:hAnsi="Arial" w:cs="Arial"/>
          <w:sz w:val="22"/>
          <w:szCs w:val="22"/>
        </w:rPr>
        <w:t xml:space="preserve"> y el cumplimiento de los objetivos y metas. </w:t>
      </w:r>
    </w:p>
    <w:p w14:paraId="2F8DB768" w14:textId="7A0B38CC" w:rsidR="009D4075" w:rsidRPr="0049576D" w:rsidRDefault="009D4075" w:rsidP="00796C53">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49576D">
        <w:rPr>
          <w:rFonts w:ascii="Arial" w:hAnsi="Arial" w:cs="Arial"/>
          <w:sz w:val="22"/>
          <w:szCs w:val="22"/>
        </w:rPr>
        <w:t xml:space="preserve">Anualmente, la Junta Directiva de </w:t>
      </w:r>
      <w:r w:rsidR="008B77BF" w:rsidRPr="0049576D">
        <w:rPr>
          <w:rFonts w:ascii="Arial" w:hAnsi="Arial" w:cs="Arial"/>
          <w:sz w:val="22"/>
          <w:szCs w:val="22"/>
        </w:rPr>
        <w:t>Bancóldex</w:t>
      </w:r>
      <w:r w:rsidRPr="0049576D">
        <w:rPr>
          <w:rFonts w:ascii="Arial" w:hAnsi="Arial" w:cs="Arial"/>
          <w:sz w:val="22"/>
          <w:szCs w:val="22"/>
        </w:rPr>
        <w:t xml:space="preserve"> a través de su Comité de Auditoría, presenta a la Asamblea General de Accionistas, el </w:t>
      </w:r>
      <w:r w:rsidR="00796C53">
        <w:rPr>
          <w:rFonts w:ascii="Arial" w:hAnsi="Arial" w:cs="Arial"/>
          <w:sz w:val="22"/>
          <w:szCs w:val="22"/>
        </w:rPr>
        <w:t>i</w:t>
      </w:r>
      <w:r w:rsidRPr="0049576D">
        <w:rPr>
          <w:rFonts w:ascii="Arial" w:hAnsi="Arial" w:cs="Arial"/>
          <w:sz w:val="22"/>
          <w:szCs w:val="22"/>
        </w:rPr>
        <w:t>nforme correspondiente a la Gestión de Evaluación del Sistema de Control Interno, obedeciendo al cumplimiento legal requerido por la Superintendencia Financiera de Colombia en la Parte I, Título I, Capítulo IV “Control Interno” de la Circular Básica Jurídica.</w:t>
      </w:r>
      <w:r w:rsidR="00D750EF" w:rsidRPr="0049576D">
        <w:rPr>
          <w:rFonts w:ascii="Arial" w:hAnsi="Arial" w:cs="Arial"/>
          <w:sz w:val="22"/>
          <w:szCs w:val="22"/>
        </w:rPr>
        <w:t xml:space="preserve"> </w:t>
      </w:r>
      <w:r w:rsidRPr="0049576D">
        <w:rPr>
          <w:rFonts w:ascii="Arial" w:hAnsi="Arial" w:cs="Arial"/>
          <w:sz w:val="22"/>
          <w:szCs w:val="22"/>
        </w:rPr>
        <w:t xml:space="preserve">La entidad cuenta con el “Instructivo Programas de Crédito y Asistencia Técnica con Organismos Multilaterales y de Cooperación” que tiene como objetivo describir las actividades generales que se realizan dentro de la operación de los programas de crédito y asistencia técnica firmados por </w:t>
      </w:r>
      <w:r w:rsidR="008B77BF" w:rsidRPr="0049576D">
        <w:rPr>
          <w:rFonts w:ascii="Arial" w:hAnsi="Arial" w:cs="Arial"/>
          <w:sz w:val="22"/>
          <w:szCs w:val="22"/>
        </w:rPr>
        <w:t>Bancóldex</w:t>
      </w:r>
      <w:r w:rsidRPr="0049576D">
        <w:rPr>
          <w:rFonts w:ascii="Arial" w:hAnsi="Arial" w:cs="Arial"/>
          <w:sz w:val="22"/>
          <w:szCs w:val="22"/>
        </w:rPr>
        <w:t>, con organismos multilaterales y de cooperación, como estrategia de fondeo y/o financiación de acuerdo con el marco estratégico de la entidad, las diferentes líneas de crédito ofertadas y los segmentos de clientes atendidos.</w:t>
      </w:r>
    </w:p>
    <w:p w14:paraId="6AC1CA8C" w14:textId="77777777" w:rsidR="009D4075" w:rsidRPr="00A67D6A" w:rsidRDefault="008B77BF" w:rsidP="00796C53">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A67D6A">
        <w:rPr>
          <w:rFonts w:ascii="Arial" w:hAnsi="Arial" w:cs="Arial"/>
          <w:sz w:val="22"/>
          <w:szCs w:val="22"/>
        </w:rPr>
        <w:t>Bancóldex</w:t>
      </w:r>
      <w:r w:rsidR="009D4075" w:rsidRPr="00A67D6A">
        <w:rPr>
          <w:rFonts w:ascii="Arial" w:hAnsi="Arial" w:cs="Arial"/>
          <w:sz w:val="22"/>
          <w:szCs w:val="22"/>
        </w:rPr>
        <w:t xml:space="preserve"> tiene una Contraloría Interna que ejerce las funciones independientes propias de una oficina de control interno, reportando funcionalmente al Comité de Auditoría de la Junta Directiva y administrativamente a la Presidencia de </w:t>
      </w:r>
      <w:r w:rsidRPr="00A67D6A">
        <w:rPr>
          <w:rFonts w:ascii="Arial" w:hAnsi="Arial" w:cs="Arial"/>
          <w:sz w:val="22"/>
          <w:szCs w:val="22"/>
        </w:rPr>
        <w:t>Bancóldex</w:t>
      </w:r>
      <w:r w:rsidR="009D4075" w:rsidRPr="00A67D6A">
        <w:rPr>
          <w:rFonts w:ascii="Arial" w:hAnsi="Arial" w:cs="Arial"/>
          <w:sz w:val="22"/>
          <w:szCs w:val="22"/>
        </w:rPr>
        <w:t>. Además, la Contraloría administra el Proceso de Evaluación Independiente de</w:t>
      </w:r>
      <w:r w:rsidR="000C5112" w:rsidRPr="00A67D6A">
        <w:rPr>
          <w:rFonts w:ascii="Arial" w:hAnsi="Arial" w:cs="Arial"/>
          <w:sz w:val="22"/>
          <w:szCs w:val="22"/>
        </w:rPr>
        <w:t xml:space="preserve"> </w:t>
      </w:r>
      <w:r w:rsidR="009D4075" w:rsidRPr="00A67D6A">
        <w:rPr>
          <w:rFonts w:ascii="Arial" w:hAnsi="Arial" w:cs="Arial"/>
          <w:sz w:val="22"/>
          <w:szCs w:val="22"/>
        </w:rPr>
        <w:t>l</w:t>
      </w:r>
      <w:r w:rsidR="000C5112" w:rsidRPr="00A67D6A">
        <w:rPr>
          <w:rFonts w:ascii="Arial" w:hAnsi="Arial" w:cs="Arial"/>
          <w:sz w:val="22"/>
          <w:szCs w:val="22"/>
        </w:rPr>
        <w:t>a entidad</w:t>
      </w:r>
      <w:r w:rsidR="009D4075" w:rsidRPr="00A67D6A">
        <w:rPr>
          <w:rFonts w:ascii="Arial" w:hAnsi="Arial" w:cs="Arial"/>
          <w:sz w:val="22"/>
          <w:szCs w:val="22"/>
        </w:rPr>
        <w:t xml:space="preserve"> en su función de aseguramiento o auditoría, que en la actualidad cuenta con la certificación de calidad de “</w:t>
      </w:r>
      <w:r w:rsidR="009D4075" w:rsidRPr="00A67D6A">
        <w:rPr>
          <w:rFonts w:ascii="Arial" w:hAnsi="Arial" w:cs="Arial"/>
          <w:i/>
          <w:sz w:val="22"/>
          <w:szCs w:val="22"/>
        </w:rPr>
        <w:t>The</w:t>
      </w:r>
      <w:r w:rsidR="009D4075" w:rsidRPr="00A67D6A">
        <w:rPr>
          <w:rFonts w:ascii="Arial" w:hAnsi="Arial" w:cs="Arial"/>
          <w:i/>
          <w:color w:val="212121"/>
          <w:sz w:val="22"/>
          <w:szCs w:val="22"/>
          <w:shd w:val="clear" w:color="auto" w:fill="FFFFFF"/>
        </w:rPr>
        <w:t xml:space="preserve"> </w:t>
      </w:r>
      <w:proofErr w:type="spellStart"/>
      <w:r w:rsidR="009D4075" w:rsidRPr="00A67D6A">
        <w:rPr>
          <w:rFonts w:ascii="Arial" w:hAnsi="Arial" w:cs="Arial"/>
          <w:i/>
          <w:sz w:val="22"/>
          <w:szCs w:val="22"/>
        </w:rPr>
        <w:t>Institute</w:t>
      </w:r>
      <w:proofErr w:type="spellEnd"/>
      <w:r w:rsidR="009D4075" w:rsidRPr="00A67D6A">
        <w:rPr>
          <w:rFonts w:ascii="Arial" w:hAnsi="Arial" w:cs="Arial"/>
          <w:i/>
          <w:sz w:val="22"/>
          <w:szCs w:val="22"/>
        </w:rPr>
        <w:t xml:space="preserve"> of </w:t>
      </w:r>
      <w:proofErr w:type="spellStart"/>
      <w:r w:rsidR="009D4075" w:rsidRPr="00A67D6A">
        <w:rPr>
          <w:rFonts w:ascii="Arial" w:hAnsi="Arial" w:cs="Arial"/>
          <w:i/>
          <w:sz w:val="22"/>
          <w:szCs w:val="22"/>
        </w:rPr>
        <w:t>Internal</w:t>
      </w:r>
      <w:proofErr w:type="spellEnd"/>
      <w:r w:rsidR="009D4075" w:rsidRPr="00A67D6A">
        <w:rPr>
          <w:rFonts w:ascii="Arial" w:hAnsi="Arial" w:cs="Arial"/>
          <w:i/>
          <w:sz w:val="22"/>
          <w:szCs w:val="22"/>
        </w:rPr>
        <w:t xml:space="preserve"> </w:t>
      </w:r>
      <w:proofErr w:type="spellStart"/>
      <w:r w:rsidR="009D4075" w:rsidRPr="00A67D6A">
        <w:rPr>
          <w:rFonts w:ascii="Arial" w:hAnsi="Arial" w:cs="Arial"/>
          <w:i/>
          <w:sz w:val="22"/>
          <w:szCs w:val="22"/>
        </w:rPr>
        <w:t>Auditors</w:t>
      </w:r>
      <w:proofErr w:type="spellEnd"/>
      <w:r w:rsidR="009D4075" w:rsidRPr="00A67D6A">
        <w:rPr>
          <w:rFonts w:ascii="Arial" w:hAnsi="Arial" w:cs="Arial"/>
          <w:sz w:val="22"/>
          <w:szCs w:val="22"/>
        </w:rPr>
        <w:t>” lo que significa que aplica las normas del IIA Global® en la ejecución de sus trabajos de aseguramiento o consulta. Cuenta con un Estatuto de Auditoría, un Manual de Auditoría, y el Plan Anual de Auditoría basado en riesgos, instrumentos aprobados por el Comité de Auditoría de la Junta Directiva.</w:t>
      </w:r>
    </w:p>
    <w:p w14:paraId="27845EC9" w14:textId="07BB1E36" w:rsidR="00FD741F" w:rsidRPr="00A67D6A" w:rsidRDefault="00DD2CB1" w:rsidP="00796C53">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A67D6A">
        <w:rPr>
          <w:rFonts w:ascii="Arial" w:hAnsi="Arial" w:cs="Arial"/>
          <w:b/>
          <w:sz w:val="22"/>
          <w:szCs w:val="22"/>
        </w:rPr>
        <w:t>Control</w:t>
      </w:r>
      <w:r w:rsidRPr="00A67D6A">
        <w:rPr>
          <w:rFonts w:ascii="Arial" w:hAnsi="Arial" w:cs="Arial"/>
          <w:b/>
          <w:bCs/>
          <w:sz w:val="22"/>
          <w:szCs w:val="22"/>
        </w:rPr>
        <w:t xml:space="preserve"> Externo e Informes</w:t>
      </w:r>
      <w:r w:rsidR="00A67D6A" w:rsidRPr="00A67D6A">
        <w:rPr>
          <w:rFonts w:ascii="Arial" w:hAnsi="Arial" w:cs="Arial"/>
          <w:b/>
          <w:bCs/>
          <w:sz w:val="22"/>
          <w:szCs w:val="22"/>
        </w:rPr>
        <w:t xml:space="preserve">. </w:t>
      </w:r>
      <w:r w:rsidR="009950AF" w:rsidRPr="00A67D6A">
        <w:rPr>
          <w:rFonts w:ascii="Arial" w:hAnsi="Arial" w:cs="Arial"/>
          <w:sz w:val="22"/>
          <w:szCs w:val="22"/>
        </w:rPr>
        <w:t>L</w:t>
      </w:r>
      <w:r w:rsidR="00261557" w:rsidRPr="00A67D6A">
        <w:rPr>
          <w:rFonts w:ascii="Arial" w:hAnsi="Arial" w:cs="Arial"/>
          <w:sz w:val="22"/>
          <w:szCs w:val="22"/>
        </w:rPr>
        <w:t xml:space="preserve">a ejecución de los recursos </w:t>
      </w:r>
      <w:r w:rsidR="009950AF" w:rsidRPr="00A67D6A">
        <w:rPr>
          <w:rFonts w:ascii="Arial" w:hAnsi="Arial" w:cs="Arial"/>
          <w:sz w:val="22"/>
          <w:szCs w:val="22"/>
        </w:rPr>
        <w:t xml:space="preserve">y la elegibilidad de los gastos </w:t>
      </w:r>
      <w:r w:rsidR="00261557" w:rsidRPr="00A67D6A">
        <w:rPr>
          <w:rFonts w:ascii="Arial" w:hAnsi="Arial" w:cs="Arial"/>
          <w:sz w:val="22"/>
          <w:szCs w:val="22"/>
        </w:rPr>
        <w:t>del programa</w:t>
      </w:r>
      <w:r w:rsidR="009950AF" w:rsidRPr="00A67D6A">
        <w:rPr>
          <w:rFonts w:ascii="Arial" w:hAnsi="Arial" w:cs="Arial"/>
          <w:sz w:val="22"/>
          <w:szCs w:val="22"/>
        </w:rPr>
        <w:t xml:space="preserve">, </w:t>
      </w:r>
      <w:r w:rsidR="000154A2" w:rsidRPr="00A67D6A">
        <w:rPr>
          <w:rFonts w:ascii="Arial" w:hAnsi="Arial" w:cs="Arial"/>
          <w:sz w:val="22"/>
          <w:szCs w:val="22"/>
        </w:rPr>
        <w:t xml:space="preserve">serán </w:t>
      </w:r>
      <w:r w:rsidR="00C97DA2" w:rsidRPr="00A67D6A">
        <w:rPr>
          <w:rFonts w:ascii="Arial" w:hAnsi="Arial" w:cs="Arial"/>
          <w:sz w:val="22"/>
          <w:szCs w:val="22"/>
        </w:rPr>
        <w:t>auditadas</w:t>
      </w:r>
      <w:r w:rsidR="009950AF" w:rsidRPr="00A67D6A">
        <w:rPr>
          <w:rFonts w:ascii="Arial" w:hAnsi="Arial" w:cs="Arial"/>
          <w:sz w:val="22"/>
          <w:szCs w:val="22"/>
        </w:rPr>
        <w:t xml:space="preserve"> </w:t>
      </w:r>
      <w:r w:rsidR="000154A2" w:rsidRPr="00A67D6A">
        <w:rPr>
          <w:rFonts w:ascii="Arial" w:hAnsi="Arial" w:cs="Arial"/>
          <w:sz w:val="22"/>
          <w:szCs w:val="22"/>
        </w:rPr>
        <w:t>anualmente</w:t>
      </w:r>
      <w:r w:rsidR="00DB0811" w:rsidRPr="00A67D6A">
        <w:rPr>
          <w:rFonts w:ascii="Arial" w:hAnsi="Arial" w:cs="Arial"/>
          <w:sz w:val="22"/>
          <w:szCs w:val="22"/>
        </w:rPr>
        <w:t>,</w:t>
      </w:r>
      <w:r w:rsidR="000154A2" w:rsidRPr="00A67D6A">
        <w:rPr>
          <w:rFonts w:ascii="Arial" w:hAnsi="Arial" w:cs="Arial"/>
          <w:sz w:val="22"/>
          <w:szCs w:val="22"/>
        </w:rPr>
        <w:t xml:space="preserve"> </w:t>
      </w:r>
      <w:r w:rsidR="009950AF" w:rsidRPr="00A67D6A">
        <w:rPr>
          <w:rFonts w:ascii="Arial" w:hAnsi="Arial" w:cs="Arial"/>
          <w:sz w:val="22"/>
          <w:szCs w:val="22"/>
        </w:rPr>
        <w:t>por una firma de auditoría independiente aceptable al Banco</w:t>
      </w:r>
      <w:r w:rsidR="001A638F" w:rsidRPr="00A67D6A">
        <w:rPr>
          <w:rFonts w:ascii="Arial" w:hAnsi="Arial" w:cs="Arial"/>
          <w:sz w:val="22"/>
          <w:szCs w:val="22"/>
        </w:rPr>
        <w:t>,</w:t>
      </w:r>
      <w:r w:rsidR="009950AF" w:rsidRPr="00A67D6A">
        <w:rPr>
          <w:rFonts w:ascii="Arial" w:hAnsi="Arial" w:cs="Arial"/>
          <w:sz w:val="22"/>
          <w:szCs w:val="22"/>
        </w:rPr>
        <w:t xml:space="preserve"> que será contratada por </w:t>
      </w:r>
      <w:r w:rsidR="008B77BF" w:rsidRPr="00A67D6A">
        <w:rPr>
          <w:rFonts w:ascii="Arial" w:hAnsi="Arial" w:cs="Arial"/>
          <w:sz w:val="22"/>
          <w:szCs w:val="22"/>
        </w:rPr>
        <w:t>Bancóldex</w:t>
      </w:r>
      <w:r w:rsidR="009950AF" w:rsidRPr="00A67D6A">
        <w:rPr>
          <w:rFonts w:ascii="Arial" w:hAnsi="Arial" w:cs="Arial"/>
          <w:sz w:val="22"/>
          <w:szCs w:val="22"/>
        </w:rPr>
        <w:t xml:space="preserve">. El auditor </w:t>
      </w:r>
      <w:r w:rsidR="009950AF" w:rsidRPr="00A67D6A">
        <w:rPr>
          <w:rFonts w:ascii="Arial" w:hAnsi="Arial" w:cs="Arial"/>
          <w:sz w:val="22"/>
          <w:szCs w:val="22"/>
        </w:rPr>
        <w:lastRenderedPageBreak/>
        <w:t xml:space="preserve">del programa podrá ser la misma firma que audite los estados financieros de </w:t>
      </w:r>
      <w:r w:rsidR="008B77BF" w:rsidRPr="00A67D6A">
        <w:rPr>
          <w:rFonts w:ascii="Arial" w:hAnsi="Arial" w:cs="Arial"/>
          <w:sz w:val="22"/>
          <w:szCs w:val="22"/>
        </w:rPr>
        <w:t>Bancóldex</w:t>
      </w:r>
      <w:r w:rsidR="00A917F1" w:rsidRPr="00A67D6A">
        <w:rPr>
          <w:rFonts w:ascii="Arial" w:hAnsi="Arial" w:cs="Arial"/>
          <w:sz w:val="22"/>
          <w:szCs w:val="22"/>
        </w:rPr>
        <w:t xml:space="preserve"> y de los demás proyectos en ejecución</w:t>
      </w:r>
      <w:r w:rsidR="009950AF" w:rsidRPr="00A67D6A">
        <w:rPr>
          <w:rFonts w:ascii="Arial" w:hAnsi="Arial" w:cs="Arial"/>
          <w:sz w:val="22"/>
          <w:szCs w:val="22"/>
        </w:rPr>
        <w:t>, lo que permitiría optimizar costos y tener una visión integral de control sob</w:t>
      </w:r>
      <w:r w:rsidR="000154A2" w:rsidRPr="00A67D6A">
        <w:rPr>
          <w:rFonts w:ascii="Arial" w:hAnsi="Arial" w:cs="Arial"/>
          <w:sz w:val="22"/>
          <w:szCs w:val="22"/>
        </w:rPr>
        <w:t>re el ejecutor y su manejo del p</w:t>
      </w:r>
      <w:r w:rsidR="009950AF" w:rsidRPr="00A67D6A">
        <w:rPr>
          <w:rFonts w:ascii="Arial" w:hAnsi="Arial" w:cs="Arial"/>
          <w:sz w:val="22"/>
          <w:szCs w:val="22"/>
        </w:rPr>
        <w:t>rograma.</w:t>
      </w:r>
      <w:r w:rsidR="008067F5" w:rsidRPr="00A67D6A">
        <w:rPr>
          <w:rFonts w:ascii="Arial" w:hAnsi="Arial" w:cs="Arial"/>
          <w:sz w:val="22"/>
          <w:szCs w:val="22"/>
        </w:rPr>
        <w:t xml:space="preserve"> El auditor presentará un informe sobre la elegibilidad de los gastos del proyecto, verificará la existencia de los pagarés endosados a </w:t>
      </w:r>
      <w:r w:rsidR="008B77BF" w:rsidRPr="00A67D6A">
        <w:rPr>
          <w:rFonts w:ascii="Arial" w:hAnsi="Arial" w:cs="Arial"/>
          <w:sz w:val="22"/>
          <w:szCs w:val="22"/>
        </w:rPr>
        <w:t>Bancóldex</w:t>
      </w:r>
      <w:r w:rsidR="008067F5" w:rsidRPr="00A67D6A">
        <w:rPr>
          <w:rFonts w:ascii="Arial" w:hAnsi="Arial" w:cs="Arial"/>
          <w:sz w:val="22"/>
          <w:szCs w:val="22"/>
        </w:rPr>
        <w:t xml:space="preserve"> y que los recu</w:t>
      </w:r>
      <w:r w:rsidR="00E51700" w:rsidRPr="00A67D6A">
        <w:rPr>
          <w:rFonts w:ascii="Arial" w:hAnsi="Arial" w:cs="Arial"/>
          <w:sz w:val="22"/>
          <w:szCs w:val="22"/>
        </w:rPr>
        <w:t>rsos se canalicen a través de lo</w:t>
      </w:r>
      <w:r w:rsidR="008067F5" w:rsidRPr="00A67D6A">
        <w:rPr>
          <w:rFonts w:ascii="Arial" w:hAnsi="Arial" w:cs="Arial"/>
          <w:sz w:val="22"/>
          <w:szCs w:val="22"/>
        </w:rPr>
        <w:t xml:space="preserve">s </w:t>
      </w:r>
      <w:r w:rsidR="00E51700" w:rsidRPr="00A67D6A">
        <w:rPr>
          <w:rFonts w:ascii="Arial" w:hAnsi="Arial" w:cs="Arial"/>
          <w:sz w:val="22"/>
          <w:szCs w:val="22"/>
        </w:rPr>
        <w:t xml:space="preserve">EC </w:t>
      </w:r>
      <w:r w:rsidR="008067F5" w:rsidRPr="00A67D6A">
        <w:rPr>
          <w:rFonts w:ascii="Arial" w:hAnsi="Arial" w:cs="Arial"/>
          <w:sz w:val="22"/>
          <w:szCs w:val="22"/>
        </w:rPr>
        <w:t xml:space="preserve">a los beneficiarios finales, según las condiciones estipuladas en el RC del </w:t>
      </w:r>
      <w:r w:rsidR="00796C53">
        <w:rPr>
          <w:rFonts w:ascii="Arial" w:hAnsi="Arial" w:cs="Arial"/>
          <w:sz w:val="22"/>
          <w:szCs w:val="22"/>
        </w:rPr>
        <w:t>p</w:t>
      </w:r>
      <w:r w:rsidR="008067F5" w:rsidRPr="00A67D6A">
        <w:rPr>
          <w:rFonts w:ascii="Arial" w:hAnsi="Arial" w:cs="Arial"/>
          <w:sz w:val="22"/>
          <w:szCs w:val="22"/>
        </w:rPr>
        <w:t xml:space="preserve">rograma; además, realizará </w:t>
      </w:r>
      <w:r w:rsidR="00E51700" w:rsidRPr="00A67D6A">
        <w:rPr>
          <w:rFonts w:ascii="Arial" w:hAnsi="Arial" w:cs="Arial"/>
          <w:sz w:val="22"/>
          <w:szCs w:val="22"/>
        </w:rPr>
        <w:t>visitas de inspección tanto a lo</w:t>
      </w:r>
      <w:r w:rsidR="008067F5" w:rsidRPr="00A67D6A">
        <w:rPr>
          <w:rFonts w:ascii="Arial" w:hAnsi="Arial" w:cs="Arial"/>
          <w:sz w:val="22"/>
          <w:szCs w:val="22"/>
        </w:rPr>
        <w:t xml:space="preserve">s </w:t>
      </w:r>
      <w:r w:rsidR="00E51700" w:rsidRPr="00A67D6A">
        <w:rPr>
          <w:rFonts w:ascii="Arial" w:hAnsi="Arial" w:cs="Arial"/>
          <w:sz w:val="22"/>
          <w:szCs w:val="22"/>
        </w:rPr>
        <w:t>EC</w:t>
      </w:r>
      <w:r w:rsidR="008067F5" w:rsidRPr="00A67D6A">
        <w:rPr>
          <w:rFonts w:ascii="Arial" w:hAnsi="Arial" w:cs="Arial"/>
          <w:sz w:val="22"/>
          <w:szCs w:val="22"/>
        </w:rPr>
        <w:t xml:space="preserve">, como a los beneficiarios finales. Los servicios de auditoría serán financiados con recursos de </w:t>
      </w:r>
      <w:r w:rsidR="008B77BF" w:rsidRPr="00A67D6A">
        <w:rPr>
          <w:rFonts w:ascii="Arial" w:hAnsi="Arial" w:cs="Arial"/>
          <w:sz w:val="22"/>
          <w:szCs w:val="22"/>
        </w:rPr>
        <w:t>Bancóldex</w:t>
      </w:r>
      <w:r w:rsidR="008067F5" w:rsidRPr="00A67D6A">
        <w:rPr>
          <w:rFonts w:ascii="Arial" w:hAnsi="Arial" w:cs="Arial"/>
          <w:sz w:val="22"/>
          <w:szCs w:val="22"/>
        </w:rPr>
        <w:t xml:space="preserve">. </w:t>
      </w:r>
    </w:p>
    <w:p w14:paraId="1C351D83" w14:textId="0B986D94" w:rsidR="004647D0" w:rsidRPr="0049576D" w:rsidRDefault="00BF04A5" w:rsidP="00796C53">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lang w:val="es-ES"/>
        </w:rPr>
      </w:pPr>
      <w:r w:rsidRPr="0049576D">
        <w:rPr>
          <w:rFonts w:ascii="Arial" w:hAnsi="Arial" w:cs="Arial"/>
          <w:sz w:val="22"/>
          <w:szCs w:val="22"/>
        </w:rPr>
        <w:t>El B</w:t>
      </w:r>
      <w:r w:rsidR="006A2A83" w:rsidRPr="0049576D">
        <w:rPr>
          <w:rFonts w:ascii="Arial" w:hAnsi="Arial" w:cs="Arial"/>
          <w:sz w:val="22"/>
          <w:szCs w:val="22"/>
        </w:rPr>
        <w:t>ID</w:t>
      </w:r>
      <w:r w:rsidRPr="0049576D">
        <w:rPr>
          <w:rFonts w:ascii="Arial" w:hAnsi="Arial" w:cs="Arial"/>
          <w:sz w:val="22"/>
          <w:szCs w:val="22"/>
        </w:rPr>
        <w:t xml:space="preserve"> solicitará los estados financieros auditados de la </w:t>
      </w:r>
      <w:r w:rsidR="00A106EC">
        <w:rPr>
          <w:rFonts w:ascii="Arial" w:hAnsi="Arial" w:cs="Arial"/>
          <w:sz w:val="22"/>
          <w:szCs w:val="22"/>
        </w:rPr>
        <w:t>e</w:t>
      </w:r>
      <w:r w:rsidRPr="0049576D">
        <w:rPr>
          <w:rFonts w:ascii="Arial" w:hAnsi="Arial" w:cs="Arial"/>
          <w:sz w:val="22"/>
          <w:szCs w:val="22"/>
        </w:rPr>
        <w:t>ntidad prestataria e información</w:t>
      </w:r>
      <w:r w:rsidR="00851452" w:rsidRPr="0049576D">
        <w:rPr>
          <w:rFonts w:ascii="Arial" w:hAnsi="Arial" w:cs="Arial"/>
          <w:sz w:val="22"/>
          <w:szCs w:val="22"/>
        </w:rPr>
        <w:t xml:space="preserve"> </w:t>
      </w:r>
      <w:r w:rsidRPr="0049576D">
        <w:rPr>
          <w:rFonts w:ascii="Arial" w:hAnsi="Arial" w:cs="Arial"/>
          <w:sz w:val="22"/>
          <w:szCs w:val="22"/>
        </w:rPr>
        <w:t>financiera complementaria relativa a dichos estados, durante el período de ejecución del proyecto,</w:t>
      </w:r>
      <w:r w:rsidR="00851452" w:rsidRPr="0049576D">
        <w:rPr>
          <w:rFonts w:ascii="Arial" w:hAnsi="Arial" w:cs="Arial"/>
          <w:sz w:val="22"/>
          <w:szCs w:val="22"/>
        </w:rPr>
        <w:t xml:space="preserve"> </w:t>
      </w:r>
      <w:r w:rsidRPr="0049576D">
        <w:rPr>
          <w:rFonts w:ascii="Arial" w:hAnsi="Arial" w:cs="Arial"/>
          <w:sz w:val="22"/>
          <w:szCs w:val="22"/>
        </w:rPr>
        <w:t>hasta que todos los recursos del proyecto hayan sido desembolsados, los cuales serán enviados al</w:t>
      </w:r>
      <w:r w:rsidR="00851452" w:rsidRPr="0049576D">
        <w:rPr>
          <w:rFonts w:ascii="Arial" w:hAnsi="Arial" w:cs="Arial"/>
          <w:sz w:val="22"/>
          <w:szCs w:val="22"/>
        </w:rPr>
        <w:t xml:space="preserve"> </w:t>
      </w:r>
      <w:r w:rsidRPr="0049576D">
        <w:rPr>
          <w:rFonts w:ascii="Arial" w:hAnsi="Arial" w:cs="Arial"/>
          <w:sz w:val="22"/>
          <w:szCs w:val="22"/>
        </w:rPr>
        <w:t>B</w:t>
      </w:r>
      <w:r w:rsidR="006A2A83" w:rsidRPr="0049576D">
        <w:rPr>
          <w:rFonts w:ascii="Arial" w:hAnsi="Arial" w:cs="Arial"/>
          <w:sz w:val="22"/>
          <w:szCs w:val="22"/>
        </w:rPr>
        <w:t>ID</w:t>
      </w:r>
      <w:r w:rsidRPr="0049576D">
        <w:rPr>
          <w:rFonts w:ascii="Arial" w:hAnsi="Arial" w:cs="Arial"/>
          <w:sz w:val="22"/>
          <w:szCs w:val="22"/>
        </w:rPr>
        <w:t xml:space="preserve"> </w:t>
      </w:r>
      <w:r w:rsidR="00FD741F" w:rsidRPr="0049576D">
        <w:rPr>
          <w:rFonts w:ascii="Arial" w:hAnsi="Arial" w:cs="Arial"/>
          <w:sz w:val="22"/>
          <w:szCs w:val="22"/>
        </w:rPr>
        <w:t>dentro del plazo de ciento veinte (120)</w:t>
      </w:r>
      <w:r w:rsidR="007B42C4" w:rsidRPr="0049576D">
        <w:rPr>
          <w:rFonts w:ascii="Arial" w:hAnsi="Arial" w:cs="Arial"/>
          <w:sz w:val="22"/>
          <w:szCs w:val="22"/>
        </w:rPr>
        <w:t xml:space="preserve"> días</w:t>
      </w:r>
      <w:r w:rsidR="00FD741F" w:rsidRPr="0049576D">
        <w:rPr>
          <w:rFonts w:ascii="Arial" w:hAnsi="Arial" w:cs="Arial"/>
          <w:sz w:val="22"/>
          <w:szCs w:val="22"/>
        </w:rPr>
        <w:t xml:space="preserve"> </w:t>
      </w:r>
      <w:r w:rsidR="007B42C4" w:rsidRPr="0049576D">
        <w:rPr>
          <w:rFonts w:ascii="Arial" w:hAnsi="Arial" w:cs="Arial"/>
          <w:sz w:val="22"/>
          <w:szCs w:val="22"/>
        </w:rPr>
        <w:t>siguientes al</w:t>
      </w:r>
      <w:r w:rsidRPr="0049576D">
        <w:rPr>
          <w:rFonts w:ascii="Arial" w:hAnsi="Arial" w:cs="Arial"/>
          <w:sz w:val="22"/>
          <w:szCs w:val="22"/>
        </w:rPr>
        <w:t xml:space="preserve"> cierre de cada ejercicio económico de la</w:t>
      </w:r>
      <w:r w:rsidR="00851452" w:rsidRPr="0049576D">
        <w:rPr>
          <w:rFonts w:ascii="Arial" w:hAnsi="Arial" w:cs="Arial"/>
          <w:sz w:val="22"/>
          <w:szCs w:val="22"/>
        </w:rPr>
        <w:t xml:space="preserve"> </w:t>
      </w:r>
      <w:r w:rsidR="00796C53">
        <w:rPr>
          <w:rFonts w:ascii="Arial" w:hAnsi="Arial" w:cs="Arial"/>
          <w:sz w:val="22"/>
          <w:szCs w:val="22"/>
        </w:rPr>
        <w:t>e</w:t>
      </w:r>
      <w:proofErr w:type="spellStart"/>
      <w:r w:rsidRPr="0049576D">
        <w:rPr>
          <w:rFonts w:ascii="Arial" w:eastAsia="Calibri" w:hAnsi="Arial" w:cs="Arial"/>
          <w:sz w:val="22"/>
          <w:szCs w:val="22"/>
          <w:lang w:val="es-ES" w:eastAsia="es-ES"/>
        </w:rPr>
        <w:t>ntidad</w:t>
      </w:r>
      <w:proofErr w:type="spellEnd"/>
      <w:r w:rsidRPr="0049576D">
        <w:rPr>
          <w:rFonts w:ascii="Arial" w:eastAsia="Calibri" w:hAnsi="Arial" w:cs="Arial"/>
          <w:sz w:val="22"/>
          <w:szCs w:val="22"/>
          <w:lang w:val="es-ES" w:eastAsia="es-ES"/>
        </w:rPr>
        <w:t xml:space="preserve">, comenzando con el ejercicio en que </w:t>
      </w:r>
      <w:r w:rsidR="003378C9" w:rsidRPr="0049576D">
        <w:rPr>
          <w:rFonts w:ascii="Arial" w:eastAsia="Calibri" w:hAnsi="Arial" w:cs="Arial"/>
          <w:sz w:val="22"/>
          <w:szCs w:val="22"/>
          <w:lang w:val="es-ES" w:eastAsia="es-ES"/>
        </w:rPr>
        <w:t>inicie la ejecución del</w:t>
      </w:r>
      <w:r w:rsidR="004647D0" w:rsidRPr="0049576D">
        <w:rPr>
          <w:rFonts w:ascii="Arial" w:hAnsi="Arial" w:cs="Arial"/>
          <w:sz w:val="22"/>
          <w:szCs w:val="22"/>
        </w:rPr>
        <w:t xml:space="preserve"> </w:t>
      </w:r>
      <w:r w:rsidR="00207A47">
        <w:rPr>
          <w:rFonts w:ascii="Arial" w:hAnsi="Arial" w:cs="Arial"/>
          <w:sz w:val="22"/>
          <w:szCs w:val="22"/>
        </w:rPr>
        <w:t>p</w:t>
      </w:r>
      <w:r w:rsidR="004647D0" w:rsidRPr="0049576D">
        <w:rPr>
          <w:rFonts w:ascii="Arial" w:hAnsi="Arial" w:cs="Arial"/>
          <w:sz w:val="22"/>
          <w:szCs w:val="22"/>
        </w:rPr>
        <w:t>royecto</w:t>
      </w:r>
      <w:r w:rsidR="00851452" w:rsidRPr="0049576D">
        <w:rPr>
          <w:rFonts w:ascii="Arial" w:hAnsi="Arial" w:cs="Arial"/>
          <w:sz w:val="22"/>
          <w:szCs w:val="22"/>
        </w:rPr>
        <w:t>.</w:t>
      </w:r>
    </w:p>
    <w:p w14:paraId="3CB9F1EC" w14:textId="7C82C1A1" w:rsidR="00014740" w:rsidRPr="00A67D6A" w:rsidRDefault="00263F22" w:rsidP="00796C53">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A67D6A">
        <w:rPr>
          <w:rFonts w:ascii="Arial" w:hAnsi="Arial" w:cs="Arial"/>
          <w:b/>
          <w:bCs/>
          <w:sz w:val="22"/>
          <w:szCs w:val="22"/>
        </w:rPr>
        <w:t>Plan de supervisión financiera</w:t>
      </w:r>
      <w:r w:rsidR="00A67D6A" w:rsidRPr="00A67D6A">
        <w:rPr>
          <w:rFonts w:ascii="Arial" w:hAnsi="Arial" w:cs="Arial"/>
          <w:b/>
          <w:bCs/>
          <w:sz w:val="22"/>
          <w:szCs w:val="22"/>
        </w:rPr>
        <w:t xml:space="preserve">. </w:t>
      </w:r>
      <w:r w:rsidR="00657559" w:rsidRPr="00A67D6A">
        <w:rPr>
          <w:rFonts w:ascii="Arial" w:hAnsi="Arial" w:cs="Arial"/>
          <w:sz w:val="22"/>
          <w:szCs w:val="22"/>
        </w:rPr>
        <w:t>E</w:t>
      </w:r>
      <w:r w:rsidR="001770AA" w:rsidRPr="00A67D6A">
        <w:rPr>
          <w:rFonts w:ascii="Arial" w:hAnsi="Arial" w:cs="Arial"/>
          <w:sz w:val="22"/>
          <w:szCs w:val="22"/>
        </w:rPr>
        <w:t>l especialista financiero llevará a cabo</w:t>
      </w:r>
      <w:r w:rsidR="006E2B22" w:rsidRPr="00A67D6A">
        <w:rPr>
          <w:rFonts w:ascii="Arial" w:hAnsi="Arial" w:cs="Arial"/>
          <w:sz w:val="22"/>
          <w:szCs w:val="22"/>
        </w:rPr>
        <w:t>, como mínimo,</w:t>
      </w:r>
      <w:r w:rsidR="001770AA" w:rsidRPr="00A67D6A">
        <w:rPr>
          <w:rFonts w:ascii="Arial" w:hAnsi="Arial" w:cs="Arial"/>
          <w:sz w:val="22"/>
          <w:szCs w:val="22"/>
        </w:rPr>
        <w:t xml:space="preserve"> una revisión “in situ” al año y revisiones de “escritorio” sobre los </w:t>
      </w:r>
      <w:r w:rsidR="006A50F0" w:rsidRPr="00A67D6A">
        <w:rPr>
          <w:rFonts w:ascii="Arial" w:hAnsi="Arial" w:cs="Arial"/>
          <w:sz w:val="22"/>
          <w:szCs w:val="22"/>
        </w:rPr>
        <w:t>estados financieros anuales y finales auditados</w:t>
      </w:r>
      <w:r w:rsidR="001770AA" w:rsidRPr="00A67D6A">
        <w:rPr>
          <w:rFonts w:ascii="Arial" w:hAnsi="Arial" w:cs="Arial"/>
          <w:sz w:val="22"/>
          <w:szCs w:val="22"/>
        </w:rPr>
        <w:t>.</w:t>
      </w:r>
      <w:r w:rsidR="000A4E7F" w:rsidRPr="00A67D6A">
        <w:rPr>
          <w:rFonts w:ascii="Arial" w:hAnsi="Arial" w:cs="Arial"/>
          <w:sz w:val="22"/>
          <w:szCs w:val="22"/>
        </w:rPr>
        <w:t xml:space="preserve"> </w:t>
      </w:r>
      <w:r w:rsidR="00D43630" w:rsidRPr="00A67D6A">
        <w:rPr>
          <w:rFonts w:ascii="Arial" w:hAnsi="Arial" w:cs="Arial"/>
          <w:sz w:val="22"/>
          <w:szCs w:val="22"/>
        </w:rPr>
        <w:t xml:space="preserve">El auditor verificará la existencia de los pagarés endosados a </w:t>
      </w:r>
      <w:r w:rsidR="008B77BF" w:rsidRPr="00A67D6A">
        <w:rPr>
          <w:rFonts w:ascii="Arial" w:hAnsi="Arial" w:cs="Arial"/>
          <w:sz w:val="22"/>
          <w:szCs w:val="22"/>
        </w:rPr>
        <w:t>Bancóldex</w:t>
      </w:r>
      <w:r w:rsidR="00D43630" w:rsidRPr="00A67D6A">
        <w:rPr>
          <w:rFonts w:ascii="Arial" w:hAnsi="Arial" w:cs="Arial"/>
          <w:sz w:val="22"/>
          <w:szCs w:val="22"/>
        </w:rPr>
        <w:t xml:space="preserve"> y que los recu</w:t>
      </w:r>
      <w:r w:rsidR="00FC2659" w:rsidRPr="00A67D6A">
        <w:rPr>
          <w:rFonts w:ascii="Arial" w:hAnsi="Arial" w:cs="Arial"/>
          <w:sz w:val="22"/>
          <w:szCs w:val="22"/>
        </w:rPr>
        <w:t>rsos se canalicen a través de lo</w:t>
      </w:r>
      <w:r w:rsidR="00D43630" w:rsidRPr="00A67D6A">
        <w:rPr>
          <w:rFonts w:ascii="Arial" w:hAnsi="Arial" w:cs="Arial"/>
          <w:sz w:val="22"/>
          <w:szCs w:val="22"/>
        </w:rPr>
        <w:t>s</w:t>
      </w:r>
      <w:r w:rsidR="00FC2659" w:rsidRPr="00A67D6A">
        <w:rPr>
          <w:rFonts w:ascii="Arial" w:hAnsi="Arial" w:cs="Arial"/>
          <w:sz w:val="22"/>
          <w:szCs w:val="22"/>
        </w:rPr>
        <w:t xml:space="preserve"> EC</w:t>
      </w:r>
      <w:r w:rsidR="00D43630" w:rsidRPr="00A67D6A">
        <w:rPr>
          <w:rFonts w:ascii="Arial" w:hAnsi="Arial" w:cs="Arial"/>
          <w:sz w:val="22"/>
          <w:szCs w:val="22"/>
        </w:rPr>
        <w:t xml:space="preserve"> a los beneficiarios finales, según las condiciones estipuladas en el RC del </w:t>
      </w:r>
      <w:r w:rsidR="00796C53">
        <w:rPr>
          <w:rFonts w:ascii="Arial" w:hAnsi="Arial" w:cs="Arial"/>
          <w:sz w:val="22"/>
          <w:szCs w:val="22"/>
        </w:rPr>
        <w:t>p</w:t>
      </w:r>
      <w:r w:rsidR="00D43630" w:rsidRPr="00A67D6A">
        <w:rPr>
          <w:rFonts w:ascii="Arial" w:hAnsi="Arial" w:cs="Arial"/>
          <w:sz w:val="22"/>
          <w:szCs w:val="22"/>
        </w:rPr>
        <w:t xml:space="preserve">rograma; </w:t>
      </w:r>
      <w:r w:rsidR="00291445" w:rsidRPr="00A67D6A">
        <w:rPr>
          <w:rFonts w:ascii="Arial" w:hAnsi="Arial" w:cs="Arial"/>
          <w:sz w:val="22"/>
          <w:szCs w:val="22"/>
        </w:rPr>
        <w:t>además, realizará visitas de inspección tanto a los EC, como a los beneficiarios finales. Las visitas de supervisión fiduciaria en gestión financiera incluirán la verificación de los arreglos financieros y contables utilizados para la administración del proyecto y el seguimiento a la implementación de las recomendaciones que pueda emitir el auditor independiente del presente proyecto, entre otros.</w:t>
      </w:r>
      <w:r w:rsidR="001770AA" w:rsidRPr="00A67D6A">
        <w:rPr>
          <w:rFonts w:ascii="Arial" w:hAnsi="Arial" w:cs="Arial"/>
          <w:sz w:val="22"/>
          <w:szCs w:val="22"/>
        </w:rPr>
        <w:t xml:space="preserve"> </w:t>
      </w:r>
      <w:r w:rsidR="00DE5CAF" w:rsidRPr="00A67D6A">
        <w:rPr>
          <w:rFonts w:ascii="Arial" w:hAnsi="Arial" w:cs="Arial"/>
          <w:sz w:val="22"/>
          <w:szCs w:val="22"/>
        </w:rPr>
        <w:t xml:space="preserve"> </w:t>
      </w:r>
    </w:p>
    <w:p w14:paraId="4482C194" w14:textId="44960088" w:rsidR="00820A8D" w:rsidRPr="00A67D6A" w:rsidRDefault="00DD2CB1" w:rsidP="00A106EC">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A67D6A">
        <w:rPr>
          <w:rFonts w:ascii="Arial" w:hAnsi="Arial" w:cs="Arial"/>
          <w:b/>
          <w:sz w:val="22"/>
          <w:szCs w:val="22"/>
        </w:rPr>
        <w:t>Mecanismo</w:t>
      </w:r>
      <w:r w:rsidRPr="00A67D6A">
        <w:rPr>
          <w:rFonts w:ascii="Arial" w:hAnsi="Arial" w:cs="Arial"/>
          <w:b/>
          <w:bCs/>
          <w:sz w:val="22"/>
          <w:szCs w:val="22"/>
        </w:rPr>
        <w:t xml:space="preserve"> de Ejecución</w:t>
      </w:r>
      <w:r w:rsidR="00A67D6A" w:rsidRPr="00A67D6A">
        <w:rPr>
          <w:rFonts w:ascii="Arial" w:hAnsi="Arial" w:cs="Arial"/>
          <w:b/>
          <w:bCs/>
          <w:sz w:val="22"/>
          <w:szCs w:val="22"/>
        </w:rPr>
        <w:t xml:space="preserve">. </w:t>
      </w:r>
      <w:r w:rsidR="008A1A5F" w:rsidRPr="00A67D6A">
        <w:rPr>
          <w:rFonts w:ascii="Arial" w:hAnsi="Arial" w:cs="Arial"/>
          <w:sz w:val="22"/>
          <w:szCs w:val="22"/>
        </w:rPr>
        <w:t xml:space="preserve">El prestatario y ejecutor será </w:t>
      </w:r>
      <w:r w:rsidR="008B77BF" w:rsidRPr="00A67D6A">
        <w:rPr>
          <w:rFonts w:ascii="Arial" w:hAnsi="Arial" w:cs="Arial"/>
          <w:sz w:val="22"/>
          <w:szCs w:val="22"/>
        </w:rPr>
        <w:t>Bancóldex</w:t>
      </w:r>
      <w:r w:rsidR="008A1A5F" w:rsidRPr="00A67D6A">
        <w:rPr>
          <w:rFonts w:ascii="Arial" w:hAnsi="Arial" w:cs="Arial"/>
          <w:sz w:val="22"/>
          <w:szCs w:val="22"/>
        </w:rPr>
        <w:t xml:space="preserve">, quien será responsable legal ante el </w:t>
      </w:r>
      <w:r w:rsidR="00FF7D19" w:rsidRPr="00A67D6A">
        <w:rPr>
          <w:rFonts w:ascii="Arial" w:hAnsi="Arial" w:cs="Arial"/>
          <w:sz w:val="22"/>
          <w:szCs w:val="22"/>
        </w:rPr>
        <w:t>BID</w:t>
      </w:r>
      <w:r w:rsidR="008A1A5F" w:rsidRPr="00A67D6A">
        <w:rPr>
          <w:rFonts w:ascii="Arial" w:hAnsi="Arial" w:cs="Arial"/>
          <w:sz w:val="22"/>
          <w:szCs w:val="22"/>
        </w:rPr>
        <w:t xml:space="preserve"> de efectuar el pago de la deuda, con la garantía de la Nación, y llevará a cabo las actividades técnicas y financieras del programa. </w:t>
      </w:r>
      <w:bookmarkStart w:id="8" w:name="_Hlk497468159"/>
      <w:r w:rsidR="008A1A5F" w:rsidRPr="00A67D6A">
        <w:rPr>
          <w:rFonts w:ascii="Arial" w:hAnsi="Arial" w:cs="Arial"/>
          <w:sz w:val="22"/>
          <w:szCs w:val="22"/>
        </w:rPr>
        <w:t>Los recursos del préstamo del B</w:t>
      </w:r>
      <w:r w:rsidR="00FF7D19" w:rsidRPr="00A67D6A">
        <w:rPr>
          <w:rFonts w:ascii="Arial" w:hAnsi="Arial" w:cs="Arial"/>
          <w:sz w:val="22"/>
          <w:szCs w:val="22"/>
        </w:rPr>
        <w:t>ID</w:t>
      </w:r>
      <w:r w:rsidR="008A1A5F" w:rsidRPr="00A67D6A">
        <w:rPr>
          <w:rFonts w:ascii="Arial" w:hAnsi="Arial" w:cs="Arial"/>
          <w:sz w:val="22"/>
          <w:szCs w:val="22"/>
        </w:rPr>
        <w:t xml:space="preserve"> serán traspasados por </w:t>
      </w:r>
      <w:r w:rsidR="003A09CE" w:rsidRPr="00A67D6A">
        <w:rPr>
          <w:rFonts w:ascii="Arial" w:hAnsi="Arial" w:cs="Arial"/>
          <w:sz w:val="22"/>
          <w:szCs w:val="22"/>
        </w:rPr>
        <w:t>Bancóldex</w:t>
      </w:r>
      <w:r w:rsidR="008A1A5F" w:rsidRPr="00A67D6A">
        <w:rPr>
          <w:rFonts w:ascii="Arial" w:hAnsi="Arial" w:cs="Arial"/>
          <w:sz w:val="22"/>
          <w:szCs w:val="22"/>
        </w:rPr>
        <w:t xml:space="preserve"> a los EC, a través del mecanismo de redescuento habitual que utiliza la </w:t>
      </w:r>
      <w:r w:rsidR="003A09CE" w:rsidRPr="00A67D6A">
        <w:rPr>
          <w:rFonts w:ascii="Arial" w:hAnsi="Arial" w:cs="Arial"/>
          <w:sz w:val="22"/>
          <w:szCs w:val="22"/>
        </w:rPr>
        <w:t xml:space="preserve">Bancóldex </w:t>
      </w:r>
      <w:r w:rsidR="008A1A5F" w:rsidRPr="00A67D6A">
        <w:rPr>
          <w:rFonts w:ascii="Arial" w:hAnsi="Arial" w:cs="Arial"/>
          <w:sz w:val="22"/>
          <w:szCs w:val="22"/>
        </w:rPr>
        <w:t>u otro mecanismo que se acuerde con el B</w:t>
      </w:r>
      <w:r w:rsidR="00820A8D" w:rsidRPr="00A67D6A">
        <w:rPr>
          <w:rFonts w:ascii="Arial" w:hAnsi="Arial" w:cs="Arial"/>
          <w:sz w:val="22"/>
          <w:szCs w:val="22"/>
        </w:rPr>
        <w:t>ID</w:t>
      </w:r>
      <w:r w:rsidR="008A1A5F" w:rsidRPr="00A67D6A">
        <w:rPr>
          <w:rFonts w:ascii="Arial" w:hAnsi="Arial" w:cs="Arial"/>
          <w:sz w:val="22"/>
          <w:szCs w:val="22"/>
        </w:rPr>
        <w:t>, a una tasa de mercado que refleje sus costos financieros de captación más un margen de cobertura de sus costos operativos</w:t>
      </w:r>
      <w:bookmarkEnd w:id="8"/>
      <w:r w:rsidR="008A1A5F" w:rsidRPr="00A67D6A">
        <w:rPr>
          <w:rFonts w:ascii="Arial" w:hAnsi="Arial" w:cs="Arial"/>
          <w:sz w:val="22"/>
          <w:szCs w:val="22"/>
        </w:rPr>
        <w:t xml:space="preserve">. </w:t>
      </w:r>
      <w:bookmarkStart w:id="9" w:name="_Hlk497468016"/>
      <w:r w:rsidR="008B77BF" w:rsidRPr="00A67D6A">
        <w:rPr>
          <w:rFonts w:ascii="Arial" w:hAnsi="Arial" w:cs="Arial"/>
          <w:sz w:val="22"/>
          <w:szCs w:val="22"/>
        </w:rPr>
        <w:t>Bancóldex</w:t>
      </w:r>
      <w:r w:rsidR="008A1A5F" w:rsidRPr="00A67D6A">
        <w:rPr>
          <w:rFonts w:ascii="Arial" w:hAnsi="Arial" w:cs="Arial"/>
          <w:sz w:val="22"/>
          <w:szCs w:val="22"/>
        </w:rPr>
        <w:t xml:space="preserve"> tendrá la responsabilidad de identificar y seleccionar a los EC elegibles que participarán en el pro</w:t>
      </w:r>
      <w:r w:rsidR="00820A8D" w:rsidRPr="00A67D6A">
        <w:rPr>
          <w:rFonts w:ascii="Arial" w:hAnsi="Arial" w:cs="Arial"/>
          <w:sz w:val="22"/>
          <w:szCs w:val="22"/>
        </w:rPr>
        <w:t>yecto</w:t>
      </w:r>
      <w:r w:rsidR="008A1A5F" w:rsidRPr="00A67D6A">
        <w:rPr>
          <w:rFonts w:ascii="Arial" w:hAnsi="Arial" w:cs="Arial"/>
          <w:sz w:val="22"/>
          <w:szCs w:val="22"/>
        </w:rPr>
        <w:t xml:space="preserve">, según lo estipulado en el RC y sus propias políticas y procesos. </w:t>
      </w:r>
      <w:bookmarkEnd w:id="9"/>
      <w:r w:rsidR="008A1A5F" w:rsidRPr="00A67D6A">
        <w:rPr>
          <w:rFonts w:ascii="Arial" w:hAnsi="Arial" w:cs="Arial"/>
          <w:sz w:val="22"/>
          <w:szCs w:val="22"/>
        </w:rPr>
        <w:t xml:space="preserve">Los EC establecerán libremente el monto de los </w:t>
      </w:r>
      <w:proofErr w:type="spellStart"/>
      <w:r w:rsidR="008A1A5F" w:rsidRPr="00A67D6A">
        <w:rPr>
          <w:rFonts w:ascii="Arial" w:hAnsi="Arial" w:cs="Arial"/>
          <w:sz w:val="22"/>
          <w:szCs w:val="22"/>
        </w:rPr>
        <w:t>subpréstamos</w:t>
      </w:r>
      <w:proofErr w:type="spellEnd"/>
      <w:r w:rsidR="008A1A5F" w:rsidRPr="00A67D6A">
        <w:rPr>
          <w:rFonts w:ascii="Arial" w:hAnsi="Arial" w:cs="Arial"/>
          <w:sz w:val="22"/>
          <w:szCs w:val="22"/>
        </w:rPr>
        <w:t xml:space="preserve">, las características de los desembolsos, las tasas de interés y comisiones, plazos y frecuencia de amortización y períodos de gracia, sobre la base de un análisis de crédito de los </w:t>
      </w:r>
      <w:proofErr w:type="spellStart"/>
      <w:r w:rsidR="008A1A5F" w:rsidRPr="00A67D6A">
        <w:rPr>
          <w:rFonts w:ascii="Arial" w:hAnsi="Arial" w:cs="Arial"/>
          <w:sz w:val="22"/>
          <w:szCs w:val="22"/>
        </w:rPr>
        <w:t>subpréstamos</w:t>
      </w:r>
      <w:proofErr w:type="spellEnd"/>
      <w:r w:rsidR="008A1A5F" w:rsidRPr="00A67D6A">
        <w:rPr>
          <w:rFonts w:ascii="Arial" w:hAnsi="Arial" w:cs="Arial"/>
          <w:sz w:val="22"/>
          <w:szCs w:val="22"/>
        </w:rPr>
        <w:t xml:space="preserve"> y de la vida útil del proyecto. Las responsabilidades en materia de gestión financiera estarán a cargo de </w:t>
      </w:r>
      <w:r w:rsidR="008B77BF" w:rsidRPr="00A67D6A">
        <w:rPr>
          <w:rFonts w:ascii="Arial" w:hAnsi="Arial" w:cs="Arial"/>
          <w:sz w:val="22"/>
          <w:szCs w:val="22"/>
        </w:rPr>
        <w:t>Bancóldex</w:t>
      </w:r>
      <w:r w:rsidR="008A1A5F" w:rsidRPr="00A67D6A">
        <w:rPr>
          <w:rFonts w:ascii="Arial" w:hAnsi="Arial" w:cs="Arial"/>
          <w:sz w:val="22"/>
          <w:szCs w:val="22"/>
        </w:rPr>
        <w:t>.</w:t>
      </w:r>
    </w:p>
    <w:p w14:paraId="6749123F" w14:textId="77777777" w:rsidR="004A3540" w:rsidRPr="00A67D6A" w:rsidRDefault="00DD2CB1" w:rsidP="00A106EC">
      <w:pPr>
        <w:pStyle w:val="ListParagraph"/>
        <w:numPr>
          <w:ilvl w:val="0"/>
          <w:numId w:val="36"/>
        </w:numPr>
        <w:autoSpaceDE w:val="0"/>
        <w:autoSpaceDN w:val="0"/>
        <w:adjustRightInd w:val="0"/>
        <w:spacing w:before="240"/>
        <w:ind w:left="540" w:hanging="540"/>
        <w:contextualSpacing w:val="0"/>
        <w:jc w:val="both"/>
        <w:rPr>
          <w:rFonts w:ascii="Arial" w:hAnsi="Arial" w:cs="Arial"/>
          <w:sz w:val="22"/>
          <w:szCs w:val="22"/>
        </w:rPr>
      </w:pPr>
      <w:r w:rsidRPr="00A67D6A">
        <w:rPr>
          <w:rFonts w:ascii="Arial" w:hAnsi="Arial" w:cs="Arial"/>
          <w:b/>
          <w:bCs/>
          <w:sz w:val="22"/>
          <w:szCs w:val="22"/>
        </w:rPr>
        <w:t xml:space="preserve">Otros </w:t>
      </w:r>
      <w:r w:rsidRPr="00A67D6A">
        <w:rPr>
          <w:rFonts w:ascii="Arial" w:hAnsi="Arial" w:cs="Arial"/>
          <w:b/>
          <w:sz w:val="22"/>
          <w:szCs w:val="22"/>
        </w:rPr>
        <w:t>Acuerdos</w:t>
      </w:r>
      <w:r w:rsidRPr="00A67D6A">
        <w:rPr>
          <w:rFonts w:ascii="Arial" w:hAnsi="Arial" w:cs="Arial"/>
          <w:b/>
          <w:bCs/>
          <w:sz w:val="22"/>
          <w:szCs w:val="22"/>
        </w:rPr>
        <w:t xml:space="preserve"> y Requisitos de Gestión financiera</w:t>
      </w:r>
      <w:r w:rsidR="00A67D6A" w:rsidRPr="00A67D6A">
        <w:rPr>
          <w:rFonts w:ascii="Arial" w:hAnsi="Arial" w:cs="Arial"/>
          <w:b/>
          <w:bCs/>
          <w:sz w:val="22"/>
          <w:szCs w:val="22"/>
        </w:rPr>
        <w:t xml:space="preserve">. </w:t>
      </w:r>
      <w:r w:rsidR="001770AA" w:rsidRPr="00A67D6A">
        <w:rPr>
          <w:rFonts w:ascii="Arial" w:hAnsi="Arial" w:cs="Arial"/>
          <w:sz w:val="22"/>
          <w:szCs w:val="22"/>
        </w:rPr>
        <w:t>No existen acuerdos adicionales a los mencionados anteriormente</w:t>
      </w:r>
      <w:r w:rsidR="00BB36BC" w:rsidRPr="00A67D6A">
        <w:rPr>
          <w:rFonts w:ascii="Arial" w:hAnsi="Arial" w:cs="Arial"/>
          <w:sz w:val="22"/>
          <w:szCs w:val="22"/>
        </w:rPr>
        <w:t>, sin embargo, los acuerdos y requisitos fiduciarios</w:t>
      </w:r>
      <w:r w:rsidR="00EA15DF" w:rsidRPr="00A67D6A">
        <w:rPr>
          <w:rFonts w:ascii="Arial" w:hAnsi="Arial" w:cs="Arial"/>
          <w:sz w:val="22"/>
          <w:szCs w:val="22"/>
        </w:rPr>
        <w:t xml:space="preserve"> incluidos en este anexo</w:t>
      </w:r>
      <w:r w:rsidR="00820B7A" w:rsidRPr="00A67D6A">
        <w:rPr>
          <w:rFonts w:ascii="Arial" w:hAnsi="Arial" w:cs="Arial"/>
          <w:sz w:val="22"/>
          <w:szCs w:val="22"/>
        </w:rPr>
        <w:t>,</w:t>
      </w:r>
      <w:r w:rsidR="00BB36BC" w:rsidRPr="00A67D6A">
        <w:rPr>
          <w:rFonts w:ascii="Arial" w:hAnsi="Arial" w:cs="Arial"/>
          <w:sz w:val="22"/>
          <w:szCs w:val="22"/>
        </w:rPr>
        <w:t xml:space="preserve"> podrán ajustarse de acuerdo con la dinámica del pr</w:t>
      </w:r>
      <w:r w:rsidR="00075B9C" w:rsidRPr="00A67D6A">
        <w:rPr>
          <w:rFonts w:ascii="Arial" w:hAnsi="Arial" w:cs="Arial"/>
          <w:sz w:val="22"/>
          <w:szCs w:val="22"/>
        </w:rPr>
        <w:t>ograma</w:t>
      </w:r>
      <w:r w:rsidR="0078511E" w:rsidRPr="00A67D6A">
        <w:rPr>
          <w:rFonts w:ascii="Arial" w:hAnsi="Arial" w:cs="Arial"/>
          <w:sz w:val="22"/>
          <w:szCs w:val="22"/>
        </w:rPr>
        <w:t>,</w:t>
      </w:r>
      <w:r w:rsidR="00BB36BC" w:rsidRPr="00A67D6A">
        <w:rPr>
          <w:rFonts w:ascii="Arial" w:hAnsi="Arial" w:cs="Arial"/>
          <w:sz w:val="22"/>
          <w:szCs w:val="22"/>
        </w:rPr>
        <w:t xml:space="preserve"> basada en</w:t>
      </w:r>
      <w:r w:rsidR="00EA15DF" w:rsidRPr="00A67D6A">
        <w:rPr>
          <w:rFonts w:ascii="Arial" w:hAnsi="Arial" w:cs="Arial"/>
          <w:sz w:val="22"/>
          <w:szCs w:val="22"/>
        </w:rPr>
        <w:t xml:space="preserve"> la</w:t>
      </w:r>
      <w:r w:rsidR="00075B9C" w:rsidRPr="00A67D6A">
        <w:rPr>
          <w:rFonts w:ascii="Arial" w:hAnsi="Arial" w:cs="Arial"/>
          <w:sz w:val="22"/>
          <w:szCs w:val="22"/>
        </w:rPr>
        <w:t xml:space="preserve"> supervisión realizada</w:t>
      </w:r>
      <w:r w:rsidR="002440F4" w:rsidRPr="00A67D6A">
        <w:rPr>
          <w:rFonts w:ascii="Arial" w:hAnsi="Arial" w:cs="Arial"/>
          <w:sz w:val="22"/>
          <w:szCs w:val="22"/>
        </w:rPr>
        <w:t xml:space="preserve"> por el B</w:t>
      </w:r>
      <w:r w:rsidR="000C5112" w:rsidRPr="00A67D6A">
        <w:rPr>
          <w:rFonts w:ascii="Arial" w:hAnsi="Arial" w:cs="Arial"/>
          <w:sz w:val="22"/>
          <w:szCs w:val="22"/>
        </w:rPr>
        <w:t>ID</w:t>
      </w:r>
      <w:r w:rsidR="001770AA" w:rsidRPr="00A67D6A">
        <w:rPr>
          <w:rFonts w:ascii="Arial" w:hAnsi="Arial" w:cs="Arial"/>
          <w:sz w:val="22"/>
          <w:szCs w:val="22"/>
        </w:rPr>
        <w:t>.</w:t>
      </w:r>
    </w:p>
    <w:sectPr w:rsidR="004A3540" w:rsidRPr="00A67D6A" w:rsidSect="00207A47">
      <w:headerReference w:type="default"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C6CD6" w14:textId="77777777" w:rsidR="00F118D7" w:rsidRDefault="00F118D7" w:rsidP="004F4C1E">
      <w:r>
        <w:separator/>
      </w:r>
    </w:p>
  </w:endnote>
  <w:endnote w:type="continuationSeparator" w:id="0">
    <w:p w14:paraId="40D44FB6" w14:textId="77777777" w:rsidR="00F118D7" w:rsidRDefault="00F118D7" w:rsidP="004F4C1E">
      <w:r>
        <w:continuationSeparator/>
      </w:r>
    </w:p>
  </w:endnote>
  <w:endnote w:type="continuationNotice" w:id="1">
    <w:p w14:paraId="017568ED" w14:textId="77777777" w:rsidR="00F118D7" w:rsidRDefault="00F11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D16B" w14:textId="77777777" w:rsidR="00001B97" w:rsidRDefault="00001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2B232" w14:textId="77777777" w:rsidR="00F118D7" w:rsidRDefault="00F118D7" w:rsidP="004F4C1E">
      <w:r>
        <w:separator/>
      </w:r>
    </w:p>
  </w:footnote>
  <w:footnote w:type="continuationSeparator" w:id="0">
    <w:p w14:paraId="7E447E22" w14:textId="77777777" w:rsidR="00F118D7" w:rsidRDefault="00F118D7" w:rsidP="004F4C1E">
      <w:r>
        <w:continuationSeparator/>
      </w:r>
    </w:p>
  </w:footnote>
  <w:footnote w:type="continuationNotice" w:id="1">
    <w:p w14:paraId="54E1387A" w14:textId="77777777" w:rsidR="00F118D7" w:rsidRDefault="00F118D7"/>
  </w:footnote>
  <w:footnote w:id="2">
    <w:p w14:paraId="794DDFA9" w14:textId="77777777" w:rsidR="00115A6E" w:rsidRPr="00A67D6A" w:rsidRDefault="00115A6E" w:rsidP="00A67D6A">
      <w:pPr>
        <w:pStyle w:val="FootnoteText"/>
        <w:ind w:left="180" w:hanging="180"/>
        <w:rPr>
          <w:rFonts w:ascii="Arial" w:hAnsi="Arial" w:cs="Arial"/>
          <w:sz w:val="18"/>
          <w:szCs w:val="18"/>
        </w:rPr>
      </w:pPr>
      <w:r w:rsidRPr="00A67D6A">
        <w:rPr>
          <w:rStyle w:val="FootnoteReference"/>
          <w:rFonts w:ascii="Arial" w:hAnsi="Arial" w:cs="Arial"/>
          <w:sz w:val="18"/>
          <w:szCs w:val="18"/>
        </w:rPr>
        <w:footnoteRef/>
      </w:r>
      <w:r w:rsidRPr="00A67D6A">
        <w:rPr>
          <w:rFonts w:ascii="Arial" w:hAnsi="Arial" w:cs="Arial"/>
          <w:sz w:val="18"/>
          <w:szCs w:val="18"/>
        </w:rPr>
        <w:t xml:space="preserve"> </w:t>
      </w:r>
      <w:r w:rsidR="00AD5D6A" w:rsidRPr="00A67D6A">
        <w:rPr>
          <w:rFonts w:ascii="Arial" w:hAnsi="Arial" w:cs="Arial"/>
          <w:sz w:val="18"/>
          <w:szCs w:val="18"/>
        </w:rPr>
        <w:tab/>
      </w:r>
      <w:r w:rsidRPr="00A67D6A">
        <w:rPr>
          <w:rFonts w:ascii="Arial" w:hAnsi="Arial" w:cs="Arial"/>
          <w:sz w:val="18"/>
          <w:szCs w:val="18"/>
        </w:rPr>
        <w:t>Si bien estas operaciones han presentado</w:t>
      </w:r>
      <w:r w:rsidR="004E1AC3" w:rsidRPr="00A67D6A">
        <w:rPr>
          <w:rFonts w:ascii="Arial" w:hAnsi="Arial" w:cs="Arial"/>
          <w:sz w:val="18"/>
          <w:szCs w:val="18"/>
        </w:rPr>
        <w:t xml:space="preserve"> demora en la ejecución de los recursos, las razones son ajenas a la capacidad institucional del </w:t>
      </w:r>
      <w:r w:rsidR="008B77BF" w:rsidRPr="00A67D6A">
        <w:rPr>
          <w:rFonts w:ascii="Arial" w:hAnsi="Arial" w:cs="Arial"/>
          <w:sz w:val="18"/>
          <w:szCs w:val="18"/>
        </w:rPr>
        <w:t>Bancóldex</w:t>
      </w:r>
      <w:r w:rsidR="004E1AC3" w:rsidRPr="00A67D6A">
        <w:rPr>
          <w:rFonts w:ascii="Arial" w:hAnsi="Arial" w:cs="Arial"/>
          <w:sz w:val="18"/>
          <w:szCs w:val="18"/>
        </w:rPr>
        <w:t xml:space="preserve">. La razón obedece a que estas operaciones de eficiencia energética han presentado </w:t>
      </w:r>
      <w:r w:rsidRPr="00A67D6A">
        <w:rPr>
          <w:rFonts w:ascii="Arial" w:hAnsi="Arial" w:cs="Arial"/>
          <w:sz w:val="18"/>
          <w:szCs w:val="18"/>
        </w:rPr>
        <w:t>dificultades</w:t>
      </w:r>
      <w:r w:rsidR="00AD5D6A" w:rsidRPr="00A67D6A">
        <w:rPr>
          <w:rFonts w:ascii="Arial" w:hAnsi="Arial" w:cs="Arial"/>
          <w:sz w:val="18"/>
          <w:szCs w:val="18"/>
        </w:rPr>
        <w:t xml:space="preserve"> </w:t>
      </w:r>
      <w:r w:rsidRPr="00A67D6A">
        <w:rPr>
          <w:rFonts w:ascii="Arial" w:hAnsi="Arial" w:cs="Arial"/>
          <w:sz w:val="18"/>
          <w:szCs w:val="18"/>
        </w:rPr>
        <w:t>para colocar los recursos</w:t>
      </w:r>
      <w:r w:rsidR="004E1AC3" w:rsidRPr="00A67D6A">
        <w:rPr>
          <w:rFonts w:ascii="Arial" w:hAnsi="Arial" w:cs="Arial"/>
          <w:sz w:val="18"/>
          <w:szCs w:val="18"/>
        </w:rPr>
        <w:t xml:space="preserve"> debido a </w:t>
      </w:r>
      <w:r w:rsidRPr="00A67D6A">
        <w:rPr>
          <w:rFonts w:ascii="Arial" w:hAnsi="Arial" w:cs="Arial"/>
          <w:sz w:val="18"/>
          <w:szCs w:val="18"/>
        </w:rPr>
        <w:t xml:space="preserve">circunstancias externas a </w:t>
      </w:r>
      <w:r w:rsidR="008B77BF" w:rsidRPr="00A67D6A">
        <w:rPr>
          <w:rFonts w:ascii="Arial" w:hAnsi="Arial" w:cs="Arial"/>
          <w:sz w:val="18"/>
          <w:szCs w:val="18"/>
        </w:rPr>
        <w:t>Bancóldex</w:t>
      </w:r>
      <w:r w:rsidR="004E1AC3" w:rsidRPr="00A67D6A">
        <w:rPr>
          <w:rFonts w:ascii="Arial" w:hAnsi="Arial" w:cs="Arial"/>
          <w:sz w:val="18"/>
          <w:szCs w:val="18"/>
        </w:rPr>
        <w:t>,</w:t>
      </w:r>
      <w:r w:rsidRPr="00A67D6A">
        <w:rPr>
          <w:rFonts w:ascii="Arial" w:hAnsi="Arial" w:cs="Arial"/>
          <w:sz w:val="18"/>
          <w:szCs w:val="18"/>
        </w:rPr>
        <w:t xml:space="preserve"> y que han estado relacionadas con problemas en la cristalización de la demanda por parte de los beneficiarios de las líneas de crédito que ha lanzado la entidad</w:t>
      </w:r>
      <w:r w:rsidR="004E1AC3" w:rsidRPr="00A67D6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98381352"/>
      <w:docPartObj>
        <w:docPartGallery w:val="Page Numbers (Top of Page)"/>
        <w:docPartUnique/>
      </w:docPartObj>
    </w:sdtPr>
    <w:sdtEndPr/>
    <w:sdtContent>
      <w:p w14:paraId="3B8A625C" w14:textId="77777777" w:rsidR="0049576D" w:rsidRPr="00207A47" w:rsidRDefault="0049576D" w:rsidP="0049576D">
        <w:pPr>
          <w:pStyle w:val="Header"/>
          <w:jc w:val="right"/>
          <w:rPr>
            <w:rFonts w:ascii="Arial" w:hAnsi="Arial" w:cs="Arial"/>
            <w:sz w:val="18"/>
            <w:szCs w:val="18"/>
            <w:lang w:val="pt-BR"/>
          </w:rPr>
        </w:pPr>
        <w:r w:rsidRPr="00207A47">
          <w:rPr>
            <w:rFonts w:ascii="Arial" w:hAnsi="Arial" w:cs="Arial"/>
            <w:sz w:val="18"/>
            <w:szCs w:val="18"/>
            <w:lang w:val="pt-BR"/>
          </w:rPr>
          <w:t>Anexo III – CO-L1222</w:t>
        </w:r>
      </w:p>
      <w:p w14:paraId="46EC48F3" w14:textId="3E40036F" w:rsidR="0049576D" w:rsidRPr="00207A47" w:rsidRDefault="0049576D" w:rsidP="0049576D">
        <w:pPr>
          <w:pStyle w:val="Header"/>
          <w:jc w:val="right"/>
          <w:rPr>
            <w:rFonts w:ascii="Arial" w:hAnsi="Arial" w:cs="Arial"/>
            <w:sz w:val="18"/>
            <w:szCs w:val="18"/>
            <w:lang w:val="pt-BR"/>
          </w:rPr>
        </w:pPr>
        <w:r w:rsidRPr="00207A47">
          <w:rPr>
            <w:rFonts w:ascii="Arial" w:hAnsi="Arial" w:cs="Arial"/>
            <w:sz w:val="18"/>
            <w:szCs w:val="18"/>
            <w:lang w:val="pt-BR"/>
          </w:rPr>
          <w:t xml:space="preserve">Página </w:t>
        </w:r>
        <w:r w:rsidRPr="0049576D">
          <w:rPr>
            <w:rFonts w:ascii="Arial" w:hAnsi="Arial" w:cs="Arial"/>
            <w:bCs/>
            <w:sz w:val="18"/>
            <w:szCs w:val="18"/>
          </w:rPr>
          <w:fldChar w:fldCharType="begin"/>
        </w:r>
        <w:r w:rsidRPr="00207A47">
          <w:rPr>
            <w:rFonts w:ascii="Arial" w:hAnsi="Arial" w:cs="Arial"/>
            <w:bCs/>
            <w:sz w:val="18"/>
            <w:szCs w:val="18"/>
            <w:lang w:val="pt-BR"/>
          </w:rPr>
          <w:instrText xml:space="preserve"> PAGE </w:instrText>
        </w:r>
        <w:r w:rsidRPr="0049576D">
          <w:rPr>
            <w:rFonts w:ascii="Arial" w:hAnsi="Arial" w:cs="Arial"/>
            <w:bCs/>
            <w:sz w:val="18"/>
            <w:szCs w:val="18"/>
          </w:rPr>
          <w:fldChar w:fldCharType="separate"/>
        </w:r>
        <w:r w:rsidR="003D777B">
          <w:rPr>
            <w:rFonts w:ascii="Arial" w:hAnsi="Arial" w:cs="Arial"/>
            <w:bCs/>
            <w:noProof/>
            <w:sz w:val="18"/>
            <w:szCs w:val="18"/>
            <w:lang w:val="pt-BR"/>
          </w:rPr>
          <w:t>6</w:t>
        </w:r>
        <w:r w:rsidRPr="0049576D">
          <w:rPr>
            <w:rFonts w:ascii="Arial" w:hAnsi="Arial" w:cs="Arial"/>
            <w:bCs/>
            <w:sz w:val="18"/>
            <w:szCs w:val="18"/>
          </w:rPr>
          <w:fldChar w:fldCharType="end"/>
        </w:r>
        <w:r w:rsidRPr="00207A47">
          <w:rPr>
            <w:rFonts w:ascii="Arial" w:hAnsi="Arial" w:cs="Arial"/>
            <w:sz w:val="18"/>
            <w:szCs w:val="18"/>
            <w:lang w:val="pt-BR"/>
          </w:rPr>
          <w:t xml:space="preserve"> de </w:t>
        </w:r>
        <w:r w:rsidRPr="0049576D">
          <w:rPr>
            <w:rFonts w:ascii="Arial" w:hAnsi="Arial" w:cs="Arial"/>
            <w:bCs/>
            <w:sz w:val="18"/>
            <w:szCs w:val="18"/>
          </w:rPr>
          <w:fldChar w:fldCharType="begin"/>
        </w:r>
        <w:r w:rsidRPr="00207A47">
          <w:rPr>
            <w:rFonts w:ascii="Arial" w:hAnsi="Arial" w:cs="Arial"/>
            <w:bCs/>
            <w:sz w:val="18"/>
            <w:szCs w:val="18"/>
            <w:lang w:val="pt-BR"/>
          </w:rPr>
          <w:instrText xml:space="preserve"> NUMPAGES  </w:instrText>
        </w:r>
        <w:r w:rsidRPr="0049576D">
          <w:rPr>
            <w:rFonts w:ascii="Arial" w:hAnsi="Arial" w:cs="Arial"/>
            <w:bCs/>
            <w:sz w:val="18"/>
            <w:szCs w:val="18"/>
          </w:rPr>
          <w:fldChar w:fldCharType="separate"/>
        </w:r>
        <w:r w:rsidR="003D777B">
          <w:rPr>
            <w:rFonts w:ascii="Arial" w:hAnsi="Arial" w:cs="Arial"/>
            <w:bCs/>
            <w:noProof/>
            <w:sz w:val="18"/>
            <w:szCs w:val="18"/>
            <w:lang w:val="pt-BR"/>
          </w:rPr>
          <w:t>6</w:t>
        </w:r>
        <w:r w:rsidRPr="0049576D">
          <w:rPr>
            <w:rFonts w:ascii="Arial" w:hAnsi="Arial" w:cs="Arial"/>
            <w:bCs/>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80B5E"/>
    <w:multiLevelType w:val="hybridMultilevel"/>
    <w:tmpl w:val="93944134"/>
    <w:lvl w:ilvl="0" w:tplc="0409001B">
      <w:start w:val="1"/>
      <w:numFmt w:val="lowerRoman"/>
      <w:lvlText w:val="%1."/>
      <w:lvlJc w:val="right"/>
      <w:pPr>
        <w:tabs>
          <w:tab w:val="num" w:pos="1440"/>
        </w:tabs>
        <w:ind w:left="14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F2FA5"/>
    <w:multiLevelType w:val="hybridMultilevel"/>
    <w:tmpl w:val="B24CB0E8"/>
    <w:lvl w:ilvl="0" w:tplc="29BEC9E6">
      <w:start w:val="4"/>
      <w:numFmt w:val="upperRoman"/>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107516"/>
    <w:multiLevelType w:val="hybridMultilevel"/>
    <w:tmpl w:val="CE866122"/>
    <w:lvl w:ilvl="0" w:tplc="2B4ECE52">
      <w:start w:val="23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B6C9F"/>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tentative="1">
      <w:start w:val="1"/>
      <w:numFmt w:val="lowerRoman"/>
      <w:lvlText w:val="%3."/>
      <w:lvlJc w:val="right"/>
      <w:pPr>
        <w:tabs>
          <w:tab w:val="num" w:pos="820"/>
        </w:tabs>
        <w:ind w:left="820" w:hanging="180"/>
      </w:pPr>
    </w:lvl>
    <w:lvl w:ilvl="3" w:tplc="0409000F" w:tentative="1">
      <w:start w:val="1"/>
      <w:numFmt w:val="decimal"/>
      <w:lvlText w:val="%4."/>
      <w:lvlJc w:val="left"/>
      <w:pPr>
        <w:tabs>
          <w:tab w:val="num" w:pos="1540"/>
        </w:tabs>
        <w:ind w:left="1540" w:hanging="360"/>
      </w:pPr>
    </w:lvl>
    <w:lvl w:ilvl="4" w:tplc="04090019" w:tentative="1">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4" w15:restartNumberingAfterBreak="0">
    <w:nsid w:val="14221003"/>
    <w:multiLevelType w:val="hybridMultilevel"/>
    <w:tmpl w:val="2A36A284"/>
    <w:lvl w:ilvl="0" w:tplc="9EB628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D90407"/>
    <w:multiLevelType w:val="hybridMultilevel"/>
    <w:tmpl w:val="3EFCAC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EF80D2C">
      <w:start w:val="4"/>
      <w:numFmt w:val="upperLetter"/>
      <w:lvlText w:val="%3."/>
      <w:lvlJc w:val="left"/>
      <w:pPr>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42E240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7" w15:restartNumberingAfterBreak="0">
    <w:nsid w:val="24B57D2E"/>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F95142"/>
    <w:multiLevelType w:val="hybridMultilevel"/>
    <w:tmpl w:val="2B9EBFC8"/>
    <w:lvl w:ilvl="0" w:tplc="4918919A">
      <w:start w:val="1"/>
      <w:numFmt w:val="decimal"/>
      <w:lvlText w:val="%1)"/>
      <w:lvlJc w:val="left"/>
      <w:pPr>
        <w:ind w:left="1069"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BE73EA6"/>
    <w:multiLevelType w:val="hybridMultilevel"/>
    <w:tmpl w:val="532C3D10"/>
    <w:lvl w:ilvl="0" w:tplc="11B49922">
      <w:start w:val="1"/>
      <w:numFmt w:val="decimal"/>
      <w:lvlText w:val="5.%1"/>
      <w:lvlJc w:val="left"/>
      <w:pPr>
        <w:ind w:left="1080" w:hanging="360"/>
      </w:pPr>
      <w:rPr>
        <w:rFonts w:hint="default"/>
        <w:b w:val="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0" w15:restartNumberingAfterBreak="0">
    <w:nsid w:val="3D4836C2"/>
    <w:multiLevelType w:val="hybridMultilevel"/>
    <w:tmpl w:val="E0BC0CA8"/>
    <w:lvl w:ilvl="0" w:tplc="D13C63AC">
      <w:start w:val="1"/>
      <w:numFmt w:val="lowerLetter"/>
      <w:lvlText w:val="%1."/>
      <w:lvlJc w:val="left"/>
      <w:pPr>
        <w:tabs>
          <w:tab w:val="num" w:pos="900"/>
        </w:tabs>
        <w:ind w:left="900" w:hanging="360"/>
      </w:pPr>
      <w:rPr>
        <w:b w:val="0"/>
        <w:i w:val="0"/>
        <w:sz w:val="20"/>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D8C55A1"/>
    <w:multiLevelType w:val="hybridMultilevel"/>
    <w:tmpl w:val="B838E4AA"/>
    <w:lvl w:ilvl="0" w:tplc="AD7842DA">
      <w:start w:val="1"/>
      <w:numFmt w:val="decimal"/>
      <w:lvlText w:val="2.%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2" w15:restartNumberingAfterBreak="0">
    <w:nsid w:val="41BA2CCF"/>
    <w:multiLevelType w:val="hybridMultilevel"/>
    <w:tmpl w:val="28B4EAF0"/>
    <w:lvl w:ilvl="0" w:tplc="10C0FB1C">
      <w:start w:val="29"/>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9ED491A"/>
    <w:multiLevelType w:val="hybridMultilevel"/>
    <w:tmpl w:val="500E96B4"/>
    <w:lvl w:ilvl="0" w:tplc="0184687A">
      <w:start w:val="1"/>
      <w:numFmt w:val="decimal"/>
      <w:lvlText w:val="%1."/>
      <w:lvlJc w:val="left"/>
      <w:pPr>
        <w:tabs>
          <w:tab w:val="num" w:pos="720"/>
        </w:tabs>
        <w:ind w:left="720" w:hanging="360"/>
      </w:pPr>
      <w:rPr>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4228FF"/>
    <w:multiLevelType w:val="hybridMultilevel"/>
    <w:tmpl w:val="FC2A8C40"/>
    <w:lvl w:ilvl="0" w:tplc="D8561C94">
      <w:start w:val="1"/>
      <w:numFmt w:val="decimal"/>
      <w:lvlText w:val="4.%1"/>
      <w:lvlJc w:val="left"/>
      <w:pPr>
        <w:ind w:left="1170" w:hanging="360"/>
      </w:pPr>
      <w:rPr>
        <w:rFonts w:hint="default"/>
        <w:b w:val="0"/>
      </w:rPr>
    </w:lvl>
    <w:lvl w:ilvl="1" w:tplc="040A0019" w:tentative="1">
      <w:start w:val="1"/>
      <w:numFmt w:val="lowerLetter"/>
      <w:lvlText w:val="%2."/>
      <w:lvlJc w:val="left"/>
      <w:pPr>
        <w:ind w:left="1890" w:hanging="360"/>
      </w:pPr>
    </w:lvl>
    <w:lvl w:ilvl="2" w:tplc="040A001B" w:tentative="1">
      <w:start w:val="1"/>
      <w:numFmt w:val="lowerRoman"/>
      <w:lvlText w:val="%3."/>
      <w:lvlJc w:val="right"/>
      <w:pPr>
        <w:ind w:left="2610" w:hanging="180"/>
      </w:pPr>
    </w:lvl>
    <w:lvl w:ilvl="3" w:tplc="040A000F" w:tentative="1">
      <w:start w:val="1"/>
      <w:numFmt w:val="decimal"/>
      <w:lvlText w:val="%4."/>
      <w:lvlJc w:val="left"/>
      <w:pPr>
        <w:ind w:left="3330" w:hanging="360"/>
      </w:pPr>
    </w:lvl>
    <w:lvl w:ilvl="4" w:tplc="040A0019" w:tentative="1">
      <w:start w:val="1"/>
      <w:numFmt w:val="lowerLetter"/>
      <w:lvlText w:val="%5."/>
      <w:lvlJc w:val="left"/>
      <w:pPr>
        <w:ind w:left="4050" w:hanging="360"/>
      </w:pPr>
    </w:lvl>
    <w:lvl w:ilvl="5" w:tplc="040A001B" w:tentative="1">
      <w:start w:val="1"/>
      <w:numFmt w:val="lowerRoman"/>
      <w:lvlText w:val="%6."/>
      <w:lvlJc w:val="right"/>
      <w:pPr>
        <w:ind w:left="4770" w:hanging="180"/>
      </w:pPr>
    </w:lvl>
    <w:lvl w:ilvl="6" w:tplc="040A000F" w:tentative="1">
      <w:start w:val="1"/>
      <w:numFmt w:val="decimal"/>
      <w:lvlText w:val="%7."/>
      <w:lvlJc w:val="left"/>
      <w:pPr>
        <w:ind w:left="5490" w:hanging="360"/>
      </w:pPr>
    </w:lvl>
    <w:lvl w:ilvl="7" w:tplc="040A0019" w:tentative="1">
      <w:start w:val="1"/>
      <w:numFmt w:val="lowerLetter"/>
      <w:lvlText w:val="%8."/>
      <w:lvlJc w:val="left"/>
      <w:pPr>
        <w:ind w:left="6210" w:hanging="360"/>
      </w:pPr>
    </w:lvl>
    <w:lvl w:ilvl="8" w:tplc="040A001B" w:tentative="1">
      <w:start w:val="1"/>
      <w:numFmt w:val="lowerRoman"/>
      <w:lvlText w:val="%9."/>
      <w:lvlJc w:val="right"/>
      <w:pPr>
        <w:ind w:left="6930" w:hanging="180"/>
      </w:pPr>
    </w:lvl>
  </w:abstractNum>
  <w:abstractNum w:abstractNumId="15" w15:restartNumberingAfterBreak="0">
    <w:nsid w:val="4F7343E0"/>
    <w:multiLevelType w:val="hybridMultilevel"/>
    <w:tmpl w:val="1D92DE0A"/>
    <w:lvl w:ilvl="0" w:tplc="240A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DF4165"/>
    <w:multiLevelType w:val="hybridMultilevel"/>
    <w:tmpl w:val="E23831BA"/>
    <w:lvl w:ilvl="0" w:tplc="2E689302">
      <w:start w:val="1"/>
      <w:numFmt w:val="decimal"/>
      <w:lvlText w:val="%1."/>
      <w:lvlJc w:val="left"/>
      <w:pPr>
        <w:ind w:left="540" w:hanging="360"/>
      </w:pPr>
      <w:rPr>
        <w:b/>
        <w:i w:val="0"/>
        <w:sz w:val="24"/>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17" w15:restartNumberingAfterBreak="0">
    <w:nsid w:val="515857D8"/>
    <w:multiLevelType w:val="hybridMultilevel"/>
    <w:tmpl w:val="A63E23F8"/>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18" w15:restartNumberingAfterBreak="0">
    <w:nsid w:val="554629FB"/>
    <w:multiLevelType w:val="hybridMultilevel"/>
    <w:tmpl w:val="70DE855E"/>
    <w:lvl w:ilvl="0" w:tplc="68CAADE4">
      <w:start w:val="1"/>
      <w:numFmt w:val="decimal"/>
      <w:lvlText w:val="1.%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9" w15:restartNumberingAfterBreak="0">
    <w:nsid w:val="588A65D6"/>
    <w:multiLevelType w:val="hybridMultilevel"/>
    <w:tmpl w:val="EB64FBD8"/>
    <w:lvl w:ilvl="0" w:tplc="0409000F">
      <w:start w:val="1"/>
      <w:numFmt w:val="decimal"/>
      <w:lvlText w:val="%1."/>
      <w:lvlJc w:val="left"/>
      <w:pPr>
        <w:tabs>
          <w:tab w:val="num" w:pos="720"/>
        </w:tabs>
        <w:ind w:left="720" w:hanging="360"/>
      </w:pPr>
    </w:lvl>
    <w:lvl w:ilvl="1" w:tplc="3B28D4C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FE6081"/>
    <w:multiLevelType w:val="hybridMultilevel"/>
    <w:tmpl w:val="ED68546C"/>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04637AF"/>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22" w15:restartNumberingAfterBreak="0">
    <w:nsid w:val="60B00807"/>
    <w:multiLevelType w:val="hybridMultilevel"/>
    <w:tmpl w:val="6624E9E6"/>
    <w:lvl w:ilvl="0" w:tplc="A8E4C15C">
      <w:start w:val="1"/>
      <w:numFmt w:val="decimal"/>
      <w:lvlText w:val="6.%1"/>
      <w:lvlJc w:val="left"/>
      <w:pPr>
        <w:ind w:left="1440" w:hanging="360"/>
      </w:pPr>
      <w:rPr>
        <w:rFonts w:hint="default"/>
        <w:b w:val="0"/>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3" w15:restartNumberingAfterBreak="0">
    <w:nsid w:val="616D4B50"/>
    <w:multiLevelType w:val="hybridMultilevel"/>
    <w:tmpl w:val="ECDA2896"/>
    <w:lvl w:ilvl="0" w:tplc="77BABB66">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3770BF0"/>
    <w:multiLevelType w:val="hybridMultilevel"/>
    <w:tmpl w:val="50F0566C"/>
    <w:lvl w:ilvl="0" w:tplc="3B603942">
      <w:start w:val="1"/>
      <w:numFmt w:val="decimal"/>
      <w:lvlText w:val="3.%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5" w15:restartNumberingAfterBreak="0">
    <w:nsid w:val="67545864"/>
    <w:multiLevelType w:val="hybridMultilevel"/>
    <w:tmpl w:val="9418F1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DD49CB"/>
    <w:multiLevelType w:val="hybridMultilevel"/>
    <w:tmpl w:val="A566C5D4"/>
    <w:lvl w:ilvl="0" w:tplc="0C8CD688">
      <w:start w:val="1"/>
      <w:numFmt w:val="lowerLetter"/>
      <w:lvlText w:val="%1."/>
      <w:lvlJc w:val="left"/>
      <w:pPr>
        <w:tabs>
          <w:tab w:val="num" w:pos="1260"/>
        </w:tabs>
        <w:ind w:left="1260" w:hanging="360"/>
      </w:pPr>
      <w:rPr>
        <w:b w:val="0"/>
        <w:i w:val="0"/>
        <w:sz w:val="20"/>
      </w:rPr>
    </w:lvl>
    <w:lvl w:ilvl="1" w:tplc="04090001">
      <w:start w:val="1"/>
      <w:numFmt w:val="bullet"/>
      <w:lvlText w:val=""/>
      <w:lvlJc w:val="left"/>
      <w:pPr>
        <w:tabs>
          <w:tab w:val="num" w:pos="1530"/>
        </w:tabs>
        <w:ind w:left="1530" w:hanging="360"/>
      </w:pPr>
      <w:rPr>
        <w:rFonts w:ascii="Symbol" w:hAnsi="Symbol" w:hint="default"/>
        <w:b w:val="0"/>
        <w:i w:val="0"/>
        <w:sz w:val="24"/>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D1518F4"/>
    <w:multiLevelType w:val="hybridMultilevel"/>
    <w:tmpl w:val="F72852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17602AA"/>
    <w:multiLevelType w:val="hybridMultilevel"/>
    <w:tmpl w:val="969417CA"/>
    <w:lvl w:ilvl="0" w:tplc="2494C268">
      <w:start w:val="7"/>
      <w:numFmt w:val="upperLetter"/>
      <w:lvlText w:val="%1."/>
      <w:lvlJc w:val="left"/>
      <w:pPr>
        <w:tabs>
          <w:tab w:val="num" w:pos="1139"/>
        </w:tabs>
        <w:ind w:left="1139" w:hanging="360"/>
      </w:pPr>
      <w:rPr>
        <w:rFonts w:hint="default"/>
      </w:rPr>
    </w:lvl>
    <w:lvl w:ilvl="1" w:tplc="A27C0A52">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D76B5DC">
      <w:numFmt w:val="bullet"/>
      <w:lvlText w:val="-"/>
      <w:lvlJc w:val="left"/>
      <w:pPr>
        <w:ind w:left="2880" w:hanging="360"/>
      </w:pPr>
      <w:rPr>
        <w:rFonts w:ascii="Calibri" w:eastAsia="Batang" w:hAnsi="Calibri"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1BD2BF2"/>
    <w:multiLevelType w:val="hybridMultilevel"/>
    <w:tmpl w:val="52AC0730"/>
    <w:lvl w:ilvl="0" w:tplc="04090001">
      <w:start w:val="1"/>
      <w:numFmt w:val="bullet"/>
      <w:lvlText w:val=""/>
      <w:lvlJc w:val="left"/>
      <w:pPr>
        <w:tabs>
          <w:tab w:val="num" w:pos="1540"/>
        </w:tabs>
        <w:ind w:left="1540" w:hanging="360"/>
      </w:pPr>
      <w:rPr>
        <w:rFonts w:ascii="Symbol" w:hAnsi="Symbol" w:hint="default"/>
      </w:rPr>
    </w:lvl>
    <w:lvl w:ilvl="1" w:tplc="04090019">
      <w:start w:val="1"/>
      <w:numFmt w:val="lowerLetter"/>
      <w:lvlText w:val="%2."/>
      <w:lvlJc w:val="left"/>
      <w:pPr>
        <w:tabs>
          <w:tab w:val="num" w:pos="100"/>
        </w:tabs>
        <w:ind w:left="10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0" w15:restartNumberingAfterBreak="0">
    <w:nsid w:val="72917C12"/>
    <w:multiLevelType w:val="hybridMultilevel"/>
    <w:tmpl w:val="93944134"/>
    <w:lvl w:ilvl="0" w:tplc="0409001B">
      <w:start w:val="1"/>
      <w:numFmt w:val="lowerRoman"/>
      <w:lvlText w:val="%1."/>
      <w:lvlJc w:val="right"/>
      <w:pPr>
        <w:tabs>
          <w:tab w:val="num" w:pos="360"/>
        </w:tabs>
        <w:ind w:left="360" w:hanging="18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1" w15:restartNumberingAfterBreak="0">
    <w:nsid w:val="72F15F62"/>
    <w:multiLevelType w:val="hybridMultilevel"/>
    <w:tmpl w:val="6FD004C2"/>
    <w:lvl w:ilvl="0" w:tplc="37620DB6">
      <w:start w:val="1"/>
      <w:numFmt w:val="lowerLetter"/>
      <w:lvlText w:val="%1."/>
      <w:lvlJc w:val="left"/>
      <w:pPr>
        <w:tabs>
          <w:tab w:val="num" w:pos="1540"/>
        </w:tabs>
        <w:ind w:left="1540" w:hanging="360"/>
      </w:pPr>
      <w:rPr>
        <w:rFonts w:hint="default"/>
      </w:rPr>
    </w:lvl>
    <w:lvl w:ilvl="1" w:tplc="04090019">
      <w:start w:val="1"/>
      <w:numFmt w:val="lowerLetter"/>
      <w:lvlText w:val="%2."/>
      <w:lvlJc w:val="left"/>
      <w:pPr>
        <w:tabs>
          <w:tab w:val="num" w:pos="100"/>
        </w:tabs>
        <w:ind w:left="100" w:hanging="360"/>
      </w:pPr>
    </w:lvl>
    <w:lvl w:ilvl="2" w:tplc="FA7AD22C">
      <w:start w:val="1"/>
      <w:numFmt w:val="lowerRoman"/>
      <w:lvlText w:val="%3."/>
      <w:lvlJc w:val="right"/>
      <w:pPr>
        <w:tabs>
          <w:tab w:val="num" w:pos="1440"/>
        </w:tabs>
        <w:ind w:left="1440" w:hanging="180"/>
      </w:pPr>
      <w:rPr>
        <w:rFonts w:ascii="Calibri" w:hAnsi="Calibri" w:hint="default"/>
        <w:sz w:val="20"/>
        <w:szCs w:val="20"/>
      </w:rPr>
    </w:lvl>
    <w:lvl w:ilvl="3" w:tplc="0409000F">
      <w:start w:val="1"/>
      <w:numFmt w:val="decimal"/>
      <w:lvlText w:val="%4."/>
      <w:lvlJc w:val="left"/>
      <w:pPr>
        <w:tabs>
          <w:tab w:val="num" w:pos="1540"/>
        </w:tabs>
        <w:ind w:left="1540" w:hanging="360"/>
      </w:pPr>
    </w:lvl>
    <w:lvl w:ilvl="4" w:tplc="04090019">
      <w:start w:val="1"/>
      <w:numFmt w:val="lowerLetter"/>
      <w:lvlText w:val="%5."/>
      <w:lvlJc w:val="left"/>
      <w:pPr>
        <w:tabs>
          <w:tab w:val="num" w:pos="2260"/>
        </w:tabs>
        <w:ind w:left="2260" w:hanging="360"/>
      </w:pPr>
    </w:lvl>
    <w:lvl w:ilvl="5" w:tplc="0409001B" w:tentative="1">
      <w:start w:val="1"/>
      <w:numFmt w:val="lowerRoman"/>
      <w:lvlText w:val="%6."/>
      <w:lvlJc w:val="right"/>
      <w:pPr>
        <w:tabs>
          <w:tab w:val="num" w:pos="2980"/>
        </w:tabs>
        <w:ind w:left="2980" w:hanging="180"/>
      </w:pPr>
    </w:lvl>
    <w:lvl w:ilvl="6" w:tplc="0409000F" w:tentative="1">
      <w:start w:val="1"/>
      <w:numFmt w:val="decimal"/>
      <w:lvlText w:val="%7."/>
      <w:lvlJc w:val="left"/>
      <w:pPr>
        <w:tabs>
          <w:tab w:val="num" w:pos="3700"/>
        </w:tabs>
        <w:ind w:left="3700" w:hanging="360"/>
      </w:pPr>
    </w:lvl>
    <w:lvl w:ilvl="7" w:tplc="04090019" w:tentative="1">
      <w:start w:val="1"/>
      <w:numFmt w:val="lowerLetter"/>
      <w:lvlText w:val="%8."/>
      <w:lvlJc w:val="left"/>
      <w:pPr>
        <w:tabs>
          <w:tab w:val="num" w:pos="4420"/>
        </w:tabs>
        <w:ind w:left="4420" w:hanging="360"/>
      </w:pPr>
    </w:lvl>
    <w:lvl w:ilvl="8" w:tplc="0409001B" w:tentative="1">
      <w:start w:val="1"/>
      <w:numFmt w:val="lowerRoman"/>
      <w:lvlText w:val="%9."/>
      <w:lvlJc w:val="right"/>
      <w:pPr>
        <w:tabs>
          <w:tab w:val="num" w:pos="5140"/>
        </w:tabs>
        <w:ind w:left="5140" w:hanging="180"/>
      </w:pPr>
    </w:lvl>
  </w:abstractNum>
  <w:abstractNum w:abstractNumId="32" w15:restartNumberingAfterBreak="0">
    <w:nsid w:val="73EA2798"/>
    <w:multiLevelType w:val="hybridMultilevel"/>
    <w:tmpl w:val="65644E4A"/>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33" w15:restartNumberingAfterBreak="0">
    <w:nsid w:val="7A7E05D0"/>
    <w:multiLevelType w:val="hybridMultilevel"/>
    <w:tmpl w:val="17DC98A0"/>
    <w:lvl w:ilvl="0" w:tplc="2B14F754">
      <w:start w:val="1"/>
      <w:numFmt w:val="upperRoman"/>
      <w:lvlText w:val="%1."/>
      <w:lvlJc w:val="center"/>
      <w:pPr>
        <w:ind w:left="720" w:hanging="360"/>
      </w:pPr>
      <w:rPr>
        <w:rFonts w:hint="default"/>
      </w:rPr>
    </w:lvl>
    <w:lvl w:ilvl="1" w:tplc="240A0019">
      <w:start w:val="1"/>
      <w:numFmt w:val="lowerLetter"/>
      <w:lvlText w:val="%2."/>
      <w:lvlJc w:val="left"/>
      <w:pPr>
        <w:ind w:left="1440" w:hanging="360"/>
      </w:pPr>
    </w:lvl>
    <w:lvl w:ilvl="2" w:tplc="B53E805A">
      <w:start w:val="1"/>
      <w:numFmt w:val="decimal"/>
      <w:lvlText w:val="%3."/>
      <w:lvlJc w:val="left"/>
      <w:pPr>
        <w:ind w:left="2340" w:hanging="360"/>
      </w:pPr>
      <w:rPr>
        <w:rFonts w:hint="default"/>
        <w:sz w:val="24"/>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9"/>
  </w:num>
  <w:num w:numId="2">
    <w:abstractNumId w:val="1"/>
  </w:num>
  <w:num w:numId="3">
    <w:abstractNumId w:val="17"/>
  </w:num>
  <w:num w:numId="4">
    <w:abstractNumId w:val="3"/>
  </w:num>
  <w:num w:numId="5">
    <w:abstractNumId w:val="0"/>
  </w:num>
  <w:num w:numId="6">
    <w:abstractNumId w:val="4"/>
  </w:num>
  <w:num w:numId="7">
    <w:abstractNumId w:val="28"/>
  </w:num>
  <w:num w:numId="8">
    <w:abstractNumId w:val="26"/>
  </w:num>
  <w:num w:numId="9">
    <w:abstractNumId w:val="30"/>
  </w:num>
  <w:num w:numId="10">
    <w:abstractNumId w:val="6"/>
  </w:num>
  <w:num w:numId="11">
    <w:abstractNumId w:val="33"/>
  </w:num>
  <w:num w:numId="12">
    <w:abstractNumId w:val="32"/>
  </w:num>
  <w:num w:numId="13">
    <w:abstractNumId w:val="7"/>
  </w:num>
  <w:num w:numId="14">
    <w:abstractNumId w:val="13"/>
  </w:num>
  <w:num w:numId="15">
    <w:abstractNumId w:val="10"/>
  </w:num>
  <w:num w:numId="16">
    <w:abstractNumId w:val="27"/>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1"/>
  </w:num>
  <w:num w:numId="21">
    <w:abstractNumId w:val="29"/>
  </w:num>
  <w:num w:numId="22">
    <w:abstractNumId w:val="1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8"/>
  </w:num>
  <w:num w:numId="26">
    <w:abstractNumId w:val="12"/>
  </w:num>
  <w:num w:numId="27">
    <w:abstractNumId w:val="15"/>
  </w:num>
  <w:num w:numId="28">
    <w:abstractNumId w:val="2"/>
  </w:num>
  <w:num w:numId="29">
    <w:abstractNumId w:val="23"/>
  </w:num>
  <w:num w:numId="30">
    <w:abstractNumId w:val="25"/>
  </w:num>
  <w:num w:numId="31">
    <w:abstractNumId w:val="18"/>
  </w:num>
  <w:num w:numId="32">
    <w:abstractNumId w:val="11"/>
  </w:num>
  <w:num w:numId="33">
    <w:abstractNumId w:val="24"/>
  </w:num>
  <w:num w:numId="34">
    <w:abstractNumId w:val="14"/>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pt-BR" w:vendorID="64" w:dllVersion="6" w:nlCheck="1" w:checkStyle="0"/>
  <w:activeWritingStyle w:appName="MSWord" w:lang="es-ES_tradnl" w:vendorID="64" w:dllVersion="6" w:nlCheck="1" w:checkStyle="1"/>
  <w:activeWritingStyle w:appName="MSWord" w:lang="es-CO"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CO" w:vendorID="64" w:dllVersion="0" w:nlCheck="1" w:checkStyle="0"/>
  <w:activeWritingStyle w:appName="MSWord" w:lang="pt-BR" w:vendorID="64" w:dllVersion="0" w:nlCheck="1" w:checkStyle="0"/>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1E"/>
    <w:rsid w:val="00001B97"/>
    <w:rsid w:val="0000262E"/>
    <w:rsid w:val="00006A97"/>
    <w:rsid w:val="00010CB4"/>
    <w:rsid w:val="00010F37"/>
    <w:rsid w:val="00011E48"/>
    <w:rsid w:val="00014740"/>
    <w:rsid w:val="00014D64"/>
    <w:rsid w:val="0001549F"/>
    <w:rsid w:val="000154A2"/>
    <w:rsid w:val="00015AA1"/>
    <w:rsid w:val="00015FBB"/>
    <w:rsid w:val="0001707D"/>
    <w:rsid w:val="000171E4"/>
    <w:rsid w:val="00017A53"/>
    <w:rsid w:val="000225FF"/>
    <w:rsid w:val="00022C90"/>
    <w:rsid w:val="00023359"/>
    <w:rsid w:val="00023C95"/>
    <w:rsid w:val="00031B30"/>
    <w:rsid w:val="00034231"/>
    <w:rsid w:val="0003693F"/>
    <w:rsid w:val="00036FBD"/>
    <w:rsid w:val="000372D4"/>
    <w:rsid w:val="000417D6"/>
    <w:rsid w:val="00042B95"/>
    <w:rsid w:val="0004442E"/>
    <w:rsid w:val="00044842"/>
    <w:rsid w:val="00044A63"/>
    <w:rsid w:val="00045A63"/>
    <w:rsid w:val="00046E49"/>
    <w:rsid w:val="00047F22"/>
    <w:rsid w:val="000508A5"/>
    <w:rsid w:val="00052E6A"/>
    <w:rsid w:val="00053A7D"/>
    <w:rsid w:val="0005402A"/>
    <w:rsid w:val="00056A1C"/>
    <w:rsid w:val="00056C9F"/>
    <w:rsid w:val="00056CAE"/>
    <w:rsid w:val="00056DD5"/>
    <w:rsid w:val="000616B9"/>
    <w:rsid w:val="00061DB5"/>
    <w:rsid w:val="00062A42"/>
    <w:rsid w:val="00063393"/>
    <w:rsid w:val="00064FA5"/>
    <w:rsid w:val="0006780D"/>
    <w:rsid w:val="000704E8"/>
    <w:rsid w:val="00070800"/>
    <w:rsid w:val="00071155"/>
    <w:rsid w:val="00075AFF"/>
    <w:rsid w:val="00075B9C"/>
    <w:rsid w:val="000855B2"/>
    <w:rsid w:val="00093789"/>
    <w:rsid w:val="00094CC2"/>
    <w:rsid w:val="0009593C"/>
    <w:rsid w:val="00095F1A"/>
    <w:rsid w:val="00096A12"/>
    <w:rsid w:val="0009793D"/>
    <w:rsid w:val="000A133A"/>
    <w:rsid w:val="000A1AE0"/>
    <w:rsid w:val="000A2D7B"/>
    <w:rsid w:val="000A4DA4"/>
    <w:rsid w:val="000A4E7F"/>
    <w:rsid w:val="000B085D"/>
    <w:rsid w:val="000B0DD7"/>
    <w:rsid w:val="000B1DA8"/>
    <w:rsid w:val="000B54AC"/>
    <w:rsid w:val="000C1647"/>
    <w:rsid w:val="000C19AA"/>
    <w:rsid w:val="000C3846"/>
    <w:rsid w:val="000C5112"/>
    <w:rsid w:val="000C5518"/>
    <w:rsid w:val="000D0903"/>
    <w:rsid w:val="000D16B9"/>
    <w:rsid w:val="000D1BC2"/>
    <w:rsid w:val="000D2F23"/>
    <w:rsid w:val="000D6884"/>
    <w:rsid w:val="000D6DAB"/>
    <w:rsid w:val="000E1253"/>
    <w:rsid w:val="000E2260"/>
    <w:rsid w:val="000E32E4"/>
    <w:rsid w:val="000E40C1"/>
    <w:rsid w:val="000E601E"/>
    <w:rsid w:val="000E7E8B"/>
    <w:rsid w:val="000F07E2"/>
    <w:rsid w:val="000F1CEA"/>
    <w:rsid w:val="000F3F79"/>
    <w:rsid w:val="00100B51"/>
    <w:rsid w:val="00102311"/>
    <w:rsid w:val="0010292D"/>
    <w:rsid w:val="00103B7D"/>
    <w:rsid w:val="00105804"/>
    <w:rsid w:val="00105941"/>
    <w:rsid w:val="001104BE"/>
    <w:rsid w:val="00111013"/>
    <w:rsid w:val="001157CE"/>
    <w:rsid w:val="00115A6E"/>
    <w:rsid w:val="00115C4E"/>
    <w:rsid w:val="00116A5C"/>
    <w:rsid w:val="001212B4"/>
    <w:rsid w:val="00121BEA"/>
    <w:rsid w:val="00123CA9"/>
    <w:rsid w:val="00130DAF"/>
    <w:rsid w:val="001310AB"/>
    <w:rsid w:val="0013133C"/>
    <w:rsid w:val="0013329A"/>
    <w:rsid w:val="00133934"/>
    <w:rsid w:val="00135953"/>
    <w:rsid w:val="00136D60"/>
    <w:rsid w:val="00137FE1"/>
    <w:rsid w:val="001403BA"/>
    <w:rsid w:val="001403D1"/>
    <w:rsid w:val="00141DF4"/>
    <w:rsid w:val="001448D9"/>
    <w:rsid w:val="00144F88"/>
    <w:rsid w:val="00147B73"/>
    <w:rsid w:val="001521EE"/>
    <w:rsid w:val="00152FC1"/>
    <w:rsid w:val="00153111"/>
    <w:rsid w:val="0016024A"/>
    <w:rsid w:val="00160D71"/>
    <w:rsid w:val="0016230B"/>
    <w:rsid w:val="0016702C"/>
    <w:rsid w:val="00167825"/>
    <w:rsid w:val="00170739"/>
    <w:rsid w:val="00174205"/>
    <w:rsid w:val="00174DFF"/>
    <w:rsid w:val="001770AA"/>
    <w:rsid w:val="001775A2"/>
    <w:rsid w:val="001809F8"/>
    <w:rsid w:val="00180A54"/>
    <w:rsid w:val="00180D4C"/>
    <w:rsid w:val="001813C0"/>
    <w:rsid w:val="0018228C"/>
    <w:rsid w:val="00182600"/>
    <w:rsid w:val="00185122"/>
    <w:rsid w:val="001851BF"/>
    <w:rsid w:val="001868A1"/>
    <w:rsid w:val="00186B10"/>
    <w:rsid w:val="00187787"/>
    <w:rsid w:val="00193998"/>
    <w:rsid w:val="0019662A"/>
    <w:rsid w:val="00196ED2"/>
    <w:rsid w:val="001979EE"/>
    <w:rsid w:val="001A3608"/>
    <w:rsid w:val="001A3CEA"/>
    <w:rsid w:val="001A638F"/>
    <w:rsid w:val="001A715D"/>
    <w:rsid w:val="001A7459"/>
    <w:rsid w:val="001B09D1"/>
    <w:rsid w:val="001B1397"/>
    <w:rsid w:val="001B24FB"/>
    <w:rsid w:val="001B2ABF"/>
    <w:rsid w:val="001B46E9"/>
    <w:rsid w:val="001B4794"/>
    <w:rsid w:val="001B4D15"/>
    <w:rsid w:val="001C0453"/>
    <w:rsid w:val="001C1175"/>
    <w:rsid w:val="001C11B0"/>
    <w:rsid w:val="001C176C"/>
    <w:rsid w:val="001C4B85"/>
    <w:rsid w:val="001C79B2"/>
    <w:rsid w:val="001D139F"/>
    <w:rsid w:val="001D448D"/>
    <w:rsid w:val="001E2EDB"/>
    <w:rsid w:val="001E33F8"/>
    <w:rsid w:val="001E4348"/>
    <w:rsid w:val="001E4C72"/>
    <w:rsid w:val="001E6996"/>
    <w:rsid w:val="001E6AE0"/>
    <w:rsid w:val="001E6C08"/>
    <w:rsid w:val="001F0906"/>
    <w:rsid w:val="001F15A0"/>
    <w:rsid w:val="001F19F3"/>
    <w:rsid w:val="001F29A5"/>
    <w:rsid w:val="001F39FC"/>
    <w:rsid w:val="001F5BFC"/>
    <w:rsid w:val="001F79B4"/>
    <w:rsid w:val="002000BF"/>
    <w:rsid w:val="0020203A"/>
    <w:rsid w:val="002024BD"/>
    <w:rsid w:val="00203153"/>
    <w:rsid w:val="002033BE"/>
    <w:rsid w:val="0020350E"/>
    <w:rsid w:val="00204735"/>
    <w:rsid w:val="00204B08"/>
    <w:rsid w:val="00204C52"/>
    <w:rsid w:val="00205240"/>
    <w:rsid w:val="00206A59"/>
    <w:rsid w:val="00206F24"/>
    <w:rsid w:val="00207A47"/>
    <w:rsid w:val="00210094"/>
    <w:rsid w:val="00211B63"/>
    <w:rsid w:val="00212FD5"/>
    <w:rsid w:val="00213549"/>
    <w:rsid w:val="00220B61"/>
    <w:rsid w:val="002228A8"/>
    <w:rsid w:val="00230EC2"/>
    <w:rsid w:val="00233F6C"/>
    <w:rsid w:val="00234521"/>
    <w:rsid w:val="00234BD3"/>
    <w:rsid w:val="002356A5"/>
    <w:rsid w:val="002379A6"/>
    <w:rsid w:val="00237B4A"/>
    <w:rsid w:val="0024336C"/>
    <w:rsid w:val="002440F4"/>
    <w:rsid w:val="00244B33"/>
    <w:rsid w:val="00247710"/>
    <w:rsid w:val="002537DB"/>
    <w:rsid w:val="002551BC"/>
    <w:rsid w:val="00255FD5"/>
    <w:rsid w:val="0025712B"/>
    <w:rsid w:val="00257FE6"/>
    <w:rsid w:val="00261557"/>
    <w:rsid w:val="00263F22"/>
    <w:rsid w:val="002645CC"/>
    <w:rsid w:val="00264929"/>
    <w:rsid w:val="00270DCB"/>
    <w:rsid w:val="00271259"/>
    <w:rsid w:val="00276958"/>
    <w:rsid w:val="0027705A"/>
    <w:rsid w:val="00277F65"/>
    <w:rsid w:val="002811A8"/>
    <w:rsid w:val="002813BC"/>
    <w:rsid w:val="0028258E"/>
    <w:rsid w:val="00282652"/>
    <w:rsid w:val="00283291"/>
    <w:rsid w:val="0028393A"/>
    <w:rsid w:val="00290F3F"/>
    <w:rsid w:val="0029117F"/>
    <w:rsid w:val="00291445"/>
    <w:rsid w:val="00291E8C"/>
    <w:rsid w:val="00292BC8"/>
    <w:rsid w:val="00292F38"/>
    <w:rsid w:val="00293CF5"/>
    <w:rsid w:val="002962F3"/>
    <w:rsid w:val="002A0F69"/>
    <w:rsid w:val="002A3500"/>
    <w:rsid w:val="002A4EFA"/>
    <w:rsid w:val="002A5BBB"/>
    <w:rsid w:val="002A6493"/>
    <w:rsid w:val="002B1B7C"/>
    <w:rsid w:val="002B209E"/>
    <w:rsid w:val="002B2B4C"/>
    <w:rsid w:val="002B2B94"/>
    <w:rsid w:val="002B3B49"/>
    <w:rsid w:val="002B7FAE"/>
    <w:rsid w:val="002C1143"/>
    <w:rsid w:val="002C15A4"/>
    <w:rsid w:val="002C6656"/>
    <w:rsid w:val="002C68F9"/>
    <w:rsid w:val="002D3BBB"/>
    <w:rsid w:val="002D5D0C"/>
    <w:rsid w:val="002D6260"/>
    <w:rsid w:val="002D6C7C"/>
    <w:rsid w:val="002E06CA"/>
    <w:rsid w:val="002E138A"/>
    <w:rsid w:val="002E14E6"/>
    <w:rsid w:val="002E28A3"/>
    <w:rsid w:val="002E3158"/>
    <w:rsid w:val="002E3B30"/>
    <w:rsid w:val="002E58BE"/>
    <w:rsid w:val="002E5940"/>
    <w:rsid w:val="002E5C2B"/>
    <w:rsid w:val="002E5CFC"/>
    <w:rsid w:val="002E6D0E"/>
    <w:rsid w:val="002E7A03"/>
    <w:rsid w:val="002F20B1"/>
    <w:rsid w:val="002F21B4"/>
    <w:rsid w:val="002F3A66"/>
    <w:rsid w:val="002F3E6F"/>
    <w:rsid w:val="002F5294"/>
    <w:rsid w:val="00300072"/>
    <w:rsid w:val="003039D9"/>
    <w:rsid w:val="0030421A"/>
    <w:rsid w:val="003065DB"/>
    <w:rsid w:val="00306A2A"/>
    <w:rsid w:val="00306C2F"/>
    <w:rsid w:val="003101D9"/>
    <w:rsid w:val="00310D6F"/>
    <w:rsid w:val="00317E19"/>
    <w:rsid w:val="00322CE7"/>
    <w:rsid w:val="00322E81"/>
    <w:rsid w:val="00322EE5"/>
    <w:rsid w:val="00326D7F"/>
    <w:rsid w:val="00332D5F"/>
    <w:rsid w:val="003361C0"/>
    <w:rsid w:val="00336E73"/>
    <w:rsid w:val="003372AD"/>
    <w:rsid w:val="003378C9"/>
    <w:rsid w:val="0034110F"/>
    <w:rsid w:val="00343200"/>
    <w:rsid w:val="00344F68"/>
    <w:rsid w:val="003471E2"/>
    <w:rsid w:val="00354284"/>
    <w:rsid w:val="003559F7"/>
    <w:rsid w:val="00355A9C"/>
    <w:rsid w:val="003561D3"/>
    <w:rsid w:val="00356DFA"/>
    <w:rsid w:val="0035748A"/>
    <w:rsid w:val="00357B9D"/>
    <w:rsid w:val="00360636"/>
    <w:rsid w:val="0036192F"/>
    <w:rsid w:val="00361A9D"/>
    <w:rsid w:val="003637E5"/>
    <w:rsid w:val="00363E3A"/>
    <w:rsid w:val="0036459A"/>
    <w:rsid w:val="003671D7"/>
    <w:rsid w:val="00370D93"/>
    <w:rsid w:val="00372ACE"/>
    <w:rsid w:val="00373B26"/>
    <w:rsid w:val="00374C04"/>
    <w:rsid w:val="0037744A"/>
    <w:rsid w:val="003849D1"/>
    <w:rsid w:val="00384EE8"/>
    <w:rsid w:val="00386AED"/>
    <w:rsid w:val="0039079F"/>
    <w:rsid w:val="003919FA"/>
    <w:rsid w:val="003929C5"/>
    <w:rsid w:val="00395089"/>
    <w:rsid w:val="00397A5A"/>
    <w:rsid w:val="003A09CE"/>
    <w:rsid w:val="003A1F5B"/>
    <w:rsid w:val="003A2EBC"/>
    <w:rsid w:val="003A30E3"/>
    <w:rsid w:val="003A5988"/>
    <w:rsid w:val="003A66E4"/>
    <w:rsid w:val="003A6E8D"/>
    <w:rsid w:val="003B0A95"/>
    <w:rsid w:val="003B4557"/>
    <w:rsid w:val="003B50F1"/>
    <w:rsid w:val="003B57CF"/>
    <w:rsid w:val="003B697D"/>
    <w:rsid w:val="003B6DD0"/>
    <w:rsid w:val="003C1B7B"/>
    <w:rsid w:val="003C1C06"/>
    <w:rsid w:val="003C1F40"/>
    <w:rsid w:val="003C2564"/>
    <w:rsid w:val="003C360B"/>
    <w:rsid w:val="003C7333"/>
    <w:rsid w:val="003C77EA"/>
    <w:rsid w:val="003C7985"/>
    <w:rsid w:val="003D10CF"/>
    <w:rsid w:val="003D3C02"/>
    <w:rsid w:val="003D777B"/>
    <w:rsid w:val="003E732A"/>
    <w:rsid w:val="003F0872"/>
    <w:rsid w:val="003F2B6E"/>
    <w:rsid w:val="003F39E8"/>
    <w:rsid w:val="003F6591"/>
    <w:rsid w:val="004039E3"/>
    <w:rsid w:val="004049DA"/>
    <w:rsid w:val="00404F76"/>
    <w:rsid w:val="004061E5"/>
    <w:rsid w:val="00410FF4"/>
    <w:rsid w:val="00412202"/>
    <w:rsid w:val="00412E29"/>
    <w:rsid w:val="0041332A"/>
    <w:rsid w:val="00413757"/>
    <w:rsid w:val="00415663"/>
    <w:rsid w:val="00416327"/>
    <w:rsid w:val="00421CC1"/>
    <w:rsid w:val="00424294"/>
    <w:rsid w:val="00426CAF"/>
    <w:rsid w:val="00426EE5"/>
    <w:rsid w:val="00430734"/>
    <w:rsid w:val="00430F1D"/>
    <w:rsid w:val="00431DD1"/>
    <w:rsid w:val="004328C1"/>
    <w:rsid w:val="00433739"/>
    <w:rsid w:val="004348AA"/>
    <w:rsid w:val="00437A93"/>
    <w:rsid w:val="00445ADE"/>
    <w:rsid w:val="00457294"/>
    <w:rsid w:val="00457E13"/>
    <w:rsid w:val="004606FE"/>
    <w:rsid w:val="004610D2"/>
    <w:rsid w:val="00461A19"/>
    <w:rsid w:val="00462EAF"/>
    <w:rsid w:val="00463E5A"/>
    <w:rsid w:val="00464218"/>
    <w:rsid w:val="004647D0"/>
    <w:rsid w:val="004664B6"/>
    <w:rsid w:val="00466FD8"/>
    <w:rsid w:val="004744C2"/>
    <w:rsid w:val="00474684"/>
    <w:rsid w:val="00475A6B"/>
    <w:rsid w:val="00481022"/>
    <w:rsid w:val="0048310F"/>
    <w:rsid w:val="00484953"/>
    <w:rsid w:val="00490799"/>
    <w:rsid w:val="00491877"/>
    <w:rsid w:val="00494D95"/>
    <w:rsid w:val="00495702"/>
    <w:rsid w:val="0049576D"/>
    <w:rsid w:val="00497998"/>
    <w:rsid w:val="00497CA6"/>
    <w:rsid w:val="004A13A0"/>
    <w:rsid w:val="004A1657"/>
    <w:rsid w:val="004A1A1A"/>
    <w:rsid w:val="004A3540"/>
    <w:rsid w:val="004A50EC"/>
    <w:rsid w:val="004A62B3"/>
    <w:rsid w:val="004B02C7"/>
    <w:rsid w:val="004B18A5"/>
    <w:rsid w:val="004B2604"/>
    <w:rsid w:val="004B2A0B"/>
    <w:rsid w:val="004B2C0B"/>
    <w:rsid w:val="004B3020"/>
    <w:rsid w:val="004B4E0D"/>
    <w:rsid w:val="004B5D01"/>
    <w:rsid w:val="004B6192"/>
    <w:rsid w:val="004C086E"/>
    <w:rsid w:val="004C1103"/>
    <w:rsid w:val="004C2CEC"/>
    <w:rsid w:val="004C5C7A"/>
    <w:rsid w:val="004C5D75"/>
    <w:rsid w:val="004C774F"/>
    <w:rsid w:val="004D18E7"/>
    <w:rsid w:val="004D3691"/>
    <w:rsid w:val="004D52B8"/>
    <w:rsid w:val="004D5493"/>
    <w:rsid w:val="004D57D1"/>
    <w:rsid w:val="004D6451"/>
    <w:rsid w:val="004E1AC3"/>
    <w:rsid w:val="004E3F91"/>
    <w:rsid w:val="004F08A9"/>
    <w:rsid w:val="004F0CAC"/>
    <w:rsid w:val="004F43DD"/>
    <w:rsid w:val="004F4C1E"/>
    <w:rsid w:val="004F5B86"/>
    <w:rsid w:val="004F72C0"/>
    <w:rsid w:val="004F76ED"/>
    <w:rsid w:val="004F77D7"/>
    <w:rsid w:val="0050191B"/>
    <w:rsid w:val="00502B98"/>
    <w:rsid w:val="00507374"/>
    <w:rsid w:val="00512475"/>
    <w:rsid w:val="00522F72"/>
    <w:rsid w:val="0052332A"/>
    <w:rsid w:val="005257BF"/>
    <w:rsid w:val="00525A51"/>
    <w:rsid w:val="00525DA9"/>
    <w:rsid w:val="00526496"/>
    <w:rsid w:val="00527BF5"/>
    <w:rsid w:val="005310A8"/>
    <w:rsid w:val="005340EC"/>
    <w:rsid w:val="00536AA1"/>
    <w:rsid w:val="00540438"/>
    <w:rsid w:val="00547033"/>
    <w:rsid w:val="00553F06"/>
    <w:rsid w:val="0056083C"/>
    <w:rsid w:val="005617DE"/>
    <w:rsid w:val="00562212"/>
    <w:rsid w:val="00562BE5"/>
    <w:rsid w:val="005648CB"/>
    <w:rsid w:val="0057671F"/>
    <w:rsid w:val="00576CA7"/>
    <w:rsid w:val="005776AF"/>
    <w:rsid w:val="00580A68"/>
    <w:rsid w:val="005829CE"/>
    <w:rsid w:val="005859EF"/>
    <w:rsid w:val="00585D13"/>
    <w:rsid w:val="00587465"/>
    <w:rsid w:val="00587E29"/>
    <w:rsid w:val="0059155B"/>
    <w:rsid w:val="00591BC7"/>
    <w:rsid w:val="0059247B"/>
    <w:rsid w:val="00592F01"/>
    <w:rsid w:val="00592F8B"/>
    <w:rsid w:val="00593FDA"/>
    <w:rsid w:val="00595E19"/>
    <w:rsid w:val="00597EFB"/>
    <w:rsid w:val="005A2270"/>
    <w:rsid w:val="005A22C5"/>
    <w:rsid w:val="005A2BB2"/>
    <w:rsid w:val="005A6E2C"/>
    <w:rsid w:val="005A7254"/>
    <w:rsid w:val="005B413B"/>
    <w:rsid w:val="005B4C7A"/>
    <w:rsid w:val="005B552E"/>
    <w:rsid w:val="005B6E8F"/>
    <w:rsid w:val="005B7D93"/>
    <w:rsid w:val="005C09CA"/>
    <w:rsid w:val="005C2698"/>
    <w:rsid w:val="005C33CC"/>
    <w:rsid w:val="005D1A1B"/>
    <w:rsid w:val="005D38B5"/>
    <w:rsid w:val="005D3BE8"/>
    <w:rsid w:val="005D456A"/>
    <w:rsid w:val="005D465C"/>
    <w:rsid w:val="005D4AA0"/>
    <w:rsid w:val="005D51D4"/>
    <w:rsid w:val="005D589C"/>
    <w:rsid w:val="005E2161"/>
    <w:rsid w:val="005E3137"/>
    <w:rsid w:val="005E36FE"/>
    <w:rsid w:val="005E42E0"/>
    <w:rsid w:val="005F0125"/>
    <w:rsid w:val="005F14F5"/>
    <w:rsid w:val="005F1816"/>
    <w:rsid w:val="005F2C8F"/>
    <w:rsid w:val="005F2D9B"/>
    <w:rsid w:val="005F455D"/>
    <w:rsid w:val="005F59A8"/>
    <w:rsid w:val="006053F5"/>
    <w:rsid w:val="00605AC0"/>
    <w:rsid w:val="00607CAB"/>
    <w:rsid w:val="0061121B"/>
    <w:rsid w:val="00614AF4"/>
    <w:rsid w:val="006221CE"/>
    <w:rsid w:val="006230E1"/>
    <w:rsid w:val="00623955"/>
    <w:rsid w:val="00630147"/>
    <w:rsid w:val="00632637"/>
    <w:rsid w:val="00632756"/>
    <w:rsid w:val="00632D56"/>
    <w:rsid w:val="006331D7"/>
    <w:rsid w:val="00633BC0"/>
    <w:rsid w:val="00634B10"/>
    <w:rsid w:val="006351DC"/>
    <w:rsid w:val="00635AC6"/>
    <w:rsid w:val="00640602"/>
    <w:rsid w:val="00641988"/>
    <w:rsid w:val="00641B13"/>
    <w:rsid w:val="00642682"/>
    <w:rsid w:val="00643305"/>
    <w:rsid w:val="006453A2"/>
    <w:rsid w:val="006504BC"/>
    <w:rsid w:val="00651676"/>
    <w:rsid w:val="00651ED2"/>
    <w:rsid w:val="00652DAA"/>
    <w:rsid w:val="00654314"/>
    <w:rsid w:val="006553B3"/>
    <w:rsid w:val="00655BC5"/>
    <w:rsid w:val="00657180"/>
    <w:rsid w:val="00657559"/>
    <w:rsid w:val="00667601"/>
    <w:rsid w:val="00671221"/>
    <w:rsid w:val="00671C5F"/>
    <w:rsid w:val="00671F8E"/>
    <w:rsid w:val="00676D55"/>
    <w:rsid w:val="0067780C"/>
    <w:rsid w:val="00677C4D"/>
    <w:rsid w:val="0068115D"/>
    <w:rsid w:val="00681706"/>
    <w:rsid w:val="0068502A"/>
    <w:rsid w:val="00685B5C"/>
    <w:rsid w:val="00686BDF"/>
    <w:rsid w:val="00690561"/>
    <w:rsid w:val="006914CA"/>
    <w:rsid w:val="00691B7C"/>
    <w:rsid w:val="006924A4"/>
    <w:rsid w:val="00692C8D"/>
    <w:rsid w:val="006932EA"/>
    <w:rsid w:val="00693329"/>
    <w:rsid w:val="00693637"/>
    <w:rsid w:val="0069592C"/>
    <w:rsid w:val="00695DA4"/>
    <w:rsid w:val="00696170"/>
    <w:rsid w:val="006979BC"/>
    <w:rsid w:val="006A1370"/>
    <w:rsid w:val="006A2A83"/>
    <w:rsid w:val="006A4160"/>
    <w:rsid w:val="006A49EE"/>
    <w:rsid w:val="006A50F0"/>
    <w:rsid w:val="006A5C52"/>
    <w:rsid w:val="006A6306"/>
    <w:rsid w:val="006B04F1"/>
    <w:rsid w:val="006B1AEF"/>
    <w:rsid w:val="006B32E6"/>
    <w:rsid w:val="006B49D1"/>
    <w:rsid w:val="006B5012"/>
    <w:rsid w:val="006B5091"/>
    <w:rsid w:val="006B5A91"/>
    <w:rsid w:val="006B7F95"/>
    <w:rsid w:val="006C0DA4"/>
    <w:rsid w:val="006C33EF"/>
    <w:rsid w:val="006C6385"/>
    <w:rsid w:val="006C7C4B"/>
    <w:rsid w:val="006D0BCC"/>
    <w:rsid w:val="006D0E1A"/>
    <w:rsid w:val="006D0FF8"/>
    <w:rsid w:val="006D105B"/>
    <w:rsid w:val="006D62E0"/>
    <w:rsid w:val="006D6646"/>
    <w:rsid w:val="006D6FB5"/>
    <w:rsid w:val="006D7D18"/>
    <w:rsid w:val="006E2B22"/>
    <w:rsid w:val="006E367C"/>
    <w:rsid w:val="006E4CAE"/>
    <w:rsid w:val="006E5330"/>
    <w:rsid w:val="006E53D2"/>
    <w:rsid w:val="006E644C"/>
    <w:rsid w:val="006E6E4E"/>
    <w:rsid w:val="006E78B2"/>
    <w:rsid w:val="006F2CEF"/>
    <w:rsid w:val="006F2D2C"/>
    <w:rsid w:val="006F3984"/>
    <w:rsid w:val="006F6AF6"/>
    <w:rsid w:val="006F766C"/>
    <w:rsid w:val="006F79C0"/>
    <w:rsid w:val="007023BF"/>
    <w:rsid w:val="007039AB"/>
    <w:rsid w:val="00704867"/>
    <w:rsid w:val="00713A34"/>
    <w:rsid w:val="00714B89"/>
    <w:rsid w:val="0071731C"/>
    <w:rsid w:val="0072623C"/>
    <w:rsid w:val="00726C73"/>
    <w:rsid w:val="00727268"/>
    <w:rsid w:val="0073003A"/>
    <w:rsid w:val="007309D2"/>
    <w:rsid w:val="00730C1B"/>
    <w:rsid w:val="0073275D"/>
    <w:rsid w:val="00733307"/>
    <w:rsid w:val="00734B3F"/>
    <w:rsid w:val="00734E01"/>
    <w:rsid w:val="0073572D"/>
    <w:rsid w:val="00736C3C"/>
    <w:rsid w:val="0073765B"/>
    <w:rsid w:val="007379BC"/>
    <w:rsid w:val="00752053"/>
    <w:rsid w:val="00753C18"/>
    <w:rsid w:val="0075401D"/>
    <w:rsid w:val="0076106C"/>
    <w:rsid w:val="007624D2"/>
    <w:rsid w:val="0076337B"/>
    <w:rsid w:val="00764589"/>
    <w:rsid w:val="00765265"/>
    <w:rsid w:val="00765E70"/>
    <w:rsid w:val="0077076B"/>
    <w:rsid w:val="00770AA7"/>
    <w:rsid w:val="00771EBD"/>
    <w:rsid w:val="0077432E"/>
    <w:rsid w:val="007748EC"/>
    <w:rsid w:val="007800D5"/>
    <w:rsid w:val="00780B81"/>
    <w:rsid w:val="00781084"/>
    <w:rsid w:val="00782A7C"/>
    <w:rsid w:val="00783843"/>
    <w:rsid w:val="00783A21"/>
    <w:rsid w:val="00783FD1"/>
    <w:rsid w:val="00784CD6"/>
    <w:rsid w:val="0078511E"/>
    <w:rsid w:val="00786C51"/>
    <w:rsid w:val="007911BD"/>
    <w:rsid w:val="007918D0"/>
    <w:rsid w:val="0079469E"/>
    <w:rsid w:val="00794895"/>
    <w:rsid w:val="00796C53"/>
    <w:rsid w:val="007A0D5E"/>
    <w:rsid w:val="007A2CBE"/>
    <w:rsid w:val="007A2F6D"/>
    <w:rsid w:val="007A37B4"/>
    <w:rsid w:val="007A5668"/>
    <w:rsid w:val="007A671E"/>
    <w:rsid w:val="007B1F40"/>
    <w:rsid w:val="007B228D"/>
    <w:rsid w:val="007B2BAB"/>
    <w:rsid w:val="007B2E42"/>
    <w:rsid w:val="007B42C4"/>
    <w:rsid w:val="007B4BDA"/>
    <w:rsid w:val="007C2E89"/>
    <w:rsid w:val="007C3418"/>
    <w:rsid w:val="007C4410"/>
    <w:rsid w:val="007C74B5"/>
    <w:rsid w:val="007D3E89"/>
    <w:rsid w:val="007D49A6"/>
    <w:rsid w:val="007D74AA"/>
    <w:rsid w:val="007D78DD"/>
    <w:rsid w:val="007D7FEC"/>
    <w:rsid w:val="007E0190"/>
    <w:rsid w:val="007E0B0E"/>
    <w:rsid w:val="007E0C0F"/>
    <w:rsid w:val="007E0D06"/>
    <w:rsid w:val="007E303A"/>
    <w:rsid w:val="007E3997"/>
    <w:rsid w:val="007E6F29"/>
    <w:rsid w:val="007E7F7D"/>
    <w:rsid w:val="007F03E8"/>
    <w:rsid w:val="007F1EE2"/>
    <w:rsid w:val="007F2CA3"/>
    <w:rsid w:val="007F6028"/>
    <w:rsid w:val="007F609B"/>
    <w:rsid w:val="00800EBD"/>
    <w:rsid w:val="00802A97"/>
    <w:rsid w:val="00804E5E"/>
    <w:rsid w:val="00805276"/>
    <w:rsid w:val="0080611A"/>
    <w:rsid w:val="008067F5"/>
    <w:rsid w:val="00807929"/>
    <w:rsid w:val="008118AB"/>
    <w:rsid w:val="00812B1F"/>
    <w:rsid w:val="00816B23"/>
    <w:rsid w:val="00816BE7"/>
    <w:rsid w:val="00820A8D"/>
    <w:rsid w:val="00820B7A"/>
    <w:rsid w:val="00823840"/>
    <w:rsid w:val="00831925"/>
    <w:rsid w:val="00833120"/>
    <w:rsid w:val="008331C6"/>
    <w:rsid w:val="00833BC3"/>
    <w:rsid w:val="0083448E"/>
    <w:rsid w:val="0083462C"/>
    <w:rsid w:val="00837BCA"/>
    <w:rsid w:val="00841A52"/>
    <w:rsid w:val="00842B17"/>
    <w:rsid w:val="008448CC"/>
    <w:rsid w:val="00844C53"/>
    <w:rsid w:val="00844CFE"/>
    <w:rsid w:val="0084523B"/>
    <w:rsid w:val="00851452"/>
    <w:rsid w:val="00852B30"/>
    <w:rsid w:val="008557D8"/>
    <w:rsid w:val="00855F7C"/>
    <w:rsid w:val="00857D1F"/>
    <w:rsid w:val="00861541"/>
    <w:rsid w:val="0086494F"/>
    <w:rsid w:val="0086620A"/>
    <w:rsid w:val="00867243"/>
    <w:rsid w:val="0087361F"/>
    <w:rsid w:val="00873DA7"/>
    <w:rsid w:val="00875091"/>
    <w:rsid w:val="008759D8"/>
    <w:rsid w:val="00876751"/>
    <w:rsid w:val="00876C60"/>
    <w:rsid w:val="00877C53"/>
    <w:rsid w:val="0088007E"/>
    <w:rsid w:val="00881A65"/>
    <w:rsid w:val="00883E50"/>
    <w:rsid w:val="008842A6"/>
    <w:rsid w:val="00885201"/>
    <w:rsid w:val="0088588A"/>
    <w:rsid w:val="00885AF0"/>
    <w:rsid w:val="00891F3A"/>
    <w:rsid w:val="00892833"/>
    <w:rsid w:val="00895751"/>
    <w:rsid w:val="0089597B"/>
    <w:rsid w:val="008968F7"/>
    <w:rsid w:val="00896A89"/>
    <w:rsid w:val="00897C25"/>
    <w:rsid w:val="008A1A5F"/>
    <w:rsid w:val="008A1E9C"/>
    <w:rsid w:val="008B0022"/>
    <w:rsid w:val="008B11D0"/>
    <w:rsid w:val="008B3B76"/>
    <w:rsid w:val="008B4E5E"/>
    <w:rsid w:val="008B7177"/>
    <w:rsid w:val="008B77BF"/>
    <w:rsid w:val="008C00C5"/>
    <w:rsid w:val="008D1321"/>
    <w:rsid w:val="008D39AC"/>
    <w:rsid w:val="008D4612"/>
    <w:rsid w:val="008D5776"/>
    <w:rsid w:val="008D715A"/>
    <w:rsid w:val="008D77CC"/>
    <w:rsid w:val="008D7CB4"/>
    <w:rsid w:val="008E1A53"/>
    <w:rsid w:val="008E2721"/>
    <w:rsid w:val="008E2FD9"/>
    <w:rsid w:val="008E4E51"/>
    <w:rsid w:val="008E53C5"/>
    <w:rsid w:val="008E557C"/>
    <w:rsid w:val="008E57F9"/>
    <w:rsid w:val="008E63DF"/>
    <w:rsid w:val="008E6CE0"/>
    <w:rsid w:val="008F044B"/>
    <w:rsid w:val="008F21CF"/>
    <w:rsid w:val="008F3785"/>
    <w:rsid w:val="008F3EFD"/>
    <w:rsid w:val="008F4BD4"/>
    <w:rsid w:val="008F5BA7"/>
    <w:rsid w:val="008F5D82"/>
    <w:rsid w:val="00901595"/>
    <w:rsid w:val="00903340"/>
    <w:rsid w:val="00903DC7"/>
    <w:rsid w:val="009049BE"/>
    <w:rsid w:val="00905776"/>
    <w:rsid w:val="00906471"/>
    <w:rsid w:val="009069E5"/>
    <w:rsid w:val="00906F3E"/>
    <w:rsid w:val="009111CE"/>
    <w:rsid w:val="009125DF"/>
    <w:rsid w:val="00913A1E"/>
    <w:rsid w:val="009160AD"/>
    <w:rsid w:val="00916A21"/>
    <w:rsid w:val="00917052"/>
    <w:rsid w:val="0091723A"/>
    <w:rsid w:val="009173A2"/>
    <w:rsid w:val="00920327"/>
    <w:rsid w:val="009230B0"/>
    <w:rsid w:val="00924664"/>
    <w:rsid w:val="0092626D"/>
    <w:rsid w:val="0092660C"/>
    <w:rsid w:val="00926D0B"/>
    <w:rsid w:val="0093053F"/>
    <w:rsid w:val="0093352E"/>
    <w:rsid w:val="00934597"/>
    <w:rsid w:val="00934F8A"/>
    <w:rsid w:val="00942D5C"/>
    <w:rsid w:val="009505BC"/>
    <w:rsid w:val="00953FF8"/>
    <w:rsid w:val="00957BCA"/>
    <w:rsid w:val="00957DEE"/>
    <w:rsid w:val="00957DF7"/>
    <w:rsid w:val="009605CB"/>
    <w:rsid w:val="00960AD4"/>
    <w:rsid w:val="00962B8C"/>
    <w:rsid w:val="0096426C"/>
    <w:rsid w:val="0096491F"/>
    <w:rsid w:val="009674BB"/>
    <w:rsid w:val="00970A6C"/>
    <w:rsid w:val="009738E3"/>
    <w:rsid w:val="009746F3"/>
    <w:rsid w:val="00975503"/>
    <w:rsid w:val="00975D97"/>
    <w:rsid w:val="00980DB7"/>
    <w:rsid w:val="00981001"/>
    <w:rsid w:val="00982956"/>
    <w:rsid w:val="00985E51"/>
    <w:rsid w:val="00986C4C"/>
    <w:rsid w:val="00986DF5"/>
    <w:rsid w:val="00987B48"/>
    <w:rsid w:val="00987C6A"/>
    <w:rsid w:val="00990D15"/>
    <w:rsid w:val="00991CD5"/>
    <w:rsid w:val="00992D10"/>
    <w:rsid w:val="00993075"/>
    <w:rsid w:val="009950AF"/>
    <w:rsid w:val="0099723F"/>
    <w:rsid w:val="009A04C8"/>
    <w:rsid w:val="009A0BEE"/>
    <w:rsid w:val="009A1B97"/>
    <w:rsid w:val="009A2BDB"/>
    <w:rsid w:val="009A726F"/>
    <w:rsid w:val="009A7F61"/>
    <w:rsid w:val="009B1CC6"/>
    <w:rsid w:val="009B27A3"/>
    <w:rsid w:val="009B3286"/>
    <w:rsid w:val="009B473F"/>
    <w:rsid w:val="009B621C"/>
    <w:rsid w:val="009B74CF"/>
    <w:rsid w:val="009B7932"/>
    <w:rsid w:val="009B7A92"/>
    <w:rsid w:val="009C2D50"/>
    <w:rsid w:val="009C3A9B"/>
    <w:rsid w:val="009C3EF3"/>
    <w:rsid w:val="009C4878"/>
    <w:rsid w:val="009C5266"/>
    <w:rsid w:val="009C5814"/>
    <w:rsid w:val="009C6121"/>
    <w:rsid w:val="009C63ED"/>
    <w:rsid w:val="009C7A50"/>
    <w:rsid w:val="009D1FEE"/>
    <w:rsid w:val="009D4075"/>
    <w:rsid w:val="009D5A72"/>
    <w:rsid w:val="009D6EF5"/>
    <w:rsid w:val="009E0284"/>
    <w:rsid w:val="009E12C0"/>
    <w:rsid w:val="009E13DD"/>
    <w:rsid w:val="009E1881"/>
    <w:rsid w:val="009E1C2B"/>
    <w:rsid w:val="009E1E43"/>
    <w:rsid w:val="009E5AA6"/>
    <w:rsid w:val="009E6776"/>
    <w:rsid w:val="009F1802"/>
    <w:rsid w:val="009F1E07"/>
    <w:rsid w:val="009F2DBF"/>
    <w:rsid w:val="009F427E"/>
    <w:rsid w:val="009F467C"/>
    <w:rsid w:val="009F53A1"/>
    <w:rsid w:val="00A01697"/>
    <w:rsid w:val="00A01A30"/>
    <w:rsid w:val="00A0599C"/>
    <w:rsid w:val="00A061C1"/>
    <w:rsid w:val="00A106EC"/>
    <w:rsid w:val="00A11E9E"/>
    <w:rsid w:val="00A13160"/>
    <w:rsid w:val="00A13AAB"/>
    <w:rsid w:val="00A141A7"/>
    <w:rsid w:val="00A14C01"/>
    <w:rsid w:val="00A16681"/>
    <w:rsid w:val="00A17DF7"/>
    <w:rsid w:val="00A20ADE"/>
    <w:rsid w:val="00A2191F"/>
    <w:rsid w:val="00A22A9D"/>
    <w:rsid w:val="00A22CA7"/>
    <w:rsid w:val="00A234EE"/>
    <w:rsid w:val="00A24007"/>
    <w:rsid w:val="00A24312"/>
    <w:rsid w:val="00A27139"/>
    <w:rsid w:val="00A27F05"/>
    <w:rsid w:val="00A30821"/>
    <w:rsid w:val="00A31735"/>
    <w:rsid w:val="00A34224"/>
    <w:rsid w:val="00A37200"/>
    <w:rsid w:val="00A37531"/>
    <w:rsid w:val="00A42A9D"/>
    <w:rsid w:val="00A44CA1"/>
    <w:rsid w:val="00A459E3"/>
    <w:rsid w:val="00A465C3"/>
    <w:rsid w:val="00A51C4C"/>
    <w:rsid w:val="00A53733"/>
    <w:rsid w:val="00A539FA"/>
    <w:rsid w:val="00A55599"/>
    <w:rsid w:val="00A60AEC"/>
    <w:rsid w:val="00A617A9"/>
    <w:rsid w:val="00A61AEA"/>
    <w:rsid w:val="00A62F21"/>
    <w:rsid w:val="00A652A9"/>
    <w:rsid w:val="00A65395"/>
    <w:rsid w:val="00A67D6A"/>
    <w:rsid w:val="00A72D0E"/>
    <w:rsid w:val="00A72D29"/>
    <w:rsid w:val="00A73A8D"/>
    <w:rsid w:val="00A73C6E"/>
    <w:rsid w:val="00A75638"/>
    <w:rsid w:val="00A7570E"/>
    <w:rsid w:val="00A75BD3"/>
    <w:rsid w:val="00A76C33"/>
    <w:rsid w:val="00A776BB"/>
    <w:rsid w:val="00A841F0"/>
    <w:rsid w:val="00A8725F"/>
    <w:rsid w:val="00A90893"/>
    <w:rsid w:val="00A917CE"/>
    <w:rsid w:val="00A917F1"/>
    <w:rsid w:val="00A93279"/>
    <w:rsid w:val="00A94EC0"/>
    <w:rsid w:val="00A96F45"/>
    <w:rsid w:val="00AA12D8"/>
    <w:rsid w:val="00AA2D98"/>
    <w:rsid w:val="00AA3522"/>
    <w:rsid w:val="00AA3E97"/>
    <w:rsid w:val="00AA7001"/>
    <w:rsid w:val="00AA79CB"/>
    <w:rsid w:val="00AB36FA"/>
    <w:rsid w:val="00AB6688"/>
    <w:rsid w:val="00AB6733"/>
    <w:rsid w:val="00AB7629"/>
    <w:rsid w:val="00AC3126"/>
    <w:rsid w:val="00AC72CF"/>
    <w:rsid w:val="00AD293A"/>
    <w:rsid w:val="00AD458C"/>
    <w:rsid w:val="00AD5D6A"/>
    <w:rsid w:val="00AD62C7"/>
    <w:rsid w:val="00AE036A"/>
    <w:rsid w:val="00AE2606"/>
    <w:rsid w:val="00AE4034"/>
    <w:rsid w:val="00AE410D"/>
    <w:rsid w:val="00AE4A03"/>
    <w:rsid w:val="00AE5029"/>
    <w:rsid w:val="00AE556F"/>
    <w:rsid w:val="00AE6249"/>
    <w:rsid w:val="00AF00DB"/>
    <w:rsid w:val="00AF0254"/>
    <w:rsid w:val="00AF205E"/>
    <w:rsid w:val="00AF2BFC"/>
    <w:rsid w:val="00AF3BD7"/>
    <w:rsid w:val="00AF540B"/>
    <w:rsid w:val="00AF5939"/>
    <w:rsid w:val="00AF65E5"/>
    <w:rsid w:val="00AF7A43"/>
    <w:rsid w:val="00AF7ED2"/>
    <w:rsid w:val="00AF7FF1"/>
    <w:rsid w:val="00B004F2"/>
    <w:rsid w:val="00B014B2"/>
    <w:rsid w:val="00B01A1C"/>
    <w:rsid w:val="00B068FA"/>
    <w:rsid w:val="00B10F2D"/>
    <w:rsid w:val="00B11041"/>
    <w:rsid w:val="00B135F0"/>
    <w:rsid w:val="00B13A41"/>
    <w:rsid w:val="00B15570"/>
    <w:rsid w:val="00B15738"/>
    <w:rsid w:val="00B22CF0"/>
    <w:rsid w:val="00B35AB0"/>
    <w:rsid w:val="00B360B3"/>
    <w:rsid w:val="00B3645F"/>
    <w:rsid w:val="00B41FA6"/>
    <w:rsid w:val="00B4312D"/>
    <w:rsid w:val="00B434BE"/>
    <w:rsid w:val="00B44F78"/>
    <w:rsid w:val="00B45396"/>
    <w:rsid w:val="00B4623A"/>
    <w:rsid w:val="00B46E6B"/>
    <w:rsid w:val="00B47CBA"/>
    <w:rsid w:val="00B5132D"/>
    <w:rsid w:val="00B52937"/>
    <w:rsid w:val="00B53FBA"/>
    <w:rsid w:val="00B57F0B"/>
    <w:rsid w:val="00B62243"/>
    <w:rsid w:val="00B62E14"/>
    <w:rsid w:val="00B631B9"/>
    <w:rsid w:val="00B633DE"/>
    <w:rsid w:val="00B65464"/>
    <w:rsid w:val="00B654C9"/>
    <w:rsid w:val="00B65E78"/>
    <w:rsid w:val="00B66F28"/>
    <w:rsid w:val="00B7001F"/>
    <w:rsid w:val="00B70C8D"/>
    <w:rsid w:val="00B70DD5"/>
    <w:rsid w:val="00B72453"/>
    <w:rsid w:val="00B72CCA"/>
    <w:rsid w:val="00B76326"/>
    <w:rsid w:val="00B76D25"/>
    <w:rsid w:val="00B800E6"/>
    <w:rsid w:val="00B8013D"/>
    <w:rsid w:val="00B809D1"/>
    <w:rsid w:val="00B842EF"/>
    <w:rsid w:val="00B84CFF"/>
    <w:rsid w:val="00B900DB"/>
    <w:rsid w:val="00B902C9"/>
    <w:rsid w:val="00B90B44"/>
    <w:rsid w:val="00B917A7"/>
    <w:rsid w:val="00B95E67"/>
    <w:rsid w:val="00B95F1F"/>
    <w:rsid w:val="00B9726C"/>
    <w:rsid w:val="00B97489"/>
    <w:rsid w:val="00BA0EDA"/>
    <w:rsid w:val="00BA1404"/>
    <w:rsid w:val="00BA509A"/>
    <w:rsid w:val="00BA5BE7"/>
    <w:rsid w:val="00BA6353"/>
    <w:rsid w:val="00BB1FD3"/>
    <w:rsid w:val="00BB207B"/>
    <w:rsid w:val="00BB36BC"/>
    <w:rsid w:val="00BB4B94"/>
    <w:rsid w:val="00BB5987"/>
    <w:rsid w:val="00BB61D4"/>
    <w:rsid w:val="00BC0E76"/>
    <w:rsid w:val="00BD011D"/>
    <w:rsid w:val="00BD0521"/>
    <w:rsid w:val="00BD0A81"/>
    <w:rsid w:val="00BD0A97"/>
    <w:rsid w:val="00BD0AB4"/>
    <w:rsid w:val="00BD0AC9"/>
    <w:rsid w:val="00BD1535"/>
    <w:rsid w:val="00BD162C"/>
    <w:rsid w:val="00BD2251"/>
    <w:rsid w:val="00BD2B05"/>
    <w:rsid w:val="00BD3DF6"/>
    <w:rsid w:val="00BD4325"/>
    <w:rsid w:val="00BD673D"/>
    <w:rsid w:val="00BD6B6D"/>
    <w:rsid w:val="00BD7AF6"/>
    <w:rsid w:val="00BE0B64"/>
    <w:rsid w:val="00BE1E8C"/>
    <w:rsid w:val="00BE1EA1"/>
    <w:rsid w:val="00BE22C0"/>
    <w:rsid w:val="00BE37C7"/>
    <w:rsid w:val="00BE3F7D"/>
    <w:rsid w:val="00BE435D"/>
    <w:rsid w:val="00BF0001"/>
    <w:rsid w:val="00BF04A5"/>
    <w:rsid w:val="00BF0E50"/>
    <w:rsid w:val="00BF15C4"/>
    <w:rsid w:val="00BF1A7D"/>
    <w:rsid w:val="00BF2F3A"/>
    <w:rsid w:val="00BF3890"/>
    <w:rsid w:val="00BF3D64"/>
    <w:rsid w:val="00BF46CB"/>
    <w:rsid w:val="00BF5ABC"/>
    <w:rsid w:val="00BF60EA"/>
    <w:rsid w:val="00BF75DF"/>
    <w:rsid w:val="00BF7610"/>
    <w:rsid w:val="00BF78E1"/>
    <w:rsid w:val="00BF7D52"/>
    <w:rsid w:val="00C004D6"/>
    <w:rsid w:val="00C00727"/>
    <w:rsid w:val="00C1644F"/>
    <w:rsid w:val="00C17FD2"/>
    <w:rsid w:val="00C203A1"/>
    <w:rsid w:val="00C217D5"/>
    <w:rsid w:val="00C231B4"/>
    <w:rsid w:val="00C23640"/>
    <w:rsid w:val="00C24822"/>
    <w:rsid w:val="00C256C9"/>
    <w:rsid w:val="00C25F0B"/>
    <w:rsid w:val="00C2619A"/>
    <w:rsid w:val="00C26878"/>
    <w:rsid w:val="00C27CFD"/>
    <w:rsid w:val="00C30354"/>
    <w:rsid w:val="00C31359"/>
    <w:rsid w:val="00C313DB"/>
    <w:rsid w:val="00C31EEC"/>
    <w:rsid w:val="00C31F62"/>
    <w:rsid w:val="00C3614C"/>
    <w:rsid w:val="00C37248"/>
    <w:rsid w:val="00C415F0"/>
    <w:rsid w:val="00C42955"/>
    <w:rsid w:val="00C461EA"/>
    <w:rsid w:val="00C47634"/>
    <w:rsid w:val="00C50D57"/>
    <w:rsid w:val="00C52AE8"/>
    <w:rsid w:val="00C578B9"/>
    <w:rsid w:val="00C61F36"/>
    <w:rsid w:val="00C64029"/>
    <w:rsid w:val="00C646AE"/>
    <w:rsid w:val="00C65250"/>
    <w:rsid w:val="00C6554C"/>
    <w:rsid w:val="00C660AD"/>
    <w:rsid w:val="00C67DF8"/>
    <w:rsid w:val="00C72727"/>
    <w:rsid w:val="00C72EB8"/>
    <w:rsid w:val="00C74BA0"/>
    <w:rsid w:val="00C75792"/>
    <w:rsid w:val="00C80B76"/>
    <w:rsid w:val="00C81890"/>
    <w:rsid w:val="00C828B3"/>
    <w:rsid w:val="00C84E95"/>
    <w:rsid w:val="00C85654"/>
    <w:rsid w:val="00C90667"/>
    <w:rsid w:val="00C90B0A"/>
    <w:rsid w:val="00C917AB"/>
    <w:rsid w:val="00C9260A"/>
    <w:rsid w:val="00C939BE"/>
    <w:rsid w:val="00C955F4"/>
    <w:rsid w:val="00C96E1E"/>
    <w:rsid w:val="00C97DA2"/>
    <w:rsid w:val="00CA2729"/>
    <w:rsid w:val="00CA408B"/>
    <w:rsid w:val="00CA475D"/>
    <w:rsid w:val="00CA4AA9"/>
    <w:rsid w:val="00CA759C"/>
    <w:rsid w:val="00CB10E3"/>
    <w:rsid w:val="00CB2132"/>
    <w:rsid w:val="00CB2898"/>
    <w:rsid w:val="00CB34CE"/>
    <w:rsid w:val="00CB43A5"/>
    <w:rsid w:val="00CB6AFE"/>
    <w:rsid w:val="00CC0851"/>
    <w:rsid w:val="00CC203B"/>
    <w:rsid w:val="00CC20E8"/>
    <w:rsid w:val="00CC4882"/>
    <w:rsid w:val="00CC579B"/>
    <w:rsid w:val="00CD0BA6"/>
    <w:rsid w:val="00CD0DBC"/>
    <w:rsid w:val="00CD1210"/>
    <w:rsid w:val="00CD27B4"/>
    <w:rsid w:val="00CD4005"/>
    <w:rsid w:val="00CD5D10"/>
    <w:rsid w:val="00CE07B2"/>
    <w:rsid w:val="00CE3B62"/>
    <w:rsid w:val="00CE40E0"/>
    <w:rsid w:val="00CE7CB7"/>
    <w:rsid w:val="00CF044E"/>
    <w:rsid w:val="00CF3710"/>
    <w:rsid w:val="00CF39AA"/>
    <w:rsid w:val="00CF6A9B"/>
    <w:rsid w:val="00CF737F"/>
    <w:rsid w:val="00CF74A2"/>
    <w:rsid w:val="00CF7ADA"/>
    <w:rsid w:val="00CF7C9F"/>
    <w:rsid w:val="00D0289D"/>
    <w:rsid w:val="00D05C91"/>
    <w:rsid w:val="00D07065"/>
    <w:rsid w:val="00D07625"/>
    <w:rsid w:val="00D10301"/>
    <w:rsid w:val="00D1272E"/>
    <w:rsid w:val="00D127CB"/>
    <w:rsid w:val="00D1450C"/>
    <w:rsid w:val="00D149AA"/>
    <w:rsid w:val="00D165C2"/>
    <w:rsid w:val="00D2327C"/>
    <w:rsid w:val="00D25FEE"/>
    <w:rsid w:val="00D266D1"/>
    <w:rsid w:val="00D26DAE"/>
    <w:rsid w:val="00D271DB"/>
    <w:rsid w:val="00D2796C"/>
    <w:rsid w:val="00D3246E"/>
    <w:rsid w:val="00D34457"/>
    <w:rsid w:val="00D34522"/>
    <w:rsid w:val="00D3484C"/>
    <w:rsid w:val="00D34AA8"/>
    <w:rsid w:val="00D36109"/>
    <w:rsid w:val="00D36787"/>
    <w:rsid w:val="00D36BB1"/>
    <w:rsid w:val="00D3741D"/>
    <w:rsid w:val="00D400BA"/>
    <w:rsid w:val="00D41B82"/>
    <w:rsid w:val="00D41C11"/>
    <w:rsid w:val="00D43630"/>
    <w:rsid w:val="00D44D8F"/>
    <w:rsid w:val="00D47B36"/>
    <w:rsid w:val="00D47FD4"/>
    <w:rsid w:val="00D510E5"/>
    <w:rsid w:val="00D5143D"/>
    <w:rsid w:val="00D51E4C"/>
    <w:rsid w:val="00D52A2E"/>
    <w:rsid w:val="00D53EE8"/>
    <w:rsid w:val="00D54F05"/>
    <w:rsid w:val="00D55A04"/>
    <w:rsid w:val="00D56189"/>
    <w:rsid w:val="00D565D8"/>
    <w:rsid w:val="00D56F2D"/>
    <w:rsid w:val="00D57084"/>
    <w:rsid w:val="00D60A2E"/>
    <w:rsid w:val="00D66A66"/>
    <w:rsid w:val="00D673DF"/>
    <w:rsid w:val="00D67C8A"/>
    <w:rsid w:val="00D67FE1"/>
    <w:rsid w:val="00D7385C"/>
    <w:rsid w:val="00D742BF"/>
    <w:rsid w:val="00D742E9"/>
    <w:rsid w:val="00D750EF"/>
    <w:rsid w:val="00D753E2"/>
    <w:rsid w:val="00D7658D"/>
    <w:rsid w:val="00D770E6"/>
    <w:rsid w:val="00D86E82"/>
    <w:rsid w:val="00D86F60"/>
    <w:rsid w:val="00D9100D"/>
    <w:rsid w:val="00D9228C"/>
    <w:rsid w:val="00D94061"/>
    <w:rsid w:val="00D954E4"/>
    <w:rsid w:val="00D966F0"/>
    <w:rsid w:val="00D96F51"/>
    <w:rsid w:val="00DA0796"/>
    <w:rsid w:val="00DA088F"/>
    <w:rsid w:val="00DA50A2"/>
    <w:rsid w:val="00DA6461"/>
    <w:rsid w:val="00DA7FA1"/>
    <w:rsid w:val="00DB0811"/>
    <w:rsid w:val="00DB4B31"/>
    <w:rsid w:val="00DB64A2"/>
    <w:rsid w:val="00DB69AE"/>
    <w:rsid w:val="00DC2650"/>
    <w:rsid w:val="00DC2B55"/>
    <w:rsid w:val="00DC45A7"/>
    <w:rsid w:val="00DC67CE"/>
    <w:rsid w:val="00DC6D5A"/>
    <w:rsid w:val="00DD0161"/>
    <w:rsid w:val="00DD0331"/>
    <w:rsid w:val="00DD1B57"/>
    <w:rsid w:val="00DD2065"/>
    <w:rsid w:val="00DD27E4"/>
    <w:rsid w:val="00DD2CB1"/>
    <w:rsid w:val="00DD3036"/>
    <w:rsid w:val="00DD48CD"/>
    <w:rsid w:val="00DD6520"/>
    <w:rsid w:val="00DD71B1"/>
    <w:rsid w:val="00DE0756"/>
    <w:rsid w:val="00DE1839"/>
    <w:rsid w:val="00DE3227"/>
    <w:rsid w:val="00DE42CA"/>
    <w:rsid w:val="00DE5CAF"/>
    <w:rsid w:val="00DE6DDE"/>
    <w:rsid w:val="00DE7CDD"/>
    <w:rsid w:val="00DF1876"/>
    <w:rsid w:val="00DF1EA1"/>
    <w:rsid w:val="00DF6FDD"/>
    <w:rsid w:val="00E00DA6"/>
    <w:rsid w:val="00E01699"/>
    <w:rsid w:val="00E01F0B"/>
    <w:rsid w:val="00E03B2E"/>
    <w:rsid w:val="00E0601E"/>
    <w:rsid w:val="00E07F11"/>
    <w:rsid w:val="00E13702"/>
    <w:rsid w:val="00E14077"/>
    <w:rsid w:val="00E1485C"/>
    <w:rsid w:val="00E225AA"/>
    <w:rsid w:val="00E23C04"/>
    <w:rsid w:val="00E2479C"/>
    <w:rsid w:val="00E24E2E"/>
    <w:rsid w:val="00E27D2A"/>
    <w:rsid w:val="00E27E6D"/>
    <w:rsid w:val="00E31ABD"/>
    <w:rsid w:val="00E3228F"/>
    <w:rsid w:val="00E3370C"/>
    <w:rsid w:val="00E34D72"/>
    <w:rsid w:val="00E357F2"/>
    <w:rsid w:val="00E35BAC"/>
    <w:rsid w:val="00E35D96"/>
    <w:rsid w:val="00E3678D"/>
    <w:rsid w:val="00E37D48"/>
    <w:rsid w:val="00E43C58"/>
    <w:rsid w:val="00E45D1A"/>
    <w:rsid w:val="00E46138"/>
    <w:rsid w:val="00E50C27"/>
    <w:rsid w:val="00E51700"/>
    <w:rsid w:val="00E5443C"/>
    <w:rsid w:val="00E54680"/>
    <w:rsid w:val="00E55F6A"/>
    <w:rsid w:val="00E5621F"/>
    <w:rsid w:val="00E57CE7"/>
    <w:rsid w:val="00E60E1E"/>
    <w:rsid w:val="00E61D4F"/>
    <w:rsid w:val="00E62184"/>
    <w:rsid w:val="00E638FC"/>
    <w:rsid w:val="00E64B7F"/>
    <w:rsid w:val="00E67AD4"/>
    <w:rsid w:val="00E70E90"/>
    <w:rsid w:val="00E71287"/>
    <w:rsid w:val="00E71C23"/>
    <w:rsid w:val="00E73FB5"/>
    <w:rsid w:val="00E744D7"/>
    <w:rsid w:val="00E77F6A"/>
    <w:rsid w:val="00E81C1C"/>
    <w:rsid w:val="00E823F4"/>
    <w:rsid w:val="00E824AC"/>
    <w:rsid w:val="00E82D61"/>
    <w:rsid w:val="00E87DFC"/>
    <w:rsid w:val="00E90111"/>
    <w:rsid w:val="00E91A77"/>
    <w:rsid w:val="00E91C2B"/>
    <w:rsid w:val="00E95391"/>
    <w:rsid w:val="00E95A20"/>
    <w:rsid w:val="00E961F8"/>
    <w:rsid w:val="00E96EC1"/>
    <w:rsid w:val="00E972D8"/>
    <w:rsid w:val="00EA15DF"/>
    <w:rsid w:val="00EA3218"/>
    <w:rsid w:val="00EA3223"/>
    <w:rsid w:val="00EA402F"/>
    <w:rsid w:val="00EA4EC8"/>
    <w:rsid w:val="00EA6C08"/>
    <w:rsid w:val="00EB0139"/>
    <w:rsid w:val="00EB052E"/>
    <w:rsid w:val="00EB0CEC"/>
    <w:rsid w:val="00EB13BE"/>
    <w:rsid w:val="00EB14BA"/>
    <w:rsid w:val="00EB3CCD"/>
    <w:rsid w:val="00EB54C6"/>
    <w:rsid w:val="00EC1DBB"/>
    <w:rsid w:val="00EC375D"/>
    <w:rsid w:val="00EC5623"/>
    <w:rsid w:val="00EC5C11"/>
    <w:rsid w:val="00EC65A4"/>
    <w:rsid w:val="00ED1B0F"/>
    <w:rsid w:val="00ED2517"/>
    <w:rsid w:val="00ED2580"/>
    <w:rsid w:val="00ED25FD"/>
    <w:rsid w:val="00ED69F1"/>
    <w:rsid w:val="00ED79FC"/>
    <w:rsid w:val="00EE1DD8"/>
    <w:rsid w:val="00EE34C0"/>
    <w:rsid w:val="00EE395E"/>
    <w:rsid w:val="00EE4EEF"/>
    <w:rsid w:val="00EF3788"/>
    <w:rsid w:val="00EF3DAE"/>
    <w:rsid w:val="00EF518F"/>
    <w:rsid w:val="00EF65D2"/>
    <w:rsid w:val="00EF7A1D"/>
    <w:rsid w:val="00F0203C"/>
    <w:rsid w:val="00F02AF5"/>
    <w:rsid w:val="00F05C73"/>
    <w:rsid w:val="00F118D7"/>
    <w:rsid w:val="00F122D5"/>
    <w:rsid w:val="00F12874"/>
    <w:rsid w:val="00F16EE0"/>
    <w:rsid w:val="00F21C17"/>
    <w:rsid w:val="00F40D72"/>
    <w:rsid w:val="00F4161B"/>
    <w:rsid w:val="00F416F1"/>
    <w:rsid w:val="00F42CFA"/>
    <w:rsid w:val="00F43358"/>
    <w:rsid w:val="00F4411F"/>
    <w:rsid w:val="00F444D7"/>
    <w:rsid w:val="00F45D04"/>
    <w:rsid w:val="00F5024D"/>
    <w:rsid w:val="00F51A6B"/>
    <w:rsid w:val="00F53CED"/>
    <w:rsid w:val="00F546A4"/>
    <w:rsid w:val="00F54F9A"/>
    <w:rsid w:val="00F558F0"/>
    <w:rsid w:val="00F5593B"/>
    <w:rsid w:val="00F56214"/>
    <w:rsid w:val="00F61BEB"/>
    <w:rsid w:val="00F62099"/>
    <w:rsid w:val="00F6317D"/>
    <w:rsid w:val="00F63A65"/>
    <w:rsid w:val="00F64A52"/>
    <w:rsid w:val="00F64BC7"/>
    <w:rsid w:val="00F72255"/>
    <w:rsid w:val="00F730C0"/>
    <w:rsid w:val="00F73B43"/>
    <w:rsid w:val="00F740C6"/>
    <w:rsid w:val="00F75E29"/>
    <w:rsid w:val="00F777ED"/>
    <w:rsid w:val="00F7786B"/>
    <w:rsid w:val="00F83341"/>
    <w:rsid w:val="00F83623"/>
    <w:rsid w:val="00F836A6"/>
    <w:rsid w:val="00F84814"/>
    <w:rsid w:val="00F84D4C"/>
    <w:rsid w:val="00F85D09"/>
    <w:rsid w:val="00F92367"/>
    <w:rsid w:val="00F92898"/>
    <w:rsid w:val="00F92FCC"/>
    <w:rsid w:val="00F956B0"/>
    <w:rsid w:val="00F9686B"/>
    <w:rsid w:val="00F9774C"/>
    <w:rsid w:val="00F97BA3"/>
    <w:rsid w:val="00FA133C"/>
    <w:rsid w:val="00FA64D1"/>
    <w:rsid w:val="00FA6987"/>
    <w:rsid w:val="00FA7155"/>
    <w:rsid w:val="00FB0FCA"/>
    <w:rsid w:val="00FB4EF4"/>
    <w:rsid w:val="00FB5195"/>
    <w:rsid w:val="00FB5A73"/>
    <w:rsid w:val="00FB5ECA"/>
    <w:rsid w:val="00FB6878"/>
    <w:rsid w:val="00FC03ED"/>
    <w:rsid w:val="00FC0D60"/>
    <w:rsid w:val="00FC2659"/>
    <w:rsid w:val="00FC3710"/>
    <w:rsid w:val="00FD06BC"/>
    <w:rsid w:val="00FD4AF7"/>
    <w:rsid w:val="00FD6492"/>
    <w:rsid w:val="00FD741F"/>
    <w:rsid w:val="00FE0B25"/>
    <w:rsid w:val="00FE3451"/>
    <w:rsid w:val="00FE5B0D"/>
    <w:rsid w:val="00FF38DE"/>
    <w:rsid w:val="00FF59AE"/>
    <w:rsid w:val="00FF7463"/>
    <w:rsid w:val="00FF7D1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D7B76"/>
  <w15:docId w15:val="{B418C7FE-9FEC-4190-8939-1D9193B21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iPriority="0"/>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4C1E"/>
    <w:rPr>
      <w:rFonts w:ascii="Times New Roman" w:eastAsia="Batang" w:hAnsi="Times New Roman"/>
      <w:sz w:val="24"/>
      <w:szCs w:val="24"/>
      <w:lang w:val="es-ES_tradnl"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4C1E"/>
    <w:pPr>
      <w:tabs>
        <w:tab w:val="center" w:pos="4320"/>
        <w:tab w:val="right" w:pos="8640"/>
      </w:tabs>
    </w:pPr>
    <w:rPr>
      <w:szCs w:val="20"/>
    </w:rPr>
  </w:style>
  <w:style w:type="character" w:customStyle="1" w:styleId="FooterChar">
    <w:name w:val="Footer Char"/>
    <w:link w:val="Footer"/>
    <w:uiPriority w:val="99"/>
    <w:rsid w:val="004F4C1E"/>
    <w:rPr>
      <w:rFonts w:ascii="Times New Roman" w:eastAsia="Batang" w:hAnsi="Times New Roman" w:cs="Times New Roman"/>
      <w:sz w:val="24"/>
      <w:lang w:val="es-ES_tradnl" w:eastAsia="ko-KR"/>
    </w:rPr>
  </w:style>
  <w:style w:type="paragraph" w:styleId="FootnoteText">
    <w:name w:val="footnote text"/>
    <w:aliases w:val="fn"/>
    <w:basedOn w:val="Normal"/>
    <w:link w:val="FootnoteTextChar"/>
    <w:semiHidden/>
    <w:rsid w:val="004F4C1E"/>
    <w:pPr>
      <w:keepNext/>
      <w:keepLines/>
      <w:spacing w:after="120"/>
      <w:ind w:left="288" w:hanging="288"/>
      <w:jc w:val="both"/>
    </w:pPr>
    <w:rPr>
      <w:spacing w:val="-3"/>
      <w:sz w:val="20"/>
      <w:szCs w:val="20"/>
      <w:lang w:eastAsia="x-none"/>
    </w:rPr>
  </w:style>
  <w:style w:type="character" w:customStyle="1" w:styleId="FootnoteTextChar">
    <w:name w:val="Footnote Text Char"/>
    <w:aliases w:val="fn Char"/>
    <w:link w:val="FootnoteText"/>
    <w:semiHidden/>
    <w:rsid w:val="004F4C1E"/>
    <w:rPr>
      <w:rFonts w:ascii="Times New Roman" w:eastAsia="Batang" w:hAnsi="Times New Roman" w:cs="Times New Roman"/>
      <w:spacing w:val="-3"/>
      <w:sz w:val="20"/>
      <w:lang w:val="es-ES_tradnl"/>
    </w:rPr>
  </w:style>
  <w:style w:type="character" w:styleId="FootnoteReference">
    <w:name w:val="footnote reference"/>
    <w:aliases w:val="FC,ftref,Fußnotenzeichen DISS,16 Point,Superscript 6 Point,BVI fnr, BVI fnr,Знак сноски 1,referencia nota al pie,titulo 2,Footnote Referencefra,Ref. de nota al pie.,Footnote Reference.SES,Ref. de nota al pie EDEP,pie pddes,fr,SUPERS"/>
    <w:uiPriority w:val="99"/>
    <w:qFormat/>
    <w:rsid w:val="004F4C1E"/>
    <w:rPr>
      <w:rFonts w:cs="Times New Roman"/>
      <w:vertAlign w:val="superscript"/>
    </w:rPr>
  </w:style>
  <w:style w:type="character" w:styleId="CommentReference">
    <w:name w:val="annotation reference"/>
    <w:semiHidden/>
    <w:rsid w:val="004F4C1E"/>
    <w:rPr>
      <w:rFonts w:cs="Times New Roman"/>
      <w:sz w:val="18"/>
    </w:rPr>
  </w:style>
  <w:style w:type="paragraph" w:styleId="CommentText">
    <w:name w:val="annotation text"/>
    <w:basedOn w:val="Normal"/>
    <w:link w:val="CommentTextChar"/>
    <w:semiHidden/>
    <w:rsid w:val="004F4C1E"/>
    <w:rPr>
      <w:szCs w:val="20"/>
    </w:rPr>
  </w:style>
  <w:style w:type="character" w:customStyle="1" w:styleId="CommentTextChar">
    <w:name w:val="Comment Text Char"/>
    <w:link w:val="CommentText"/>
    <w:rsid w:val="004F4C1E"/>
    <w:rPr>
      <w:rFonts w:ascii="Times New Roman" w:eastAsia="Batang" w:hAnsi="Times New Roman" w:cs="Times New Roman"/>
      <w:sz w:val="24"/>
      <w:lang w:val="es-ES_tradnl" w:eastAsia="ko-KR"/>
    </w:rPr>
  </w:style>
  <w:style w:type="paragraph" w:styleId="BalloonText">
    <w:name w:val="Balloon Text"/>
    <w:basedOn w:val="Normal"/>
    <w:link w:val="BalloonTextChar"/>
    <w:uiPriority w:val="99"/>
    <w:semiHidden/>
    <w:rsid w:val="004F4C1E"/>
    <w:rPr>
      <w:rFonts w:ascii="Tahoma" w:hAnsi="Tahoma"/>
      <w:sz w:val="16"/>
      <w:szCs w:val="20"/>
    </w:rPr>
  </w:style>
  <w:style w:type="character" w:customStyle="1" w:styleId="BalloonTextChar">
    <w:name w:val="Balloon Text Char"/>
    <w:link w:val="BalloonText"/>
    <w:uiPriority w:val="99"/>
    <w:semiHidden/>
    <w:rsid w:val="004F4C1E"/>
    <w:rPr>
      <w:rFonts w:ascii="Tahoma" w:eastAsia="Batang" w:hAnsi="Tahoma" w:cs="Tahoma"/>
      <w:sz w:val="16"/>
      <w:lang w:val="es-ES_tradnl" w:eastAsia="ko-KR"/>
    </w:rPr>
  </w:style>
  <w:style w:type="paragraph" w:styleId="ListParagraph">
    <w:name w:val="List Paragraph"/>
    <w:basedOn w:val="Normal"/>
    <w:uiPriority w:val="34"/>
    <w:qFormat/>
    <w:rsid w:val="00752053"/>
    <w:pPr>
      <w:ind w:left="720"/>
      <w:contextualSpacing/>
    </w:pPr>
  </w:style>
  <w:style w:type="character" w:styleId="Hyperlink">
    <w:name w:val="Hyperlink"/>
    <w:uiPriority w:val="99"/>
    <w:rsid w:val="008F044B"/>
    <w:rPr>
      <w:rFonts w:cs="Times New Roman"/>
      <w:color w:val="0000FF"/>
      <w:u w:val="single"/>
    </w:rPr>
  </w:style>
  <w:style w:type="paragraph" w:styleId="CommentSubject">
    <w:name w:val="annotation subject"/>
    <w:basedOn w:val="CommentText"/>
    <w:next w:val="CommentText"/>
    <w:link w:val="CommentSubjectChar"/>
    <w:uiPriority w:val="99"/>
    <w:semiHidden/>
    <w:rsid w:val="00592F01"/>
    <w:rPr>
      <w:b/>
      <w:bCs/>
      <w:sz w:val="20"/>
    </w:rPr>
  </w:style>
  <w:style w:type="character" w:customStyle="1" w:styleId="CommentSubjectChar">
    <w:name w:val="Comment Subject Char"/>
    <w:link w:val="CommentSubject"/>
    <w:uiPriority w:val="99"/>
    <w:semiHidden/>
    <w:rsid w:val="00592F01"/>
    <w:rPr>
      <w:rFonts w:ascii="Times New Roman" w:eastAsia="Batang" w:hAnsi="Times New Roman" w:cs="Times New Roman"/>
      <w:b/>
      <w:bCs/>
      <w:sz w:val="20"/>
      <w:lang w:val="es-ES_tradnl" w:eastAsia="ko-KR"/>
    </w:rPr>
  </w:style>
  <w:style w:type="table" w:styleId="TableGrid">
    <w:name w:val="Table Grid"/>
    <w:basedOn w:val="TableNormal"/>
    <w:uiPriority w:val="99"/>
    <w:rsid w:val="001403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71287"/>
    <w:pPr>
      <w:tabs>
        <w:tab w:val="center" w:pos="4680"/>
        <w:tab w:val="right" w:pos="9360"/>
      </w:tabs>
    </w:pPr>
  </w:style>
  <w:style w:type="character" w:customStyle="1" w:styleId="HeaderChar">
    <w:name w:val="Header Char"/>
    <w:link w:val="Header"/>
    <w:uiPriority w:val="99"/>
    <w:rsid w:val="00E71287"/>
    <w:rPr>
      <w:rFonts w:ascii="Times New Roman" w:eastAsia="Batang" w:hAnsi="Times New Roman"/>
      <w:sz w:val="24"/>
      <w:szCs w:val="24"/>
      <w:lang w:val="es-ES_tradnl" w:eastAsia="ko-KR"/>
    </w:rPr>
  </w:style>
  <w:style w:type="paragraph" w:customStyle="1" w:styleId="Newpage">
    <w:name w:val="Newpage"/>
    <w:basedOn w:val="Normal"/>
    <w:rsid w:val="00885AF0"/>
    <w:pPr>
      <w:keepNext/>
      <w:tabs>
        <w:tab w:val="left" w:pos="1440"/>
        <w:tab w:val="left" w:pos="3060"/>
      </w:tabs>
      <w:spacing w:before="240"/>
      <w:jc w:val="center"/>
    </w:pPr>
    <w:rPr>
      <w:rFonts w:eastAsia="Times New Roman"/>
      <w:b/>
      <w:smallCaps/>
      <w:szCs w:val="20"/>
      <w:lang w:eastAsia="en-US"/>
    </w:rPr>
  </w:style>
  <w:style w:type="character" w:styleId="Strong">
    <w:name w:val="Strong"/>
    <w:uiPriority w:val="22"/>
    <w:qFormat/>
    <w:rsid w:val="00022C90"/>
    <w:rPr>
      <w:b/>
      <w:bCs/>
    </w:rPr>
  </w:style>
  <w:style w:type="paragraph" w:styleId="BodyText">
    <w:name w:val="Body Text"/>
    <w:basedOn w:val="Normal"/>
    <w:link w:val="BodyTextChar"/>
    <w:semiHidden/>
    <w:unhideWhenUsed/>
    <w:rsid w:val="00FE5B0D"/>
    <w:rPr>
      <w:rFonts w:eastAsia="Times New Roman"/>
      <w:szCs w:val="20"/>
      <w:lang w:eastAsia="x-none"/>
    </w:rPr>
  </w:style>
  <w:style w:type="character" w:customStyle="1" w:styleId="BodyTextChar">
    <w:name w:val="Body Text Char"/>
    <w:link w:val="BodyText"/>
    <w:semiHidden/>
    <w:rsid w:val="00FE5B0D"/>
    <w:rPr>
      <w:rFonts w:ascii="Times New Roman" w:eastAsia="Times New Roman" w:hAnsi="Times New Roman"/>
      <w:sz w:val="24"/>
      <w:lang w:val="es-ES_tradnl"/>
    </w:rPr>
  </w:style>
  <w:style w:type="paragraph" w:customStyle="1" w:styleId="Paragraph">
    <w:name w:val="Paragraph"/>
    <w:basedOn w:val="Normal"/>
    <w:rsid w:val="00DD27E4"/>
    <w:pPr>
      <w:spacing w:before="120" w:after="120"/>
      <w:ind w:left="720"/>
      <w:jc w:val="both"/>
    </w:pPr>
    <w:rPr>
      <w:rFonts w:eastAsia="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590843">
      <w:bodyDiv w:val="1"/>
      <w:marLeft w:val="0"/>
      <w:marRight w:val="0"/>
      <w:marTop w:val="0"/>
      <w:marBottom w:val="0"/>
      <w:divBdr>
        <w:top w:val="none" w:sz="0" w:space="0" w:color="auto"/>
        <w:left w:val="none" w:sz="0" w:space="0" w:color="auto"/>
        <w:bottom w:val="none" w:sz="0" w:space="0" w:color="auto"/>
        <w:right w:val="none" w:sz="0" w:space="0" w:color="auto"/>
      </w:divBdr>
    </w:div>
    <w:div w:id="867526532">
      <w:bodyDiv w:val="1"/>
      <w:marLeft w:val="0"/>
      <w:marRight w:val="0"/>
      <w:marTop w:val="0"/>
      <w:marBottom w:val="0"/>
      <w:divBdr>
        <w:top w:val="none" w:sz="0" w:space="0" w:color="auto"/>
        <w:left w:val="none" w:sz="0" w:space="0" w:color="auto"/>
        <w:bottom w:val="none" w:sz="0" w:space="0" w:color="auto"/>
        <w:right w:val="none" w:sz="0" w:space="0" w:color="auto"/>
      </w:divBdr>
    </w:div>
    <w:div w:id="1073502222">
      <w:bodyDiv w:val="1"/>
      <w:marLeft w:val="0"/>
      <w:marRight w:val="0"/>
      <w:marTop w:val="0"/>
      <w:marBottom w:val="0"/>
      <w:divBdr>
        <w:top w:val="none" w:sz="0" w:space="0" w:color="auto"/>
        <w:left w:val="none" w:sz="0" w:space="0" w:color="auto"/>
        <w:bottom w:val="none" w:sz="0" w:space="0" w:color="auto"/>
        <w:right w:val="none" w:sz="0" w:space="0" w:color="auto"/>
      </w:divBdr>
    </w:div>
    <w:div w:id="1092122748">
      <w:bodyDiv w:val="1"/>
      <w:marLeft w:val="0"/>
      <w:marRight w:val="0"/>
      <w:marTop w:val="0"/>
      <w:marBottom w:val="0"/>
      <w:divBdr>
        <w:top w:val="none" w:sz="0" w:space="0" w:color="auto"/>
        <w:left w:val="none" w:sz="0" w:space="0" w:color="auto"/>
        <w:bottom w:val="none" w:sz="0" w:space="0" w:color="auto"/>
        <w:right w:val="none" w:sz="0" w:space="0" w:color="auto"/>
      </w:divBdr>
    </w:div>
    <w:div w:id="1246265231">
      <w:bodyDiv w:val="1"/>
      <w:marLeft w:val="0"/>
      <w:marRight w:val="0"/>
      <w:marTop w:val="0"/>
      <w:marBottom w:val="0"/>
      <w:divBdr>
        <w:top w:val="none" w:sz="0" w:space="0" w:color="auto"/>
        <w:left w:val="none" w:sz="0" w:space="0" w:color="auto"/>
        <w:bottom w:val="none" w:sz="0" w:space="0" w:color="auto"/>
        <w:right w:val="none" w:sz="0" w:space="0" w:color="auto"/>
      </w:divBdr>
    </w:div>
    <w:div w:id="1269780163">
      <w:bodyDiv w:val="1"/>
      <w:marLeft w:val="0"/>
      <w:marRight w:val="0"/>
      <w:marTop w:val="0"/>
      <w:marBottom w:val="0"/>
      <w:divBdr>
        <w:top w:val="none" w:sz="0" w:space="0" w:color="auto"/>
        <w:left w:val="none" w:sz="0" w:space="0" w:color="auto"/>
        <w:bottom w:val="none" w:sz="0" w:space="0" w:color="auto"/>
        <w:right w:val="none" w:sz="0" w:space="0" w:color="auto"/>
      </w:divBdr>
    </w:div>
    <w:div w:id="1358698531">
      <w:bodyDiv w:val="1"/>
      <w:marLeft w:val="0"/>
      <w:marRight w:val="0"/>
      <w:marTop w:val="0"/>
      <w:marBottom w:val="0"/>
      <w:divBdr>
        <w:top w:val="none" w:sz="0" w:space="0" w:color="auto"/>
        <w:left w:val="none" w:sz="0" w:space="0" w:color="auto"/>
        <w:bottom w:val="none" w:sz="0" w:space="0" w:color="auto"/>
        <w:right w:val="none" w:sz="0" w:space="0" w:color="auto"/>
      </w:divBdr>
    </w:div>
    <w:div w:id="1413814770">
      <w:bodyDiv w:val="1"/>
      <w:marLeft w:val="0"/>
      <w:marRight w:val="0"/>
      <w:marTop w:val="0"/>
      <w:marBottom w:val="0"/>
      <w:divBdr>
        <w:top w:val="none" w:sz="0" w:space="0" w:color="auto"/>
        <w:left w:val="none" w:sz="0" w:space="0" w:color="auto"/>
        <w:bottom w:val="none" w:sz="0" w:space="0" w:color="auto"/>
        <w:right w:val="none" w:sz="0" w:space="0" w:color="auto"/>
      </w:divBdr>
    </w:div>
    <w:div w:id="1537699137">
      <w:bodyDiv w:val="1"/>
      <w:marLeft w:val="0"/>
      <w:marRight w:val="0"/>
      <w:marTop w:val="0"/>
      <w:marBottom w:val="0"/>
      <w:divBdr>
        <w:top w:val="none" w:sz="0" w:space="0" w:color="auto"/>
        <w:left w:val="none" w:sz="0" w:space="0" w:color="auto"/>
        <w:bottom w:val="none" w:sz="0" w:space="0" w:color="auto"/>
        <w:right w:val="none" w:sz="0" w:space="0" w:color="auto"/>
      </w:divBdr>
    </w:div>
    <w:div w:id="1761637342">
      <w:bodyDiv w:val="1"/>
      <w:marLeft w:val="0"/>
      <w:marRight w:val="0"/>
      <w:marTop w:val="0"/>
      <w:marBottom w:val="0"/>
      <w:divBdr>
        <w:top w:val="none" w:sz="0" w:space="0" w:color="auto"/>
        <w:left w:val="none" w:sz="0" w:space="0" w:color="auto"/>
        <w:bottom w:val="none" w:sz="0" w:space="0" w:color="auto"/>
        <w:right w:val="none" w:sz="0" w:space="0" w:color="auto"/>
      </w:divBdr>
    </w:div>
    <w:div w:id="2145736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DD3D0-12BF-4708-8A59-C2680D1F1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3016</Words>
  <Characters>16588</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19565</CharactersWithSpaces>
  <SharedDoc>false</SharedDoc>
  <HLinks>
    <vt:vector size="6" baseType="variant">
      <vt:variant>
        <vt:i4>5046303</vt:i4>
      </vt:variant>
      <vt:variant>
        <vt:i4>0</vt:i4>
      </vt:variant>
      <vt:variant>
        <vt:i4>0</vt:i4>
      </vt:variant>
      <vt:variant>
        <vt:i4>5</vt:i4>
      </vt:variant>
      <vt:variant>
        <vt:lpwstr>http://idbdocs.iadb.org/wsdocs/getDocument.aspx?DOCNUM=774399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 Camila Padilla</dc:creator>
  <cp:lastModifiedBy>Arauz Herrera, Alison</cp:lastModifiedBy>
  <cp:revision>13</cp:revision>
  <cp:lastPrinted>2012-11-15T20:48:00Z</cp:lastPrinted>
  <dcterms:created xsi:type="dcterms:W3CDTF">2017-11-03T16:52:00Z</dcterms:created>
  <dcterms:modified xsi:type="dcterms:W3CDTF">2017-11-29T15:11:00Z</dcterms:modified>
</cp:coreProperties>
</file>