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BB6BF" w14:textId="77777777" w:rsidR="00A05017" w:rsidRDefault="001801C9">
      <w:pPr>
        <w:jc w:val="center"/>
        <w:rPr>
          <w:rFonts w:ascii="Arial" w:eastAsia="Arial" w:hAnsi="Arial" w:cs="Arial"/>
          <w:b/>
          <w:sz w:val="22"/>
          <w:szCs w:val="22"/>
        </w:rPr>
      </w:pPr>
      <w:bookmarkStart w:id="0" w:name="_heading=h.30j0zll" w:colFirst="0" w:colLast="0"/>
      <w:bookmarkEnd w:id="0"/>
      <w:r>
        <w:rPr>
          <w:rFonts w:ascii="Arial" w:eastAsia="Arial" w:hAnsi="Arial" w:cs="Arial"/>
          <w:b/>
          <w:sz w:val="22"/>
          <w:szCs w:val="22"/>
        </w:rPr>
        <w:t>COLOMBIA</w:t>
      </w:r>
    </w:p>
    <w:p w14:paraId="2ADE9E32" w14:textId="77777777" w:rsidR="00A05017" w:rsidRDefault="00A05017">
      <w:pPr>
        <w:jc w:val="center"/>
        <w:rPr>
          <w:rFonts w:ascii="Arial" w:eastAsia="Arial" w:hAnsi="Arial" w:cs="Arial"/>
          <w:b/>
          <w:sz w:val="22"/>
          <w:szCs w:val="22"/>
        </w:rPr>
      </w:pPr>
    </w:p>
    <w:p w14:paraId="3967B1B7" w14:textId="77777777" w:rsidR="00A05017" w:rsidRDefault="001801C9">
      <w:pPr>
        <w:jc w:val="center"/>
        <w:rPr>
          <w:rFonts w:ascii="Arial" w:eastAsia="Arial" w:hAnsi="Arial" w:cs="Arial"/>
          <w:b/>
          <w:sz w:val="22"/>
          <w:szCs w:val="22"/>
        </w:rPr>
      </w:pPr>
      <w:r>
        <w:rPr>
          <w:rFonts w:ascii="Arial" w:eastAsia="Arial" w:hAnsi="Arial" w:cs="Arial"/>
          <w:b/>
          <w:sz w:val="22"/>
          <w:szCs w:val="22"/>
        </w:rPr>
        <w:t>COOPERACIÓN TÉCNICA NO REEMBOLSABLE No. ATN/EE-18584-CO</w:t>
      </w:r>
    </w:p>
    <w:p w14:paraId="5A19933E" w14:textId="77777777" w:rsidR="00A05017" w:rsidRDefault="00A05017">
      <w:pPr>
        <w:jc w:val="center"/>
        <w:rPr>
          <w:rFonts w:ascii="Arial" w:eastAsia="Arial" w:hAnsi="Arial" w:cs="Arial"/>
          <w:b/>
          <w:sz w:val="22"/>
          <w:szCs w:val="22"/>
        </w:rPr>
      </w:pPr>
    </w:p>
    <w:p w14:paraId="2232A298" w14:textId="77777777" w:rsidR="00A05017" w:rsidRDefault="001801C9">
      <w:pPr>
        <w:pStyle w:val="Title"/>
        <w:rPr>
          <w:i w:val="0"/>
          <w:sz w:val="22"/>
          <w:szCs w:val="22"/>
        </w:rPr>
      </w:pPr>
      <w:r>
        <w:rPr>
          <w:i w:val="0"/>
          <w:sz w:val="22"/>
          <w:szCs w:val="22"/>
        </w:rPr>
        <w:t>AVISO GENERAL DE ADQUISICIONES</w:t>
      </w:r>
    </w:p>
    <w:p w14:paraId="0B94585F" w14:textId="77777777" w:rsidR="00A05017" w:rsidRDefault="00A05017">
      <w:pPr>
        <w:jc w:val="center"/>
        <w:rPr>
          <w:rFonts w:ascii="Arial" w:eastAsia="Arial" w:hAnsi="Arial" w:cs="Arial"/>
          <w:b/>
          <w:sz w:val="22"/>
          <w:szCs w:val="22"/>
        </w:rPr>
      </w:pPr>
    </w:p>
    <w:p w14:paraId="550EDBFF" w14:textId="77777777" w:rsidR="00A05017" w:rsidRDefault="001801C9">
      <w:pPr>
        <w:jc w:val="center"/>
        <w:rPr>
          <w:rFonts w:ascii="Arial" w:eastAsia="Arial" w:hAnsi="Arial" w:cs="Arial"/>
          <w:b/>
          <w:sz w:val="22"/>
          <w:szCs w:val="22"/>
        </w:rPr>
      </w:pPr>
      <w:bookmarkStart w:id="1" w:name="_heading=h.gjdgxs" w:colFirst="0" w:colLast="0"/>
      <w:bookmarkEnd w:id="1"/>
      <w:r>
        <w:rPr>
          <w:rFonts w:ascii="Arial" w:eastAsia="Arial" w:hAnsi="Arial" w:cs="Arial"/>
          <w:b/>
          <w:sz w:val="22"/>
          <w:szCs w:val="22"/>
        </w:rPr>
        <w:t>Proyecto “Desarrollo Significativo y Oportunidades de Aprendizaje para Niños Venezolanos Jóvenes y sus Familias”</w:t>
      </w:r>
    </w:p>
    <w:p w14:paraId="361ABB46" w14:textId="77777777" w:rsidR="00A05017" w:rsidRDefault="00A05017">
      <w:pPr>
        <w:jc w:val="both"/>
        <w:rPr>
          <w:rFonts w:ascii="Arial" w:eastAsia="Arial" w:hAnsi="Arial" w:cs="Arial"/>
          <w:b/>
          <w:sz w:val="22"/>
          <w:szCs w:val="22"/>
        </w:rPr>
      </w:pPr>
    </w:p>
    <w:p w14:paraId="3A8F4D03" w14:textId="77777777" w:rsidR="00A05017" w:rsidRDefault="00A05017">
      <w:pPr>
        <w:jc w:val="both"/>
        <w:rPr>
          <w:rFonts w:ascii="Arial" w:eastAsia="Arial" w:hAnsi="Arial" w:cs="Arial"/>
          <w:b/>
          <w:sz w:val="22"/>
          <w:szCs w:val="22"/>
        </w:rPr>
      </w:pPr>
    </w:p>
    <w:p w14:paraId="268A4B1A" w14:textId="77777777" w:rsidR="00A05017" w:rsidRDefault="00A05017">
      <w:pPr>
        <w:jc w:val="both"/>
        <w:rPr>
          <w:rFonts w:ascii="Arial" w:eastAsia="Arial" w:hAnsi="Arial" w:cs="Arial"/>
          <w:b/>
          <w:sz w:val="22"/>
          <w:szCs w:val="22"/>
        </w:rPr>
      </w:pPr>
    </w:p>
    <w:p w14:paraId="226FE436" w14:textId="5F92D095" w:rsidR="00A05017" w:rsidRDefault="001801C9">
      <w:pPr>
        <w:jc w:val="both"/>
        <w:rPr>
          <w:rFonts w:ascii="Arial" w:eastAsia="Arial" w:hAnsi="Arial" w:cs="Arial"/>
        </w:rPr>
      </w:pPr>
      <w:r>
        <w:rPr>
          <w:rFonts w:ascii="Arial" w:eastAsia="Arial" w:hAnsi="Arial" w:cs="Arial"/>
        </w:rPr>
        <w:t xml:space="preserve">El 21 de octubre de 2021, la Agencia Presidencial de Cooperación Internacional de Colombia APC-Colombia y el Banco Interamericano de Desarrollo (BID) suscribieron </w:t>
      </w:r>
      <w:r w:rsidR="00EF7EDC">
        <w:rPr>
          <w:rFonts w:ascii="Arial" w:eastAsia="Arial" w:hAnsi="Arial" w:cs="Arial"/>
        </w:rPr>
        <w:t xml:space="preserve">el convenio de </w:t>
      </w:r>
      <w:r>
        <w:rPr>
          <w:rFonts w:ascii="Arial" w:eastAsia="Arial" w:hAnsi="Arial" w:cs="Arial"/>
        </w:rPr>
        <w:t xml:space="preserve">Cooperación Técnica no Reembolsable No. ATN/EE-18584-CO, para el desarrollo del proyecto “Desarrollo Significativo y Oportunidades de Aprendizaje para Niños Venezolanos Jóvenes y sus Familias” por el valor de seiscientos noventa y ocho mil quinientos setenta y ocho dólares (US$698.578). </w:t>
      </w:r>
      <w:r w:rsidR="00EF7EDC">
        <w:rPr>
          <w:rFonts w:ascii="Arial" w:eastAsia="Arial" w:hAnsi="Arial" w:cs="Arial"/>
        </w:rPr>
        <w:t xml:space="preserve">Siendo la </w:t>
      </w:r>
      <w:r w:rsidR="00EF7EDC" w:rsidRPr="00EF7EDC">
        <w:rPr>
          <w:rFonts w:ascii="Arial" w:eastAsia="Arial" w:hAnsi="Arial" w:cs="Arial"/>
        </w:rPr>
        <w:t>Agencia Presidencial de Cooperación Internacional de Colombia</w:t>
      </w:r>
      <w:r w:rsidR="00EF7EDC">
        <w:rPr>
          <w:rFonts w:ascii="Arial" w:eastAsia="Arial" w:hAnsi="Arial" w:cs="Arial"/>
        </w:rPr>
        <w:t xml:space="preserve"> el organismo ejecutor de esta cooperación durante tres años. </w:t>
      </w:r>
    </w:p>
    <w:p w14:paraId="3992B533" w14:textId="77777777" w:rsidR="00A05017" w:rsidRDefault="00A05017">
      <w:pPr>
        <w:jc w:val="both"/>
        <w:rPr>
          <w:rFonts w:ascii="Arial" w:eastAsia="Arial" w:hAnsi="Arial" w:cs="Arial"/>
        </w:rPr>
      </w:pPr>
    </w:p>
    <w:p w14:paraId="4C3E273D" w14:textId="4C557044" w:rsidR="00A05017" w:rsidRDefault="00EF7EDC">
      <w:pPr>
        <w:jc w:val="both"/>
        <w:rPr>
          <w:rFonts w:ascii="Arial" w:eastAsia="Arial" w:hAnsi="Arial" w:cs="Arial"/>
        </w:rPr>
      </w:pPr>
      <w:r>
        <w:rPr>
          <w:rFonts w:ascii="Arial" w:eastAsia="Arial" w:hAnsi="Arial" w:cs="Arial"/>
        </w:rPr>
        <w:t>En el</w:t>
      </w:r>
      <w:r w:rsidR="001801C9">
        <w:rPr>
          <w:rFonts w:ascii="Arial" w:eastAsia="Arial" w:hAnsi="Arial" w:cs="Arial"/>
        </w:rPr>
        <w:t xml:space="preserve"> Anexo Único </w:t>
      </w:r>
      <w:r>
        <w:rPr>
          <w:rFonts w:ascii="Arial" w:eastAsia="Arial" w:hAnsi="Arial" w:cs="Arial"/>
        </w:rPr>
        <w:t xml:space="preserve">del Convenio, </w:t>
      </w:r>
      <w:r w:rsidR="001801C9">
        <w:rPr>
          <w:rFonts w:ascii="Arial" w:eastAsia="Arial" w:hAnsi="Arial" w:cs="Arial"/>
        </w:rPr>
        <w:t xml:space="preserve">el cual hace parte integral de la Carta Convenio señalada en el párrafo anterior, específicamente en el acápite III. Costo del proyecto y plan de financiamiento en el numeral 4.03, se estableció que: </w:t>
      </w:r>
    </w:p>
    <w:p w14:paraId="07743478" w14:textId="77777777" w:rsidR="00A05017" w:rsidRDefault="00A05017">
      <w:pPr>
        <w:jc w:val="both"/>
        <w:rPr>
          <w:rFonts w:ascii="Arial" w:eastAsia="Arial" w:hAnsi="Arial" w:cs="Arial"/>
        </w:rPr>
      </w:pPr>
    </w:p>
    <w:p w14:paraId="100D82E3" w14:textId="77777777" w:rsidR="00A05017" w:rsidRDefault="001801C9">
      <w:pPr>
        <w:ind w:left="567"/>
        <w:jc w:val="both"/>
        <w:rPr>
          <w:rFonts w:ascii="Arial" w:eastAsia="Arial" w:hAnsi="Arial" w:cs="Arial"/>
        </w:rPr>
      </w:pPr>
      <w:r>
        <w:rPr>
          <w:rFonts w:ascii="Arial" w:eastAsia="Arial" w:hAnsi="Arial" w:cs="Arial"/>
        </w:rPr>
        <w:t>“[…] para la ejecución del proyecto, el organismo ejecutor suscribirá un convenio con UNICEF para la ejecución de los componentes 1,2 y 3 del proyecto. […]”</w:t>
      </w:r>
    </w:p>
    <w:p w14:paraId="71630725" w14:textId="77777777" w:rsidR="00A05017" w:rsidRDefault="00A05017">
      <w:pPr>
        <w:jc w:val="both"/>
        <w:rPr>
          <w:rFonts w:ascii="Arial" w:eastAsia="Arial" w:hAnsi="Arial" w:cs="Arial"/>
        </w:rPr>
      </w:pPr>
    </w:p>
    <w:p w14:paraId="7F15F79F" w14:textId="77777777" w:rsidR="00A05017" w:rsidRDefault="00A05017">
      <w:pPr>
        <w:jc w:val="both"/>
        <w:rPr>
          <w:rFonts w:ascii="Arial" w:eastAsia="Arial" w:hAnsi="Arial" w:cs="Arial"/>
        </w:rPr>
      </w:pPr>
    </w:p>
    <w:p w14:paraId="08C97F3C" w14:textId="02F315BF" w:rsidR="00A05017" w:rsidRDefault="001801C9">
      <w:pPr>
        <w:jc w:val="both"/>
        <w:rPr>
          <w:rFonts w:ascii="Arial" w:eastAsia="Arial" w:hAnsi="Arial" w:cs="Arial"/>
        </w:rPr>
      </w:pPr>
      <w:r>
        <w:rPr>
          <w:rFonts w:ascii="Arial" w:eastAsia="Arial" w:hAnsi="Arial" w:cs="Arial"/>
        </w:rPr>
        <w:t xml:space="preserve">Para el logro de los objetivos, el Proyecto comprende los siguientes </w:t>
      </w:r>
      <w:r w:rsidR="00EF7EDC">
        <w:rPr>
          <w:rFonts w:ascii="Arial" w:eastAsia="Arial" w:hAnsi="Arial" w:cs="Arial"/>
        </w:rPr>
        <w:t>componentes</w:t>
      </w:r>
      <w:r>
        <w:rPr>
          <w:rFonts w:ascii="Arial" w:eastAsia="Arial" w:hAnsi="Arial" w:cs="Arial"/>
        </w:rPr>
        <w:t>:</w:t>
      </w:r>
    </w:p>
    <w:p w14:paraId="3522C6A3" w14:textId="36A16C59" w:rsidR="00A05017" w:rsidRDefault="001801C9">
      <w:pPr>
        <w:keepNext/>
        <w:pBdr>
          <w:top w:val="nil"/>
          <w:left w:val="nil"/>
          <w:bottom w:val="nil"/>
          <w:right w:val="nil"/>
          <w:between w:val="nil"/>
        </w:pBdr>
        <w:spacing w:before="240" w:after="200"/>
        <w:jc w:val="both"/>
        <w:rPr>
          <w:rFonts w:ascii="Arial" w:eastAsia="Arial" w:hAnsi="Arial" w:cs="Arial"/>
          <w:color w:val="000000"/>
          <w:u w:val="single"/>
        </w:rPr>
      </w:pPr>
      <w:r>
        <w:rPr>
          <w:rFonts w:ascii="Arial" w:eastAsia="Arial" w:hAnsi="Arial" w:cs="Arial"/>
          <w:color w:val="000000"/>
          <w:u w:val="single"/>
        </w:rPr>
        <w:t xml:space="preserve">I. Objetivo </w:t>
      </w:r>
    </w:p>
    <w:p w14:paraId="122B2AA4" w14:textId="77777777" w:rsidR="00A05017" w:rsidRDefault="001801C9">
      <w:pPr>
        <w:pStyle w:val="Heading2"/>
        <w:jc w:val="both"/>
        <w:rPr>
          <w:rFonts w:ascii="Arial" w:eastAsia="Arial" w:hAnsi="Arial" w:cs="Arial"/>
          <w:b w:val="0"/>
          <w:sz w:val="24"/>
          <w:szCs w:val="24"/>
        </w:rPr>
      </w:pPr>
      <w:r>
        <w:rPr>
          <w:rFonts w:ascii="Arial" w:eastAsia="Arial" w:hAnsi="Arial" w:cs="Arial"/>
          <w:b w:val="0"/>
          <w:sz w:val="24"/>
          <w:szCs w:val="24"/>
        </w:rPr>
        <w:t xml:space="preserve">El objetivo de este acuerdo radica en </w:t>
      </w:r>
      <w:r w:rsidR="00E3481C">
        <w:rPr>
          <w:rFonts w:ascii="Arial" w:eastAsia="Arial" w:hAnsi="Arial" w:cs="Arial"/>
          <w:b w:val="0"/>
          <w:sz w:val="24"/>
          <w:szCs w:val="24"/>
        </w:rPr>
        <w:t>prestar</w:t>
      </w:r>
      <w:r>
        <w:rPr>
          <w:rFonts w:ascii="Arial" w:eastAsia="Arial" w:hAnsi="Arial" w:cs="Arial"/>
          <w:b w:val="0"/>
          <w:sz w:val="24"/>
          <w:szCs w:val="24"/>
        </w:rPr>
        <w:t xml:space="preserve"> a las familias caminantes y sus hijos entre 0-5 años de edad, servicios integrales para el desarrollo y el aprendizaje durante la primera infancia, incluyendo a madres lactantes y gestantes a través de dos acciones: (i) la adaptación de un modelo operativo y provisión directa de servicios de los Espacios Amigos de la Infancia -EAI- para niñas, niños y familias caminantes, según caracterización y necesidades específicas de la población y tomando como marco el </w:t>
      </w:r>
      <w:proofErr w:type="spellStart"/>
      <w:r>
        <w:rPr>
          <w:rFonts w:ascii="Arial" w:eastAsia="Arial" w:hAnsi="Arial" w:cs="Arial"/>
          <w:b w:val="0"/>
          <w:sz w:val="24"/>
          <w:szCs w:val="24"/>
        </w:rPr>
        <w:t>Nurturing</w:t>
      </w:r>
      <w:proofErr w:type="spellEnd"/>
      <w:r>
        <w:rPr>
          <w:rFonts w:ascii="Arial" w:eastAsia="Arial" w:hAnsi="Arial" w:cs="Arial"/>
          <w:b w:val="0"/>
          <w:sz w:val="24"/>
          <w:szCs w:val="24"/>
        </w:rPr>
        <w:t xml:space="preserve"> Care Framework</w:t>
      </w:r>
      <w:r>
        <w:rPr>
          <w:rFonts w:ascii="Arial" w:eastAsia="Arial" w:hAnsi="Arial" w:cs="Arial"/>
          <w:b w:val="0"/>
          <w:color w:val="000000"/>
          <w:sz w:val="24"/>
          <w:szCs w:val="24"/>
          <w:vertAlign w:val="superscript"/>
        </w:rPr>
        <w:footnoteReference w:id="1"/>
      </w:r>
      <w:r>
        <w:rPr>
          <w:rFonts w:ascii="Arial" w:eastAsia="Arial" w:hAnsi="Arial" w:cs="Arial"/>
          <w:b w:val="0"/>
          <w:sz w:val="24"/>
          <w:szCs w:val="24"/>
        </w:rPr>
        <w:t xml:space="preserve"> de la Organización Mundial de la Salud, UNICEF y el Banco Mundial, así como la estrategia nacional de primera infancia “De Cero a Siempre”; y, (ii) el diseño y aplicación de soluciones operativas y digitales para la promoción del desarrollo de las niñas y niños en primera infancia brindando a las familias, como principales agentes en el proceso de desarrollo de los niños, información útil y atenciones pertinentes sobre crianza, educación inicial y servicios básicos disponibles. </w:t>
      </w:r>
    </w:p>
    <w:p w14:paraId="1D0F9DBD" w14:textId="77777777" w:rsidR="00A05017" w:rsidRDefault="00A05017"/>
    <w:p w14:paraId="7B230C10" w14:textId="1ED2C0AD" w:rsidR="00A05017" w:rsidRDefault="001801C9">
      <w:pPr>
        <w:spacing w:before="240" w:after="200"/>
        <w:jc w:val="both"/>
        <w:rPr>
          <w:rFonts w:ascii="Arial" w:eastAsia="Arial" w:hAnsi="Arial" w:cs="Arial"/>
          <w:u w:val="single"/>
        </w:rPr>
      </w:pPr>
      <w:r>
        <w:rPr>
          <w:rFonts w:ascii="Arial" w:eastAsia="Arial" w:hAnsi="Arial" w:cs="Arial"/>
          <w:u w:val="single"/>
        </w:rPr>
        <w:lastRenderedPageBreak/>
        <w:t xml:space="preserve">II. </w:t>
      </w:r>
      <w:r w:rsidR="00EF7EDC">
        <w:rPr>
          <w:rFonts w:ascii="Arial" w:eastAsia="Arial" w:hAnsi="Arial" w:cs="Arial"/>
          <w:u w:val="single"/>
        </w:rPr>
        <w:t xml:space="preserve">Componentes </w:t>
      </w:r>
    </w:p>
    <w:p w14:paraId="0A92A8B1" w14:textId="180557BE" w:rsidR="00A05017" w:rsidRDefault="00EF7EDC">
      <w:pPr>
        <w:pStyle w:val="Heading2"/>
        <w:jc w:val="both"/>
        <w:rPr>
          <w:rFonts w:ascii="Arial" w:eastAsia="Arial" w:hAnsi="Arial" w:cs="Arial"/>
          <w:b w:val="0"/>
          <w:sz w:val="24"/>
          <w:szCs w:val="24"/>
        </w:rPr>
      </w:pPr>
      <w:r>
        <w:rPr>
          <w:rFonts w:ascii="Arial" w:eastAsia="Arial" w:hAnsi="Arial" w:cs="Arial"/>
          <w:sz w:val="24"/>
          <w:szCs w:val="24"/>
        </w:rPr>
        <w:t xml:space="preserve">Componente </w:t>
      </w:r>
      <w:r w:rsidR="001801C9">
        <w:rPr>
          <w:rFonts w:ascii="Arial" w:eastAsia="Arial" w:hAnsi="Arial" w:cs="Arial"/>
          <w:sz w:val="24"/>
          <w:szCs w:val="24"/>
        </w:rPr>
        <w:t>1: Implementación de Espacios Amigos de la Infancia (EAI) para niños migrantes caminantes menores de 5 años y sus familias.</w:t>
      </w:r>
      <w:r w:rsidR="001801C9">
        <w:rPr>
          <w:rFonts w:ascii="Arial" w:eastAsia="Arial" w:hAnsi="Arial" w:cs="Arial"/>
          <w:b w:val="0"/>
          <w:sz w:val="24"/>
          <w:szCs w:val="24"/>
        </w:rPr>
        <w:t xml:space="preserve"> Se implementarán EAI - en albergues previamente identificados – posterior a una caracterización de la población y sus necesidades – y ubicados a lo largo de las rutas más utilizadas por “Los Caminantes”. Los albergues son operados por familias u organizaciones de la sociedad civil y son eminentemente humanitarios. </w:t>
      </w:r>
    </w:p>
    <w:p w14:paraId="375E50EA" w14:textId="77777777" w:rsidR="00A05017" w:rsidRDefault="001801C9">
      <w:pPr>
        <w:pStyle w:val="Heading2"/>
        <w:jc w:val="both"/>
        <w:rPr>
          <w:rFonts w:ascii="Arial" w:eastAsia="Arial" w:hAnsi="Arial" w:cs="Arial"/>
          <w:b w:val="0"/>
          <w:color w:val="000000"/>
          <w:sz w:val="24"/>
          <w:szCs w:val="24"/>
        </w:rPr>
      </w:pPr>
      <w:r>
        <w:rPr>
          <w:rFonts w:ascii="Arial" w:eastAsia="Arial" w:hAnsi="Arial" w:cs="Arial"/>
          <w:b w:val="0"/>
          <w:sz w:val="24"/>
          <w:szCs w:val="24"/>
        </w:rPr>
        <w:t xml:space="preserve">Los EAI para caminantes funcionarán como espacios sanadores y protectores para los niños y sus familias, en donde mediante tutores y profesionales formados y con experiencia en promoción del desarrollo infantil integral temprano, las familias y los niños además de recibir información valiosa, tendrán la posibilidad de tener experiencias enriquecidas basadas en el arte, el juego, la literatura y la exploración del medio. La estrategia contempla varios niveles de acción enfocados en los niños, sus padres y las comunidades, para garantizar la promoción del desarrollo durante el camino de forma pertinente y efectiva, cubriendo los tres ámbitos mencionados. </w:t>
      </w:r>
    </w:p>
    <w:p w14:paraId="3852E6D7" w14:textId="0225610B" w:rsidR="00A05017" w:rsidRDefault="00EF7EDC">
      <w:pPr>
        <w:keepNext/>
        <w:pBdr>
          <w:top w:val="nil"/>
          <w:left w:val="nil"/>
          <w:bottom w:val="nil"/>
          <w:right w:val="nil"/>
          <w:between w:val="nil"/>
        </w:pBdr>
        <w:spacing w:before="240" w:after="200"/>
        <w:ind w:left="90"/>
        <w:jc w:val="both"/>
        <w:rPr>
          <w:rFonts w:ascii="Arial" w:eastAsia="Arial" w:hAnsi="Arial" w:cs="Arial"/>
        </w:rPr>
      </w:pPr>
      <w:r>
        <w:rPr>
          <w:rFonts w:ascii="Arial" w:eastAsia="Arial" w:hAnsi="Arial" w:cs="Arial"/>
          <w:b/>
          <w:color w:val="000000"/>
        </w:rPr>
        <w:t xml:space="preserve">Componente </w:t>
      </w:r>
      <w:r w:rsidR="001801C9">
        <w:rPr>
          <w:rFonts w:ascii="Arial" w:eastAsia="Arial" w:hAnsi="Arial" w:cs="Arial"/>
          <w:b/>
          <w:color w:val="000000"/>
        </w:rPr>
        <w:t>2: Acompañamiento a las familias migrantes caminantes con niños menores de 5 años en la ruta a través de soluciones operativas, innovadoras y digitales</w:t>
      </w:r>
      <w:r w:rsidR="001801C9">
        <w:rPr>
          <w:rFonts w:ascii="Arial" w:eastAsia="Arial" w:hAnsi="Arial" w:cs="Arial"/>
          <w:b/>
        </w:rPr>
        <w:t xml:space="preserve">; se </w:t>
      </w:r>
      <w:r w:rsidR="001801C9">
        <w:rPr>
          <w:rFonts w:ascii="Arial" w:eastAsia="Arial" w:hAnsi="Arial" w:cs="Arial"/>
          <w:b/>
          <w:color w:val="000000"/>
        </w:rPr>
        <w:t>pondrá en marcha un modelo de atención con énfasis en</w:t>
      </w:r>
      <w:r w:rsidR="001801C9">
        <w:rPr>
          <w:rFonts w:ascii="Arial" w:eastAsia="Arial" w:hAnsi="Arial" w:cs="Arial"/>
          <w:color w:val="000000"/>
        </w:rPr>
        <w:t>: (i) la creación y difusión de contenidos materiales y digitales que, a través del juego, el arte, la literatura y la exploración del medio, brinden a madres, padres y cuidadores recomendaciones útiles y prácticas para promover el desarrollo infantil integral temprano durante el camino; y, (ii) información institucional sobre rutas y puntos de acceso a servicios básicos (por ejemplo, salud, empleo, vivienda y atención a la primera infancia en el camino), con (iii) acompañamiento en los lugares de paso de Los caminantes para la utilización de las soluciones digitales.</w:t>
      </w:r>
    </w:p>
    <w:p w14:paraId="5F6EAB08" w14:textId="7AD20893" w:rsidR="00A05017" w:rsidRPr="00E3481C" w:rsidRDefault="00EF7EDC" w:rsidP="00E3481C">
      <w:pPr>
        <w:keepNext/>
        <w:pBdr>
          <w:top w:val="nil"/>
          <w:left w:val="nil"/>
          <w:bottom w:val="nil"/>
          <w:right w:val="nil"/>
          <w:between w:val="nil"/>
        </w:pBdr>
        <w:spacing w:before="240" w:after="200"/>
        <w:ind w:left="90"/>
        <w:jc w:val="both"/>
        <w:rPr>
          <w:rFonts w:ascii="Arial" w:eastAsia="Arial" w:hAnsi="Arial" w:cs="Arial"/>
        </w:rPr>
      </w:pPr>
      <w:r>
        <w:rPr>
          <w:rFonts w:ascii="Arial" w:eastAsia="Arial" w:hAnsi="Arial" w:cs="Arial"/>
          <w:b/>
        </w:rPr>
        <w:t xml:space="preserve">Componente </w:t>
      </w:r>
      <w:r w:rsidR="001801C9">
        <w:rPr>
          <w:rFonts w:ascii="Arial" w:eastAsia="Arial" w:hAnsi="Arial" w:cs="Arial"/>
          <w:b/>
        </w:rPr>
        <w:t>3: Evaluación del Programa.</w:t>
      </w:r>
      <w:r w:rsidR="001801C9">
        <w:rPr>
          <w:rFonts w:ascii="Arial" w:eastAsia="Arial" w:hAnsi="Arial" w:cs="Arial"/>
        </w:rPr>
        <w:t xml:space="preserve"> Se realizará un estudio inicial que permita (i) caracterizar a las familias de “Los caminantes” con niños entre 0-5 años y madres gestantes, las rutas recorridas, y las necesidades de los niños y niñas y sus madres o padres para acompañarlos mejor en su desarrollo integral temprano; y (ii) establecer el canal de comunicación, o la combinación de canales, significativos, pertinentes y disponibles a las familias en movimiento. Adicionalmente, se plantea realizar una evaluación de los procesos de atención a la primera infancia y sus familias en los </w:t>
      </w:r>
      <w:r w:rsidR="001801C9">
        <w:rPr>
          <w:rFonts w:ascii="Arial" w:eastAsia="Arial" w:hAnsi="Arial" w:cs="Arial"/>
          <w:color w:val="000000"/>
        </w:rPr>
        <w:t>EAI</w:t>
      </w:r>
      <w:r w:rsidR="001801C9">
        <w:rPr>
          <w:rFonts w:ascii="Arial" w:eastAsia="Arial" w:hAnsi="Arial" w:cs="Arial"/>
        </w:rPr>
        <w:t xml:space="preserve">, así como el uso de los contenidos y materiales (digitales, análogos, radiales, o el formato que se defina tras la caracterización) que acompañan la intervención. La evaluación se realizará mediante trabajo de campo, observación, grupos focales, aplicación de encuestas de percepción, recolectados tanto en los EAI como a través de las soluciones digitales implementadas. El análisis mixto de datos de lo anterior permitirá establecer: (i) cantidad de familias, niños de 0-5 años y madres gestantes atendidas por el programa; (ii) flujo de personas en los EAI; (iii) tipo y cantidad de actividades realizadas y percepción de utilidad por parte de los usuarios adultos ; (iv) uso y percepción general sobre las soluciones implementadas por parte de las familias además de la utilidad que perciben en, por ejemplo, relacionamiento con los niños y niñas o en sus pautas de crianza; (v) tipo y cantidad de las interacciones entre madres o padres y niños durante los espacios de trabajo en los EAI; (vi) tipo de implementación de las actividades por parte de los operadores </w:t>
      </w:r>
      <w:r w:rsidR="001801C9">
        <w:rPr>
          <w:rFonts w:ascii="Arial" w:eastAsia="Arial" w:hAnsi="Arial" w:cs="Arial"/>
        </w:rPr>
        <w:lastRenderedPageBreak/>
        <w:t xml:space="preserve">de los EAI; y (vii) posibles necesidades futuras de la población caminante, sostenibilidad de la iniciativa y ajustes a lo implementado en el presente proyecto. </w:t>
      </w:r>
    </w:p>
    <w:p w14:paraId="33A44572" w14:textId="70CA375B" w:rsidR="00A05017" w:rsidRDefault="001801C9">
      <w:pPr>
        <w:jc w:val="both"/>
        <w:rPr>
          <w:rFonts w:ascii="Arial" w:eastAsia="Arial" w:hAnsi="Arial" w:cs="Arial"/>
          <w:sz w:val="22"/>
          <w:szCs w:val="22"/>
        </w:rPr>
      </w:pPr>
      <w:r w:rsidRPr="00E3481C">
        <w:rPr>
          <w:rFonts w:ascii="Arial" w:eastAsia="Arial" w:hAnsi="Arial" w:cs="Arial"/>
        </w:rPr>
        <w:t>El costo estimado del Proyecto es el equivalente de US 698.578 según la siguiente distribución por categorías de gastos y po</w:t>
      </w:r>
      <w:r w:rsidR="00EF7EDC">
        <w:rPr>
          <w:rFonts w:ascii="Arial" w:eastAsia="Arial" w:hAnsi="Arial" w:cs="Arial"/>
        </w:rPr>
        <w:t>r</w:t>
      </w:r>
      <w:r w:rsidRPr="00E3481C">
        <w:rPr>
          <w:rFonts w:ascii="Arial" w:eastAsia="Arial" w:hAnsi="Arial" w:cs="Arial"/>
        </w:rPr>
        <w:t xml:space="preserve"> fuentes de financiamiento</w:t>
      </w:r>
      <w:r w:rsidR="00E3481C">
        <w:rPr>
          <w:rFonts w:ascii="Arial" w:eastAsia="Arial" w:hAnsi="Arial" w:cs="Arial"/>
        </w:rPr>
        <w:t>.</w:t>
      </w:r>
    </w:p>
    <w:p w14:paraId="400903B3" w14:textId="77777777" w:rsidR="00A05017" w:rsidRDefault="00A05017">
      <w:pPr>
        <w:jc w:val="both"/>
        <w:rPr>
          <w:rFonts w:ascii="Arial" w:eastAsia="Arial" w:hAnsi="Arial" w:cs="Arial"/>
          <w:sz w:val="22"/>
          <w:szCs w:val="22"/>
        </w:rPr>
      </w:pPr>
    </w:p>
    <w:tbl>
      <w:tblPr>
        <w:tblStyle w:val="a2"/>
        <w:tblW w:w="8955" w:type="dxa"/>
        <w:tblInd w:w="-1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5040"/>
        <w:gridCol w:w="2175"/>
        <w:gridCol w:w="1740"/>
      </w:tblGrid>
      <w:tr w:rsidR="00A05017" w14:paraId="716EF2F3" w14:textId="77777777">
        <w:tc>
          <w:tcPr>
            <w:tcW w:w="5040" w:type="dxa"/>
            <w:shd w:val="clear" w:color="auto" w:fill="D9D9D9"/>
            <w:tcMar>
              <w:top w:w="100" w:type="dxa"/>
              <w:left w:w="100" w:type="dxa"/>
              <w:bottom w:w="100" w:type="dxa"/>
              <w:right w:w="100" w:type="dxa"/>
            </w:tcMar>
          </w:tcPr>
          <w:p w14:paraId="34DFC956" w14:textId="77777777" w:rsidR="00A05017" w:rsidRDefault="001801C9">
            <w:pPr>
              <w:widowControl w:val="0"/>
              <w:pBdr>
                <w:top w:val="nil"/>
                <w:left w:val="nil"/>
                <w:bottom w:val="nil"/>
                <w:right w:val="nil"/>
                <w:between w:val="nil"/>
              </w:pBdr>
              <w:jc w:val="center"/>
              <w:rPr>
                <w:b/>
                <w:sz w:val="20"/>
                <w:szCs w:val="20"/>
              </w:rPr>
            </w:pPr>
            <w:r>
              <w:rPr>
                <w:b/>
                <w:sz w:val="20"/>
                <w:szCs w:val="20"/>
              </w:rPr>
              <w:t>Actividad / Componente</w:t>
            </w:r>
          </w:p>
        </w:tc>
        <w:tc>
          <w:tcPr>
            <w:tcW w:w="2175" w:type="dxa"/>
            <w:shd w:val="clear" w:color="auto" w:fill="D9D9D9"/>
            <w:tcMar>
              <w:top w:w="100" w:type="dxa"/>
              <w:left w:w="100" w:type="dxa"/>
              <w:bottom w:w="100" w:type="dxa"/>
              <w:right w:w="100" w:type="dxa"/>
            </w:tcMar>
          </w:tcPr>
          <w:p w14:paraId="083BC3E2" w14:textId="2E7EA7E7" w:rsidR="00A05017" w:rsidRDefault="001801C9">
            <w:pPr>
              <w:widowControl w:val="0"/>
              <w:pBdr>
                <w:top w:val="nil"/>
                <w:left w:val="nil"/>
                <w:bottom w:val="nil"/>
                <w:right w:val="nil"/>
                <w:between w:val="nil"/>
              </w:pBdr>
              <w:jc w:val="center"/>
              <w:rPr>
                <w:b/>
                <w:sz w:val="20"/>
                <w:szCs w:val="20"/>
              </w:rPr>
            </w:pPr>
            <w:r>
              <w:rPr>
                <w:b/>
                <w:sz w:val="20"/>
                <w:szCs w:val="20"/>
              </w:rPr>
              <w:t xml:space="preserve">Banco Interamericano de </w:t>
            </w:r>
            <w:r w:rsidR="00B422B6">
              <w:rPr>
                <w:b/>
                <w:sz w:val="20"/>
                <w:szCs w:val="20"/>
              </w:rPr>
              <w:t>Desarrollo BID</w:t>
            </w:r>
            <w:r>
              <w:rPr>
                <w:b/>
                <w:sz w:val="20"/>
                <w:szCs w:val="20"/>
              </w:rPr>
              <w:t xml:space="preserve"> (</w:t>
            </w:r>
            <w:r w:rsidR="00B422B6">
              <w:rPr>
                <w:b/>
                <w:sz w:val="20"/>
                <w:szCs w:val="20"/>
              </w:rPr>
              <w:t>dólares</w:t>
            </w:r>
            <w:r>
              <w:rPr>
                <w:b/>
                <w:sz w:val="20"/>
                <w:szCs w:val="20"/>
              </w:rPr>
              <w:t xml:space="preserve"> </w:t>
            </w:r>
            <w:proofErr w:type="gramStart"/>
            <w:r>
              <w:rPr>
                <w:b/>
                <w:sz w:val="20"/>
                <w:szCs w:val="20"/>
              </w:rPr>
              <w:t>EE.UU.</w:t>
            </w:r>
            <w:proofErr w:type="gramEnd"/>
            <w:r>
              <w:rPr>
                <w:b/>
                <w:sz w:val="20"/>
                <w:szCs w:val="20"/>
              </w:rPr>
              <w:t>)</w:t>
            </w:r>
          </w:p>
          <w:p w14:paraId="77D66E32" w14:textId="77777777" w:rsidR="00A05017" w:rsidRDefault="00A05017">
            <w:pPr>
              <w:widowControl w:val="0"/>
              <w:pBdr>
                <w:top w:val="nil"/>
                <w:left w:val="nil"/>
                <w:bottom w:val="nil"/>
                <w:right w:val="nil"/>
                <w:between w:val="nil"/>
              </w:pBdr>
              <w:jc w:val="center"/>
              <w:rPr>
                <w:b/>
                <w:sz w:val="20"/>
                <w:szCs w:val="20"/>
              </w:rPr>
            </w:pPr>
          </w:p>
        </w:tc>
        <w:tc>
          <w:tcPr>
            <w:tcW w:w="1740" w:type="dxa"/>
            <w:shd w:val="clear" w:color="auto" w:fill="D9D9D9"/>
            <w:tcMar>
              <w:top w:w="100" w:type="dxa"/>
              <w:left w:w="100" w:type="dxa"/>
              <w:bottom w:w="100" w:type="dxa"/>
              <w:right w:w="100" w:type="dxa"/>
            </w:tcMar>
          </w:tcPr>
          <w:p w14:paraId="784E5DBC" w14:textId="12EB130C" w:rsidR="00A05017" w:rsidRDefault="001801C9">
            <w:pPr>
              <w:widowControl w:val="0"/>
              <w:pBdr>
                <w:top w:val="nil"/>
                <w:left w:val="nil"/>
                <w:bottom w:val="nil"/>
                <w:right w:val="nil"/>
                <w:between w:val="nil"/>
              </w:pBdr>
              <w:jc w:val="center"/>
              <w:rPr>
                <w:b/>
                <w:sz w:val="20"/>
                <w:szCs w:val="20"/>
              </w:rPr>
            </w:pPr>
            <w:r>
              <w:rPr>
                <w:b/>
                <w:sz w:val="20"/>
                <w:szCs w:val="20"/>
              </w:rPr>
              <w:t>Total (</w:t>
            </w:r>
            <w:r w:rsidR="00B422B6">
              <w:rPr>
                <w:b/>
                <w:sz w:val="20"/>
                <w:szCs w:val="20"/>
              </w:rPr>
              <w:t>dólares</w:t>
            </w:r>
            <w:r>
              <w:rPr>
                <w:b/>
                <w:sz w:val="20"/>
                <w:szCs w:val="20"/>
              </w:rPr>
              <w:t xml:space="preserve"> </w:t>
            </w:r>
            <w:r w:rsidR="00B422B6">
              <w:rPr>
                <w:b/>
                <w:sz w:val="20"/>
                <w:szCs w:val="20"/>
              </w:rPr>
              <w:t>EE. UU.</w:t>
            </w:r>
            <w:r>
              <w:rPr>
                <w:b/>
                <w:sz w:val="20"/>
                <w:szCs w:val="20"/>
              </w:rPr>
              <w:t>)</w:t>
            </w:r>
          </w:p>
        </w:tc>
      </w:tr>
      <w:tr w:rsidR="00A05017" w14:paraId="26B78142" w14:textId="77777777">
        <w:tc>
          <w:tcPr>
            <w:tcW w:w="5040" w:type="dxa"/>
            <w:shd w:val="clear" w:color="auto" w:fill="auto"/>
            <w:tcMar>
              <w:top w:w="100" w:type="dxa"/>
              <w:left w:w="100" w:type="dxa"/>
              <w:bottom w:w="100" w:type="dxa"/>
              <w:right w:w="100" w:type="dxa"/>
            </w:tcMar>
          </w:tcPr>
          <w:p w14:paraId="486B45A5" w14:textId="77777777" w:rsidR="00A05017" w:rsidRDefault="001801C9">
            <w:pPr>
              <w:widowControl w:val="0"/>
              <w:pBdr>
                <w:top w:val="nil"/>
                <w:left w:val="nil"/>
                <w:bottom w:val="nil"/>
                <w:right w:val="nil"/>
                <w:between w:val="nil"/>
              </w:pBdr>
              <w:rPr>
                <w:sz w:val="20"/>
                <w:szCs w:val="20"/>
              </w:rPr>
            </w:pPr>
            <w:r>
              <w:rPr>
                <w:sz w:val="20"/>
                <w:szCs w:val="20"/>
              </w:rPr>
              <w:t xml:space="preserve">Componente 1: </w:t>
            </w:r>
          </w:p>
          <w:p w14:paraId="565B9E09" w14:textId="77777777" w:rsidR="00A05017" w:rsidRDefault="001801C9">
            <w:pPr>
              <w:widowControl w:val="0"/>
              <w:pBdr>
                <w:top w:val="nil"/>
                <w:left w:val="nil"/>
                <w:bottom w:val="nil"/>
                <w:right w:val="nil"/>
                <w:between w:val="nil"/>
              </w:pBdr>
              <w:rPr>
                <w:sz w:val="20"/>
                <w:szCs w:val="20"/>
              </w:rPr>
            </w:pPr>
            <w:r>
              <w:rPr>
                <w:sz w:val="20"/>
                <w:szCs w:val="20"/>
              </w:rPr>
              <w:t>Espacios Amigos de la Infancia (EAI) para caminantes</w:t>
            </w:r>
          </w:p>
        </w:tc>
        <w:tc>
          <w:tcPr>
            <w:tcW w:w="2175" w:type="dxa"/>
            <w:shd w:val="clear" w:color="auto" w:fill="auto"/>
            <w:tcMar>
              <w:top w:w="100" w:type="dxa"/>
              <w:left w:w="100" w:type="dxa"/>
              <w:bottom w:w="100" w:type="dxa"/>
              <w:right w:w="100" w:type="dxa"/>
            </w:tcMar>
          </w:tcPr>
          <w:p w14:paraId="13CAA9F8" w14:textId="77777777" w:rsidR="00A05017" w:rsidRDefault="001801C9">
            <w:pPr>
              <w:widowControl w:val="0"/>
              <w:pBdr>
                <w:top w:val="nil"/>
                <w:left w:val="nil"/>
                <w:bottom w:val="nil"/>
                <w:right w:val="nil"/>
                <w:between w:val="nil"/>
              </w:pBdr>
              <w:jc w:val="right"/>
              <w:rPr>
                <w:sz w:val="20"/>
                <w:szCs w:val="20"/>
              </w:rPr>
            </w:pPr>
            <w:r>
              <w:rPr>
                <w:sz w:val="20"/>
                <w:szCs w:val="20"/>
              </w:rPr>
              <w:t>210.616</w:t>
            </w:r>
          </w:p>
        </w:tc>
        <w:tc>
          <w:tcPr>
            <w:tcW w:w="1740" w:type="dxa"/>
            <w:shd w:val="clear" w:color="auto" w:fill="auto"/>
            <w:tcMar>
              <w:top w:w="100" w:type="dxa"/>
              <w:left w:w="100" w:type="dxa"/>
              <w:bottom w:w="100" w:type="dxa"/>
              <w:right w:w="100" w:type="dxa"/>
            </w:tcMar>
          </w:tcPr>
          <w:p w14:paraId="60E75BBE" w14:textId="77777777" w:rsidR="00A05017" w:rsidRDefault="001801C9">
            <w:pPr>
              <w:widowControl w:val="0"/>
              <w:jc w:val="right"/>
              <w:rPr>
                <w:sz w:val="20"/>
                <w:szCs w:val="20"/>
              </w:rPr>
            </w:pPr>
            <w:r>
              <w:rPr>
                <w:sz w:val="20"/>
                <w:szCs w:val="20"/>
              </w:rPr>
              <w:t>210.616</w:t>
            </w:r>
          </w:p>
        </w:tc>
      </w:tr>
      <w:tr w:rsidR="00A05017" w14:paraId="01983C47" w14:textId="77777777">
        <w:tc>
          <w:tcPr>
            <w:tcW w:w="5040" w:type="dxa"/>
            <w:shd w:val="clear" w:color="auto" w:fill="auto"/>
            <w:tcMar>
              <w:top w:w="100" w:type="dxa"/>
              <w:left w:w="100" w:type="dxa"/>
              <w:bottom w:w="100" w:type="dxa"/>
              <w:right w:w="100" w:type="dxa"/>
            </w:tcMar>
          </w:tcPr>
          <w:p w14:paraId="68E696C4" w14:textId="77777777" w:rsidR="00A05017" w:rsidRDefault="001801C9">
            <w:pPr>
              <w:widowControl w:val="0"/>
              <w:pBdr>
                <w:top w:val="nil"/>
                <w:left w:val="nil"/>
                <w:bottom w:val="nil"/>
                <w:right w:val="nil"/>
                <w:between w:val="nil"/>
              </w:pBdr>
              <w:rPr>
                <w:sz w:val="20"/>
                <w:szCs w:val="20"/>
              </w:rPr>
            </w:pPr>
            <w:r>
              <w:rPr>
                <w:sz w:val="20"/>
                <w:szCs w:val="20"/>
              </w:rPr>
              <w:t>Componente 2:</w:t>
            </w:r>
          </w:p>
          <w:p w14:paraId="7132DC94" w14:textId="77777777" w:rsidR="00A05017" w:rsidRDefault="001801C9">
            <w:pPr>
              <w:widowControl w:val="0"/>
              <w:pBdr>
                <w:top w:val="nil"/>
                <w:left w:val="nil"/>
                <w:bottom w:val="nil"/>
                <w:right w:val="nil"/>
                <w:between w:val="nil"/>
              </w:pBdr>
              <w:rPr>
                <w:sz w:val="20"/>
                <w:szCs w:val="20"/>
              </w:rPr>
            </w:pPr>
            <w:r>
              <w:rPr>
                <w:sz w:val="20"/>
                <w:szCs w:val="20"/>
              </w:rPr>
              <w:t>Acompañamiento en la ruta a través de soluciones operativas, innovadoras y digitales</w:t>
            </w:r>
          </w:p>
        </w:tc>
        <w:tc>
          <w:tcPr>
            <w:tcW w:w="2175" w:type="dxa"/>
            <w:shd w:val="clear" w:color="auto" w:fill="auto"/>
            <w:tcMar>
              <w:top w:w="100" w:type="dxa"/>
              <w:left w:w="100" w:type="dxa"/>
              <w:bottom w:w="100" w:type="dxa"/>
              <w:right w:w="100" w:type="dxa"/>
            </w:tcMar>
          </w:tcPr>
          <w:p w14:paraId="474511E0" w14:textId="77777777" w:rsidR="00A05017" w:rsidRDefault="001801C9">
            <w:pPr>
              <w:widowControl w:val="0"/>
              <w:pBdr>
                <w:top w:val="nil"/>
                <w:left w:val="nil"/>
                <w:bottom w:val="nil"/>
                <w:right w:val="nil"/>
                <w:between w:val="nil"/>
              </w:pBdr>
              <w:jc w:val="right"/>
              <w:rPr>
                <w:sz w:val="20"/>
                <w:szCs w:val="20"/>
              </w:rPr>
            </w:pPr>
            <w:r>
              <w:rPr>
                <w:sz w:val="20"/>
                <w:szCs w:val="20"/>
              </w:rPr>
              <w:t>360.152</w:t>
            </w:r>
          </w:p>
        </w:tc>
        <w:tc>
          <w:tcPr>
            <w:tcW w:w="1740" w:type="dxa"/>
            <w:shd w:val="clear" w:color="auto" w:fill="auto"/>
            <w:tcMar>
              <w:top w:w="100" w:type="dxa"/>
              <w:left w:w="100" w:type="dxa"/>
              <w:bottom w:w="100" w:type="dxa"/>
              <w:right w:w="100" w:type="dxa"/>
            </w:tcMar>
          </w:tcPr>
          <w:p w14:paraId="3FCB9ECF" w14:textId="77777777" w:rsidR="00A05017" w:rsidRDefault="001801C9">
            <w:pPr>
              <w:widowControl w:val="0"/>
              <w:jc w:val="right"/>
              <w:rPr>
                <w:sz w:val="20"/>
                <w:szCs w:val="20"/>
              </w:rPr>
            </w:pPr>
            <w:r>
              <w:rPr>
                <w:sz w:val="20"/>
                <w:szCs w:val="20"/>
              </w:rPr>
              <w:t>360.152</w:t>
            </w:r>
          </w:p>
        </w:tc>
      </w:tr>
      <w:tr w:rsidR="00A05017" w14:paraId="722BEC7A" w14:textId="77777777">
        <w:tc>
          <w:tcPr>
            <w:tcW w:w="5040" w:type="dxa"/>
            <w:shd w:val="clear" w:color="auto" w:fill="auto"/>
            <w:tcMar>
              <w:top w:w="100" w:type="dxa"/>
              <w:left w:w="100" w:type="dxa"/>
              <w:bottom w:w="100" w:type="dxa"/>
              <w:right w:w="100" w:type="dxa"/>
            </w:tcMar>
          </w:tcPr>
          <w:p w14:paraId="484D1170" w14:textId="77777777" w:rsidR="00A05017" w:rsidRDefault="001801C9">
            <w:pPr>
              <w:widowControl w:val="0"/>
              <w:pBdr>
                <w:top w:val="nil"/>
                <w:left w:val="nil"/>
                <w:bottom w:val="nil"/>
                <w:right w:val="nil"/>
                <w:between w:val="nil"/>
              </w:pBdr>
              <w:rPr>
                <w:sz w:val="20"/>
                <w:szCs w:val="20"/>
              </w:rPr>
            </w:pPr>
            <w:r>
              <w:rPr>
                <w:sz w:val="20"/>
                <w:szCs w:val="20"/>
              </w:rPr>
              <w:t>Componente 3:</w:t>
            </w:r>
          </w:p>
          <w:p w14:paraId="4FA2BE85" w14:textId="77777777" w:rsidR="00A05017" w:rsidRDefault="001801C9">
            <w:pPr>
              <w:widowControl w:val="0"/>
              <w:pBdr>
                <w:top w:val="nil"/>
                <w:left w:val="nil"/>
                <w:bottom w:val="nil"/>
                <w:right w:val="nil"/>
                <w:between w:val="nil"/>
              </w:pBdr>
              <w:rPr>
                <w:sz w:val="20"/>
                <w:szCs w:val="20"/>
              </w:rPr>
            </w:pPr>
            <w:r>
              <w:rPr>
                <w:sz w:val="20"/>
                <w:szCs w:val="20"/>
              </w:rPr>
              <w:t>Evaluación del proyecto</w:t>
            </w:r>
          </w:p>
        </w:tc>
        <w:tc>
          <w:tcPr>
            <w:tcW w:w="2175" w:type="dxa"/>
            <w:shd w:val="clear" w:color="auto" w:fill="auto"/>
            <w:tcMar>
              <w:top w:w="100" w:type="dxa"/>
              <w:left w:w="100" w:type="dxa"/>
              <w:bottom w:w="100" w:type="dxa"/>
              <w:right w:w="100" w:type="dxa"/>
            </w:tcMar>
          </w:tcPr>
          <w:p w14:paraId="3173C889" w14:textId="77777777" w:rsidR="00A05017" w:rsidRDefault="001801C9">
            <w:pPr>
              <w:widowControl w:val="0"/>
              <w:pBdr>
                <w:top w:val="nil"/>
                <w:left w:val="nil"/>
                <w:bottom w:val="nil"/>
                <w:right w:val="nil"/>
                <w:between w:val="nil"/>
              </w:pBdr>
              <w:jc w:val="right"/>
              <w:rPr>
                <w:sz w:val="20"/>
                <w:szCs w:val="20"/>
              </w:rPr>
            </w:pPr>
            <w:r>
              <w:rPr>
                <w:sz w:val="20"/>
                <w:szCs w:val="20"/>
              </w:rPr>
              <w:t>78.910</w:t>
            </w:r>
          </w:p>
        </w:tc>
        <w:tc>
          <w:tcPr>
            <w:tcW w:w="1740" w:type="dxa"/>
            <w:shd w:val="clear" w:color="auto" w:fill="auto"/>
            <w:tcMar>
              <w:top w:w="100" w:type="dxa"/>
              <w:left w:w="100" w:type="dxa"/>
              <w:bottom w:w="100" w:type="dxa"/>
              <w:right w:w="100" w:type="dxa"/>
            </w:tcMar>
          </w:tcPr>
          <w:p w14:paraId="41E10FE7" w14:textId="77777777" w:rsidR="00A05017" w:rsidRDefault="001801C9">
            <w:pPr>
              <w:widowControl w:val="0"/>
              <w:jc w:val="right"/>
              <w:rPr>
                <w:sz w:val="20"/>
                <w:szCs w:val="20"/>
              </w:rPr>
            </w:pPr>
            <w:r>
              <w:rPr>
                <w:sz w:val="20"/>
                <w:szCs w:val="20"/>
              </w:rPr>
              <w:t>78.910</w:t>
            </w:r>
          </w:p>
        </w:tc>
      </w:tr>
      <w:tr w:rsidR="00A05017" w14:paraId="719CC875" w14:textId="77777777">
        <w:tc>
          <w:tcPr>
            <w:tcW w:w="5040" w:type="dxa"/>
            <w:shd w:val="clear" w:color="auto" w:fill="auto"/>
            <w:tcMar>
              <w:top w:w="100" w:type="dxa"/>
              <w:left w:w="100" w:type="dxa"/>
              <w:bottom w:w="100" w:type="dxa"/>
              <w:right w:w="100" w:type="dxa"/>
            </w:tcMar>
          </w:tcPr>
          <w:p w14:paraId="1A1C032D" w14:textId="77777777" w:rsidR="00A05017" w:rsidRDefault="001801C9">
            <w:pPr>
              <w:widowControl w:val="0"/>
              <w:pBdr>
                <w:top w:val="nil"/>
                <w:left w:val="nil"/>
                <w:bottom w:val="nil"/>
                <w:right w:val="nil"/>
                <w:between w:val="nil"/>
              </w:pBdr>
              <w:rPr>
                <w:sz w:val="20"/>
                <w:szCs w:val="20"/>
              </w:rPr>
            </w:pPr>
            <w:r>
              <w:rPr>
                <w:sz w:val="20"/>
                <w:szCs w:val="20"/>
              </w:rPr>
              <w:t>Auditoría y apoyo en ejecución</w:t>
            </w:r>
          </w:p>
        </w:tc>
        <w:tc>
          <w:tcPr>
            <w:tcW w:w="2175" w:type="dxa"/>
            <w:shd w:val="clear" w:color="auto" w:fill="auto"/>
            <w:tcMar>
              <w:top w:w="100" w:type="dxa"/>
              <w:left w:w="100" w:type="dxa"/>
              <w:bottom w:w="100" w:type="dxa"/>
              <w:right w:w="100" w:type="dxa"/>
            </w:tcMar>
          </w:tcPr>
          <w:p w14:paraId="3FB29CC1" w14:textId="77777777" w:rsidR="00A05017" w:rsidRDefault="001801C9">
            <w:pPr>
              <w:widowControl w:val="0"/>
              <w:pBdr>
                <w:top w:val="nil"/>
                <w:left w:val="nil"/>
                <w:bottom w:val="nil"/>
                <w:right w:val="nil"/>
                <w:between w:val="nil"/>
              </w:pBdr>
              <w:jc w:val="right"/>
              <w:rPr>
                <w:sz w:val="20"/>
                <w:szCs w:val="20"/>
              </w:rPr>
            </w:pPr>
            <w:r>
              <w:rPr>
                <w:sz w:val="20"/>
                <w:szCs w:val="20"/>
              </w:rPr>
              <w:t>48.900</w:t>
            </w:r>
          </w:p>
        </w:tc>
        <w:tc>
          <w:tcPr>
            <w:tcW w:w="1740" w:type="dxa"/>
            <w:shd w:val="clear" w:color="auto" w:fill="auto"/>
            <w:tcMar>
              <w:top w:w="100" w:type="dxa"/>
              <w:left w:w="100" w:type="dxa"/>
              <w:bottom w:w="100" w:type="dxa"/>
              <w:right w:w="100" w:type="dxa"/>
            </w:tcMar>
          </w:tcPr>
          <w:p w14:paraId="423475EC" w14:textId="77777777" w:rsidR="00A05017" w:rsidRDefault="001801C9">
            <w:pPr>
              <w:widowControl w:val="0"/>
              <w:jc w:val="right"/>
              <w:rPr>
                <w:sz w:val="20"/>
                <w:szCs w:val="20"/>
              </w:rPr>
            </w:pPr>
            <w:r>
              <w:rPr>
                <w:sz w:val="20"/>
                <w:szCs w:val="20"/>
              </w:rPr>
              <w:t>48.900</w:t>
            </w:r>
          </w:p>
        </w:tc>
      </w:tr>
      <w:tr w:rsidR="00A05017" w14:paraId="6D2951B7" w14:textId="77777777">
        <w:tc>
          <w:tcPr>
            <w:tcW w:w="5040" w:type="dxa"/>
            <w:shd w:val="clear" w:color="auto" w:fill="D9D9D9"/>
            <w:tcMar>
              <w:top w:w="100" w:type="dxa"/>
              <w:left w:w="100" w:type="dxa"/>
              <w:bottom w:w="100" w:type="dxa"/>
              <w:right w:w="100" w:type="dxa"/>
            </w:tcMar>
          </w:tcPr>
          <w:p w14:paraId="26C315A9" w14:textId="77777777" w:rsidR="00A05017" w:rsidRDefault="001801C9">
            <w:pPr>
              <w:widowControl w:val="0"/>
              <w:pBdr>
                <w:top w:val="nil"/>
                <w:left w:val="nil"/>
                <w:bottom w:val="nil"/>
                <w:right w:val="nil"/>
                <w:between w:val="nil"/>
              </w:pBdr>
              <w:rPr>
                <w:b/>
                <w:sz w:val="20"/>
                <w:szCs w:val="20"/>
              </w:rPr>
            </w:pPr>
            <w:r>
              <w:rPr>
                <w:b/>
                <w:sz w:val="20"/>
                <w:szCs w:val="20"/>
              </w:rPr>
              <w:t>Total</w:t>
            </w:r>
          </w:p>
        </w:tc>
        <w:tc>
          <w:tcPr>
            <w:tcW w:w="2175" w:type="dxa"/>
            <w:shd w:val="clear" w:color="auto" w:fill="D9D9D9"/>
            <w:tcMar>
              <w:top w:w="100" w:type="dxa"/>
              <w:left w:w="100" w:type="dxa"/>
              <w:bottom w:w="100" w:type="dxa"/>
              <w:right w:w="100" w:type="dxa"/>
            </w:tcMar>
          </w:tcPr>
          <w:p w14:paraId="2522B044" w14:textId="77777777" w:rsidR="00A05017" w:rsidRDefault="001801C9">
            <w:pPr>
              <w:widowControl w:val="0"/>
              <w:pBdr>
                <w:top w:val="nil"/>
                <w:left w:val="nil"/>
                <w:bottom w:val="nil"/>
                <w:right w:val="nil"/>
                <w:between w:val="nil"/>
              </w:pBdr>
              <w:jc w:val="right"/>
              <w:rPr>
                <w:b/>
                <w:sz w:val="20"/>
                <w:szCs w:val="20"/>
              </w:rPr>
            </w:pPr>
            <w:r>
              <w:rPr>
                <w:b/>
                <w:sz w:val="20"/>
                <w:szCs w:val="20"/>
              </w:rPr>
              <w:t>698.578</w:t>
            </w:r>
          </w:p>
        </w:tc>
        <w:tc>
          <w:tcPr>
            <w:tcW w:w="1740" w:type="dxa"/>
            <w:shd w:val="clear" w:color="auto" w:fill="D9D9D9"/>
            <w:tcMar>
              <w:top w:w="100" w:type="dxa"/>
              <w:left w:w="100" w:type="dxa"/>
              <w:bottom w:w="100" w:type="dxa"/>
              <w:right w:w="100" w:type="dxa"/>
            </w:tcMar>
          </w:tcPr>
          <w:p w14:paraId="3ED0D933" w14:textId="77777777" w:rsidR="00A05017" w:rsidRDefault="001801C9">
            <w:pPr>
              <w:widowControl w:val="0"/>
              <w:jc w:val="right"/>
              <w:rPr>
                <w:b/>
                <w:sz w:val="20"/>
                <w:szCs w:val="20"/>
              </w:rPr>
            </w:pPr>
            <w:r>
              <w:rPr>
                <w:b/>
                <w:sz w:val="20"/>
                <w:szCs w:val="20"/>
              </w:rPr>
              <w:t>698.578</w:t>
            </w:r>
          </w:p>
        </w:tc>
      </w:tr>
    </w:tbl>
    <w:p w14:paraId="6530D1AA" w14:textId="77777777" w:rsidR="00A05017" w:rsidRDefault="00A05017">
      <w:pPr>
        <w:jc w:val="both"/>
        <w:rPr>
          <w:rFonts w:ascii="Arial" w:eastAsia="Arial" w:hAnsi="Arial" w:cs="Arial"/>
          <w:sz w:val="22"/>
          <w:szCs w:val="22"/>
        </w:rPr>
      </w:pPr>
    </w:p>
    <w:p w14:paraId="1CE84E16" w14:textId="7100FAC7" w:rsidR="00A05017" w:rsidRDefault="001801C9">
      <w:pPr>
        <w:jc w:val="both"/>
        <w:rPr>
          <w:rFonts w:ascii="Arial" w:eastAsia="Arial" w:hAnsi="Arial" w:cs="Arial"/>
        </w:rPr>
      </w:pPr>
      <w:r>
        <w:rPr>
          <w:rFonts w:ascii="Arial" w:eastAsia="Arial" w:hAnsi="Arial" w:cs="Arial"/>
        </w:rPr>
        <w:t>Las adquisiciones del Programa de conformidad con lo descrito en el clausulado del Convenio de cooperación técnica ATN/EE-18584-CO y sus anexos, seguirán los procedimientos establecidos en los documentos de políticas del BID que se encuentren vigentes al momento de la ejecución</w:t>
      </w:r>
      <w:r>
        <w:rPr>
          <w:rFonts w:ascii="Arial" w:eastAsia="Arial" w:hAnsi="Arial" w:cs="Arial"/>
          <w:vertAlign w:val="superscript"/>
        </w:rPr>
        <w:footnoteReference w:id="2"/>
      </w:r>
      <w:r>
        <w:rPr>
          <w:rFonts w:ascii="Arial" w:eastAsia="Arial" w:hAnsi="Arial" w:cs="Arial"/>
        </w:rPr>
        <w:t xml:space="preserve">. Las adquisiciones que se definan en el marco del Programa se regirán bajo la normativa del BID utilizando las Políticas para la Selección y Contratación de Consultores Financiados por el Banco Interamericano de Desarrollo (GN-2350-15). </w:t>
      </w:r>
    </w:p>
    <w:p w14:paraId="170867FA" w14:textId="77777777" w:rsidR="00A05017" w:rsidRDefault="00A05017">
      <w:pPr>
        <w:jc w:val="both"/>
        <w:rPr>
          <w:rFonts w:ascii="Arial" w:eastAsia="Arial" w:hAnsi="Arial" w:cs="Arial"/>
        </w:rPr>
      </w:pPr>
    </w:p>
    <w:p w14:paraId="3889AE53" w14:textId="55CDBC61" w:rsidR="00A05017" w:rsidRDefault="001801C9">
      <w:pPr>
        <w:jc w:val="both"/>
        <w:rPr>
          <w:rFonts w:ascii="Arial" w:eastAsia="Arial" w:hAnsi="Arial" w:cs="Arial"/>
        </w:rPr>
      </w:pPr>
      <w:r>
        <w:rPr>
          <w:rFonts w:ascii="Arial" w:eastAsia="Arial" w:hAnsi="Arial" w:cs="Arial"/>
        </w:rPr>
        <w:t xml:space="preserve">El plan de adquisiciones de la cooperación técnica se puede consultar en el siguiente </w:t>
      </w:r>
      <w:proofErr w:type="gramStart"/>
      <w:r>
        <w:rPr>
          <w:rFonts w:ascii="Arial" w:eastAsia="Arial" w:hAnsi="Arial" w:cs="Arial"/>
        </w:rPr>
        <w:t>link</w:t>
      </w:r>
      <w:proofErr w:type="gramEnd"/>
      <w:r>
        <w:rPr>
          <w:rFonts w:ascii="Arial" w:eastAsia="Arial" w:hAnsi="Arial" w:cs="Arial"/>
        </w:rPr>
        <w:t xml:space="preserve">, en el sitio oficial del BID </w:t>
      </w:r>
      <w:hyperlink r:id="rId7" w:history="1">
        <w:r w:rsidR="00B422B6" w:rsidRPr="00CD18E4">
          <w:rPr>
            <w:rStyle w:val="Hyperlink"/>
            <w:rFonts w:ascii="Arial" w:eastAsia="Arial" w:hAnsi="Arial" w:cs="Arial"/>
          </w:rPr>
          <w:t>https://www.iadb.org/Document.cfm?id=EZS</w:t>
        </w:r>
        <w:r w:rsidR="00B422B6" w:rsidRPr="00CD18E4">
          <w:rPr>
            <w:rStyle w:val="Hyperlink"/>
            <w:rFonts w:ascii="Arial" w:eastAsia="Arial" w:hAnsi="Arial" w:cs="Arial"/>
          </w:rPr>
          <w:t>H</w:t>
        </w:r>
        <w:r w:rsidR="00B422B6" w:rsidRPr="00CD18E4">
          <w:rPr>
            <w:rStyle w:val="Hyperlink"/>
            <w:rFonts w:ascii="Arial" w:eastAsia="Arial" w:hAnsi="Arial" w:cs="Arial"/>
          </w:rPr>
          <w:t>ARE-1887721144-15</w:t>
        </w:r>
      </w:hyperlink>
      <w:r w:rsidR="00B422B6">
        <w:rPr>
          <w:rFonts w:ascii="Arial" w:eastAsia="Arial" w:hAnsi="Arial" w:cs="Arial"/>
        </w:rPr>
        <w:t xml:space="preserve"> </w:t>
      </w:r>
    </w:p>
    <w:p w14:paraId="5FA08DD5" w14:textId="77777777" w:rsidR="007F7C0D" w:rsidRPr="007F7C0D" w:rsidRDefault="007F7C0D">
      <w:pPr>
        <w:jc w:val="both"/>
        <w:rPr>
          <w:rFonts w:ascii="Arial" w:eastAsia="Arial" w:hAnsi="Arial" w:cs="Arial"/>
        </w:rPr>
      </w:pPr>
    </w:p>
    <w:p w14:paraId="10A6FBFC" w14:textId="77777777" w:rsidR="007F7C0D" w:rsidRDefault="007F7C0D">
      <w:pPr>
        <w:jc w:val="both"/>
        <w:rPr>
          <w:rFonts w:ascii="Arial" w:eastAsia="Arial" w:hAnsi="Arial" w:cs="Arial"/>
        </w:rPr>
      </w:pPr>
    </w:p>
    <w:p w14:paraId="0CA60908" w14:textId="3CD8D46C" w:rsidR="00A05017" w:rsidRDefault="00A05017">
      <w:pPr>
        <w:jc w:val="both"/>
        <w:rPr>
          <w:rFonts w:ascii="Arial" w:eastAsia="Arial" w:hAnsi="Arial" w:cs="Arial"/>
        </w:rPr>
      </w:pPr>
    </w:p>
    <w:sectPr w:rsidR="00A05017">
      <w:footerReference w:type="default" r:id="rId8"/>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90582" w14:textId="77777777" w:rsidR="00017631" w:rsidRDefault="00017631">
      <w:r>
        <w:separator/>
      </w:r>
    </w:p>
  </w:endnote>
  <w:endnote w:type="continuationSeparator" w:id="0">
    <w:p w14:paraId="2BB1AF78" w14:textId="77777777" w:rsidR="00017631" w:rsidRDefault="00017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C9A8C" w14:textId="635CA603" w:rsidR="00A05017" w:rsidRDefault="001801C9">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separate"/>
    </w:r>
    <w:r w:rsidR="00AF1DDE">
      <w:rPr>
        <w:noProof/>
        <w:color w:val="000000"/>
      </w:rPr>
      <w:t>3</w:t>
    </w:r>
    <w:r>
      <w:rPr>
        <w:color w:val="000000"/>
      </w:rPr>
      <w:fldChar w:fldCharType="end"/>
    </w:r>
  </w:p>
  <w:p w14:paraId="0EB1A8BB" w14:textId="77777777" w:rsidR="00A05017" w:rsidRDefault="00A05017">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FB0105" w14:textId="77777777" w:rsidR="00017631" w:rsidRDefault="00017631">
      <w:r>
        <w:separator/>
      </w:r>
    </w:p>
  </w:footnote>
  <w:footnote w:type="continuationSeparator" w:id="0">
    <w:p w14:paraId="2FA98A3A" w14:textId="77777777" w:rsidR="00017631" w:rsidRDefault="00017631">
      <w:r>
        <w:continuationSeparator/>
      </w:r>
    </w:p>
  </w:footnote>
  <w:footnote w:id="1">
    <w:p w14:paraId="052DA3FE" w14:textId="77777777" w:rsidR="00A05017" w:rsidRDefault="001801C9">
      <w:pPr>
        <w:pBdr>
          <w:top w:val="nil"/>
          <w:left w:val="nil"/>
          <w:bottom w:val="nil"/>
          <w:right w:val="nil"/>
          <w:between w:val="nil"/>
        </w:pBdr>
        <w:ind w:left="360" w:hanging="360"/>
        <w:rPr>
          <w:rFonts w:ascii="Arial" w:eastAsia="Arial" w:hAnsi="Arial" w:cs="Arial"/>
          <w:color w:val="000000"/>
          <w:sz w:val="18"/>
          <w:szCs w:val="18"/>
        </w:rPr>
      </w:pPr>
      <w:r>
        <w:rPr>
          <w:vertAlign w:val="superscript"/>
        </w:rPr>
        <w:footnoteRef/>
      </w:r>
      <w:r w:rsidRPr="00EF7EDC">
        <w:rPr>
          <w:rFonts w:ascii="Arial" w:eastAsia="Arial" w:hAnsi="Arial" w:cs="Arial"/>
          <w:color w:val="000000"/>
          <w:sz w:val="18"/>
          <w:szCs w:val="18"/>
          <w:lang w:val="en-US"/>
        </w:rPr>
        <w:t xml:space="preserve"> </w:t>
      </w:r>
      <w:r w:rsidRPr="00EF7EDC">
        <w:rPr>
          <w:rFonts w:ascii="Arial" w:eastAsia="Arial" w:hAnsi="Arial" w:cs="Arial"/>
          <w:color w:val="000000"/>
          <w:sz w:val="18"/>
          <w:szCs w:val="18"/>
          <w:lang w:val="en-US"/>
        </w:rPr>
        <w:tab/>
        <w:t xml:space="preserve">World Health Organization, United Nations Children’s Fund, &amp; World Bank Group. (2018). </w:t>
      </w:r>
      <w:r w:rsidRPr="00EF7EDC">
        <w:rPr>
          <w:rFonts w:ascii="Arial" w:eastAsia="Arial" w:hAnsi="Arial" w:cs="Arial"/>
          <w:i/>
          <w:color w:val="000000"/>
          <w:sz w:val="18"/>
          <w:szCs w:val="18"/>
          <w:lang w:val="en-US"/>
        </w:rPr>
        <w:t>Nurturing care for early childhood development: a framework for helping children survive and thrive to transform health and human potential</w:t>
      </w:r>
      <w:r w:rsidRPr="00EF7EDC">
        <w:rPr>
          <w:rFonts w:ascii="Arial" w:eastAsia="Arial" w:hAnsi="Arial" w:cs="Arial"/>
          <w:color w:val="000000"/>
          <w:sz w:val="18"/>
          <w:szCs w:val="18"/>
          <w:lang w:val="en-US"/>
        </w:rPr>
        <w:t xml:space="preserve">. </w:t>
      </w:r>
      <w:proofErr w:type="spellStart"/>
      <w:r>
        <w:rPr>
          <w:rFonts w:ascii="Arial" w:eastAsia="Arial" w:hAnsi="Arial" w:cs="Arial"/>
          <w:color w:val="000000"/>
          <w:sz w:val="18"/>
          <w:szCs w:val="18"/>
        </w:rPr>
        <w:t>World</w:t>
      </w:r>
      <w:proofErr w:type="spellEnd"/>
      <w:r>
        <w:rPr>
          <w:rFonts w:ascii="Arial" w:eastAsia="Arial" w:hAnsi="Arial" w:cs="Arial"/>
          <w:color w:val="000000"/>
          <w:sz w:val="18"/>
          <w:szCs w:val="18"/>
        </w:rPr>
        <w:t xml:space="preserve"> Health </w:t>
      </w:r>
      <w:proofErr w:type="spellStart"/>
      <w:r>
        <w:rPr>
          <w:rFonts w:ascii="Arial" w:eastAsia="Arial" w:hAnsi="Arial" w:cs="Arial"/>
          <w:color w:val="000000"/>
          <w:sz w:val="18"/>
          <w:szCs w:val="18"/>
        </w:rPr>
        <w:t>Organization</w:t>
      </w:r>
      <w:proofErr w:type="spellEnd"/>
      <w:r>
        <w:rPr>
          <w:rFonts w:ascii="Arial" w:eastAsia="Arial" w:hAnsi="Arial" w:cs="Arial"/>
          <w:color w:val="000000"/>
          <w:sz w:val="18"/>
          <w:szCs w:val="18"/>
        </w:rPr>
        <w:t>.</w:t>
      </w:r>
    </w:p>
  </w:footnote>
  <w:footnote w:id="2">
    <w:p w14:paraId="42F9083D" w14:textId="77777777" w:rsidR="00A05017" w:rsidRDefault="001801C9">
      <w:pPr>
        <w:pBdr>
          <w:top w:val="nil"/>
          <w:left w:val="nil"/>
          <w:bottom w:val="nil"/>
          <w:right w:val="nil"/>
          <w:between w:val="nil"/>
        </w:pBdr>
        <w:jc w:val="both"/>
        <w:rPr>
          <w:rFonts w:ascii="Arial" w:eastAsia="Arial" w:hAnsi="Arial" w:cs="Arial"/>
          <w:color w:val="000000"/>
          <w:sz w:val="18"/>
          <w:szCs w:val="18"/>
          <w:highlight w:val="yellow"/>
        </w:rPr>
      </w:pPr>
      <w:r>
        <w:rPr>
          <w:vertAlign w:val="superscript"/>
        </w:rPr>
        <w:footnoteRef/>
      </w:r>
      <w:r>
        <w:rPr>
          <w:rFonts w:ascii="Arial" w:eastAsia="Arial" w:hAnsi="Arial" w:cs="Arial"/>
          <w:color w:val="000000"/>
          <w:sz w:val="18"/>
          <w:szCs w:val="18"/>
        </w:rPr>
        <w:t xml:space="preserve"> Las políticas de adquisiciones vigentes para la selección y contratación de servicios de consultoría son las fechadas en mayo de 2019 que están recogidas en el documento GN-2350-15, aprobado por el BID el 2 de julio de 2019. Pueden ser consultadas en el siguiente enlace: </w:t>
      </w:r>
      <w:hyperlink r:id="rId1">
        <w:r>
          <w:rPr>
            <w:rFonts w:ascii="Arial" w:eastAsia="Arial" w:hAnsi="Arial" w:cs="Arial"/>
            <w:color w:val="0000FF"/>
            <w:sz w:val="18"/>
            <w:szCs w:val="18"/>
            <w:u w:val="single"/>
          </w:rPr>
          <w:t>https://projectprocurement.iadb.org/es/politicas</w:t>
        </w:r>
      </w:hyperlink>
      <w:r>
        <w:rPr>
          <w:rFonts w:ascii="Arial" w:eastAsia="Arial" w:hAnsi="Arial" w:cs="Arial"/>
          <w:color w:val="000000"/>
          <w:sz w:val="18"/>
          <w:szCs w:val="18"/>
        </w:rPr>
        <w:t xml:space="preserve">,  </w:t>
      </w:r>
      <w:hyperlink r:id="rId2">
        <w:r>
          <w:rPr>
            <w:rFonts w:ascii="Arial" w:eastAsia="Arial" w:hAnsi="Arial" w:cs="Arial"/>
            <w:color w:val="1155CC"/>
            <w:sz w:val="18"/>
            <w:szCs w:val="18"/>
            <w:u w:val="single"/>
          </w:rPr>
          <w:t>https://idbdocs.iadb.org/wsdocs/getdocument.aspx?docnum=EZSHARE-1132444900-23304</w:t>
        </w:r>
      </w:hyperlink>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017"/>
    <w:rsid w:val="00017631"/>
    <w:rsid w:val="001801C9"/>
    <w:rsid w:val="002C5F09"/>
    <w:rsid w:val="0052363A"/>
    <w:rsid w:val="00664875"/>
    <w:rsid w:val="007620D6"/>
    <w:rsid w:val="007F7C0D"/>
    <w:rsid w:val="009C1E1E"/>
    <w:rsid w:val="00A05017"/>
    <w:rsid w:val="00AF1DDE"/>
    <w:rsid w:val="00B422B6"/>
    <w:rsid w:val="00B97A63"/>
    <w:rsid w:val="00E33350"/>
    <w:rsid w:val="00E3481C"/>
    <w:rsid w:val="00EF7EDC"/>
    <w:rsid w:val="00F55533"/>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885DA"/>
  <w15:docId w15:val="{073290F0-C027-40CE-A478-B3BE5635C8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155A"/>
    <w:rPr>
      <w:lang w:eastAsia="es-ES"/>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link w:val="TitleChar"/>
    <w:qFormat/>
    <w:rsid w:val="00D408A3"/>
    <w:pPr>
      <w:jc w:val="center"/>
    </w:pPr>
    <w:rPr>
      <w:rFonts w:ascii="Arial" w:hAnsi="Arial"/>
      <w:b/>
      <w:i/>
      <w:szCs w:val="20"/>
    </w:rPr>
  </w:style>
  <w:style w:type="table" w:customStyle="1" w:styleId="TableNormal2">
    <w:name w:val="Table Normal2"/>
    <w:tblPr>
      <w:tblCellMar>
        <w:top w:w="0" w:type="dxa"/>
        <w:left w:w="0" w:type="dxa"/>
        <w:bottom w:w="0" w:type="dxa"/>
        <w:right w:w="0" w:type="dxa"/>
      </w:tblCellMar>
    </w:tblPr>
  </w:style>
  <w:style w:type="table" w:customStyle="1" w:styleId="TableNormal10">
    <w:name w:val="Table Normal1"/>
    <w:tblPr>
      <w:tblCellMar>
        <w:top w:w="0" w:type="dxa"/>
        <w:left w:w="0" w:type="dxa"/>
        <w:bottom w:w="0" w:type="dxa"/>
        <w:right w:w="0" w:type="dxa"/>
      </w:tblCellMar>
    </w:tblPr>
  </w:style>
  <w:style w:type="character" w:styleId="Hyperlink">
    <w:name w:val="Hyperlink"/>
    <w:basedOn w:val="DefaultParagraphFont"/>
    <w:unhideWhenUsed/>
    <w:rsid w:val="00D408A3"/>
    <w:rPr>
      <w:color w:val="0000FF"/>
      <w:u w:val="single"/>
    </w:rPr>
  </w:style>
  <w:style w:type="character" w:customStyle="1" w:styleId="TitleChar">
    <w:name w:val="Title Char"/>
    <w:basedOn w:val="DefaultParagraphFont"/>
    <w:link w:val="Title"/>
    <w:rsid w:val="00D408A3"/>
    <w:rPr>
      <w:rFonts w:ascii="Arial" w:eastAsia="Times New Roman" w:hAnsi="Arial" w:cs="Times New Roman"/>
      <w:b/>
      <w:i/>
      <w:sz w:val="24"/>
      <w:szCs w:val="20"/>
      <w:lang w:eastAsia="es-ES"/>
    </w:rPr>
  </w:style>
  <w:style w:type="paragraph" w:styleId="ListParagraph">
    <w:name w:val="List Paragraph"/>
    <w:aliases w:val="List,Bullets,Ha,Párrafo de lista2,Cuadrícula clara - Énfasis 31,HOJA,Bolita,Párrafo de lista4,BOLADEF,Párrafo de lista3,Párrafo de lista21,BOLA,Nivel 1 OS,Colorful List Accent 1,titulo 3,Lista1"/>
    <w:basedOn w:val="Normal"/>
    <w:link w:val="ListParagraphChar"/>
    <w:uiPriority w:val="34"/>
    <w:qFormat/>
    <w:rsid w:val="00D408A3"/>
    <w:pPr>
      <w:ind w:left="720"/>
      <w:contextualSpacing/>
    </w:pPr>
  </w:style>
  <w:style w:type="character" w:styleId="FollowedHyperlink">
    <w:name w:val="FollowedHyperlink"/>
    <w:basedOn w:val="DefaultParagraphFont"/>
    <w:uiPriority w:val="99"/>
    <w:semiHidden/>
    <w:unhideWhenUsed/>
    <w:rsid w:val="00024AE8"/>
    <w:rPr>
      <w:color w:val="800080" w:themeColor="followedHyperlink"/>
      <w:u w:val="single"/>
    </w:rPr>
  </w:style>
  <w:style w:type="paragraph" w:styleId="FootnoteText">
    <w:name w:val="footnote text"/>
    <w:aliases w:val="Footnote,ALTS FOOTNOTE Char Char,Footnote Text Char Char,Footnote Char Char,Text Char Char,FOOTNOTES,fn,single space,Testo nota a piè di pagina Carattere,ft,Geneva 9,Font: Geneva 9,Boston 10,f,ADB, Char,WB-Fußnotentext,Fußnote,Char,A"/>
    <w:basedOn w:val="Normal"/>
    <w:link w:val="FootnoteTextChar"/>
    <w:unhideWhenUsed/>
    <w:qFormat/>
    <w:rsid w:val="00981479"/>
    <w:rPr>
      <w:sz w:val="20"/>
      <w:szCs w:val="20"/>
    </w:rPr>
  </w:style>
  <w:style w:type="character" w:customStyle="1" w:styleId="FootnoteTextChar">
    <w:name w:val="Footnote Text Char"/>
    <w:aliases w:val="Footnote Char,ALTS FOOTNOTE Char Char Char,Footnote Text Char Char Char,Footnote Char Char Char,Text Char Char Char,FOOTNOTES Char,fn Char,single space Char,Testo nota a piè di pagina Carattere Char,ft Char,Geneva 9 Char,f Char,A Char"/>
    <w:basedOn w:val="DefaultParagraphFont"/>
    <w:link w:val="FootnoteText"/>
    <w:rsid w:val="00981479"/>
    <w:rPr>
      <w:rFonts w:ascii="Times New Roman" w:eastAsia="Times New Roman" w:hAnsi="Times New Roman" w:cs="Times New Roman"/>
      <w:sz w:val="20"/>
      <w:szCs w:val="20"/>
      <w:lang w:eastAsia="es-ES"/>
    </w:rPr>
  </w:style>
  <w:style w:type="character" w:styleId="FootnoteReference">
    <w:name w:val="footnote reference"/>
    <w:aliases w:val="ftref,Appel note de bas de page,16 Point,Superscript 6 Point,Car Car Char Car Char Car Car Char Car Char Char,Car Car Car Car Car Car Car Car Char Car Car Char Car Car Car Char Car Char Char Char,SUPERS,BVI f,R,de nota al pie,Ref"/>
    <w:basedOn w:val="DefaultParagraphFont"/>
    <w:link w:val="BVIfnrCharCharChar1CharCharCharCharCharCharChar1CharCharChar1Char"/>
    <w:uiPriority w:val="99"/>
    <w:unhideWhenUsed/>
    <w:rsid w:val="00981479"/>
    <w:rPr>
      <w:vertAlign w:val="superscript"/>
    </w:rPr>
  </w:style>
  <w:style w:type="paragraph" w:styleId="NormalWeb">
    <w:name w:val="Normal (Web)"/>
    <w:basedOn w:val="Normal"/>
    <w:uiPriority w:val="99"/>
    <w:semiHidden/>
    <w:unhideWhenUsed/>
    <w:rsid w:val="00FC635F"/>
    <w:pPr>
      <w:spacing w:before="100" w:beforeAutospacing="1" w:after="100" w:afterAutospacing="1"/>
    </w:pPr>
    <w:rPr>
      <w:lang w:val="es-CO" w:eastAsia="es-ES_tradnl"/>
    </w:rPr>
  </w:style>
  <w:style w:type="character" w:customStyle="1" w:styleId="ListParagraphChar">
    <w:name w:val="List Paragraph Char"/>
    <w:aliases w:val="List Char,Bullets Char,Ha Char,Párrafo de lista2 Char,Cuadrícula clara - Énfasis 31 Char,HOJA Char,Bolita Char,Párrafo de lista4 Char,BOLADEF Char,Párrafo de lista3 Char,Párrafo de lista21 Char,BOLA Char,Nivel 1 OS Char,titulo 3 Char"/>
    <w:link w:val="ListParagraph"/>
    <w:uiPriority w:val="34"/>
    <w:locked/>
    <w:rsid w:val="002C064C"/>
    <w:rPr>
      <w:rFonts w:ascii="Times New Roman" w:eastAsia="Times New Roman" w:hAnsi="Times New Roman" w:cs="Times New Roman"/>
      <w:sz w:val="24"/>
      <w:szCs w:val="24"/>
      <w:lang w:eastAsia="es-ES"/>
    </w:rPr>
  </w:style>
  <w:style w:type="character" w:customStyle="1" w:styleId="UnresolvedMention1">
    <w:name w:val="Unresolved Mention1"/>
    <w:basedOn w:val="DefaultParagraphFont"/>
    <w:uiPriority w:val="99"/>
    <w:semiHidden/>
    <w:unhideWhenUsed/>
    <w:rsid w:val="0082155E"/>
    <w:rPr>
      <w:color w:val="605E5C"/>
      <w:shd w:val="clear" w:color="auto" w:fill="E1DFDD"/>
    </w:rPr>
  </w:style>
  <w:style w:type="paragraph" w:styleId="Header">
    <w:name w:val="header"/>
    <w:basedOn w:val="Normal"/>
    <w:link w:val="HeaderChar"/>
    <w:uiPriority w:val="99"/>
    <w:unhideWhenUsed/>
    <w:rsid w:val="007C64DA"/>
    <w:pPr>
      <w:tabs>
        <w:tab w:val="center" w:pos="4252"/>
        <w:tab w:val="right" w:pos="8504"/>
      </w:tabs>
    </w:pPr>
  </w:style>
  <w:style w:type="character" w:customStyle="1" w:styleId="HeaderChar">
    <w:name w:val="Header Char"/>
    <w:basedOn w:val="DefaultParagraphFont"/>
    <w:link w:val="Header"/>
    <w:uiPriority w:val="99"/>
    <w:rsid w:val="007C64DA"/>
    <w:rPr>
      <w:rFonts w:ascii="Times New Roman" w:eastAsia="Times New Roman" w:hAnsi="Times New Roman" w:cs="Times New Roman"/>
      <w:sz w:val="24"/>
      <w:szCs w:val="24"/>
      <w:lang w:eastAsia="es-ES"/>
    </w:rPr>
  </w:style>
  <w:style w:type="paragraph" w:styleId="Footer">
    <w:name w:val="footer"/>
    <w:basedOn w:val="Normal"/>
    <w:link w:val="FooterChar"/>
    <w:uiPriority w:val="99"/>
    <w:unhideWhenUsed/>
    <w:rsid w:val="007C64DA"/>
    <w:pPr>
      <w:tabs>
        <w:tab w:val="center" w:pos="4252"/>
        <w:tab w:val="right" w:pos="8504"/>
      </w:tabs>
    </w:pPr>
  </w:style>
  <w:style w:type="character" w:customStyle="1" w:styleId="FooterChar">
    <w:name w:val="Footer Char"/>
    <w:basedOn w:val="DefaultParagraphFont"/>
    <w:link w:val="Footer"/>
    <w:uiPriority w:val="99"/>
    <w:rsid w:val="007C64DA"/>
    <w:rPr>
      <w:rFonts w:ascii="Times New Roman" w:eastAsia="Times New Roman" w:hAnsi="Times New Roman" w:cs="Times New Roman"/>
      <w:sz w:val="24"/>
      <w:szCs w:val="24"/>
      <w:lang w:eastAsia="es-E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0"/>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sz w:val="20"/>
      <w:szCs w:val="20"/>
      <w:lang w:eastAsia="es-ES"/>
    </w:rPr>
  </w:style>
  <w:style w:type="character" w:styleId="CommentReference">
    <w:name w:val="annotation reference"/>
    <w:basedOn w:val="DefaultParagraphFont"/>
    <w:unhideWhenUsed/>
    <w:rPr>
      <w:sz w:val="16"/>
      <w:szCs w:val="16"/>
    </w:rPr>
  </w:style>
  <w:style w:type="paragraph" w:styleId="BalloonText">
    <w:name w:val="Balloon Text"/>
    <w:basedOn w:val="Normal"/>
    <w:link w:val="BalloonTextChar"/>
    <w:uiPriority w:val="99"/>
    <w:semiHidden/>
    <w:unhideWhenUsed/>
    <w:rsid w:val="001F014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0144"/>
    <w:rPr>
      <w:rFonts w:ascii="Segoe UI" w:hAnsi="Segoe UI" w:cs="Segoe UI"/>
      <w:sz w:val="18"/>
      <w:szCs w:val="18"/>
      <w:lang w:eastAsia="es-ES"/>
    </w:rPr>
  </w:style>
  <w:style w:type="paragraph" w:styleId="Revision">
    <w:name w:val="Revision"/>
    <w:hidden/>
    <w:uiPriority w:val="99"/>
    <w:semiHidden/>
    <w:rsid w:val="002A700F"/>
    <w:rPr>
      <w:lang w:eastAsia="es-ES"/>
    </w:rPr>
  </w:style>
  <w:style w:type="character" w:customStyle="1" w:styleId="UnresolvedMention2">
    <w:name w:val="Unresolved Mention2"/>
    <w:basedOn w:val="DefaultParagraphFont"/>
    <w:uiPriority w:val="99"/>
    <w:semiHidden/>
    <w:unhideWhenUsed/>
    <w:rsid w:val="002A700F"/>
    <w:rPr>
      <w:color w:val="605E5C"/>
      <w:shd w:val="clear" w:color="auto" w:fill="E1DFDD"/>
    </w:rPr>
  </w:style>
  <w:style w:type="table" w:customStyle="1" w:styleId="a0">
    <w:basedOn w:val="TableNormal"/>
    <w:tblPr>
      <w:tblStyleRowBandSize w:val="1"/>
      <w:tblStyleColBandSize w:val="1"/>
      <w:tblCellMar>
        <w:left w:w="115" w:type="dxa"/>
        <w:right w:w="115" w:type="dxa"/>
      </w:tblCellMar>
    </w:tblPr>
  </w:style>
  <w:style w:type="paragraph" w:customStyle="1" w:styleId="ApndxHeading">
    <w:name w:val="Apndx Heading"/>
    <w:basedOn w:val="Heading1"/>
    <w:uiPriority w:val="99"/>
    <w:rsid w:val="004A42AA"/>
    <w:pPr>
      <w:keepLines w:val="0"/>
      <w:overflowPunct w:val="0"/>
      <w:autoSpaceDE w:val="0"/>
      <w:autoSpaceDN w:val="0"/>
      <w:adjustRightInd w:val="0"/>
      <w:spacing w:before="240" w:after="200"/>
      <w:jc w:val="center"/>
      <w:textAlignment w:val="baseline"/>
    </w:pPr>
    <w:rPr>
      <w:rFonts w:eastAsia="MS Mincho" w:cs="Arial"/>
      <w:bCs/>
      <w:kern w:val="32"/>
      <w:sz w:val="28"/>
      <w:szCs w:val="32"/>
      <w:lang w:val="en-US" w:eastAsia="en-US"/>
    </w:rPr>
  </w:style>
  <w:style w:type="paragraph" w:customStyle="1" w:styleId="BVIfnrCharCharChar1CharCharCharCharCharCharChar1CharCharChar1Char">
    <w:name w:val="BVI fnr (文字) (文字) Char (文字) Char Char1 Char Char Char Char Char Char Char1 Char Char Char1 Char"/>
    <w:aliases w:val="BVI fnr (文字) (文字) Char (文字) Char Char1 Char Char Char Char Char Char Char1 Char Char Char Char Char Char1 Char Char"/>
    <w:basedOn w:val="Normal"/>
    <w:link w:val="FootnoteReference"/>
    <w:uiPriority w:val="99"/>
    <w:rsid w:val="004A42AA"/>
    <w:pPr>
      <w:spacing w:after="160" w:line="240" w:lineRule="exact"/>
    </w:pPr>
    <w:rPr>
      <w:vertAlign w:val="superscript"/>
      <w:lang w:eastAsia="es-419"/>
    </w:rPr>
  </w:style>
  <w:style w:type="table" w:styleId="TableGrid">
    <w:name w:val="Table Grid"/>
    <w:basedOn w:val="TableNormal"/>
    <w:uiPriority w:val="99"/>
    <w:rsid w:val="004A42AA"/>
    <w:rPr>
      <w:rFonts w:eastAsia="MS Mincho"/>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1">
    <w:basedOn w:val="TableNormal2"/>
    <w:rPr>
      <w:sz w:val="20"/>
      <w:szCs w:val="20"/>
    </w:rPr>
    <w:tblPr>
      <w:tblStyleRowBandSize w:val="1"/>
      <w:tblStyleColBandSize w:val="1"/>
      <w:tblCellMar>
        <w:left w:w="115" w:type="dxa"/>
        <w:right w:w="115" w:type="dxa"/>
      </w:tblCellMar>
    </w:tblPr>
  </w:style>
  <w:style w:type="table" w:customStyle="1" w:styleId="a2">
    <w:basedOn w:val="TableNormal2"/>
    <w:tblPr>
      <w:tblStyleRowBandSize w:val="1"/>
      <w:tblStyleColBandSize w:val="1"/>
      <w:tblCellMar>
        <w:top w:w="100" w:type="dxa"/>
        <w:left w:w="100" w:type="dxa"/>
        <w:bottom w:w="100" w:type="dxa"/>
        <w:right w:w="100" w:type="dxa"/>
      </w:tblCellMar>
    </w:tblPr>
  </w:style>
  <w:style w:type="paragraph" w:styleId="CommentSubject">
    <w:name w:val="annotation subject"/>
    <w:basedOn w:val="CommentText"/>
    <w:next w:val="CommentText"/>
    <w:link w:val="CommentSubjectChar"/>
    <w:uiPriority w:val="99"/>
    <w:semiHidden/>
    <w:unhideWhenUsed/>
    <w:rsid w:val="0052363A"/>
    <w:rPr>
      <w:b/>
      <w:bCs/>
    </w:rPr>
  </w:style>
  <w:style w:type="character" w:customStyle="1" w:styleId="CommentSubjectChar">
    <w:name w:val="Comment Subject Char"/>
    <w:basedOn w:val="CommentTextChar"/>
    <w:link w:val="CommentSubject"/>
    <w:uiPriority w:val="99"/>
    <w:semiHidden/>
    <w:rsid w:val="0052363A"/>
    <w:rPr>
      <w:b/>
      <w:bCs/>
      <w:sz w:val="20"/>
      <w:szCs w:val="20"/>
      <w:lang w:eastAsia="es-ES"/>
    </w:rPr>
  </w:style>
  <w:style w:type="character" w:styleId="UnresolvedMention">
    <w:name w:val="Unresolved Mention"/>
    <w:basedOn w:val="DefaultParagraphFont"/>
    <w:uiPriority w:val="99"/>
    <w:semiHidden/>
    <w:unhideWhenUsed/>
    <w:rsid w:val="007F7C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s://www.iadb.org/Document.cfm?id=EZSHARE-1887721144-15" TargetMode="External"/><Relationship Id="rId12"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2" Type="http://schemas.openxmlformats.org/officeDocument/2006/relationships/hyperlink" Target="https://idbdocs.iadb.org/wsdocs/getdocument.aspx?docnum=EZSHARE-1132444900-23304" TargetMode="External"/><Relationship Id="rId1" Type="http://schemas.openxmlformats.org/officeDocument/2006/relationships/hyperlink" Target="https://projectprocurement.iadb.org/es/politic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NN+BD+D1vDV2HjwDcC6t3MbIkvg==">AMUW2mVQUevRlSUZhkDPj245mJHBJr0DfbxLOilUOpP6+PC+bdkrEQLEB3GlKDmisDWjV7W0VCIlr1IPvpyEZIXFeiq/CaWKp1IRT9Wpsu1gTVjl5WcvGw3iyJLbMQSfjs6bKmZrFOl5</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4B3CF88C24F8AD44814FADBF5A1DD1AF" ma:contentTypeVersion="10792" ma:contentTypeDescription="The base project type from which other project content types inherit their information." ma:contentTypeScope="" ma:versionID="81a86c4514381e7526e824ad373a6c70">
  <xsd:schema xmlns:xsd="http://www.w3.org/2001/XMLSchema" xmlns:xs="http://www.w3.org/2001/XMLSchema" xmlns:p="http://schemas.microsoft.com/office/2006/metadata/properties" xmlns:ns2="cdc7663a-08f0-4737-9e8c-148ce897a09c" xmlns:ns3="9fcce5bd-a735-4a47-a878-a803b0b37c09" targetNamespace="http://schemas.microsoft.com/office/2006/metadata/properties" ma:root="true" ma:fieldsID="46bae1aaa9fd4aae6efecdb7bf65746e" ns2:_="" ns3:_="">
    <xsd:import namespace="cdc7663a-08f0-4737-9e8c-148ce897a09c"/>
    <xsd:import namespace="9fcce5bd-a735-4a47-a878-a803b0b37c09"/>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element ref="ns2:Extracted_x0020_Keywords" minOccurs="0"/>
                <xsd:element ref="ns2:Approval_x0020_date" minOccurs="0"/>
                <xsd:element ref="ns2:Transaction_x0020_Type" minOccurs="0"/>
                <xsd:element ref="ns2:Transaction_x0020_Number"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element name="Extracted_x0020_Keywords" ma:index="47" nillable="true" ma:displayName="Extracted Keywords" ma:internalName="Extracted_x0020_Keywords">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element name="Approval_x0020_date" ma:index="48" nillable="true" ma:displayName="Approval date" ma:format="DateOnly" ma:internalName="Approval_x0020_date">
      <xsd:simpleType>
        <xsd:restriction base="dms:DateTime"/>
      </xsd:simpleType>
    </xsd:element>
    <xsd:element name="Transaction_x0020_Type" ma:index="49" nillable="true" ma:displayName="Transaction Type" ma:format="Dropdown" ma:internalName="Transaction_x0020_Type">
      <xsd:simpleType>
        <xsd:restriction base="dms:Choice">
          <xsd:enumeration value="APR"/>
          <xsd:enumeration value="APRR"/>
          <xsd:enumeration value="APRA"/>
          <xsd:enumeration value="API"/>
          <xsd:enumeration value="INC"/>
          <xsd:enumeration value="INCR"/>
          <xsd:enumeration value="BCL"/>
          <xsd:enumeration value="BCC"/>
          <xsd:enumeration value="FCM"/>
          <xsd:enumeration value="FCP"/>
          <xsd:enumeration value="FCPR"/>
          <xsd:enumeration value="FCA"/>
        </xsd:restriction>
      </xsd:simpleType>
    </xsd:element>
    <xsd:element name="Transaction_x0020_Number" ma:index="50" nillable="true" ma:displayName="Transaction Number" ma:internalName="Transaction_x0020_Numbe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fcce5bd-a735-4a47-a878-a803b0b37c09" elementFormDefault="qualified">
    <xsd:import namespace="http://schemas.microsoft.com/office/2006/documentManagement/types"/>
    <xsd:import namespace="http://schemas.microsoft.com/office/infopath/2007/PartnerControls"/>
    <xsd:element name="MediaServiceMetadata" ma:index="51" nillable="true" ma:displayName="MediaServiceMetadata" ma:hidden="true" ma:internalName="MediaServiceMetadata" ma:readOnly="true">
      <xsd:simpleType>
        <xsd:restriction base="dms:Note"/>
      </xsd:simpleType>
    </xsd:element>
    <xsd:element name="MediaServiceFastMetadata" ma:index="5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ACF722E9F6B0B149B0CD8BE2560A6672"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CAN/CCO</Division_x0020_or_x0020_Unit>
    <Transaction_x0020_Number xmlns="cdc7663a-08f0-4737-9e8c-148ce897a09c" xsi:nil="true"/>
    <_dlc_DocId xmlns="cdc7663a-08f0-4737-9e8c-148ce897a09c">EZSHARE-1887721144-11</_dlc_DocId>
    <Document_x0020_Author xmlns="cdc7663a-08f0-4737-9e8c-148ce897a09c">Bustos Rios Maria Paola</Document_x0020_Author>
    <Approval_x0020_date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Transaction_x0020_Type xmlns="cdc7663a-08f0-4737-9e8c-148ce897a09c" xsi:nil="true"/>
    <b26cdb1da78c4bb4b1c1bac2f6ac5911 xmlns="cdc7663a-08f0-4737-9e8c-148ce897a09c">
      <Terms xmlns="http://schemas.microsoft.com/office/infopath/2007/PartnerControls"/>
    </b26cdb1da78c4bb4b1c1bac2f6ac5911>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ATN/EE-18584-CO</Approval_x0020_Number>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SISCOR_x0020_Number xmlns="cdc7663a-08f0-4737-9e8c-148ce897a09c">I-CAN/CCO-2212/2022-A</SISCOR_x0020_Number>
    <Access_x0020_to_x0020_Information_x00a0_Policy xmlns="cdc7663a-08f0-4737-9e8c-148ce897a09c">Public</Access_x0020_to_x0020_Information_x00a0_Policy>
    <Identifier xmlns="cdc7663a-08f0-4737-9e8c-148ce897a09c" xsi:nil="true"/>
    <To_x003a_ xmlns="cdc7663a-08f0-4737-9e8c-148ce897a09c" xsi:nil="true"/>
    <From_x003a_ xmlns="cdc7663a-08f0-4737-9e8c-148ce897a09c" xsi:nil="true"/>
    <Document_x0020_Language_x0020_IDB xmlns="cdc7663a-08f0-4737-9e8c-148ce897a09c">Spanish</Document_x0020_Language_x0020_IDB>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https://idbg.sharepoint.com/teams/EZ-CO-TCP/CO-T1541/_layouts/15/DocIdRedir.aspx?ID=EZSHARE-1887721144-11</Url>
      <Description>EZSHARE-1887721144-11</Description>
    </_dlc_DocIdUrl>
    <Phase xmlns="cdc7663a-08f0-4737-9e8c-148ce897a09c" xsi:nil="true"/>
    <Other_x0020_Author xmlns="cdc7663a-08f0-4737-9e8c-148ce897a09c">Maria Bustos Rios</Other_x0020_Author>
    <IDBDocs_x0020_Number xmlns="cdc7663a-08f0-4737-9e8c-148ce897a09c" xsi:nil="true"/>
    <TaxCatchAll xmlns="cdc7663a-08f0-4737-9e8c-148ce897a09c">
      <Value>32</Value>
      <Value>9</Value>
    </TaxCatchAll>
    <Fiscal_x0020_Year_x0020_IDB xmlns="cdc7663a-08f0-4737-9e8c-148ce897a09c">2022</Fiscal_x0020_Year_x0020_IDB>
    <Operation_x0020_Type xmlns="cdc7663a-08f0-4737-9e8c-148ce897a09c">TCP</Operation_x0020_Type>
    <Extracted_x0020_Keywords xmlns="cdc7663a-08f0-4737-9e8c-148ce897a09c" xsi:nil="true"/>
    <Project_x0020_Number xmlns="cdc7663a-08f0-4737-9e8c-148ce897a09c">CO-T1541</Project_x0020_Number>
  </documentManagement>
</p:properti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29A476C-64FC-43A8-9CD1-8A4EC16DFA04}"/>
</file>

<file path=customXml/itemProps3.xml><?xml version="1.0" encoding="utf-8"?>
<ds:datastoreItem xmlns:ds="http://schemas.openxmlformats.org/officeDocument/2006/customXml" ds:itemID="{463496F0-A7EF-4033-8D6B-0FFFFAF42807}"/>
</file>

<file path=customXml/itemProps4.xml><?xml version="1.0" encoding="utf-8"?>
<ds:datastoreItem xmlns:ds="http://schemas.openxmlformats.org/officeDocument/2006/customXml" ds:itemID="{17DAA268-F34C-4712-81DD-8F7DF76F28F0}"/>
</file>

<file path=customXml/itemProps5.xml><?xml version="1.0" encoding="utf-8"?>
<ds:datastoreItem xmlns:ds="http://schemas.openxmlformats.org/officeDocument/2006/customXml" ds:itemID="{58F01011-3DF7-472B-8A02-72C09690A3E9}"/>
</file>

<file path=customXml/itemProps6.xml><?xml version="1.0" encoding="utf-8"?>
<ds:datastoreItem xmlns:ds="http://schemas.openxmlformats.org/officeDocument/2006/customXml" ds:itemID="{F598F71D-9010-4D92-9141-BD7E143C7380}"/>
</file>

<file path=customXml/itemProps7.xml><?xml version="1.0" encoding="utf-8"?>
<ds:datastoreItem xmlns:ds="http://schemas.openxmlformats.org/officeDocument/2006/customXml" ds:itemID="{CBC64750-7408-430D-B149-200E992BF85D}"/>
</file>

<file path=docProps/app.xml><?xml version="1.0" encoding="utf-8"?>
<Properties xmlns="http://schemas.openxmlformats.org/officeDocument/2006/extended-properties" xmlns:vt="http://schemas.openxmlformats.org/officeDocument/2006/docPropsVTypes">
  <Template>Normal</Template>
  <TotalTime>12</TotalTime>
  <Pages>3</Pages>
  <Words>1144</Words>
  <Characters>6292</Characters>
  <Application>Microsoft Office Word</Application>
  <DocSecurity>0</DocSecurity>
  <Lines>52</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Banco Interamericano de Desarrollo</dc:creator>
  <cp:keywords/>
  <cp:lastModifiedBy>Bustos Rios, Maria Paola</cp:lastModifiedBy>
  <cp:revision>4</cp:revision>
  <dcterms:created xsi:type="dcterms:W3CDTF">2022-12-01T00:36:00Z</dcterms:created>
  <dcterms:modified xsi:type="dcterms:W3CDTF">2022-12-15T23:34:00Z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0x010100ACF722E9F6B0B149B0CD8BE2560A6672004B3CF88C24F8AD44814FADBF5A1DD1AF</vt:lpwstr>
  </property>
  <property fmtid="{D5CDD505-2E9C-101B-9397-08002B2CF9AE}" pid="5" name="TaxKeywordTaxHTField">
    <vt:lpwstr/>
  </property>
  <property fmtid="{D5CDD505-2E9C-101B-9397-08002B2CF9AE}" pid="7" name="Sub-Sector">
    <vt:lpwstr/>
  </property>
  <property fmtid="{D5CDD505-2E9C-101B-9397-08002B2CF9AE}" pid="8" name="Country">
    <vt:lpwstr>32;#Colombia|c7d386d6-75f3-4fc0-bde8-e021ccd68f5c</vt:lpwstr>
  </property>
  <property fmtid="{D5CDD505-2E9C-101B-9397-08002B2CF9AE}" pid="9" name="_dlc_DocIdItemGuid">
    <vt:lpwstr>0728f52c-9780-4963-abf8-388ab02e8766</vt:lpwstr>
  </property>
  <property fmtid="{D5CDD505-2E9C-101B-9397-08002B2CF9AE}" pid="10" name="Fund IDB">
    <vt:lpwstr/>
  </property>
  <property fmtid="{D5CDD505-2E9C-101B-9397-08002B2CF9AE}" pid="11" name="Fund_x0020_IDB">
    <vt:lpwstr/>
  </property>
  <property fmtid="{D5CDD505-2E9C-101B-9397-08002B2CF9AE}" pid="12" name="Series_x0020_Operations_x0020_IDB">
    <vt:lpwstr/>
  </property>
  <property fmtid="{D5CDD505-2E9C-101B-9397-08002B2CF9AE}" pid="13" name="Sector IDB">
    <vt:lpwstr/>
  </property>
  <property fmtid="{D5CDD505-2E9C-101B-9397-08002B2CF9AE}" pid="14" name="Function Operations IDB">
    <vt:lpwstr>9;#Goods and Services|5bfebf1b-9f1f-4411-b1dd-4c19b807b799</vt:lpwstr>
  </property>
  <property fmtid="{D5CDD505-2E9C-101B-9397-08002B2CF9AE}" pid="15" name="Sector_x0020_IDB">
    <vt:lpwstr/>
  </property>
  <property fmtid="{D5CDD505-2E9C-101B-9397-08002B2CF9AE}" pid="16" name="Disclosed">
    <vt:bool>false</vt:bool>
  </property>
  <property fmtid="{D5CDD505-2E9C-101B-9397-08002B2CF9AE}" pid="17" name="Disclosure Activity">
    <vt:lpwstr>Procurement Plan</vt:lpwstr>
  </property>
  <property fmtid="{D5CDD505-2E9C-101B-9397-08002B2CF9AE}" pid="18" name="Webtopic">
    <vt:lpwstr/>
  </property>
  <property fmtid="{D5CDD505-2E9C-101B-9397-08002B2CF9AE}" pid="19" name="Series Operations IDB">
    <vt:lpwstr/>
  </property>
</Properties>
</file>