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3A54EE" w:rsidR="003A54EE" w:rsidP="003A54EE" w:rsidRDefault="003A54EE" w14:paraId="769A78B0" w14:textId="77777777">
      <w:pPr>
        <w:jc w:val="center"/>
        <w:rPr>
          <w:rFonts w:ascii="Arial" w:hAnsi="Arial" w:eastAsia="Arial" w:cs="Arial"/>
          <w:smallCaps/>
          <w:sz w:val="22"/>
          <w:szCs w:val="22"/>
          <w:lang w:val="en-US"/>
        </w:rPr>
      </w:pPr>
      <w:r w:rsidRPr="003A54EE">
        <w:rPr>
          <w:rFonts w:ascii="Arial" w:hAnsi="Arial" w:eastAsia="Arial" w:cs="Arial"/>
          <w:smallCaps/>
          <w:sz w:val="22"/>
          <w:szCs w:val="22"/>
          <w:lang w:val="en-US"/>
        </w:rPr>
        <w:t>Document of the Inter-American Development Bank</w:t>
      </w:r>
    </w:p>
    <w:p w:rsidRPr="003A54EE" w:rsidR="003A54EE" w:rsidP="003A54EE" w:rsidRDefault="003A54EE" w14:paraId="1F14EBA1" w14:textId="77777777">
      <w:pPr>
        <w:jc w:val="center"/>
        <w:rPr>
          <w:rFonts w:ascii="Arial" w:hAnsi="Arial" w:cs="Arial"/>
          <w:sz w:val="22"/>
          <w:szCs w:val="22"/>
          <w:lang w:val="en-US"/>
        </w:rPr>
      </w:pPr>
    </w:p>
    <w:p w:rsidRPr="003A54EE" w:rsidR="003A54EE" w:rsidP="003A54EE" w:rsidRDefault="003A54EE" w14:paraId="00A0445A" w14:textId="77777777">
      <w:pPr>
        <w:jc w:val="center"/>
        <w:rPr>
          <w:rFonts w:ascii="Arial" w:hAnsi="Arial" w:cs="Arial"/>
          <w:sz w:val="22"/>
          <w:szCs w:val="22"/>
          <w:lang w:val="en-US"/>
        </w:rPr>
      </w:pPr>
    </w:p>
    <w:p w:rsidRPr="003A54EE" w:rsidR="003A54EE" w:rsidP="003A54EE" w:rsidRDefault="003A54EE" w14:paraId="1F6AE167" w14:textId="77777777">
      <w:pPr>
        <w:jc w:val="center"/>
        <w:rPr>
          <w:rFonts w:ascii="Arial" w:hAnsi="Arial" w:cs="Arial"/>
          <w:sz w:val="22"/>
          <w:szCs w:val="22"/>
          <w:lang w:val="en-US"/>
        </w:rPr>
      </w:pPr>
    </w:p>
    <w:p w:rsidRPr="003A54EE" w:rsidR="003A54EE" w:rsidP="003A54EE" w:rsidRDefault="003A54EE" w14:paraId="6255E271" w14:textId="77777777">
      <w:pPr>
        <w:jc w:val="center"/>
        <w:rPr>
          <w:rFonts w:ascii="Arial" w:hAnsi="Arial" w:cs="Arial"/>
          <w:sz w:val="22"/>
          <w:szCs w:val="22"/>
          <w:lang w:val="en-US"/>
        </w:rPr>
      </w:pPr>
    </w:p>
    <w:p w:rsidRPr="003A54EE" w:rsidR="003A54EE" w:rsidP="003A54EE" w:rsidRDefault="003A54EE" w14:paraId="13DCECF8" w14:textId="77777777">
      <w:pPr>
        <w:jc w:val="center"/>
        <w:rPr>
          <w:rFonts w:ascii="Arial" w:hAnsi="Arial" w:cs="Arial"/>
          <w:sz w:val="22"/>
          <w:szCs w:val="22"/>
          <w:lang w:val="en-US"/>
        </w:rPr>
      </w:pPr>
    </w:p>
    <w:p w:rsidRPr="003A54EE" w:rsidR="003A54EE" w:rsidP="003A54EE" w:rsidRDefault="003A54EE" w14:paraId="1D7BB512" w14:textId="77777777">
      <w:pPr>
        <w:jc w:val="center"/>
        <w:rPr>
          <w:rFonts w:ascii="Arial" w:hAnsi="Arial" w:cs="Arial"/>
          <w:sz w:val="22"/>
          <w:szCs w:val="22"/>
          <w:lang w:val="en-US"/>
        </w:rPr>
      </w:pPr>
    </w:p>
    <w:p w:rsidRPr="003A54EE" w:rsidR="003A54EE" w:rsidP="003A54EE" w:rsidRDefault="003A54EE" w14:paraId="2DDE3840" w14:textId="77777777">
      <w:pPr>
        <w:jc w:val="center"/>
        <w:rPr>
          <w:rFonts w:ascii="Arial" w:hAnsi="Arial" w:cs="Arial"/>
          <w:sz w:val="22"/>
          <w:szCs w:val="22"/>
          <w:lang w:val="en-US"/>
        </w:rPr>
      </w:pPr>
    </w:p>
    <w:p w:rsidRPr="003A54EE" w:rsidR="003A54EE" w:rsidP="003A54EE" w:rsidRDefault="003A54EE" w14:paraId="4120B861" w14:textId="77777777">
      <w:pPr>
        <w:jc w:val="center"/>
        <w:rPr>
          <w:rFonts w:ascii="Arial" w:hAnsi="Arial" w:cs="Arial"/>
          <w:sz w:val="22"/>
          <w:szCs w:val="22"/>
          <w:lang w:val="en-US"/>
        </w:rPr>
      </w:pPr>
    </w:p>
    <w:p w:rsidRPr="003A54EE" w:rsidR="003A54EE" w:rsidP="003A54EE" w:rsidRDefault="003A54EE" w14:paraId="1F4E45DF" w14:textId="77777777">
      <w:pPr>
        <w:jc w:val="center"/>
        <w:rPr>
          <w:rFonts w:ascii="Arial" w:hAnsi="Arial" w:cs="Arial"/>
          <w:sz w:val="22"/>
          <w:szCs w:val="22"/>
          <w:lang w:val="en-US"/>
        </w:rPr>
      </w:pPr>
    </w:p>
    <w:p w:rsidRPr="003A54EE" w:rsidR="003A54EE" w:rsidP="003A54EE" w:rsidRDefault="003A54EE" w14:paraId="18DB2D51" w14:textId="77777777">
      <w:pPr>
        <w:jc w:val="center"/>
        <w:rPr>
          <w:rFonts w:ascii="Arial" w:hAnsi="Arial" w:eastAsia="Arial" w:cs="Arial"/>
          <w:b/>
          <w:bCs/>
          <w:smallCaps/>
          <w:sz w:val="28"/>
          <w:szCs w:val="28"/>
          <w:lang w:val="en-US"/>
        </w:rPr>
      </w:pPr>
      <w:r w:rsidRPr="003A54EE">
        <w:rPr>
          <w:rFonts w:ascii="Arial" w:hAnsi="Arial" w:eastAsia="Arial" w:cs="Arial"/>
          <w:b/>
          <w:bCs/>
          <w:smallCaps/>
          <w:sz w:val="28"/>
          <w:szCs w:val="28"/>
          <w:lang w:val="en-US"/>
        </w:rPr>
        <w:t>The Bahamas</w:t>
      </w:r>
    </w:p>
    <w:p w:rsidRPr="003A54EE" w:rsidR="003A54EE" w:rsidP="003A54EE" w:rsidRDefault="003A54EE" w14:paraId="2B6643D6" w14:textId="77777777">
      <w:pPr>
        <w:jc w:val="center"/>
        <w:rPr>
          <w:rFonts w:ascii="Arial" w:hAnsi="Arial" w:cs="Arial"/>
          <w:sz w:val="22"/>
          <w:szCs w:val="22"/>
          <w:lang w:val="en-US"/>
        </w:rPr>
      </w:pPr>
    </w:p>
    <w:p w:rsidRPr="003A54EE" w:rsidR="003A54EE" w:rsidP="003A54EE" w:rsidRDefault="003A54EE" w14:paraId="0D452031" w14:textId="77777777">
      <w:pPr>
        <w:jc w:val="center"/>
        <w:rPr>
          <w:rFonts w:ascii="Arial" w:hAnsi="Arial" w:cs="Arial"/>
          <w:sz w:val="22"/>
          <w:szCs w:val="22"/>
          <w:lang w:val="en-US"/>
        </w:rPr>
      </w:pPr>
    </w:p>
    <w:p w:rsidRPr="003A54EE" w:rsidR="003A54EE" w:rsidP="003A54EE" w:rsidRDefault="003A54EE" w14:paraId="2FF0BB2A" w14:textId="77777777">
      <w:pPr>
        <w:jc w:val="center"/>
        <w:rPr>
          <w:rFonts w:ascii="Arial" w:hAnsi="Arial" w:cs="Arial"/>
          <w:sz w:val="22"/>
          <w:szCs w:val="22"/>
          <w:lang w:val="en-US"/>
        </w:rPr>
      </w:pPr>
    </w:p>
    <w:p w:rsidRPr="003A54EE" w:rsidR="003A54EE" w:rsidP="003A54EE" w:rsidRDefault="003A54EE" w14:paraId="4148F90C" w14:textId="77777777">
      <w:pPr>
        <w:jc w:val="center"/>
        <w:rPr>
          <w:rFonts w:ascii="Arial" w:hAnsi="Arial" w:cs="Arial"/>
          <w:sz w:val="22"/>
          <w:szCs w:val="22"/>
          <w:lang w:val="en-US"/>
        </w:rPr>
      </w:pPr>
    </w:p>
    <w:p w:rsidRPr="003A54EE" w:rsidR="003A54EE" w:rsidP="003A54EE" w:rsidRDefault="003A54EE" w14:paraId="27872371" w14:textId="77777777">
      <w:pPr>
        <w:jc w:val="center"/>
        <w:rPr>
          <w:rFonts w:ascii="Arial" w:hAnsi="Arial" w:cs="Arial"/>
          <w:sz w:val="22"/>
          <w:szCs w:val="22"/>
          <w:lang w:val="en-US"/>
        </w:rPr>
      </w:pPr>
    </w:p>
    <w:p w:rsidRPr="003A54EE" w:rsidR="003A54EE" w:rsidP="003A54EE" w:rsidRDefault="003A54EE" w14:paraId="066776FA" w14:textId="77777777">
      <w:pPr>
        <w:jc w:val="center"/>
        <w:rPr>
          <w:rFonts w:ascii="Arial" w:hAnsi="Arial" w:eastAsia="Arial" w:cs="Arial"/>
          <w:sz w:val="28"/>
          <w:szCs w:val="28"/>
          <w:lang w:val="en-US"/>
        </w:rPr>
      </w:pPr>
      <w:r w:rsidRPr="003A54EE">
        <w:rPr>
          <w:rFonts w:ascii="Arial" w:hAnsi="Arial" w:eastAsia="Arial" w:cs="Arial"/>
          <w:b/>
          <w:bCs/>
          <w:smallCaps/>
          <w:sz w:val="28"/>
          <w:szCs w:val="28"/>
          <w:lang w:val="en-US"/>
        </w:rPr>
        <w:t xml:space="preserve">Credit Enhancement Program for Micro, Small and Medium Enterprises </w:t>
      </w:r>
    </w:p>
    <w:p w:rsidRPr="003A54EE" w:rsidR="003A54EE" w:rsidP="003A54EE" w:rsidRDefault="003A54EE" w14:paraId="4A4C0EE4" w14:textId="77777777">
      <w:pPr>
        <w:jc w:val="center"/>
        <w:rPr>
          <w:rFonts w:ascii="Arial" w:hAnsi="Arial" w:cs="Arial"/>
          <w:sz w:val="22"/>
          <w:szCs w:val="22"/>
          <w:lang w:val="en-US"/>
        </w:rPr>
      </w:pPr>
    </w:p>
    <w:p w:rsidRPr="003A54EE" w:rsidR="003A54EE" w:rsidP="003A54EE" w:rsidRDefault="003A54EE" w14:paraId="62E411E6" w14:textId="77777777">
      <w:pPr>
        <w:jc w:val="center"/>
        <w:rPr>
          <w:rFonts w:ascii="Arial" w:hAnsi="Arial" w:eastAsia="Arial" w:cs="Arial"/>
          <w:b/>
          <w:bCs/>
          <w:smallCaps/>
          <w:sz w:val="28"/>
          <w:szCs w:val="28"/>
          <w:lang w:val="en-US"/>
        </w:rPr>
      </w:pPr>
      <w:bookmarkStart w:name="Text7" w:id="0"/>
      <w:r w:rsidRPr="003A54EE">
        <w:rPr>
          <w:rFonts w:ascii="Arial" w:hAnsi="Arial" w:eastAsia="Arial" w:cs="Arial"/>
          <w:b/>
          <w:bCs/>
          <w:smallCaps/>
          <w:sz w:val="28"/>
          <w:szCs w:val="28"/>
          <w:lang w:val="en-US"/>
        </w:rPr>
        <w:t>(</w:t>
      </w:r>
      <w:bookmarkEnd w:id="0"/>
      <w:r w:rsidRPr="003A54EE">
        <w:rPr>
          <w:rFonts w:ascii="Arial" w:hAnsi="Arial" w:eastAsia="Arial" w:cs="Arial"/>
          <w:b/>
          <w:bCs/>
          <w:smallCaps/>
          <w:sz w:val="28"/>
          <w:szCs w:val="28"/>
          <w:lang w:val="en-US"/>
        </w:rPr>
        <w:t>BH-L1046)</w:t>
      </w:r>
    </w:p>
    <w:p w:rsidRPr="003A54EE" w:rsidR="003A54EE" w:rsidP="003A54EE" w:rsidRDefault="003A54EE" w14:paraId="628F92EC" w14:textId="77777777">
      <w:pPr>
        <w:jc w:val="center"/>
        <w:rPr>
          <w:rFonts w:ascii="Arial" w:hAnsi="Arial" w:cs="Arial"/>
          <w:sz w:val="22"/>
          <w:szCs w:val="22"/>
          <w:lang w:val="en-US"/>
        </w:rPr>
      </w:pPr>
    </w:p>
    <w:p w:rsidRPr="003A54EE" w:rsidR="003A54EE" w:rsidP="003A54EE" w:rsidRDefault="003A54EE" w14:paraId="390456EE" w14:textId="77777777">
      <w:pPr>
        <w:jc w:val="center"/>
        <w:rPr>
          <w:rFonts w:ascii="Arial" w:hAnsi="Arial" w:cs="Arial"/>
          <w:sz w:val="22"/>
          <w:szCs w:val="22"/>
          <w:lang w:val="en-US"/>
        </w:rPr>
      </w:pPr>
    </w:p>
    <w:p w:rsidRPr="003A54EE" w:rsidR="003A54EE" w:rsidP="003A54EE" w:rsidRDefault="003A54EE" w14:paraId="7687B137" w14:textId="77777777">
      <w:pPr>
        <w:jc w:val="center"/>
        <w:rPr>
          <w:rFonts w:ascii="Arial" w:hAnsi="Arial" w:cs="Arial"/>
          <w:sz w:val="22"/>
          <w:szCs w:val="22"/>
          <w:lang w:val="en-US"/>
        </w:rPr>
      </w:pPr>
    </w:p>
    <w:p w:rsidRPr="003A54EE" w:rsidR="003A54EE" w:rsidP="003A54EE" w:rsidRDefault="003A54EE" w14:paraId="4EA67321" w14:textId="77777777">
      <w:pPr>
        <w:jc w:val="center"/>
        <w:rPr>
          <w:rFonts w:ascii="Arial" w:hAnsi="Arial" w:cs="Arial"/>
          <w:sz w:val="22"/>
          <w:szCs w:val="22"/>
          <w:lang w:val="en-US"/>
        </w:rPr>
      </w:pPr>
    </w:p>
    <w:p w:rsidRPr="003A54EE" w:rsidR="003A54EE" w:rsidP="003A54EE" w:rsidRDefault="003A54EE" w14:paraId="629BA568" w14:textId="77777777">
      <w:pPr>
        <w:jc w:val="center"/>
        <w:rPr>
          <w:rFonts w:ascii="Arial" w:hAnsi="Arial" w:cs="Arial"/>
          <w:sz w:val="22"/>
          <w:szCs w:val="22"/>
          <w:lang w:val="en-US"/>
        </w:rPr>
      </w:pPr>
    </w:p>
    <w:p w:rsidRPr="003A54EE" w:rsidR="003A54EE" w:rsidP="003A54EE" w:rsidRDefault="003A54EE" w14:paraId="0825809E" w14:textId="77777777">
      <w:pPr>
        <w:jc w:val="center"/>
        <w:rPr>
          <w:rFonts w:ascii="Arial" w:hAnsi="Arial" w:cs="Arial"/>
          <w:sz w:val="22"/>
          <w:szCs w:val="22"/>
          <w:lang w:val="en-US"/>
        </w:rPr>
      </w:pPr>
    </w:p>
    <w:p w:rsidRPr="003A54EE" w:rsidR="003A54EE" w:rsidP="003A54EE" w:rsidRDefault="003A54EE" w14:paraId="21C3EE37" w14:textId="77777777">
      <w:pPr>
        <w:jc w:val="center"/>
        <w:rPr>
          <w:rFonts w:ascii="Arial" w:hAnsi="Arial" w:cs="Arial"/>
          <w:sz w:val="22"/>
          <w:szCs w:val="22"/>
          <w:lang w:val="en-US"/>
        </w:rPr>
      </w:pPr>
    </w:p>
    <w:p w:rsidRPr="003A54EE" w:rsidR="003A54EE" w:rsidP="003A54EE" w:rsidRDefault="003A54EE" w14:paraId="74966C06" w14:textId="77777777">
      <w:pPr>
        <w:tabs>
          <w:tab w:val="left" w:pos="1440"/>
          <w:tab w:val="left" w:pos="3060"/>
        </w:tabs>
        <w:jc w:val="center"/>
        <w:rPr>
          <w:rFonts w:ascii="Arial" w:hAnsi="Arial" w:cs="Arial"/>
          <w:smallCaps/>
          <w:sz w:val="22"/>
          <w:szCs w:val="22"/>
          <w:lang w:val="en-US"/>
        </w:rPr>
      </w:pPr>
    </w:p>
    <w:p w:rsidRPr="003A54EE" w:rsidR="003A54EE" w:rsidP="003A54EE" w:rsidRDefault="003A54EE" w14:paraId="49BB1D49" w14:textId="6A6102B8">
      <w:pPr>
        <w:jc w:val="center"/>
        <w:rPr>
          <w:rFonts w:ascii="Arial" w:hAnsi="Arial" w:cs="Arial"/>
          <w:szCs w:val="24"/>
          <w:lang w:val="en-US"/>
        </w:rPr>
      </w:pPr>
      <w:r w:rsidRPr="003A54EE">
        <w:rPr>
          <w:rFonts w:ascii="Arial" w:hAnsi="Arial" w:eastAsia="Arial" w:cs="Arial"/>
          <w:b/>
          <w:bCs/>
          <w:smallCaps/>
          <w:szCs w:val="24"/>
          <w:lang w:val="en-US"/>
        </w:rPr>
        <w:t>Monitoring and Evaluation Arrangements</w:t>
      </w:r>
    </w:p>
    <w:p w:rsidRPr="003A54EE" w:rsidR="003A54EE" w:rsidP="003A54EE" w:rsidRDefault="003A54EE" w14:paraId="2A5F6425" w14:textId="77777777">
      <w:pPr>
        <w:jc w:val="center"/>
        <w:rPr>
          <w:rFonts w:ascii="Arial" w:hAnsi="Arial" w:cs="Arial"/>
          <w:sz w:val="22"/>
          <w:szCs w:val="22"/>
          <w:lang w:val="en-US"/>
        </w:rPr>
      </w:pPr>
    </w:p>
    <w:p w:rsidRPr="003A54EE" w:rsidR="003A54EE" w:rsidP="003A54EE" w:rsidRDefault="003A54EE" w14:paraId="2891A520" w14:textId="77777777">
      <w:pPr>
        <w:jc w:val="center"/>
        <w:rPr>
          <w:rFonts w:ascii="Arial" w:hAnsi="Arial" w:cs="Arial"/>
          <w:sz w:val="22"/>
          <w:szCs w:val="22"/>
          <w:lang w:val="en-US"/>
        </w:rPr>
      </w:pPr>
    </w:p>
    <w:p w:rsidRPr="003A54EE" w:rsidR="003A54EE" w:rsidP="003A54EE" w:rsidRDefault="003A54EE" w14:paraId="7678939D" w14:textId="77777777">
      <w:pPr>
        <w:jc w:val="center"/>
        <w:rPr>
          <w:rFonts w:ascii="Arial" w:hAnsi="Arial" w:cs="Arial"/>
          <w:sz w:val="22"/>
          <w:szCs w:val="22"/>
          <w:lang w:val="en-US"/>
        </w:rPr>
      </w:pPr>
    </w:p>
    <w:p w:rsidRPr="003A54EE" w:rsidR="003A54EE" w:rsidP="003A54EE" w:rsidRDefault="003A54EE" w14:paraId="0AC3E9D2" w14:textId="77777777">
      <w:pPr>
        <w:jc w:val="center"/>
        <w:rPr>
          <w:rFonts w:ascii="Arial" w:hAnsi="Arial" w:cs="Arial"/>
          <w:sz w:val="22"/>
          <w:szCs w:val="22"/>
          <w:lang w:val="en-US"/>
        </w:rPr>
      </w:pPr>
    </w:p>
    <w:p w:rsidRPr="003A54EE" w:rsidR="003A54EE" w:rsidP="003A54EE" w:rsidRDefault="003A54EE" w14:paraId="18EDD377" w14:textId="77777777">
      <w:pPr>
        <w:jc w:val="center"/>
        <w:rPr>
          <w:rFonts w:ascii="Arial" w:hAnsi="Arial" w:cs="Arial"/>
          <w:sz w:val="22"/>
          <w:szCs w:val="22"/>
          <w:lang w:val="en-US"/>
        </w:rPr>
      </w:pPr>
    </w:p>
    <w:p w:rsidRPr="003A54EE" w:rsidR="003A54EE" w:rsidP="003A54EE" w:rsidRDefault="003A54EE" w14:paraId="76D63C37" w14:textId="77777777">
      <w:pPr>
        <w:jc w:val="center"/>
        <w:rPr>
          <w:rFonts w:ascii="Arial" w:hAnsi="Arial" w:cs="Arial"/>
          <w:sz w:val="22"/>
          <w:szCs w:val="22"/>
          <w:lang w:val="en-US"/>
        </w:rPr>
      </w:pPr>
    </w:p>
    <w:p w:rsidRPr="003A54EE" w:rsidR="003A54EE" w:rsidP="003A54EE" w:rsidRDefault="003A54EE" w14:paraId="13D10ED5" w14:textId="77777777">
      <w:pPr>
        <w:jc w:val="center"/>
        <w:rPr>
          <w:rFonts w:ascii="Arial" w:hAnsi="Arial" w:cs="Arial"/>
          <w:sz w:val="22"/>
          <w:szCs w:val="22"/>
          <w:lang w:val="en-US"/>
        </w:rPr>
      </w:pPr>
    </w:p>
    <w:p w:rsidRPr="003A54EE" w:rsidR="003A54EE" w:rsidP="003A54EE" w:rsidRDefault="003A54EE" w14:paraId="5632B6CD" w14:textId="77777777">
      <w:pPr>
        <w:jc w:val="center"/>
        <w:rPr>
          <w:rFonts w:ascii="Arial" w:hAnsi="Arial" w:cs="Arial"/>
          <w:sz w:val="22"/>
          <w:szCs w:val="22"/>
          <w:lang w:val="en-US"/>
        </w:rPr>
      </w:pPr>
    </w:p>
    <w:p w:rsidRPr="003A54EE" w:rsidR="003A54EE" w:rsidP="003A54EE" w:rsidRDefault="003A54EE" w14:paraId="729BC3DD" w14:textId="77777777">
      <w:pPr>
        <w:jc w:val="center"/>
        <w:rPr>
          <w:rFonts w:ascii="Arial" w:hAnsi="Arial" w:cs="Arial"/>
          <w:sz w:val="22"/>
          <w:szCs w:val="22"/>
          <w:lang w:val="en-US"/>
        </w:rPr>
      </w:pPr>
    </w:p>
    <w:p w:rsidRPr="003A54EE" w:rsidR="003A54EE" w:rsidP="003A54EE" w:rsidRDefault="003A54EE" w14:paraId="5CB5FCFB" w14:textId="77777777">
      <w:pPr>
        <w:jc w:val="center"/>
        <w:rPr>
          <w:rFonts w:ascii="Arial" w:hAnsi="Arial" w:cs="Arial"/>
          <w:sz w:val="22"/>
          <w:szCs w:val="22"/>
          <w:lang w:val="en-US"/>
        </w:rPr>
      </w:pPr>
    </w:p>
    <w:p w:rsidRPr="003A54EE" w:rsidR="003A54EE" w:rsidP="003A54EE" w:rsidRDefault="003A54EE" w14:paraId="4CB70139" w14:textId="77777777">
      <w:pPr>
        <w:pBdr>
          <w:top w:val="single" w:color="auto" w:sz="4" w:space="1"/>
          <w:left w:val="single" w:color="auto" w:sz="4" w:space="4"/>
          <w:bottom w:val="single" w:color="auto" w:sz="4" w:space="6"/>
          <w:right w:val="single" w:color="auto" w:sz="4" w:space="4"/>
        </w:pBdr>
        <w:jc w:val="both"/>
        <w:rPr>
          <w:rFonts w:ascii="Arial" w:hAnsi="Arial" w:eastAsia="Arial" w:cs="Arial"/>
          <w:sz w:val="20"/>
          <w:lang w:val="en-US"/>
        </w:rPr>
      </w:pPr>
      <w:r w:rsidRPr="003A54EE">
        <w:rPr>
          <w:rFonts w:ascii="Arial" w:hAnsi="Arial" w:eastAsia="Arial" w:cs="Arial"/>
          <w:sz w:val="20"/>
          <w:lang w:val="en-US"/>
        </w:rPr>
        <w:t>This document was prepared by Sebastian Vargas (IFD/CMF).</w:t>
      </w:r>
    </w:p>
    <w:p w:rsidRPr="003A54EE" w:rsidR="00447358" w:rsidRDefault="00447358" w14:paraId="6682F4D0" w14:textId="26B2355F">
      <w:pPr>
        <w:rPr>
          <w:lang w:val="en-US"/>
        </w:rPr>
      </w:pPr>
    </w:p>
    <w:p w:rsidRPr="003A54EE" w:rsidR="003A54EE" w:rsidP="003A54EE" w:rsidRDefault="003A54EE" w14:paraId="1DB63FE7" w14:textId="73BE31D8">
      <w:pPr>
        <w:rPr>
          <w:lang w:val="en-US"/>
        </w:rPr>
      </w:pPr>
    </w:p>
    <w:p w:rsidRPr="003A54EE" w:rsidR="003A54EE" w:rsidP="003A54EE" w:rsidRDefault="003A54EE" w14:paraId="628B1CC2" w14:textId="0DDB30E5">
      <w:pPr>
        <w:rPr>
          <w:lang w:val="en-US"/>
        </w:rPr>
      </w:pPr>
    </w:p>
    <w:p w:rsidRPr="003A54EE" w:rsidR="003A54EE" w:rsidP="003A54EE" w:rsidRDefault="003A54EE" w14:paraId="2CEF82AE" w14:textId="7B751D9B">
      <w:pPr>
        <w:rPr>
          <w:lang w:val="en-US"/>
        </w:rPr>
      </w:pPr>
    </w:p>
    <w:p w:rsidRPr="003A54EE" w:rsidR="003A54EE" w:rsidP="003A54EE" w:rsidRDefault="003A54EE" w14:paraId="56FDBFB0" w14:textId="7220AD4E">
      <w:pPr>
        <w:tabs>
          <w:tab w:val="left" w:pos="6061"/>
        </w:tabs>
        <w:rPr>
          <w:lang w:val="en-US"/>
        </w:rPr>
      </w:pPr>
      <w:r w:rsidRPr="003A54EE">
        <w:rPr>
          <w:lang w:val="en-US"/>
        </w:rPr>
        <w:tab/>
      </w:r>
    </w:p>
    <w:p w:rsidRPr="003A54EE" w:rsidR="003A54EE" w:rsidP="003A54EE" w:rsidRDefault="003A54EE" w14:paraId="6AA56AD1" w14:textId="66FFB9E7">
      <w:pPr>
        <w:tabs>
          <w:tab w:val="left" w:pos="6061"/>
        </w:tabs>
        <w:rPr>
          <w:lang w:val="en-US"/>
        </w:rPr>
      </w:pPr>
    </w:p>
    <w:p w:rsidRPr="003A54EE" w:rsidR="003A54EE" w:rsidP="003A54EE" w:rsidRDefault="003A54EE" w14:paraId="7B8BB4EC" w14:textId="39A8B20D">
      <w:pPr>
        <w:tabs>
          <w:tab w:val="left" w:pos="6061"/>
        </w:tabs>
        <w:rPr>
          <w:lang w:val="en-US"/>
        </w:rPr>
      </w:pPr>
    </w:p>
    <w:p w:rsidRPr="003A54EE" w:rsidR="003A54EE" w:rsidP="003A54EE" w:rsidRDefault="003A54EE" w14:paraId="17C3815B" w14:textId="4246315D">
      <w:pPr>
        <w:tabs>
          <w:tab w:val="left" w:pos="6061"/>
        </w:tabs>
        <w:rPr>
          <w:lang w:val="en-US"/>
        </w:rPr>
      </w:pPr>
    </w:p>
    <w:p w:rsidRPr="003A54EE" w:rsidR="003A54EE" w:rsidP="003A54EE" w:rsidRDefault="003A54EE" w14:paraId="0BD6567C" w14:textId="1ECB755C">
      <w:pPr>
        <w:jc w:val="center"/>
        <w:rPr>
          <w:rFonts w:ascii="Arial" w:hAnsi="Arial" w:cs="Arial"/>
          <w:b/>
          <w:bCs/>
          <w:smallCaps/>
          <w:spacing w:val="5"/>
          <w:lang w:val="en-US"/>
        </w:rPr>
      </w:pPr>
      <w:r w:rsidRPr="003A54EE">
        <w:rPr>
          <w:rStyle w:val="BookTitle"/>
          <w:rFonts w:ascii="Arial" w:hAnsi="Arial" w:cs="Arial"/>
          <w:lang w:val="en-US"/>
        </w:rPr>
        <w:lastRenderedPageBreak/>
        <w:t>Index</w:t>
      </w:r>
    </w:p>
    <w:p w:rsidR="00D54F7F" w:rsidRDefault="003A54EE" w14:paraId="01E5461D" w14:textId="355E1166">
      <w:pPr>
        <w:pStyle w:val="TOC1"/>
        <w:rPr>
          <w:rFonts w:asciiTheme="minorHAnsi" w:hAnsiTheme="minorHAnsi" w:cstheme="minorBidi"/>
          <w:b w:val="0"/>
          <w:smallCaps w:val="0"/>
          <w:sz w:val="22"/>
          <w:lang w:eastAsia="en-US"/>
        </w:rPr>
      </w:pPr>
      <w:r w:rsidRPr="003A54EE">
        <w:rPr>
          <w:rFonts w:ascii="Arial" w:hAnsi="Arial" w:cs="Arial"/>
          <w:b w:val="0"/>
          <w:noProof w:val="0"/>
          <w:sz w:val="22"/>
        </w:rPr>
        <w:fldChar w:fldCharType="begin"/>
      </w:r>
      <w:r w:rsidRPr="003A54EE">
        <w:rPr>
          <w:rFonts w:ascii="Arial" w:hAnsi="Arial" w:cs="Arial"/>
          <w:b w:val="0"/>
          <w:noProof w:val="0"/>
          <w:sz w:val="22"/>
        </w:rPr>
        <w:instrText xml:space="preserve"> TOC \f \t "Chapter,1,FirstHeading,2,SecHeading,3" </w:instrText>
      </w:r>
      <w:r w:rsidRPr="003A54EE">
        <w:rPr>
          <w:rFonts w:ascii="Arial" w:hAnsi="Arial" w:cs="Arial"/>
          <w:b w:val="0"/>
          <w:noProof w:val="0"/>
          <w:sz w:val="22"/>
        </w:rPr>
        <w:fldChar w:fldCharType="separate"/>
      </w:r>
      <w:r w:rsidRPr="009C00C4" w:rsidR="00D54F7F">
        <w:rPr>
          <w:rFonts w:ascii="Arial" w:hAnsi="Arial" w:cs="Arial"/>
        </w:rPr>
        <w:t>I.</w:t>
      </w:r>
      <w:r w:rsidR="00D54F7F">
        <w:rPr>
          <w:rFonts w:asciiTheme="minorHAnsi" w:hAnsiTheme="minorHAnsi" w:cstheme="minorBidi"/>
          <w:b w:val="0"/>
          <w:smallCaps w:val="0"/>
          <w:sz w:val="22"/>
          <w:lang w:eastAsia="en-US"/>
        </w:rPr>
        <w:tab/>
      </w:r>
      <w:r w:rsidRPr="009C00C4" w:rsidR="00D54F7F">
        <w:rPr>
          <w:rFonts w:ascii="Arial" w:hAnsi="Arial" w:cs="Arial"/>
        </w:rPr>
        <w:t>Introduction</w:t>
      </w:r>
      <w:r w:rsidR="00D54F7F">
        <w:tab/>
      </w:r>
      <w:r w:rsidR="00D54F7F">
        <w:fldChar w:fldCharType="begin"/>
      </w:r>
      <w:r w:rsidR="00D54F7F">
        <w:instrText xml:space="preserve"> PAGEREF _Toc6175923 \h </w:instrText>
      </w:r>
      <w:r w:rsidR="00D54F7F">
        <w:fldChar w:fldCharType="separate"/>
      </w:r>
      <w:r w:rsidR="00D54F7F">
        <w:t>2</w:t>
      </w:r>
      <w:r w:rsidR="00D54F7F">
        <w:fldChar w:fldCharType="end"/>
      </w:r>
    </w:p>
    <w:p w:rsidR="00D54F7F" w:rsidRDefault="00D54F7F" w14:paraId="53BF6B79" w14:textId="0BD74AF1">
      <w:pPr>
        <w:pStyle w:val="TOC1"/>
        <w:rPr>
          <w:rFonts w:asciiTheme="minorHAnsi" w:hAnsiTheme="minorHAnsi" w:cstheme="minorBidi"/>
          <w:b w:val="0"/>
          <w:smallCaps w:val="0"/>
          <w:sz w:val="22"/>
          <w:lang w:eastAsia="en-US"/>
        </w:rPr>
      </w:pPr>
      <w:r w:rsidRPr="009C00C4">
        <w:rPr>
          <w:rFonts w:ascii="Arial" w:hAnsi="Arial" w:cs="Arial"/>
        </w:rPr>
        <w:t>II.</w:t>
      </w:r>
      <w:r>
        <w:rPr>
          <w:rFonts w:asciiTheme="minorHAnsi" w:hAnsiTheme="minorHAnsi" w:cstheme="minorBidi"/>
          <w:b w:val="0"/>
          <w:smallCaps w:val="0"/>
          <w:sz w:val="22"/>
          <w:lang w:eastAsia="en-US"/>
        </w:rPr>
        <w:tab/>
      </w:r>
      <w:r w:rsidRPr="009C00C4">
        <w:rPr>
          <w:rFonts w:ascii="Arial" w:hAnsi="Arial" w:cs="Arial"/>
        </w:rPr>
        <w:t>Monitoring</w:t>
      </w:r>
      <w:r>
        <w:tab/>
      </w:r>
      <w:r>
        <w:fldChar w:fldCharType="begin"/>
      </w:r>
      <w:r>
        <w:instrText xml:space="preserve"> PAGEREF _Toc6175924 \h </w:instrText>
      </w:r>
      <w:r>
        <w:fldChar w:fldCharType="separate"/>
      </w:r>
      <w:r>
        <w:t>3</w:t>
      </w:r>
      <w:r>
        <w:fldChar w:fldCharType="end"/>
      </w:r>
    </w:p>
    <w:p w:rsidR="00D54F7F" w:rsidRDefault="00D54F7F" w14:paraId="718AEFDA" w14:textId="3FA52D9B">
      <w:pPr>
        <w:pStyle w:val="TOC3"/>
        <w:rPr>
          <w:rFonts w:asciiTheme="minorHAnsi" w:hAnsiTheme="minorHAnsi" w:cstheme="minorBidi"/>
          <w:noProof/>
          <w:sz w:val="22"/>
          <w:lang w:eastAsia="en-US"/>
        </w:rPr>
      </w:pPr>
      <w:r w:rsidRPr="009C00C4">
        <w:rPr>
          <w:rFonts w:ascii="Arial" w:hAnsi="Arial" w:cs="Arial"/>
          <w:noProof/>
        </w:rPr>
        <w:t>1.</w:t>
      </w:r>
      <w:r>
        <w:rPr>
          <w:rFonts w:asciiTheme="minorHAnsi" w:hAnsiTheme="minorHAnsi" w:cstheme="minorBidi"/>
          <w:noProof/>
          <w:sz w:val="22"/>
          <w:lang w:eastAsia="en-US"/>
        </w:rPr>
        <w:tab/>
      </w:r>
      <w:r w:rsidRPr="009C00C4">
        <w:rPr>
          <w:rFonts w:ascii="Arial" w:hAnsi="Arial" w:cs="Arial"/>
          <w:noProof/>
        </w:rPr>
        <w:t>Indicators</w:t>
      </w:r>
      <w:r>
        <w:rPr>
          <w:noProof/>
        </w:rPr>
        <w:tab/>
      </w:r>
      <w:r>
        <w:rPr>
          <w:noProof/>
        </w:rPr>
        <w:fldChar w:fldCharType="begin"/>
      </w:r>
      <w:r>
        <w:rPr>
          <w:noProof/>
        </w:rPr>
        <w:instrText xml:space="preserve"> PAGEREF _Toc6175925 \h </w:instrText>
      </w:r>
      <w:r>
        <w:rPr>
          <w:noProof/>
        </w:rPr>
      </w:r>
      <w:r>
        <w:rPr>
          <w:noProof/>
        </w:rPr>
        <w:fldChar w:fldCharType="separate"/>
      </w:r>
      <w:r>
        <w:rPr>
          <w:noProof/>
        </w:rPr>
        <w:t>3</w:t>
      </w:r>
      <w:r>
        <w:rPr>
          <w:noProof/>
        </w:rPr>
        <w:fldChar w:fldCharType="end"/>
      </w:r>
    </w:p>
    <w:p w:rsidR="00D54F7F" w:rsidRDefault="00D54F7F" w14:paraId="7A206871" w14:textId="2DF392E8">
      <w:pPr>
        <w:pStyle w:val="TOC3"/>
        <w:rPr>
          <w:rFonts w:asciiTheme="minorHAnsi" w:hAnsiTheme="minorHAnsi" w:cstheme="minorBidi"/>
          <w:noProof/>
          <w:sz w:val="22"/>
          <w:lang w:eastAsia="en-US"/>
        </w:rPr>
      </w:pPr>
      <w:r>
        <w:rPr>
          <w:noProof/>
        </w:rPr>
        <w:tab/>
      </w:r>
    </w:p>
    <w:p w:rsidR="00D54F7F" w:rsidRDefault="00D54F7F" w14:paraId="4853A6C5" w14:textId="31248C7D">
      <w:pPr>
        <w:pStyle w:val="TOC3"/>
        <w:rPr>
          <w:rFonts w:asciiTheme="minorHAnsi" w:hAnsiTheme="minorHAnsi" w:cstheme="minorBidi"/>
          <w:noProof/>
          <w:sz w:val="22"/>
          <w:lang w:eastAsia="en-US"/>
        </w:rPr>
      </w:pPr>
      <w:r w:rsidRPr="009C00C4">
        <w:rPr>
          <w:rFonts w:ascii="Arial" w:hAnsi="Arial" w:cs="Arial"/>
          <w:noProof/>
        </w:rPr>
        <w:t>2.</w:t>
      </w:r>
      <w:r>
        <w:rPr>
          <w:rFonts w:asciiTheme="minorHAnsi" w:hAnsiTheme="minorHAnsi" w:cstheme="minorBidi"/>
          <w:noProof/>
          <w:sz w:val="22"/>
          <w:lang w:eastAsia="en-US"/>
        </w:rPr>
        <w:tab/>
      </w:r>
      <w:r w:rsidRPr="009C00C4">
        <w:rPr>
          <w:rFonts w:ascii="Arial" w:hAnsi="Arial" w:cs="Arial"/>
          <w:noProof/>
        </w:rPr>
        <w:t>Information gathering and instruments</w:t>
      </w:r>
      <w:r>
        <w:rPr>
          <w:noProof/>
        </w:rPr>
        <w:tab/>
      </w:r>
      <w:r>
        <w:rPr>
          <w:noProof/>
        </w:rPr>
        <w:fldChar w:fldCharType="begin"/>
      </w:r>
      <w:r>
        <w:rPr>
          <w:noProof/>
        </w:rPr>
        <w:instrText xml:space="preserve"> PAGEREF _Toc6175927 \h </w:instrText>
      </w:r>
      <w:r>
        <w:rPr>
          <w:noProof/>
        </w:rPr>
      </w:r>
      <w:r>
        <w:rPr>
          <w:noProof/>
        </w:rPr>
        <w:fldChar w:fldCharType="separate"/>
      </w:r>
      <w:r>
        <w:rPr>
          <w:noProof/>
        </w:rPr>
        <w:t>5</w:t>
      </w:r>
      <w:r>
        <w:rPr>
          <w:noProof/>
        </w:rPr>
        <w:fldChar w:fldCharType="end"/>
      </w:r>
    </w:p>
    <w:p w:rsidR="00D54F7F" w:rsidRDefault="00D54F7F" w14:paraId="4C31A6D0" w14:textId="791111C8">
      <w:pPr>
        <w:pStyle w:val="TOC3"/>
        <w:rPr>
          <w:rFonts w:asciiTheme="minorHAnsi" w:hAnsiTheme="minorHAnsi" w:cstheme="minorBidi"/>
          <w:noProof/>
          <w:sz w:val="22"/>
          <w:lang w:eastAsia="en-US"/>
        </w:rPr>
      </w:pPr>
      <w:r w:rsidRPr="009C00C4">
        <w:rPr>
          <w:rFonts w:ascii="Arial" w:hAnsi="Arial" w:cs="Arial"/>
          <w:noProof/>
        </w:rPr>
        <w:t>3.</w:t>
      </w:r>
      <w:r>
        <w:rPr>
          <w:rFonts w:asciiTheme="minorHAnsi" w:hAnsiTheme="minorHAnsi" w:cstheme="minorBidi"/>
          <w:noProof/>
          <w:sz w:val="22"/>
          <w:lang w:eastAsia="en-US"/>
        </w:rPr>
        <w:tab/>
      </w:r>
      <w:r w:rsidRPr="009C00C4">
        <w:rPr>
          <w:rFonts w:ascii="Arial" w:hAnsi="Arial" w:cs="Arial"/>
          <w:noProof/>
        </w:rPr>
        <w:t>Presentation of reports</w:t>
      </w:r>
      <w:r>
        <w:rPr>
          <w:noProof/>
        </w:rPr>
        <w:tab/>
      </w:r>
      <w:r>
        <w:rPr>
          <w:noProof/>
        </w:rPr>
        <w:fldChar w:fldCharType="begin"/>
      </w:r>
      <w:r>
        <w:rPr>
          <w:noProof/>
        </w:rPr>
        <w:instrText xml:space="preserve"> PAGEREF _Toc6175928 \h </w:instrText>
      </w:r>
      <w:r>
        <w:rPr>
          <w:noProof/>
        </w:rPr>
      </w:r>
      <w:r>
        <w:rPr>
          <w:noProof/>
        </w:rPr>
        <w:fldChar w:fldCharType="separate"/>
      </w:r>
      <w:r>
        <w:rPr>
          <w:noProof/>
        </w:rPr>
        <w:t>5</w:t>
      </w:r>
      <w:r>
        <w:rPr>
          <w:noProof/>
        </w:rPr>
        <w:fldChar w:fldCharType="end"/>
      </w:r>
    </w:p>
    <w:p w:rsidR="00D54F7F" w:rsidRDefault="00D54F7F" w14:paraId="27D94BD6" w14:textId="09F88DCD">
      <w:pPr>
        <w:pStyle w:val="TOC3"/>
        <w:rPr>
          <w:rFonts w:asciiTheme="minorHAnsi" w:hAnsiTheme="minorHAnsi" w:cstheme="minorBidi"/>
          <w:noProof/>
          <w:sz w:val="22"/>
          <w:lang w:eastAsia="en-US"/>
        </w:rPr>
      </w:pPr>
      <w:r w:rsidRPr="009C00C4">
        <w:rPr>
          <w:rFonts w:ascii="Arial" w:hAnsi="Arial" w:cs="Arial"/>
          <w:noProof/>
        </w:rPr>
        <w:t>4.</w:t>
      </w:r>
      <w:r>
        <w:rPr>
          <w:rFonts w:asciiTheme="minorHAnsi" w:hAnsiTheme="minorHAnsi" w:cstheme="minorBidi"/>
          <w:noProof/>
          <w:sz w:val="22"/>
          <w:lang w:eastAsia="en-US"/>
        </w:rPr>
        <w:tab/>
      </w:r>
      <w:r w:rsidRPr="009C00C4">
        <w:rPr>
          <w:rFonts w:ascii="Arial" w:hAnsi="Arial" w:cs="Arial"/>
          <w:noProof/>
        </w:rPr>
        <w:t>Monitoring coordination, workplan and budget</w:t>
      </w:r>
      <w:r>
        <w:rPr>
          <w:noProof/>
        </w:rPr>
        <w:tab/>
      </w:r>
      <w:r>
        <w:rPr>
          <w:noProof/>
        </w:rPr>
        <w:fldChar w:fldCharType="begin"/>
      </w:r>
      <w:r>
        <w:rPr>
          <w:noProof/>
        </w:rPr>
        <w:instrText xml:space="preserve"> PAGEREF _Toc6175929 \h </w:instrText>
      </w:r>
      <w:r>
        <w:rPr>
          <w:noProof/>
        </w:rPr>
      </w:r>
      <w:r>
        <w:rPr>
          <w:noProof/>
        </w:rPr>
        <w:fldChar w:fldCharType="separate"/>
      </w:r>
      <w:r>
        <w:rPr>
          <w:noProof/>
        </w:rPr>
        <w:t>6</w:t>
      </w:r>
      <w:r>
        <w:rPr>
          <w:noProof/>
        </w:rPr>
        <w:fldChar w:fldCharType="end"/>
      </w:r>
    </w:p>
    <w:p w:rsidR="00D54F7F" w:rsidRDefault="00D54F7F" w14:paraId="563F1527" w14:textId="6EDFBA31">
      <w:pPr>
        <w:pStyle w:val="TOC1"/>
        <w:rPr>
          <w:rFonts w:asciiTheme="minorHAnsi" w:hAnsiTheme="minorHAnsi" w:cstheme="minorBidi"/>
          <w:b w:val="0"/>
          <w:smallCaps w:val="0"/>
          <w:sz w:val="22"/>
          <w:lang w:eastAsia="en-US"/>
        </w:rPr>
      </w:pPr>
      <w:r w:rsidRPr="009C00C4">
        <w:rPr>
          <w:rFonts w:ascii="Arial" w:hAnsi="Arial" w:cs="Arial"/>
        </w:rPr>
        <w:t>III.</w:t>
      </w:r>
      <w:r>
        <w:rPr>
          <w:rFonts w:asciiTheme="minorHAnsi" w:hAnsiTheme="minorHAnsi" w:cstheme="minorBidi"/>
          <w:b w:val="0"/>
          <w:smallCaps w:val="0"/>
          <w:sz w:val="22"/>
          <w:lang w:eastAsia="en-US"/>
        </w:rPr>
        <w:tab/>
      </w:r>
      <w:r w:rsidRPr="009C00C4">
        <w:rPr>
          <w:rFonts w:ascii="Arial" w:hAnsi="Arial" w:cs="Arial"/>
        </w:rPr>
        <w:t>Evaluation</w:t>
      </w:r>
      <w:r>
        <w:tab/>
      </w:r>
      <w:r>
        <w:fldChar w:fldCharType="begin"/>
      </w:r>
      <w:r>
        <w:instrText xml:space="preserve"> PAGEREF _Toc6175930 \h </w:instrText>
      </w:r>
      <w:r>
        <w:fldChar w:fldCharType="separate"/>
      </w:r>
      <w:r>
        <w:t>6</w:t>
      </w:r>
      <w:r>
        <w:fldChar w:fldCharType="end"/>
      </w:r>
    </w:p>
    <w:p w:rsidR="00D54F7F" w:rsidRDefault="00D54F7F" w14:paraId="4D1B4CCA" w14:textId="6C654B04">
      <w:pPr>
        <w:pStyle w:val="TOC3"/>
        <w:rPr>
          <w:rFonts w:asciiTheme="minorHAnsi" w:hAnsiTheme="minorHAnsi" w:cstheme="minorBidi"/>
          <w:noProof/>
          <w:sz w:val="22"/>
          <w:lang w:eastAsia="en-US"/>
        </w:rPr>
      </w:pPr>
      <w:r w:rsidRPr="009C00C4">
        <w:rPr>
          <w:rFonts w:ascii="Arial" w:hAnsi="Arial" w:cs="Arial"/>
          <w:noProof/>
        </w:rPr>
        <w:t>1.</w:t>
      </w:r>
      <w:r>
        <w:rPr>
          <w:rFonts w:asciiTheme="minorHAnsi" w:hAnsiTheme="minorHAnsi" w:cstheme="minorBidi"/>
          <w:noProof/>
          <w:sz w:val="22"/>
          <w:lang w:eastAsia="en-US"/>
        </w:rPr>
        <w:tab/>
      </w:r>
      <w:r w:rsidRPr="009C00C4">
        <w:rPr>
          <w:rFonts w:ascii="Arial" w:hAnsi="Arial" w:cs="Arial"/>
          <w:noProof/>
        </w:rPr>
        <w:t>Evaluation Questions</w:t>
      </w:r>
      <w:r>
        <w:rPr>
          <w:noProof/>
        </w:rPr>
        <w:tab/>
      </w:r>
      <w:r>
        <w:rPr>
          <w:noProof/>
        </w:rPr>
        <w:fldChar w:fldCharType="begin"/>
      </w:r>
      <w:r>
        <w:rPr>
          <w:noProof/>
        </w:rPr>
        <w:instrText xml:space="preserve"> PAGEREF _Toc6175931 \h </w:instrText>
      </w:r>
      <w:r>
        <w:rPr>
          <w:noProof/>
        </w:rPr>
      </w:r>
      <w:r>
        <w:rPr>
          <w:noProof/>
        </w:rPr>
        <w:fldChar w:fldCharType="separate"/>
      </w:r>
      <w:r>
        <w:rPr>
          <w:noProof/>
        </w:rPr>
        <w:t>6</w:t>
      </w:r>
      <w:r>
        <w:rPr>
          <w:noProof/>
        </w:rPr>
        <w:fldChar w:fldCharType="end"/>
      </w:r>
    </w:p>
    <w:p w:rsidR="00D54F7F" w:rsidRDefault="00D54F7F" w14:paraId="2B5DB022" w14:textId="050DDFE3">
      <w:pPr>
        <w:pStyle w:val="TOC3"/>
        <w:rPr>
          <w:rFonts w:asciiTheme="minorHAnsi" w:hAnsiTheme="minorHAnsi" w:cstheme="minorBidi"/>
          <w:noProof/>
          <w:sz w:val="22"/>
          <w:lang w:eastAsia="en-US"/>
        </w:rPr>
      </w:pPr>
      <w:r w:rsidRPr="009C00C4">
        <w:rPr>
          <w:rFonts w:ascii="Arial" w:hAnsi="Arial" w:cs="Arial"/>
          <w:noProof/>
        </w:rPr>
        <w:t>2.</w:t>
      </w:r>
      <w:r>
        <w:rPr>
          <w:rFonts w:asciiTheme="minorHAnsi" w:hAnsiTheme="minorHAnsi" w:cstheme="minorBidi"/>
          <w:noProof/>
          <w:sz w:val="22"/>
          <w:lang w:eastAsia="en-US"/>
        </w:rPr>
        <w:tab/>
      </w:r>
      <w:r w:rsidRPr="009C00C4">
        <w:rPr>
          <w:rFonts w:ascii="Arial" w:hAnsi="Arial" w:cs="Arial"/>
          <w:noProof/>
        </w:rPr>
        <w:t>Existing knowledge</w:t>
      </w:r>
      <w:r>
        <w:rPr>
          <w:noProof/>
        </w:rPr>
        <w:tab/>
      </w:r>
      <w:r>
        <w:rPr>
          <w:noProof/>
        </w:rPr>
        <w:fldChar w:fldCharType="begin"/>
      </w:r>
      <w:r>
        <w:rPr>
          <w:noProof/>
        </w:rPr>
        <w:instrText xml:space="preserve"> PAGEREF _Toc6175932 \h </w:instrText>
      </w:r>
      <w:r>
        <w:rPr>
          <w:noProof/>
        </w:rPr>
      </w:r>
      <w:r>
        <w:rPr>
          <w:noProof/>
        </w:rPr>
        <w:fldChar w:fldCharType="separate"/>
      </w:r>
      <w:r>
        <w:rPr>
          <w:noProof/>
        </w:rPr>
        <w:t>7</w:t>
      </w:r>
      <w:r>
        <w:rPr>
          <w:noProof/>
        </w:rPr>
        <w:fldChar w:fldCharType="end"/>
      </w:r>
    </w:p>
    <w:p w:rsidR="00D54F7F" w:rsidRDefault="00D54F7F" w14:paraId="443ADE85" w14:textId="31DED853">
      <w:pPr>
        <w:pStyle w:val="TOC3"/>
        <w:rPr>
          <w:rFonts w:asciiTheme="minorHAnsi" w:hAnsiTheme="minorHAnsi" w:cstheme="minorBidi"/>
          <w:noProof/>
          <w:sz w:val="22"/>
          <w:lang w:eastAsia="en-US"/>
        </w:rPr>
      </w:pPr>
      <w:r w:rsidRPr="009C00C4">
        <w:rPr>
          <w:rFonts w:ascii="Arial" w:hAnsi="Arial" w:cs="Arial"/>
          <w:noProof/>
        </w:rPr>
        <w:t>3.</w:t>
      </w:r>
      <w:r>
        <w:rPr>
          <w:rFonts w:asciiTheme="minorHAnsi" w:hAnsiTheme="minorHAnsi" w:cstheme="minorBidi"/>
          <w:noProof/>
          <w:sz w:val="22"/>
          <w:lang w:eastAsia="en-US"/>
        </w:rPr>
        <w:tab/>
      </w:r>
      <w:r w:rsidRPr="009C00C4">
        <w:rPr>
          <w:rFonts w:ascii="Arial" w:hAnsi="Arial" w:cs="Arial"/>
          <w:noProof/>
        </w:rPr>
        <w:t>Results Indicators</w:t>
      </w:r>
      <w:r>
        <w:rPr>
          <w:noProof/>
        </w:rPr>
        <w:tab/>
      </w:r>
      <w:r>
        <w:rPr>
          <w:noProof/>
        </w:rPr>
        <w:fldChar w:fldCharType="begin"/>
      </w:r>
      <w:r>
        <w:rPr>
          <w:noProof/>
        </w:rPr>
        <w:instrText xml:space="preserve"> PAGEREF _Toc6175933 \h </w:instrText>
      </w:r>
      <w:r>
        <w:rPr>
          <w:noProof/>
        </w:rPr>
      </w:r>
      <w:r>
        <w:rPr>
          <w:noProof/>
        </w:rPr>
        <w:fldChar w:fldCharType="separate"/>
      </w:r>
      <w:r>
        <w:rPr>
          <w:noProof/>
        </w:rPr>
        <w:t>7</w:t>
      </w:r>
      <w:r>
        <w:rPr>
          <w:noProof/>
        </w:rPr>
        <w:fldChar w:fldCharType="end"/>
      </w:r>
    </w:p>
    <w:p w:rsidR="00D54F7F" w:rsidRDefault="00D54F7F" w14:paraId="217769D0" w14:textId="0B842BD7">
      <w:pPr>
        <w:pStyle w:val="TOC3"/>
        <w:rPr>
          <w:rFonts w:asciiTheme="minorHAnsi" w:hAnsiTheme="minorHAnsi" w:cstheme="minorBidi"/>
          <w:noProof/>
          <w:sz w:val="22"/>
          <w:lang w:eastAsia="en-US"/>
        </w:rPr>
      </w:pPr>
      <w:r w:rsidRPr="009C00C4">
        <w:rPr>
          <w:rFonts w:ascii="Arial" w:hAnsi="Arial" w:cs="Arial"/>
          <w:noProof/>
        </w:rPr>
        <w:t>4.</w:t>
      </w:r>
      <w:r>
        <w:rPr>
          <w:rFonts w:asciiTheme="minorHAnsi" w:hAnsiTheme="minorHAnsi" w:cstheme="minorBidi"/>
          <w:noProof/>
          <w:sz w:val="22"/>
          <w:lang w:eastAsia="en-US"/>
        </w:rPr>
        <w:tab/>
      </w:r>
      <w:r w:rsidRPr="009C00C4">
        <w:rPr>
          <w:rFonts w:ascii="Arial" w:hAnsi="Arial" w:cs="Arial"/>
          <w:noProof/>
        </w:rPr>
        <w:t>Methodology</w:t>
      </w:r>
      <w:r>
        <w:rPr>
          <w:noProof/>
        </w:rPr>
        <w:tab/>
      </w:r>
      <w:r>
        <w:rPr>
          <w:noProof/>
        </w:rPr>
        <w:fldChar w:fldCharType="begin"/>
      </w:r>
      <w:r>
        <w:rPr>
          <w:noProof/>
        </w:rPr>
        <w:instrText xml:space="preserve"> PAGEREF _Toc6175934 \h </w:instrText>
      </w:r>
      <w:r>
        <w:rPr>
          <w:noProof/>
        </w:rPr>
      </w:r>
      <w:r>
        <w:rPr>
          <w:noProof/>
        </w:rPr>
        <w:fldChar w:fldCharType="separate"/>
      </w:r>
      <w:r>
        <w:rPr>
          <w:noProof/>
        </w:rPr>
        <w:t>8</w:t>
      </w:r>
      <w:r>
        <w:rPr>
          <w:noProof/>
        </w:rPr>
        <w:fldChar w:fldCharType="end"/>
      </w:r>
    </w:p>
    <w:p w:rsidR="00D54F7F" w:rsidRDefault="00D54F7F" w14:paraId="7D230DB3" w14:textId="04C69DFF">
      <w:pPr>
        <w:pStyle w:val="TOC3"/>
        <w:rPr>
          <w:rFonts w:asciiTheme="minorHAnsi" w:hAnsiTheme="minorHAnsi" w:cstheme="minorBidi"/>
          <w:noProof/>
          <w:sz w:val="22"/>
          <w:lang w:eastAsia="en-US"/>
        </w:rPr>
      </w:pPr>
      <w:r w:rsidRPr="009C00C4">
        <w:rPr>
          <w:rFonts w:ascii="Arial" w:hAnsi="Arial" w:cs="Arial"/>
          <w:noProof/>
        </w:rPr>
        <w:t>5.</w:t>
      </w:r>
      <w:r>
        <w:rPr>
          <w:rFonts w:asciiTheme="minorHAnsi" w:hAnsiTheme="minorHAnsi" w:cstheme="minorBidi"/>
          <w:noProof/>
          <w:sz w:val="22"/>
          <w:lang w:eastAsia="en-US"/>
        </w:rPr>
        <w:tab/>
      </w:r>
      <w:r w:rsidRPr="009C00C4">
        <w:rPr>
          <w:rFonts w:ascii="Arial" w:hAnsi="Arial" w:cs="Arial"/>
          <w:noProof/>
        </w:rPr>
        <w:t>Workplan and evaluation budget</w:t>
      </w:r>
      <w:r>
        <w:rPr>
          <w:noProof/>
        </w:rPr>
        <w:tab/>
      </w:r>
      <w:r>
        <w:rPr>
          <w:noProof/>
        </w:rPr>
        <w:fldChar w:fldCharType="begin"/>
      </w:r>
      <w:r>
        <w:rPr>
          <w:noProof/>
        </w:rPr>
        <w:instrText xml:space="preserve"> PAGEREF _Toc6175935 \h </w:instrText>
      </w:r>
      <w:r>
        <w:rPr>
          <w:noProof/>
        </w:rPr>
      </w:r>
      <w:r>
        <w:rPr>
          <w:noProof/>
        </w:rPr>
        <w:fldChar w:fldCharType="separate"/>
      </w:r>
      <w:r>
        <w:rPr>
          <w:noProof/>
        </w:rPr>
        <w:t>9</w:t>
      </w:r>
      <w:r>
        <w:rPr>
          <w:noProof/>
        </w:rPr>
        <w:fldChar w:fldCharType="end"/>
      </w:r>
    </w:p>
    <w:p w:rsidRPr="003A54EE" w:rsidR="003A54EE" w:rsidP="003A54EE" w:rsidRDefault="003A54EE" w14:paraId="4ED118D6" w14:textId="7A253EC0">
      <w:pPr>
        <w:pStyle w:val="TOC3"/>
        <w:rPr>
          <w:rFonts w:ascii="Arial" w:hAnsi="Arial" w:cs="Arial"/>
          <w:sz w:val="22"/>
        </w:rPr>
      </w:pPr>
      <w:r w:rsidRPr="003A54EE">
        <w:rPr>
          <w:rFonts w:ascii="Arial" w:hAnsi="Arial" w:cs="Arial"/>
          <w:sz w:val="22"/>
        </w:rPr>
        <w:fldChar w:fldCharType="end"/>
      </w:r>
    </w:p>
    <w:p w:rsidRPr="003A54EE" w:rsidR="003A54EE" w:rsidP="003A54EE" w:rsidRDefault="003A54EE" w14:paraId="46B2AA40" w14:textId="77777777">
      <w:pPr>
        <w:rPr>
          <w:rFonts w:ascii="Arial" w:hAnsi="Arial" w:cs="Arial"/>
          <w:highlight w:val="yellow"/>
          <w:lang w:val="en-US"/>
        </w:rPr>
      </w:pPr>
    </w:p>
    <w:p w:rsidRPr="003A54EE" w:rsidR="003A54EE" w:rsidP="003A54EE" w:rsidRDefault="003A54EE" w14:paraId="4F3A314A" w14:textId="77777777">
      <w:pPr>
        <w:rPr>
          <w:rFonts w:ascii="Arial" w:hAnsi="Arial" w:cs="Arial"/>
          <w:highlight w:val="yellow"/>
          <w:lang w:val="en-US"/>
        </w:rPr>
      </w:pPr>
    </w:p>
    <w:p w:rsidRPr="003A54EE" w:rsidR="003A54EE" w:rsidP="003A54EE" w:rsidRDefault="003A54EE" w14:paraId="0681CE23" w14:textId="77777777">
      <w:pPr>
        <w:rPr>
          <w:rFonts w:ascii="Arial" w:hAnsi="Arial" w:cs="Arial"/>
          <w:highlight w:val="yellow"/>
          <w:lang w:val="en-US"/>
        </w:rPr>
        <w:sectPr w:rsidRPr="003A54EE" w:rsidR="003A54EE" w:rsidSect="00E219DB">
          <w:footerReference w:type="default" r:id="rId8"/>
          <w:pgSz w:w="12240" w:h="15840" w:orient="portrait"/>
          <w:pgMar w:top="1440" w:right="1800" w:bottom="1440" w:left="1800" w:header="720" w:footer="720" w:gutter="0"/>
          <w:pgNumType w:start="0"/>
          <w:cols w:space="720"/>
          <w:titlePg/>
          <w:docGrid w:linePitch="360"/>
        </w:sectPr>
      </w:pPr>
      <w:r w:rsidRPr="003A54EE">
        <w:rPr>
          <w:rFonts w:ascii="Arial" w:hAnsi="Arial" w:cs="Arial"/>
          <w:highlight w:val="yellow"/>
          <w:lang w:val="en-US"/>
        </w:rPr>
        <w:br w:type="page"/>
      </w:r>
    </w:p>
    <w:p w:rsidRPr="003A54EE" w:rsidR="003A54EE" w:rsidP="003A54EE" w:rsidRDefault="003A54EE" w14:paraId="3CCDB78F" w14:textId="5C136D5B">
      <w:pPr>
        <w:pStyle w:val="Chapter"/>
        <w:tabs>
          <w:tab w:val="clear" w:pos="1440"/>
        </w:tabs>
        <w:spacing w:before="0"/>
        <w:ind w:left="630" w:hanging="180"/>
        <w:rPr>
          <w:rFonts w:ascii="Arial" w:hAnsi="Arial" w:cs="Arial"/>
          <w:sz w:val="22"/>
          <w:szCs w:val="22"/>
        </w:rPr>
      </w:pPr>
      <w:bookmarkStart w:name="_Toc6175923" w:id="1"/>
      <w:r w:rsidRPr="003A54EE">
        <w:rPr>
          <w:rFonts w:ascii="Arial" w:hAnsi="Arial" w:cs="Arial"/>
          <w:sz w:val="22"/>
          <w:szCs w:val="22"/>
        </w:rPr>
        <w:lastRenderedPageBreak/>
        <w:t>Introduction</w:t>
      </w:r>
      <w:bookmarkEnd w:id="1"/>
    </w:p>
    <w:p w:rsidRPr="003A54EE" w:rsidR="003A54EE" w:rsidP="003A54EE" w:rsidRDefault="002674E9" w14:paraId="3B07AE2F" w14:textId="75120139">
      <w:pPr>
        <w:pStyle w:val="Paragraph"/>
        <w:numPr>
          <w:ilvl w:val="1"/>
          <w:numId w:val="3"/>
        </w:numPr>
        <w:tabs>
          <w:tab w:val="clear" w:pos="2448"/>
          <w:tab w:val="num" w:pos="630"/>
        </w:tabs>
        <w:ind w:left="630" w:hanging="630"/>
        <w:rPr>
          <w:rFonts w:ascii="Arial" w:hAnsi="Arial" w:cs="Arial"/>
          <w:sz w:val="22"/>
          <w:szCs w:val="22"/>
        </w:rPr>
      </w:pPr>
      <w:r w:rsidRPr="003A54EE">
        <w:rPr>
          <w:rFonts w:ascii="Arial" w:hAnsi="Arial" w:cs="Arial"/>
          <w:b/>
          <w:sz w:val="22"/>
          <w:szCs w:val="22"/>
        </w:rPr>
        <w:t>Objective</w:t>
      </w:r>
      <w:r w:rsidRPr="003A54EE" w:rsidR="003A54EE">
        <w:rPr>
          <w:rFonts w:ascii="Arial" w:hAnsi="Arial" w:cs="Arial"/>
          <w:sz w:val="22"/>
          <w:szCs w:val="22"/>
        </w:rPr>
        <w:t xml:space="preserve">. </w:t>
      </w:r>
      <w:r w:rsidRPr="00BC03C6" w:rsidR="00BC03C6">
        <w:rPr>
          <w:rFonts w:ascii="Arial" w:hAnsi="Arial" w:cs="Arial"/>
          <w:sz w:val="22"/>
          <w:szCs w:val="22"/>
        </w:rPr>
        <w:t>The general objective of the program is to improve economic activity in The Bahamas. The specific objective is to enhance access to finance of MSME by providing a credit enhancement facility</w:t>
      </w:r>
      <w:r w:rsidR="00B57634">
        <w:rPr>
          <w:rFonts w:ascii="Arial" w:hAnsi="Arial" w:cs="Arial"/>
          <w:sz w:val="22"/>
          <w:szCs w:val="22"/>
        </w:rPr>
        <w:t>.</w:t>
      </w:r>
      <w:bookmarkStart w:name="_GoBack" w:id="2"/>
      <w:bookmarkEnd w:id="2"/>
    </w:p>
    <w:p w:rsidR="003A54EE" w:rsidP="003A54EE" w:rsidRDefault="00BC03C6" w14:paraId="30B2149F" w14:textId="5188458C">
      <w:pPr>
        <w:pStyle w:val="Paragraph"/>
        <w:numPr>
          <w:ilvl w:val="1"/>
          <w:numId w:val="3"/>
        </w:numPr>
        <w:tabs>
          <w:tab w:val="clear" w:pos="2448"/>
          <w:tab w:val="num" w:pos="630"/>
        </w:tabs>
        <w:ind w:left="630" w:hanging="630"/>
        <w:rPr>
          <w:rFonts w:ascii="Arial" w:hAnsi="Arial" w:cs="Arial"/>
          <w:sz w:val="22"/>
          <w:szCs w:val="22"/>
        </w:rPr>
      </w:pPr>
      <w:r>
        <w:rPr>
          <w:rFonts w:ascii="Arial" w:hAnsi="Arial" w:cs="Arial"/>
          <w:b/>
          <w:sz w:val="22"/>
          <w:szCs w:val="22"/>
        </w:rPr>
        <w:t>Components</w:t>
      </w:r>
      <w:r w:rsidRPr="003A54EE" w:rsidR="003A54EE">
        <w:rPr>
          <w:rFonts w:ascii="Arial" w:hAnsi="Arial" w:cs="Arial"/>
          <w:b/>
          <w:sz w:val="22"/>
          <w:szCs w:val="22"/>
        </w:rPr>
        <w:t xml:space="preserve">. </w:t>
      </w:r>
      <w:r w:rsidR="00BF10D8">
        <w:rPr>
          <w:rFonts w:ascii="Arial" w:hAnsi="Arial" w:cs="Arial"/>
          <w:sz w:val="22"/>
          <w:szCs w:val="22"/>
        </w:rPr>
        <w:t>The program consists of two component</w:t>
      </w:r>
      <w:r w:rsidR="0055264A">
        <w:rPr>
          <w:rFonts w:ascii="Arial" w:hAnsi="Arial" w:cs="Arial"/>
          <w:sz w:val="22"/>
          <w:szCs w:val="22"/>
        </w:rPr>
        <w:t>s</w:t>
      </w:r>
      <w:r w:rsidRPr="003A54EE" w:rsidR="003A54EE">
        <w:rPr>
          <w:rFonts w:ascii="Arial" w:hAnsi="Arial" w:cs="Arial"/>
          <w:sz w:val="22"/>
          <w:szCs w:val="22"/>
        </w:rPr>
        <w:t xml:space="preserve">. </w:t>
      </w:r>
      <w:r w:rsidR="00D616B3">
        <w:rPr>
          <w:rFonts w:ascii="Arial" w:hAnsi="Arial" w:cs="Arial"/>
          <w:sz w:val="22"/>
          <w:szCs w:val="22"/>
        </w:rPr>
        <w:t xml:space="preserve">Component 1 is </w:t>
      </w:r>
      <w:r w:rsidR="00C1326C">
        <w:rPr>
          <w:rFonts w:ascii="Arial" w:hAnsi="Arial" w:cs="Arial"/>
          <w:sz w:val="22"/>
          <w:szCs w:val="22"/>
        </w:rPr>
        <w:t xml:space="preserve">the </w:t>
      </w:r>
      <w:r w:rsidRPr="005553E6" w:rsidR="005553E6">
        <w:rPr>
          <w:rFonts w:ascii="Arial" w:hAnsi="Arial" w:cs="Arial"/>
          <w:sz w:val="22"/>
          <w:szCs w:val="22"/>
        </w:rPr>
        <w:t>Credit Enhancement Facility</w:t>
      </w:r>
      <w:r w:rsidR="005553E6">
        <w:rPr>
          <w:rFonts w:ascii="Arial" w:hAnsi="Arial" w:cs="Arial"/>
          <w:sz w:val="22"/>
          <w:szCs w:val="22"/>
        </w:rPr>
        <w:t xml:space="preserve"> (CEF)</w:t>
      </w:r>
      <w:r w:rsidRPr="005553E6" w:rsidR="005553E6">
        <w:rPr>
          <w:rFonts w:ascii="Arial" w:hAnsi="Arial" w:cs="Arial"/>
          <w:sz w:val="22"/>
          <w:szCs w:val="22"/>
        </w:rPr>
        <w:t xml:space="preserve"> </w:t>
      </w:r>
      <w:r w:rsidR="005553E6">
        <w:rPr>
          <w:rFonts w:ascii="Arial" w:hAnsi="Arial" w:cs="Arial"/>
          <w:sz w:val="22"/>
          <w:szCs w:val="22"/>
        </w:rPr>
        <w:t xml:space="preserve">for </w:t>
      </w:r>
      <w:r w:rsidRPr="005553E6" w:rsidR="005553E6">
        <w:rPr>
          <w:rFonts w:ascii="Arial" w:hAnsi="Arial" w:cs="Arial"/>
          <w:sz w:val="22"/>
          <w:szCs w:val="22"/>
        </w:rPr>
        <w:t xml:space="preserve">$22 million. The CEF will provide partial loan guarantees to eligible Financial Institutions (FI) for loans granted to eligible MSME, mentored and vetted by the </w:t>
      </w:r>
      <w:r w:rsidR="00DA30DC">
        <w:rPr>
          <w:rFonts w:ascii="Arial" w:hAnsi="Arial" w:cs="Arial"/>
          <w:sz w:val="22"/>
          <w:szCs w:val="22"/>
        </w:rPr>
        <w:t xml:space="preserve">Small Business Development Centre </w:t>
      </w:r>
      <w:r w:rsidR="00EA2ADB">
        <w:rPr>
          <w:rFonts w:ascii="Arial" w:hAnsi="Arial" w:cs="Arial"/>
          <w:sz w:val="22"/>
          <w:szCs w:val="22"/>
        </w:rPr>
        <w:t xml:space="preserve">Bahamas </w:t>
      </w:r>
      <w:r w:rsidR="00DA30DC">
        <w:rPr>
          <w:rFonts w:ascii="Arial" w:hAnsi="Arial" w:cs="Arial"/>
          <w:sz w:val="22"/>
          <w:szCs w:val="22"/>
        </w:rPr>
        <w:t>(</w:t>
      </w:r>
      <w:r w:rsidRPr="005553E6" w:rsidR="005553E6">
        <w:rPr>
          <w:rFonts w:ascii="Arial" w:hAnsi="Arial" w:cs="Arial"/>
          <w:sz w:val="22"/>
          <w:szCs w:val="22"/>
        </w:rPr>
        <w:t>SBDC</w:t>
      </w:r>
      <w:r w:rsidR="00DA30DC">
        <w:rPr>
          <w:rFonts w:ascii="Arial" w:hAnsi="Arial" w:cs="Arial"/>
          <w:sz w:val="22"/>
          <w:szCs w:val="22"/>
        </w:rPr>
        <w:t>)</w:t>
      </w:r>
      <w:r w:rsidRPr="005553E6" w:rsidR="005553E6">
        <w:rPr>
          <w:rFonts w:ascii="Arial" w:hAnsi="Arial" w:cs="Arial"/>
          <w:sz w:val="22"/>
          <w:szCs w:val="22"/>
        </w:rPr>
        <w:t>. The CEF acts as an incentive to FI to increase their MSME loan portfolio (downscaling) by providing additional security coverage on loans they issue for firms’ investment projects.</w:t>
      </w:r>
      <w:r w:rsidRPr="00B5193B" w:rsidR="00B5193B">
        <w:t xml:space="preserve"> </w:t>
      </w:r>
      <w:r w:rsidRPr="00B5193B" w:rsidR="00B5193B">
        <w:rPr>
          <w:rFonts w:ascii="Arial" w:hAnsi="Arial" w:cs="Arial"/>
          <w:sz w:val="22"/>
          <w:szCs w:val="22"/>
        </w:rPr>
        <w:t>The partial guarantees will be issued to eligible FI to cover individual loans to be undertaken by eligible MSME. FI will review loan applications, which will be subject to normal lending criteria, and notify SBDC and the applicant within a certain time frame of its interest in providing financing under the CEF.</w:t>
      </w:r>
    </w:p>
    <w:p w:rsidRPr="00DA30DC" w:rsidR="00B5193B" w:rsidP="684C6E7D" w:rsidRDefault="00337DF5" w14:paraId="66A1DDD9" w14:textId="3F6DB915">
      <w:pPr>
        <w:pStyle w:val="Paragraph"/>
        <w:numPr>
          <w:ilvl w:val="1"/>
          <w:numId w:val="3"/>
        </w:numPr>
        <w:tabs>
          <w:tab w:val="clear" w:pos="2448"/>
          <w:tab w:val="num" w:pos="630"/>
        </w:tabs>
        <w:ind w:left="630" w:hanging="630"/>
        <w:rPr>
          <w:rFonts w:ascii="Arial" w:hAnsi="Arial" w:cs="Arial"/>
          <w:sz w:val="22"/>
          <w:szCs w:val="22"/>
        </w:rPr>
      </w:pPr>
      <w:r w:rsidRPr="684C6E7D" w:rsidR="684C6E7D">
        <w:rPr>
          <w:rFonts w:ascii="Arial" w:hAnsi="Arial" w:cs="Arial"/>
          <w:sz w:val="22"/>
          <w:szCs w:val="22"/>
        </w:rPr>
        <w:t>Component 2, Support to MSME in business advisory services and institutional strengthening of SBDC ($</w:t>
      </w:r>
      <w:r w:rsidRPr="684C6E7D" w:rsidR="684C6E7D">
        <w:rPr>
          <w:rFonts w:ascii="Arial" w:hAnsi="Arial" w:cs="Arial"/>
          <w:sz w:val="22"/>
          <w:szCs w:val="22"/>
        </w:rPr>
        <w:t>2, 940</w:t>
      </w:r>
      <w:r w:rsidRPr="684C6E7D" w:rsidR="684C6E7D">
        <w:rPr>
          <w:rFonts w:ascii="Arial" w:hAnsi="Arial" w:cs="Arial"/>
          <w:sz w:val="22"/>
          <w:szCs w:val="22"/>
        </w:rPr>
        <w:t xml:space="preserve"> million), will support the expansion of SBDC’s technical assistance instruments, which include business advisory services. It has 1,868 firms already registered. Specifically, the loan would cover the following key aspects that confront one of the two main obstacles to MSME financing: </w:t>
      </w:r>
      <w:proofErr w:type="spellStart"/>
      <w:r w:rsidRPr="684C6E7D" w:rsidR="684C6E7D">
        <w:rPr>
          <w:rFonts w:ascii="Arial" w:hAnsi="Arial" w:cs="Arial"/>
          <w:sz w:val="22"/>
          <w:szCs w:val="22"/>
        </w:rPr>
        <w:t>i</w:t>
      </w:r>
      <w:proofErr w:type="spellEnd"/>
      <w:r w:rsidRPr="684C6E7D" w:rsidR="684C6E7D">
        <w:rPr>
          <w:rFonts w:ascii="Arial" w:hAnsi="Arial" w:cs="Arial"/>
          <w:sz w:val="22"/>
          <w:szCs w:val="22"/>
        </w:rPr>
        <w:t>) supporting MSME in creating proper financial records/statements of their business, with services provided from accounting firms or individuals vetted by the Bahamas Institute of Chartered Accountants (BICA) and the SBDC; and ii) supporting firms in developing their business and financial models, which would be implemented with advisors contracted by the SBDC. Also, institutional strengthening of SBDC will be supported. Loan resources will cover the personnel that would support the SBDC in program management and fiduciary aspects. Also, an amount of US$</w:t>
      </w:r>
      <w:r w:rsidRPr="684C6E7D" w:rsidR="684C6E7D">
        <w:rPr>
          <w:rFonts w:ascii="Arial" w:hAnsi="Arial" w:cs="Arial"/>
          <w:sz w:val="22"/>
          <w:szCs w:val="22"/>
        </w:rPr>
        <w:t>6</w:t>
      </w:r>
      <w:r w:rsidRPr="684C6E7D" w:rsidR="684C6E7D">
        <w:rPr>
          <w:rFonts w:ascii="Arial" w:hAnsi="Arial" w:cs="Arial"/>
          <w:sz w:val="22"/>
          <w:szCs w:val="22"/>
        </w:rPr>
        <w:t>0</w:t>
      </w:r>
      <w:r w:rsidRPr="684C6E7D" w:rsidR="684C6E7D">
        <w:rPr>
          <w:rFonts w:ascii="Arial" w:hAnsi="Arial" w:cs="Arial"/>
          <w:sz w:val="22"/>
          <w:szCs w:val="22"/>
        </w:rPr>
        <w:t>,000</w:t>
      </w:r>
      <w:r w:rsidRPr="684C6E7D" w:rsidR="684C6E7D">
        <w:rPr>
          <w:rFonts w:ascii="Arial" w:hAnsi="Arial" w:cs="Arial"/>
          <w:sz w:val="22"/>
          <w:szCs w:val="22"/>
        </w:rPr>
        <w:t xml:space="preserve"> will be set aside to cover the administrative and monitoring and evaluation cost of the program.</w:t>
      </w:r>
    </w:p>
    <w:p w:rsidRPr="003A54EE" w:rsidR="003A54EE" w:rsidP="007D41ED" w:rsidRDefault="00DA30DC" w14:paraId="00824124" w14:textId="083C64B2">
      <w:pPr>
        <w:pStyle w:val="Paragraph"/>
        <w:numPr>
          <w:ilvl w:val="1"/>
          <w:numId w:val="3"/>
        </w:numPr>
        <w:tabs>
          <w:tab w:val="clear" w:pos="2448"/>
          <w:tab w:val="num" w:pos="630"/>
        </w:tabs>
        <w:ind w:left="630" w:hanging="630"/>
        <w:rPr>
          <w:rFonts w:ascii="Arial" w:hAnsi="Arial" w:cs="Arial"/>
          <w:sz w:val="22"/>
          <w:szCs w:val="22"/>
        </w:rPr>
      </w:pPr>
      <w:r>
        <w:rPr>
          <w:rFonts w:ascii="Arial" w:hAnsi="Arial" w:cs="Arial"/>
          <w:b/>
          <w:sz w:val="22"/>
          <w:szCs w:val="22"/>
        </w:rPr>
        <w:t>Executing Agency (EA) responsibilities</w:t>
      </w:r>
      <w:r w:rsidRPr="003A54EE" w:rsidR="003A54EE">
        <w:rPr>
          <w:rFonts w:ascii="Arial" w:hAnsi="Arial" w:cs="Arial"/>
          <w:b/>
          <w:sz w:val="22"/>
          <w:szCs w:val="22"/>
        </w:rPr>
        <w:t xml:space="preserve">. </w:t>
      </w:r>
      <w:r w:rsidR="00381BDA">
        <w:rPr>
          <w:rFonts w:ascii="Arial" w:hAnsi="Arial" w:cs="Arial"/>
          <w:sz w:val="22"/>
          <w:szCs w:val="22"/>
        </w:rPr>
        <w:t>SBD</w:t>
      </w:r>
      <w:r w:rsidRPr="002C2FF0" w:rsidR="00381BDA">
        <w:rPr>
          <w:rFonts w:ascii="Arial" w:hAnsi="Arial" w:cs="Arial"/>
          <w:sz w:val="22"/>
          <w:szCs w:val="22"/>
        </w:rPr>
        <w:t xml:space="preserve">C </w:t>
      </w:r>
      <w:r w:rsidRPr="002C2FF0" w:rsidR="00347AE2">
        <w:rPr>
          <w:rFonts w:ascii="Arial" w:hAnsi="Arial" w:cs="Arial"/>
          <w:sz w:val="22"/>
          <w:szCs w:val="22"/>
        </w:rPr>
        <w:t>will act as EA</w:t>
      </w:r>
      <w:r w:rsidRPr="002C2FF0" w:rsidR="00255675">
        <w:rPr>
          <w:rFonts w:ascii="Arial" w:hAnsi="Arial" w:cs="Arial"/>
          <w:sz w:val="22"/>
          <w:szCs w:val="22"/>
        </w:rPr>
        <w:t xml:space="preserve"> for the </w:t>
      </w:r>
      <w:r w:rsidRPr="002C2FF0" w:rsidR="0077227E">
        <w:rPr>
          <w:rFonts w:ascii="Arial" w:hAnsi="Arial" w:cs="Arial"/>
          <w:sz w:val="22"/>
          <w:szCs w:val="22"/>
        </w:rPr>
        <w:t>operation</w:t>
      </w:r>
      <w:r w:rsidR="001A3A9C">
        <w:rPr>
          <w:rFonts w:ascii="Arial" w:hAnsi="Arial" w:cs="Arial"/>
          <w:sz w:val="22"/>
          <w:szCs w:val="22"/>
        </w:rPr>
        <w:t xml:space="preserve"> and </w:t>
      </w:r>
      <w:r w:rsidRPr="002C2FF0" w:rsidR="0077227E">
        <w:rPr>
          <w:rFonts w:ascii="Arial" w:hAnsi="Arial" w:cs="Arial"/>
          <w:sz w:val="22"/>
          <w:szCs w:val="22"/>
        </w:rPr>
        <w:t>will be responsible for coordinating the necessary arrangements for proper execution, which will include: (i) preparation, implementation, coordination of the annual operating plans; (ii) preparation of budgets, project accounting, financial management, reports, and disbursement requests; (iii) preparation of the procurement plan of consulting services; (iv) preparation of technical, progress and financial reports; (v) periodic monitoring and analysis of the program’s activities; (vi) evaluation of the program’s execution; (vii) hiring of the external audit firm and implementation of its recommendations; and (viii) liaison with the project team.</w:t>
      </w:r>
      <w:r w:rsidRPr="002C2FF0" w:rsidR="008708BC">
        <w:rPr>
          <w:rFonts w:ascii="Arial" w:hAnsi="Arial" w:cs="Arial"/>
          <w:sz w:val="22"/>
          <w:szCs w:val="22"/>
        </w:rPr>
        <w:t xml:space="preserve"> </w:t>
      </w:r>
    </w:p>
    <w:p w:rsidRPr="003A54EE" w:rsidR="003A54EE" w:rsidP="003A54EE" w:rsidRDefault="00DA7C93" w14:paraId="2009C2BE" w14:textId="58071765">
      <w:pPr>
        <w:pStyle w:val="Paragraph"/>
        <w:numPr>
          <w:ilvl w:val="1"/>
          <w:numId w:val="3"/>
        </w:numPr>
        <w:tabs>
          <w:tab w:val="clear" w:pos="2448"/>
          <w:tab w:val="num" w:pos="630"/>
        </w:tabs>
        <w:ind w:left="630" w:hanging="630"/>
        <w:rPr>
          <w:rFonts w:ascii="Arial" w:hAnsi="Arial" w:cs="Arial"/>
          <w:sz w:val="22"/>
          <w:szCs w:val="22"/>
        </w:rPr>
      </w:pPr>
      <w:r>
        <w:rPr>
          <w:rFonts w:ascii="Arial" w:hAnsi="Arial" w:cs="Arial"/>
          <w:b/>
          <w:sz w:val="22"/>
          <w:szCs w:val="22"/>
        </w:rPr>
        <w:t>Monitoring and evaluation instruments</w:t>
      </w:r>
      <w:r w:rsidRPr="003A54EE" w:rsidR="003A54EE">
        <w:rPr>
          <w:rFonts w:ascii="Arial" w:hAnsi="Arial" w:cs="Arial"/>
          <w:b/>
          <w:sz w:val="22"/>
          <w:szCs w:val="22"/>
        </w:rPr>
        <w:t xml:space="preserve">. </w:t>
      </w:r>
      <w:r>
        <w:rPr>
          <w:rFonts w:ascii="Arial" w:hAnsi="Arial" w:cs="Arial"/>
          <w:sz w:val="22"/>
          <w:szCs w:val="22"/>
        </w:rPr>
        <w:t xml:space="preserve">As part of program’s </w:t>
      </w:r>
      <w:r w:rsidR="00480951">
        <w:rPr>
          <w:rFonts w:ascii="Arial" w:hAnsi="Arial" w:cs="Arial"/>
          <w:sz w:val="22"/>
          <w:szCs w:val="22"/>
        </w:rPr>
        <w:t>execution</w:t>
      </w:r>
      <w:r>
        <w:rPr>
          <w:rFonts w:ascii="Arial" w:hAnsi="Arial" w:cs="Arial"/>
          <w:sz w:val="22"/>
          <w:szCs w:val="22"/>
        </w:rPr>
        <w:t xml:space="preserve">, the following </w:t>
      </w:r>
      <w:r w:rsidR="00480951">
        <w:rPr>
          <w:rFonts w:ascii="Arial" w:hAnsi="Arial" w:cs="Arial"/>
          <w:sz w:val="22"/>
          <w:szCs w:val="22"/>
        </w:rPr>
        <w:t>monitoring and evaluation instruments were identified:</w:t>
      </w:r>
      <w:r w:rsidRPr="003A54EE" w:rsidR="003A54EE">
        <w:rPr>
          <w:rFonts w:ascii="Arial" w:hAnsi="Arial" w:cs="Arial"/>
          <w:sz w:val="22"/>
          <w:szCs w:val="22"/>
        </w:rPr>
        <w:t xml:space="preserve"> </w:t>
      </w:r>
    </w:p>
    <w:p w:rsidRPr="003A54EE" w:rsidR="003A54EE" w:rsidP="3DB18018" w:rsidRDefault="00E85F7D" w14:paraId="3180C380" w14:textId="190E9134">
      <w:pPr>
        <w:pStyle w:val="subpar"/>
        <w:tabs>
          <w:tab w:val="num" w:pos="1440"/>
        </w:tabs>
        <w:spacing w:before="60" w:after="60"/>
        <w:ind w:left="1440" w:hanging="450"/>
        <w:rPr>
          <w:rFonts w:ascii="Arial" w:hAnsi="Arial" w:cs="Arial"/>
          <w:sz w:val="22"/>
          <w:szCs w:val="22"/>
          <w:lang w:val="en-US"/>
        </w:rPr>
      </w:pPr>
      <w:r w:rsidRPr="3DB18018" w:rsidR="3DB18018">
        <w:rPr>
          <w:rFonts w:ascii="Arial" w:hAnsi="Arial" w:cs="Arial"/>
          <w:b w:val="1"/>
          <w:bCs w:val="1"/>
          <w:sz w:val="22"/>
          <w:szCs w:val="22"/>
          <w:lang w:val="en-US"/>
        </w:rPr>
        <w:t xml:space="preserve">Reports. </w:t>
      </w:r>
      <w:r w:rsidRPr="3DB18018" w:rsidR="3DB18018">
        <w:rPr>
          <w:rFonts w:ascii="Arial" w:hAnsi="Arial" w:cs="Arial"/>
          <w:sz w:val="22"/>
          <w:szCs w:val="22"/>
          <w:lang w:val="en-US"/>
        </w:rPr>
        <w:t>The program will be monitored through semiannual reports prepared by the EA and presented to the Bank within 90 days after the close of each semester, measuring progress on the results indicators (for further information see Annex II Results Framework)</w:t>
      </w:r>
      <w:r w:rsidRPr="3DB18018" w:rsidR="3DB18018">
        <w:rPr>
          <w:rFonts w:ascii="Arial" w:hAnsi="Arial" w:cs="Arial"/>
          <w:sz w:val="22"/>
          <w:szCs w:val="22"/>
          <w:lang w:val="en-US"/>
        </w:rPr>
        <w:t>, and the identification of any risk or significant change that cause or may cause delays or difficulties in Program execution, and implementation of corrective measures.</w:t>
      </w:r>
      <w:r w:rsidRPr="3DB18018" w:rsidR="3DB18018">
        <w:rPr>
          <w:rFonts w:ascii="Arial" w:hAnsi="Arial" w:cs="Arial"/>
          <w:sz w:val="22"/>
          <w:szCs w:val="22"/>
          <w:lang w:val="en-US"/>
        </w:rPr>
        <w:t xml:space="preserve"> Periodical supervision meetings and missions will also be scheduled.</w:t>
      </w:r>
    </w:p>
    <w:p w:rsidRPr="003A54EE" w:rsidR="003A54EE" w:rsidP="003A54EE" w:rsidRDefault="003450E7" w14:paraId="33D8C7A0" w14:textId="5B7F6739">
      <w:pPr>
        <w:pStyle w:val="subpar"/>
        <w:tabs>
          <w:tab w:val="num" w:pos="1440"/>
        </w:tabs>
        <w:spacing w:before="60" w:after="60"/>
        <w:ind w:left="1440" w:hanging="450"/>
        <w:rPr>
          <w:rFonts w:ascii="Arial" w:hAnsi="Arial" w:cs="Arial"/>
          <w:sz w:val="22"/>
          <w:szCs w:val="22"/>
          <w:lang w:val="en-US"/>
        </w:rPr>
      </w:pPr>
      <w:r>
        <w:rPr>
          <w:rFonts w:ascii="Arial" w:hAnsi="Arial" w:cs="Arial"/>
          <w:b/>
          <w:sz w:val="22"/>
          <w:szCs w:val="22"/>
          <w:lang w:val="en-US"/>
        </w:rPr>
        <w:t>Financial audits</w:t>
      </w:r>
      <w:r w:rsidRPr="003A54EE" w:rsidR="003A54EE">
        <w:rPr>
          <w:rFonts w:ascii="Arial" w:hAnsi="Arial" w:cs="Arial"/>
          <w:b/>
          <w:sz w:val="22"/>
          <w:szCs w:val="22"/>
          <w:lang w:val="en-US"/>
        </w:rPr>
        <w:t>,</w:t>
      </w:r>
      <w:r w:rsidRPr="003A54EE" w:rsidR="003A54EE">
        <w:rPr>
          <w:rFonts w:ascii="Arial" w:hAnsi="Arial" w:cs="Arial"/>
          <w:sz w:val="22"/>
          <w:szCs w:val="22"/>
          <w:lang w:val="en-US"/>
        </w:rPr>
        <w:t xml:space="preserve"> </w:t>
      </w:r>
      <w:r>
        <w:rPr>
          <w:rFonts w:ascii="Arial" w:hAnsi="Arial" w:cs="Arial"/>
          <w:sz w:val="22"/>
          <w:szCs w:val="22"/>
          <w:lang w:val="en-US"/>
        </w:rPr>
        <w:t>which will be carried out annually by an independent auditing firm</w:t>
      </w:r>
      <w:r w:rsidRPr="003A54EE" w:rsidR="003A54EE">
        <w:rPr>
          <w:rFonts w:ascii="Arial" w:hAnsi="Arial" w:cs="Arial"/>
          <w:sz w:val="22"/>
          <w:szCs w:val="22"/>
          <w:lang w:val="en-US"/>
        </w:rPr>
        <w:t xml:space="preserve">. </w:t>
      </w:r>
    </w:p>
    <w:p w:rsidRPr="00EB437D" w:rsidR="003A54EE" w:rsidP="00EB437D" w:rsidRDefault="003A54EE" w14:paraId="26DA38CA" w14:textId="4ECDCFE9">
      <w:pPr>
        <w:pStyle w:val="subpar"/>
        <w:tabs>
          <w:tab w:val="num" w:pos="1440"/>
        </w:tabs>
        <w:spacing w:before="60" w:after="60"/>
        <w:ind w:left="1440" w:hanging="450"/>
        <w:rPr>
          <w:rFonts w:ascii="Arial" w:hAnsi="Arial" w:cs="Arial"/>
          <w:sz w:val="22"/>
          <w:szCs w:val="22"/>
          <w:lang w:val="en-US"/>
        </w:rPr>
      </w:pPr>
      <w:r w:rsidRPr="003A54EE">
        <w:rPr>
          <w:rFonts w:ascii="Arial" w:hAnsi="Arial" w:cs="Arial"/>
          <w:b/>
          <w:sz w:val="22"/>
          <w:szCs w:val="22"/>
          <w:lang w:val="en-US"/>
        </w:rPr>
        <w:lastRenderedPageBreak/>
        <w:t>E</w:t>
      </w:r>
      <w:r w:rsidR="003450E7">
        <w:rPr>
          <w:rFonts w:ascii="Arial" w:hAnsi="Arial" w:cs="Arial"/>
          <w:b/>
          <w:sz w:val="22"/>
          <w:szCs w:val="22"/>
          <w:lang w:val="en-US"/>
        </w:rPr>
        <w:t xml:space="preserve">x-post </w:t>
      </w:r>
      <w:r w:rsidR="00EB437D">
        <w:rPr>
          <w:rFonts w:ascii="Arial" w:hAnsi="Arial" w:cs="Arial"/>
          <w:b/>
          <w:sz w:val="22"/>
          <w:szCs w:val="22"/>
          <w:lang w:val="en-US"/>
        </w:rPr>
        <w:t>evaluation</w:t>
      </w:r>
      <w:r w:rsidR="003450E7">
        <w:rPr>
          <w:rFonts w:ascii="Arial" w:hAnsi="Arial" w:cs="Arial"/>
          <w:b/>
          <w:sz w:val="22"/>
          <w:szCs w:val="22"/>
          <w:lang w:val="en-US"/>
        </w:rPr>
        <w:t xml:space="preserve">. </w:t>
      </w:r>
      <w:r w:rsidRPr="003450E7" w:rsidR="003450E7">
        <w:rPr>
          <w:rFonts w:ascii="Arial" w:hAnsi="Arial" w:cs="Arial"/>
          <w:sz w:val="22"/>
          <w:szCs w:val="22"/>
          <w:lang w:val="en-US"/>
        </w:rPr>
        <w:t xml:space="preserve">The Borrower, through the EA, will conduct a final report which will be due within </w:t>
      </w:r>
      <w:r w:rsidR="00C52066">
        <w:rPr>
          <w:rFonts w:ascii="Arial" w:hAnsi="Arial" w:cs="Arial"/>
          <w:sz w:val="22"/>
          <w:szCs w:val="22"/>
          <w:lang w:val="en-US"/>
        </w:rPr>
        <w:t>9</w:t>
      </w:r>
      <w:r w:rsidRPr="003450E7" w:rsidR="003450E7">
        <w:rPr>
          <w:rFonts w:ascii="Arial" w:hAnsi="Arial" w:cs="Arial"/>
          <w:sz w:val="22"/>
          <w:szCs w:val="22"/>
          <w:lang w:val="en-US"/>
        </w:rPr>
        <w:t xml:space="preserve">0 days from the date of the last justification of program disbursements. The evaluation will assess the success in accomplishing the program objectives and outcomes based on the Results </w:t>
      </w:r>
      <w:r w:rsidRPr="00EB437D" w:rsidR="003450E7">
        <w:rPr>
          <w:rFonts w:ascii="Arial" w:hAnsi="Arial" w:cs="Arial"/>
          <w:sz w:val="22"/>
          <w:szCs w:val="22"/>
          <w:lang w:val="en-US"/>
        </w:rPr>
        <w:t>Framework. This will provide the necessary information for the IDB to conduct a Project Completion Report (PCR) based on the Bank’s policies.</w:t>
      </w:r>
      <w:r w:rsidRPr="00EB437D">
        <w:rPr>
          <w:rFonts w:ascii="Arial" w:hAnsi="Arial" w:cs="Arial"/>
          <w:sz w:val="22"/>
          <w:szCs w:val="22"/>
          <w:lang w:val="en-US"/>
        </w:rPr>
        <w:t xml:space="preserve"> </w:t>
      </w:r>
    </w:p>
    <w:p w:rsidRPr="001F794C" w:rsidR="00EB437D" w:rsidP="001F794C" w:rsidRDefault="00EB437D" w14:paraId="2781E0E5" w14:textId="1C11ED6B">
      <w:pPr>
        <w:pStyle w:val="Paragraph"/>
        <w:numPr>
          <w:ilvl w:val="1"/>
          <w:numId w:val="5"/>
        </w:numPr>
        <w:tabs>
          <w:tab w:val="clear" w:pos="2736"/>
        </w:tabs>
        <w:ind w:left="720" w:hanging="720"/>
        <w:rPr>
          <w:rFonts w:ascii="Arial" w:hAnsi="Arial" w:cs="Arial"/>
          <w:sz w:val="22"/>
          <w:szCs w:val="22"/>
        </w:rPr>
      </w:pPr>
      <w:r w:rsidRPr="00EB437D">
        <w:rPr>
          <w:rFonts w:ascii="Arial" w:hAnsi="Arial" w:cs="Arial"/>
          <w:b/>
          <w:sz w:val="22"/>
          <w:szCs w:val="22"/>
        </w:rPr>
        <w:t>Information</w:t>
      </w:r>
      <w:r w:rsidRPr="00EB437D" w:rsidR="003A54EE">
        <w:rPr>
          <w:rFonts w:ascii="Arial" w:hAnsi="Arial" w:cs="Arial"/>
          <w:b/>
          <w:sz w:val="22"/>
          <w:szCs w:val="22"/>
        </w:rPr>
        <w:t xml:space="preserve">. </w:t>
      </w:r>
      <w:r w:rsidRPr="00EB437D">
        <w:rPr>
          <w:rFonts w:ascii="Arial" w:hAnsi="Arial" w:cs="Arial"/>
          <w:sz w:val="22"/>
          <w:szCs w:val="22"/>
        </w:rPr>
        <w:t>The SBDC will compile and maintain all information, indicators and parameters, including all documentation required to prepare the PCR.</w:t>
      </w:r>
      <w:r w:rsidRPr="00EB437D" w:rsidR="003A54EE">
        <w:rPr>
          <w:rFonts w:ascii="Arial" w:hAnsi="Arial" w:cs="Arial"/>
          <w:sz w:val="22"/>
          <w:szCs w:val="22"/>
        </w:rPr>
        <w:t xml:space="preserve">  </w:t>
      </w:r>
      <w:bookmarkStart w:name="_Toc352756752" w:id="3"/>
    </w:p>
    <w:p w:rsidRPr="003A54EE" w:rsidR="003A54EE" w:rsidP="003A54EE" w:rsidRDefault="00EB437D" w14:paraId="2282F6D2" w14:textId="38796A4C">
      <w:pPr>
        <w:pStyle w:val="Chapter"/>
        <w:tabs>
          <w:tab w:val="clear" w:pos="1440"/>
        </w:tabs>
        <w:spacing w:before="0"/>
        <w:ind w:left="630" w:hanging="180"/>
        <w:rPr>
          <w:rFonts w:ascii="Arial" w:hAnsi="Arial" w:cs="Arial"/>
          <w:szCs w:val="22"/>
        </w:rPr>
      </w:pPr>
      <w:bookmarkStart w:name="_Toc6175924" w:id="4"/>
      <w:r>
        <w:rPr>
          <w:rFonts w:ascii="Arial" w:hAnsi="Arial" w:cs="Arial"/>
          <w:szCs w:val="22"/>
        </w:rPr>
        <w:t>Monitoring</w:t>
      </w:r>
      <w:bookmarkEnd w:id="4"/>
    </w:p>
    <w:p w:rsidRPr="003A54EE" w:rsidR="003A54EE" w:rsidP="00777A62" w:rsidRDefault="00EB437D" w14:paraId="15439E73" w14:textId="6824FA50">
      <w:pPr>
        <w:pStyle w:val="Paragraph"/>
        <w:tabs>
          <w:tab w:val="clear" w:pos="2736"/>
          <w:tab w:val="num" w:pos="630"/>
        </w:tabs>
        <w:ind w:left="630" w:hanging="630"/>
        <w:rPr>
          <w:rFonts w:ascii="Arial" w:hAnsi="Arial" w:cs="Arial"/>
          <w:sz w:val="22"/>
          <w:szCs w:val="22"/>
        </w:rPr>
      </w:pPr>
      <w:r>
        <w:rPr>
          <w:rFonts w:ascii="Arial" w:hAnsi="Arial" w:cs="Arial"/>
          <w:sz w:val="22"/>
          <w:szCs w:val="22"/>
        </w:rPr>
        <w:t xml:space="preserve">The purpose of this section is to describe the monitoring arrangements of the program that will be applied throughout the execution in order to guarantee its adequate development and resource utilization. As was previously mentioned, the EA will be responsible </w:t>
      </w:r>
      <w:r w:rsidR="00777A62">
        <w:rPr>
          <w:rFonts w:ascii="Arial" w:hAnsi="Arial" w:cs="Arial"/>
          <w:sz w:val="22"/>
          <w:szCs w:val="22"/>
        </w:rPr>
        <w:t>of these activities.</w:t>
      </w:r>
      <w:r w:rsidRPr="003A54EE" w:rsidR="003A54EE">
        <w:rPr>
          <w:rFonts w:ascii="Arial" w:hAnsi="Arial" w:cs="Arial"/>
          <w:sz w:val="22"/>
          <w:szCs w:val="22"/>
        </w:rPr>
        <w:t xml:space="preserve"> </w:t>
      </w:r>
    </w:p>
    <w:p w:rsidRPr="003A54EE" w:rsidR="003A54EE" w:rsidP="003A54EE" w:rsidRDefault="00777A62" w14:paraId="5E22692F" w14:textId="055F92E0">
      <w:pPr>
        <w:pStyle w:val="SecHeading"/>
        <w:tabs>
          <w:tab w:val="clear" w:pos="5400"/>
          <w:tab w:val="num" w:pos="1260"/>
        </w:tabs>
        <w:ind w:hanging="4680"/>
        <w:rPr>
          <w:rFonts w:ascii="Arial" w:hAnsi="Arial" w:cs="Arial"/>
          <w:color w:val="auto"/>
          <w:sz w:val="22"/>
          <w:szCs w:val="22"/>
          <w:lang w:val="en-US"/>
        </w:rPr>
      </w:pPr>
      <w:bookmarkStart w:name="_Toc6175925" w:id="5"/>
      <w:r>
        <w:rPr>
          <w:rFonts w:ascii="Arial" w:hAnsi="Arial" w:cs="Arial"/>
          <w:color w:val="auto"/>
          <w:sz w:val="22"/>
          <w:szCs w:val="22"/>
          <w:lang w:val="en-US"/>
        </w:rPr>
        <w:t>Indicators</w:t>
      </w:r>
      <w:bookmarkEnd w:id="5"/>
    </w:p>
    <w:p w:rsidR="00777A62" w:rsidP="003A54EE" w:rsidRDefault="00777A62" w14:paraId="0D60B8F3" w14:textId="2879B20F">
      <w:pPr>
        <w:pStyle w:val="Paragraph"/>
        <w:tabs>
          <w:tab w:val="clear" w:pos="2736"/>
          <w:tab w:val="num" w:pos="630"/>
        </w:tabs>
        <w:ind w:left="630" w:hanging="630"/>
        <w:rPr>
          <w:rFonts w:ascii="Arial" w:hAnsi="Arial" w:cs="Arial"/>
          <w:sz w:val="22"/>
          <w:szCs w:val="22"/>
        </w:rPr>
      </w:pPr>
      <w:r>
        <w:rPr>
          <w:rFonts w:ascii="Arial" w:hAnsi="Arial" w:cs="Arial"/>
          <w:sz w:val="22"/>
          <w:szCs w:val="22"/>
        </w:rPr>
        <w:t xml:space="preserve">The indicators to be monitored and registered in the Program Monitoring Report (PMR) are described in the program’s Results Matrix (See Annex II). The monitoring of products indicators will have a semiannual frequency and will be updated in the PMR. </w:t>
      </w:r>
      <w:r>
        <w:rPr>
          <w:rFonts w:ascii="Arial" w:hAnsi="Arial" w:cs="Arial"/>
          <w:sz w:val="22"/>
          <w:szCs w:val="22"/>
        </w:rPr>
        <w:fldChar w:fldCharType="begin"/>
      </w:r>
      <w:r>
        <w:rPr>
          <w:rFonts w:ascii="Arial" w:hAnsi="Arial" w:cs="Arial"/>
          <w:sz w:val="22"/>
          <w:szCs w:val="22"/>
        </w:rPr>
        <w:instrText xml:space="preserve"> REF _Ref6141478 \h  \* MERGEFORMAT </w:instrText>
      </w:r>
      <w:r>
        <w:rPr>
          <w:rFonts w:ascii="Arial" w:hAnsi="Arial" w:cs="Arial"/>
          <w:sz w:val="22"/>
          <w:szCs w:val="22"/>
        </w:rPr>
      </w:r>
      <w:r>
        <w:rPr>
          <w:rFonts w:ascii="Arial" w:hAnsi="Arial" w:cs="Arial"/>
          <w:sz w:val="22"/>
          <w:szCs w:val="22"/>
        </w:rPr>
        <w:fldChar w:fldCharType="separate"/>
      </w:r>
      <w:r w:rsidRPr="00777A62">
        <w:rPr>
          <w:rFonts w:ascii="Arial" w:hAnsi="Arial" w:cs="Arial"/>
          <w:sz w:val="22"/>
          <w:szCs w:val="22"/>
        </w:rPr>
        <w:t>Table 1</w:t>
      </w:r>
      <w:r>
        <w:rPr>
          <w:rFonts w:ascii="Arial" w:hAnsi="Arial" w:cs="Arial"/>
          <w:sz w:val="22"/>
          <w:szCs w:val="22"/>
        </w:rPr>
        <w:fldChar w:fldCharType="end"/>
      </w:r>
      <w:r>
        <w:rPr>
          <w:rFonts w:ascii="Arial" w:hAnsi="Arial" w:cs="Arial"/>
          <w:sz w:val="22"/>
          <w:szCs w:val="22"/>
        </w:rPr>
        <w:t xml:space="preserve"> describes the products and results indicators.</w:t>
      </w:r>
    </w:p>
    <w:p w:rsidR="00777A62" w:rsidP="00777A62" w:rsidRDefault="00777A62" w14:paraId="50897465" w14:textId="77777777">
      <w:pPr>
        <w:pStyle w:val="Paragraph"/>
        <w:numPr>
          <w:ilvl w:val="0"/>
          <w:numId w:val="0"/>
        </w:numPr>
        <w:ind w:left="630"/>
        <w:rPr>
          <w:rFonts w:ascii="Arial" w:hAnsi="Arial" w:cs="Arial"/>
          <w:sz w:val="22"/>
          <w:szCs w:val="22"/>
        </w:rPr>
      </w:pPr>
    </w:p>
    <w:p w:rsidRPr="00777A62" w:rsidR="003A54EE" w:rsidP="00777A62" w:rsidRDefault="00777A62" w14:paraId="6730234B" w14:textId="70F16FF8">
      <w:pPr>
        <w:pStyle w:val="Caption"/>
        <w:jc w:val="center"/>
        <w:rPr>
          <w:rFonts w:ascii="Arial" w:hAnsi="Arial" w:cs="Arial"/>
          <w:b/>
          <w:i w:val="0"/>
          <w:color w:val="auto"/>
          <w:sz w:val="24"/>
          <w:szCs w:val="22"/>
          <w:highlight w:val="yellow"/>
          <w:lang w:val="en-US"/>
        </w:rPr>
      </w:pPr>
      <w:bookmarkStart w:name="_Ref6141478" w:id="6"/>
      <w:bookmarkStart w:name="_Ref6157761" w:id="7"/>
      <w:r w:rsidRPr="00777A62">
        <w:rPr>
          <w:rFonts w:ascii="Arial" w:hAnsi="Arial" w:cs="Arial"/>
          <w:b/>
          <w:i w:val="0"/>
          <w:color w:val="auto"/>
          <w:sz w:val="20"/>
          <w:lang w:val="en-US"/>
        </w:rPr>
        <w:t xml:space="preserve">Table </w:t>
      </w:r>
      <w:r w:rsidRPr="00777A62">
        <w:rPr>
          <w:rFonts w:ascii="Arial" w:hAnsi="Arial" w:cs="Arial"/>
          <w:b/>
          <w:i w:val="0"/>
          <w:color w:val="auto"/>
          <w:sz w:val="20"/>
          <w:lang w:val="en-US"/>
        </w:rPr>
        <w:fldChar w:fldCharType="begin"/>
      </w:r>
      <w:r w:rsidRPr="00777A62">
        <w:rPr>
          <w:rFonts w:ascii="Arial" w:hAnsi="Arial" w:cs="Arial"/>
          <w:b/>
          <w:i w:val="0"/>
          <w:color w:val="auto"/>
          <w:sz w:val="20"/>
          <w:lang w:val="en-US"/>
        </w:rPr>
        <w:instrText xml:space="preserve"> SEQ Table \* ARABIC </w:instrText>
      </w:r>
      <w:r w:rsidRPr="00777A62">
        <w:rPr>
          <w:rFonts w:ascii="Arial" w:hAnsi="Arial" w:cs="Arial"/>
          <w:b/>
          <w:i w:val="0"/>
          <w:color w:val="auto"/>
          <w:sz w:val="20"/>
          <w:lang w:val="en-US"/>
        </w:rPr>
        <w:fldChar w:fldCharType="separate"/>
      </w:r>
      <w:r w:rsidR="004F466A">
        <w:rPr>
          <w:rFonts w:ascii="Arial" w:hAnsi="Arial" w:cs="Arial"/>
          <w:b/>
          <w:i w:val="0"/>
          <w:noProof/>
          <w:color w:val="auto"/>
          <w:sz w:val="20"/>
          <w:lang w:val="en-US"/>
        </w:rPr>
        <w:t>1</w:t>
      </w:r>
      <w:r w:rsidRPr="00777A62">
        <w:rPr>
          <w:rFonts w:ascii="Arial" w:hAnsi="Arial" w:cs="Arial"/>
          <w:b/>
          <w:i w:val="0"/>
          <w:color w:val="auto"/>
          <w:sz w:val="20"/>
          <w:lang w:val="en-US"/>
        </w:rPr>
        <w:fldChar w:fldCharType="end"/>
      </w:r>
      <w:bookmarkEnd w:id="6"/>
      <w:r w:rsidRPr="00777A62">
        <w:rPr>
          <w:rFonts w:ascii="Arial" w:hAnsi="Arial" w:cs="Arial"/>
          <w:b/>
          <w:i w:val="0"/>
          <w:color w:val="auto"/>
          <w:sz w:val="20"/>
          <w:lang w:val="en-US"/>
        </w:rPr>
        <w:t>. Indicators to be monitored</w:t>
      </w:r>
      <w:bookmarkEnd w:id="7"/>
    </w:p>
    <w:tbl>
      <w:tblPr>
        <w:tblStyle w:val="TableGrid"/>
        <w:tblW w:w="8059" w:type="dxa"/>
        <w:jc w:val="right"/>
        <w:tblLook w:val="04A0" w:firstRow="1" w:lastRow="0" w:firstColumn="1" w:lastColumn="0" w:noHBand="0" w:noVBand="1"/>
      </w:tblPr>
      <w:tblGrid>
        <w:gridCol w:w="1901"/>
        <w:gridCol w:w="2558"/>
        <w:gridCol w:w="1837"/>
        <w:gridCol w:w="1763"/>
      </w:tblGrid>
      <w:tr w:rsidRPr="00F87A9B" w:rsidR="003A54EE" w:rsidTr="00E219DB" w14:paraId="60977121" w14:textId="77777777">
        <w:trPr>
          <w:jc w:val="right"/>
        </w:trPr>
        <w:tc>
          <w:tcPr>
            <w:tcW w:w="1901" w:type="dxa"/>
          </w:tcPr>
          <w:p w:rsidRPr="00F87A9B" w:rsidR="003A54EE" w:rsidP="00E219DB" w:rsidRDefault="00777A62" w14:paraId="3CC6D4AE" w14:textId="6190CEDF">
            <w:pPr>
              <w:pStyle w:val="Default"/>
              <w:jc w:val="center"/>
              <w:rPr>
                <w:rFonts w:ascii="Arial" w:hAnsi="Arial" w:cs="Arial"/>
                <w:b/>
                <w:color w:val="auto"/>
                <w:sz w:val="18"/>
                <w:szCs w:val="18"/>
              </w:rPr>
            </w:pPr>
            <w:bookmarkStart w:name="_Toc352756754" w:id="8"/>
            <w:bookmarkEnd w:id="3"/>
            <w:r w:rsidRPr="00F87A9B">
              <w:rPr>
                <w:rFonts w:ascii="Arial" w:hAnsi="Arial" w:cs="Arial"/>
                <w:b/>
                <w:color w:val="auto"/>
                <w:sz w:val="18"/>
                <w:szCs w:val="18"/>
              </w:rPr>
              <w:t>Indicator</w:t>
            </w:r>
          </w:p>
        </w:tc>
        <w:tc>
          <w:tcPr>
            <w:tcW w:w="2558" w:type="dxa"/>
          </w:tcPr>
          <w:p w:rsidRPr="00F87A9B" w:rsidR="003A54EE" w:rsidP="00E219DB" w:rsidRDefault="00777A62" w14:paraId="32D9E849" w14:textId="0D3BDF9C">
            <w:pPr>
              <w:pStyle w:val="Default"/>
              <w:jc w:val="center"/>
              <w:rPr>
                <w:rFonts w:ascii="Arial" w:hAnsi="Arial" w:cs="Arial"/>
                <w:b/>
                <w:color w:val="auto"/>
                <w:sz w:val="18"/>
                <w:szCs w:val="18"/>
              </w:rPr>
            </w:pPr>
            <w:r w:rsidRPr="00F87A9B">
              <w:rPr>
                <w:rFonts w:ascii="Arial" w:hAnsi="Arial" w:cs="Arial"/>
                <w:b/>
                <w:color w:val="auto"/>
                <w:sz w:val="18"/>
                <w:szCs w:val="18"/>
              </w:rPr>
              <w:t>Description</w:t>
            </w:r>
          </w:p>
        </w:tc>
        <w:tc>
          <w:tcPr>
            <w:tcW w:w="1837" w:type="dxa"/>
          </w:tcPr>
          <w:p w:rsidRPr="00F87A9B" w:rsidR="003A54EE" w:rsidP="00E219DB" w:rsidRDefault="00777A62" w14:paraId="6CB10086" w14:textId="22917149">
            <w:pPr>
              <w:pStyle w:val="Default"/>
              <w:jc w:val="center"/>
              <w:rPr>
                <w:rFonts w:ascii="Arial" w:hAnsi="Arial" w:cs="Arial"/>
                <w:b/>
                <w:color w:val="auto"/>
                <w:sz w:val="18"/>
                <w:szCs w:val="18"/>
              </w:rPr>
            </w:pPr>
            <w:r w:rsidRPr="00F87A9B">
              <w:rPr>
                <w:rFonts w:ascii="Arial" w:hAnsi="Arial" w:cs="Arial"/>
                <w:b/>
                <w:color w:val="auto"/>
                <w:sz w:val="18"/>
                <w:szCs w:val="18"/>
              </w:rPr>
              <w:t>Measurement frequency</w:t>
            </w:r>
          </w:p>
        </w:tc>
        <w:tc>
          <w:tcPr>
            <w:tcW w:w="1763" w:type="dxa"/>
          </w:tcPr>
          <w:p w:rsidRPr="00F87A9B" w:rsidR="003A54EE" w:rsidP="00E219DB" w:rsidRDefault="00777A62" w14:paraId="5D6E03DF" w14:textId="33D20937">
            <w:pPr>
              <w:pStyle w:val="Default"/>
              <w:jc w:val="center"/>
              <w:rPr>
                <w:rFonts w:ascii="Arial" w:hAnsi="Arial" w:cs="Arial"/>
                <w:b/>
                <w:color w:val="auto"/>
                <w:sz w:val="18"/>
                <w:szCs w:val="18"/>
              </w:rPr>
            </w:pPr>
            <w:r w:rsidRPr="00F87A9B">
              <w:rPr>
                <w:rFonts w:ascii="Arial" w:hAnsi="Arial" w:cs="Arial"/>
                <w:b/>
                <w:color w:val="auto"/>
                <w:sz w:val="18"/>
                <w:szCs w:val="18"/>
              </w:rPr>
              <w:t>Source</w:t>
            </w:r>
          </w:p>
        </w:tc>
      </w:tr>
      <w:tr w:rsidRPr="00F87A9B" w:rsidR="003A54EE" w:rsidTr="00E219DB" w14:paraId="0B3F15FD" w14:textId="77777777">
        <w:trPr>
          <w:jc w:val="right"/>
        </w:trPr>
        <w:tc>
          <w:tcPr>
            <w:tcW w:w="8059" w:type="dxa"/>
            <w:gridSpan w:val="4"/>
          </w:tcPr>
          <w:p w:rsidRPr="00F87A9B" w:rsidR="003A54EE" w:rsidP="00E219DB" w:rsidRDefault="00176DE0" w14:paraId="2CDBE724" w14:textId="417D097A">
            <w:pPr>
              <w:pStyle w:val="Default"/>
              <w:jc w:val="center"/>
              <w:rPr>
                <w:rFonts w:ascii="Arial" w:hAnsi="Arial" w:cs="Arial"/>
                <w:b/>
                <w:color w:val="auto"/>
                <w:sz w:val="18"/>
                <w:szCs w:val="18"/>
              </w:rPr>
            </w:pPr>
            <w:r w:rsidRPr="00F87A9B">
              <w:rPr>
                <w:rFonts w:ascii="Arial" w:hAnsi="Arial" w:cs="Arial"/>
                <w:b/>
                <w:color w:val="auto"/>
                <w:sz w:val="18"/>
                <w:szCs w:val="18"/>
              </w:rPr>
              <w:t>Product Indicators</w:t>
            </w:r>
          </w:p>
        </w:tc>
      </w:tr>
      <w:tr w:rsidRPr="00F87A9B" w:rsidR="003A54EE" w:rsidTr="00E219DB" w14:paraId="1816D274" w14:textId="77777777">
        <w:trPr>
          <w:jc w:val="right"/>
        </w:trPr>
        <w:tc>
          <w:tcPr>
            <w:tcW w:w="1901" w:type="dxa"/>
            <w:vAlign w:val="center"/>
          </w:tcPr>
          <w:p w:rsidRPr="00F87A9B" w:rsidR="003A54EE" w:rsidP="00E219DB" w:rsidRDefault="00176DE0" w14:paraId="0E3B5072" w14:textId="68D97EDC">
            <w:pPr>
              <w:pStyle w:val="Default"/>
              <w:rPr>
                <w:rFonts w:ascii="Arial" w:hAnsi="Arial" w:cs="Arial"/>
                <w:color w:val="auto"/>
                <w:sz w:val="18"/>
                <w:szCs w:val="18"/>
              </w:rPr>
            </w:pPr>
            <w:r w:rsidRPr="00F87A9B">
              <w:rPr>
                <w:rFonts w:ascii="Arial" w:hAnsi="Arial" w:cs="Arial"/>
                <w:sz w:val="18"/>
                <w:szCs w:val="18"/>
                <w:lang w:eastAsia="zh-CN"/>
              </w:rPr>
              <w:t>Funds allocated to CEF</w:t>
            </w:r>
          </w:p>
        </w:tc>
        <w:tc>
          <w:tcPr>
            <w:tcW w:w="2558" w:type="dxa"/>
          </w:tcPr>
          <w:p w:rsidRPr="00F87A9B" w:rsidR="003A54EE" w:rsidP="00E219DB" w:rsidRDefault="003A54EE" w14:paraId="1489EE79" w14:textId="32080372">
            <w:pPr>
              <w:spacing w:before="60" w:after="60"/>
              <w:rPr>
                <w:rFonts w:ascii="Arial" w:hAnsi="Arial" w:eastAsia="Arial Unicode MS" w:cs="Arial"/>
                <w:sz w:val="18"/>
                <w:szCs w:val="18"/>
                <w:lang w:val="en-US"/>
              </w:rPr>
            </w:pPr>
            <w:r w:rsidRPr="00F87A9B">
              <w:rPr>
                <w:rFonts w:ascii="Arial" w:hAnsi="Arial" w:eastAsia="Arial Unicode MS" w:cs="Arial"/>
                <w:sz w:val="18"/>
                <w:szCs w:val="18"/>
                <w:lang w:val="en-US"/>
              </w:rPr>
              <w:t xml:space="preserve"> </w:t>
            </w:r>
            <w:r w:rsidRPr="00F87A9B" w:rsidR="001F336F">
              <w:rPr>
                <w:rFonts w:ascii="Arial" w:hAnsi="Arial" w:eastAsia="Arial Unicode MS" w:cs="Arial"/>
                <w:sz w:val="18"/>
                <w:szCs w:val="18"/>
                <w:lang w:val="en-US"/>
              </w:rPr>
              <w:t>This indicator measures the annual allocation of funds to the CEF. The end of project value is the accumulated amount, including the baseline.</w:t>
            </w:r>
          </w:p>
        </w:tc>
        <w:tc>
          <w:tcPr>
            <w:tcW w:w="1837" w:type="dxa"/>
          </w:tcPr>
          <w:p w:rsidRPr="00F87A9B" w:rsidR="003A54EE" w:rsidP="00E219DB" w:rsidRDefault="001F336F" w14:paraId="0A8E4F42" w14:textId="5C87F038">
            <w:pPr>
              <w:pStyle w:val="Default"/>
              <w:jc w:val="center"/>
              <w:rPr>
                <w:rFonts w:ascii="Arial" w:hAnsi="Arial" w:cs="Arial"/>
                <w:color w:val="auto"/>
                <w:sz w:val="18"/>
                <w:szCs w:val="18"/>
              </w:rPr>
            </w:pPr>
            <w:r w:rsidRPr="00F87A9B">
              <w:rPr>
                <w:rFonts w:ascii="Arial" w:hAnsi="Arial" w:cs="Arial"/>
                <w:color w:val="auto"/>
                <w:sz w:val="18"/>
                <w:szCs w:val="18"/>
              </w:rPr>
              <w:t>Semiannual</w:t>
            </w:r>
          </w:p>
        </w:tc>
        <w:tc>
          <w:tcPr>
            <w:tcW w:w="1763" w:type="dxa"/>
          </w:tcPr>
          <w:p w:rsidRPr="00F87A9B" w:rsidR="003A54EE" w:rsidP="00E219DB" w:rsidRDefault="001F336F" w14:paraId="10834C67" w14:textId="3B368B17">
            <w:pPr>
              <w:pStyle w:val="Default"/>
              <w:rPr>
                <w:rFonts w:ascii="Arial" w:hAnsi="Arial" w:cs="Arial"/>
                <w:color w:val="auto"/>
                <w:sz w:val="18"/>
                <w:szCs w:val="18"/>
              </w:rPr>
            </w:pPr>
            <w:r w:rsidRPr="00F87A9B">
              <w:rPr>
                <w:rFonts w:ascii="Arial" w:hAnsi="Arial" w:cs="Arial"/>
                <w:color w:val="auto"/>
                <w:sz w:val="18"/>
                <w:szCs w:val="18"/>
              </w:rPr>
              <w:t>SBDC administrative registries.</w:t>
            </w:r>
          </w:p>
        </w:tc>
      </w:tr>
      <w:tr w:rsidRPr="00F87A9B" w:rsidR="001F336F" w:rsidTr="00E219DB" w14:paraId="13831198" w14:textId="77777777">
        <w:trPr>
          <w:jc w:val="right"/>
        </w:trPr>
        <w:tc>
          <w:tcPr>
            <w:tcW w:w="1901" w:type="dxa"/>
            <w:vAlign w:val="center"/>
          </w:tcPr>
          <w:p w:rsidRPr="00F87A9B" w:rsidR="001F336F" w:rsidP="001F336F" w:rsidRDefault="001F336F" w14:paraId="3E94671C" w14:textId="62354D24">
            <w:pPr>
              <w:pStyle w:val="Default"/>
              <w:rPr>
                <w:rFonts w:ascii="Arial" w:hAnsi="Arial" w:cs="Arial"/>
                <w:sz w:val="18"/>
                <w:szCs w:val="18"/>
              </w:rPr>
            </w:pPr>
            <w:r w:rsidRPr="00F87A9B">
              <w:rPr>
                <w:rFonts w:ascii="Arial" w:hAnsi="Arial" w:cs="Arial"/>
                <w:sz w:val="18"/>
                <w:szCs w:val="18"/>
                <w:lang w:eastAsia="zh-CN"/>
              </w:rPr>
              <w:t>Funds allocated to strengthen the institutional capacity of SBDC.</w:t>
            </w:r>
          </w:p>
        </w:tc>
        <w:tc>
          <w:tcPr>
            <w:tcW w:w="2558" w:type="dxa"/>
          </w:tcPr>
          <w:p w:rsidRPr="00F87A9B" w:rsidR="001F336F" w:rsidP="001F336F" w:rsidRDefault="001F336F" w14:paraId="5E447523" w14:textId="13A81A6D">
            <w:pPr>
              <w:spacing w:before="60" w:after="60"/>
              <w:rPr>
                <w:rFonts w:ascii="Arial" w:hAnsi="Arial" w:cs="Arial"/>
                <w:sz w:val="18"/>
                <w:szCs w:val="18"/>
                <w:lang w:val="en-US"/>
              </w:rPr>
            </w:pPr>
            <w:r w:rsidRPr="00F87A9B">
              <w:rPr>
                <w:rFonts w:ascii="Arial" w:hAnsi="Arial" w:cs="Arial"/>
                <w:sz w:val="18"/>
                <w:szCs w:val="18"/>
                <w:lang w:val="en-US"/>
              </w:rPr>
              <w:t>This indicator measures the amount of funds destined to strengthen the institutional capacity of SBDC. The end of project value is the accumulated amount.</w:t>
            </w:r>
          </w:p>
        </w:tc>
        <w:tc>
          <w:tcPr>
            <w:tcW w:w="1837" w:type="dxa"/>
          </w:tcPr>
          <w:p w:rsidRPr="00F87A9B" w:rsidR="001F336F" w:rsidP="001F336F" w:rsidRDefault="001F336F" w14:paraId="034EA300" w14:textId="1366F13D">
            <w:pPr>
              <w:pStyle w:val="Default"/>
              <w:jc w:val="center"/>
              <w:rPr>
                <w:rFonts w:ascii="Arial" w:hAnsi="Arial" w:cs="Arial"/>
                <w:color w:val="auto"/>
                <w:sz w:val="18"/>
                <w:szCs w:val="18"/>
              </w:rPr>
            </w:pPr>
            <w:r w:rsidRPr="00F87A9B">
              <w:rPr>
                <w:rFonts w:ascii="Arial" w:hAnsi="Arial" w:cs="Arial"/>
                <w:color w:val="auto"/>
                <w:sz w:val="18"/>
                <w:szCs w:val="18"/>
              </w:rPr>
              <w:t>Semiannual</w:t>
            </w:r>
          </w:p>
        </w:tc>
        <w:tc>
          <w:tcPr>
            <w:tcW w:w="1763" w:type="dxa"/>
          </w:tcPr>
          <w:p w:rsidRPr="00F87A9B" w:rsidR="001F336F" w:rsidP="001F336F" w:rsidRDefault="001F336F" w14:paraId="7ACFDDF6" w14:textId="49DF1CF4">
            <w:pPr>
              <w:pStyle w:val="Default"/>
              <w:rPr>
                <w:rFonts w:ascii="Arial" w:hAnsi="Arial" w:cs="Arial"/>
                <w:sz w:val="18"/>
                <w:szCs w:val="18"/>
              </w:rPr>
            </w:pPr>
            <w:r w:rsidRPr="00F87A9B">
              <w:rPr>
                <w:rFonts w:ascii="Arial" w:hAnsi="Arial" w:cs="Arial"/>
                <w:color w:val="auto"/>
                <w:sz w:val="18"/>
                <w:szCs w:val="18"/>
              </w:rPr>
              <w:t>SBDC administrative registries.</w:t>
            </w:r>
          </w:p>
        </w:tc>
      </w:tr>
      <w:tr w:rsidRPr="00F87A9B" w:rsidR="001F336F" w:rsidTr="00E219DB" w14:paraId="4A5F11B9" w14:textId="77777777">
        <w:trPr>
          <w:jc w:val="right"/>
        </w:trPr>
        <w:tc>
          <w:tcPr>
            <w:tcW w:w="1901" w:type="dxa"/>
            <w:vAlign w:val="center"/>
          </w:tcPr>
          <w:p w:rsidRPr="00F87A9B" w:rsidR="001F336F" w:rsidP="001F336F" w:rsidRDefault="001F336F" w14:paraId="2646BBED" w14:textId="57DEF1D9">
            <w:pPr>
              <w:pStyle w:val="Default"/>
              <w:rPr>
                <w:rFonts w:ascii="Arial" w:hAnsi="Arial" w:cs="Arial"/>
                <w:sz w:val="18"/>
                <w:szCs w:val="18"/>
              </w:rPr>
            </w:pPr>
            <w:r w:rsidRPr="00F87A9B">
              <w:rPr>
                <w:rFonts w:ascii="Arial" w:hAnsi="Arial" w:cs="Arial"/>
                <w:sz w:val="18"/>
                <w:szCs w:val="18"/>
                <w:lang w:eastAsia="zh-CN"/>
              </w:rPr>
              <w:t>Number of MSME assisted by SBDC with business advisory services</w:t>
            </w:r>
          </w:p>
        </w:tc>
        <w:tc>
          <w:tcPr>
            <w:tcW w:w="2558" w:type="dxa"/>
          </w:tcPr>
          <w:p w:rsidRPr="001F336F" w:rsidR="001F336F" w:rsidP="001F336F" w:rsidRDefault="001F336F" w14:paraId="3345F9E9" w14:textId="77777777">
            <w:pPr>
              <w:spacing w:before="60" w:after="60"/>
              <w:rPr>
                <w:rFonts w:ascii="Arial" w:hAnsi="Arial" w:cs="Arial"/>
                <w:sz w:val="18"/>
                <w:szCs w:val="18"/>
                <w:lang w:val="en-US"/>
              </w:rPr>
            </w:pPr>
            <w:r w:rsidRPr="001F336F">
              <w:rPr>
                <w:rFonts w:ascii="Arial" w:hAnsi="Arial" w:cs="Arial"/>
                <w:sz w:val="18"/>
                <w:szCs w:val="18"/>
                <w:lang w:val="en-US"/>
              </w:rPr>
              <w:t>This indicator measures the number of MSME that are assisted by SBDC with program’s funds. The assistance can consist of (i) the creation of proper financial records/statements and/or (ii) developing of business and/or financial models.</w:t>
            </w:r>
          </w:p>
          <w:p w:rsidRPr="00F87A9B" w:rsidR="001F336F" w:rsidP="001F336F" w:rsidRDefault="001F336F" w14:paraId="1E911C6A" w14:textId="1B91C352">
            <w:pPr>
              <w:spacing w:before="60" w:after="60"/>
              <w:rPr>
                <w:rFonts w:ascii="Arial" w:hAnsi="Arial" w:cs="Arial"/>
                <w:sz w:val="18"/>
                <w:szCs w:val="18"/>
                <w:lang w:val="en-US"/>
              </w:rPr>
            </w:pPr>
            <w:r w:rsidRPr="001F336F">
              <w:rPr>
                <w:rFonts w:ascii="Arial" w:hAnsi="Arial" w:cs="Arial"/>
                <w:sz w:val="18"/>
                <w:szCs w:val="18"/>
                <w:lang w:val="en-US"/>
              </w:rPr>
              <w:t>The end of project value is the accumulated value of the three years.</w:t>
            </w:r>
          </w:p>
          <w:p w:rsidRPr="001F336F" w:rsidR="001F336F" w:rsidP="001F336F" w:rsidRDefault="001F336F" w14:paraId="41FECF78" w14:textId="5914F609">
            <w:pPr>
              <w:spacing w:before="60" w:after="60"/>
              <w:rPr>
                <w:rFonts w:ascii="Arial" w:hAnsi="Arial" w:cs="Arial"/>
                <w:sz w:val="18"/>
                <w:szCs w:val="18"/>
                <w:lang w:val="en-US"/>
              </w:rPr>
            </w:pPr>
            <w:r w:rsidRPr="00F87A9B">
              <w:rPr>
                <w:rFonts w:ascii="Arial" w:hAnsi="Arial" w:cs="Arial"/>
                <w:sz w:val="18"/>
                <w:szCs w:val="18"/>
                <w:lang w:val="en-US"/>
              </w:rPr>
              <w:t xml:space="preserve">The baseline is zero because this support activities will </w:t>
            </w:r>
            <w:r w:rsidRPr="00F87A9B">
              <w:rPr>
                <w:rFonts w:ascii="Arial" w:hAnsi="Arial" w:cs="Arial"/>
                <w:sz w:val="18"/>
                <w:szCs w:val="18"/>
                <w:lang w:val="en-US"/>
              </w:rPr>
              <w:lastRenderedPageBreak/>
              <w:t>begin with the current program.</w:t>
            </w:r>
          </w:p>
          <w:p w:rsidRPr="00F87A9B" w:rsidR="001F336F" w:rsidP="001F336F" w:rsidRDefault="001F336F" w14:paraId="02A4466C" w14:textId="73D7ADD9">
            <w:pPr>
              <w:spacing w:before="60" w:after="60"/>
              <w:rPr>
                <w:rFonts w:ascii="Arial" w:hAnsi="Arial" w:cs="Arial"/>
                <w:sz w:val="18"/>
                <w:szCs w:val="18"/>
                <w:lang w:val="en-US"/>
              </w:rPr>
            </w:pPr>
          </w:p>
        </w:tc>
        <w:tc>
          <w:tcPr>
            <w:tcW w:w="1837" w:type="dxa"/>
          </w:tcPr>
          <w:p w:rsidRPr="00F87A9B" w:rsidR="001F336F" w:rsidP="001F336F" w:rsidRDefault="001F336F" w14:paraId="732E501C" w14:textId="4FFFA674">
            <w:pPr>
              <w:pStyle w:val="Default"/>
              <w:jc w:val="center"/>
              <w:rPr>
                <w:rFonts w:ascii="Arial" w:hAnsi="Arial" w:cs="Arial"/>
                <w:color w:val="auto"/>
                <w:sz w:val="18"/>
                <w:szCs w:val="18"/>
              </w:rPr>
            </w:pPr>
            <w:r w:rsidRPr="00F87A9B">
              <w:rPr>
                <w:rFonts w:ascii="Arial" w:hAnsi="Arial" w:cs="Arial"/>
                <w:color w:val="auto"/>
                <w:sz w:val="18"/>
                <w:szCs w:val="18"/>
              </w:rPr>
              <w:lastRenderedPageBreak/>
              <w:t>Semiannual</w:t>
            </w:r>
          </w:p>
        </w:tc>
        <w:tc>
          <w:tcPr>
            <w:tcW w:w="1763" w:type="dxa"/>
          </w:tcPr>
          <w:p w:rsidRPr="00F87A9B" w:rsidR="001F336F" w:rsidP="001F336F" w:rsidRDefault="001F336F" w14:paraId="52C428D3" w14:textId="405EC1AB">
            <w:pPr>
              <w:pStyle w:val="Default"/>
              <w:rPr>
                <w:rFonts w:ascii="Arial" w:hAnsi="Arial" w:cs="Arial"/>
                <w:sz w:val="18"/>
                <w:szCs w:val="18"/>
              </w:rPr>
            </w:pPr>
            <w:r w:rsidRPr="00F87A9B">
              <w:rPr>
                <w:rFonts w:ascii="Arial" w:hAnsi="Arial" w:cs="Arial"/>
                <w:color w:val="auto"/>
                <w:sz w:val="18"/>
                <w:szCs w:val="18"/>
              </w:rPr>
              <w:t>SBDC administrative registries.</w:t>
            </w:r>
          </w:p>
        </w:tc>
      </w:tr>
      <w:tr w:rsidRPr="00F87A9B" w:rsidR="003A54EE" w:rsidTr="00E219DB" w14:paraId="450E18A8" w14:textId="77777777">
        <w:trPr>
          <w:trHeight w:val="296"/>
          <w:jc w:val="right"/>
        </w:trPr>
        <w:tc>
          <w:tcPr>
            <w:tcW w:w="8059" w:type="dxa"/>
            <w:gridSpan w:val="4"/>
          </w:tcPr>
          <w:p w:rsidRPr="00F87A9B" w:rsidR="003A54EE" w:rsidP="00E219DB" w:rsidRDefault="001F336F" w14:paraId="3C37D5B3" w14:textId="59A5D339">
            <w:pPr>
              <w:pStyle w:val="Default"/>
              <w:jc w:val="center"/>
              <w:rPr>
                <w:rFonts w:ascii="Arial" w:hAnsi="Arial" w:cs="Arial"/>
                <w:color w:val="auto"/>
                <w:sz w:val="18"/>
                <w:szCs w:val="18"/>
              </w:rPr>
            </w:pPr>
            <w:r w:rsidRPr="00F87A9B">
              <w:rPr>
                <w:rFonts w:ascii="Arial" w:hAnsi="Arial" w:cs="Arial"/>
                <w:b/>
                <w:color w:val="auto"/>
                <w:sz w:val="18"/>
                <w:szCs w:val="18"/>
              </w:rPr>
              <w:t>Results Indicators</w:t>
            </w:r>
          </w:p>
        </w:tc>
      </w:tr>
      <w:tr w:rsidRPr="00F87A9B" w:rsidR="00F87A9B" w:rsidTr="00E219DB" w14:paraId="56E3EE88" w14:textId="77777777">
        <w:trPr>
          <w:trHeight w:val="1160"/>
          <w:jc w:val="right"/>
        </w:trPr>
        <w:tc>
          <w:tcPr>
            <w:tcW w:w="1901" w:type="dxa"/>
            <w:vAlign w:val="center"/>
          </w:tcPr>
          <w:p w:rsidRPr="00F87A9B" w:rsidR="00F87A9B" w:rsidP="00F87A9B" w:rsidRDefault="00F87A9B" w14:paraId="48D4BCB2" w14:textId="05B12951">
            <w:pPr>
              <w:spacing w:before="120" w:after="60"/>
              <w:rPr>
                <w:rFonts w:ascii="Arial" w:hAnsi="Arial" w:eastAsia="Arial Unicode MS" w:cs="Arial"/>
                <w:sz w:val="18"/>
                <w:szCs w:val="18"/>
                <w:lang w:val="en-US"/>
              </w:rPr>
            </w:pPr>
            <w:r w:rsidRPr="00F87A9B">
              <w:rPr>
                <w:rFonts w:ascii="Arial" w:hAnsi="Arial" w:cs="Arial"/>
                <w:sz w:val="18"/>
                <w:szCs w:val="18"/>
                <w:lang w:val="en-US" w:eastAsia="zh-CN"/>
              </w:rPr>
              <w:t>Average percentage growth of revenue of project’s beneficiaries.</w:t>
            </w:r>
          </w:p>
        </w:tc>
        <w:tc>
          <w:tcPr>
            <w:tcW w:w="2558" w:type="dxa"/>
          </w:tcPr>
          <w:p w:rsidRPr="00F87A9B" w:rsidR="00F87A9B" w:rsidP="00F87A9B" w:rsidRDefault="00F87A9B" w14:paraId="2D78D92B" w14:textId="3A497FE2">
            <w:pPr>
              <w:autoSpaceDE w:val="0"/>
              <w:autoSpaceDN w:val="0"/>
              <w:adjustRightInd w:val="0"/>
              <w:rPr>
                <w:rFonts w:ascii="Arial" w:hAnsi="Arial" w:eastAsia="Arial Unicode MS" w:cs="Arial"/>
                <w:sz w:val="18"/>
                <w:szCs w:val="18"/>
                <w:lang w:val="en-US"/>
              </w:rPr>
            </w:pPr>
            <w:r w:rsidRPr="00F87A9B">
              <w:rPr>
                <w:rFonts w:ascii="Arial" w:hAnsi="Arial" w:eastAsia="Arial Unicode MS" w:cs="Arial"/>
                <w:sz w:val="18"/>
                <w:szCs w:val="18"/>
                <w:lang w:val="en-US"/>
              </w:rPr>
              <w:t>This indicator is measured as the difference between the average growth rate of revenue of project beneficiaries minus the average growth of revenue of firm that registered with SBDC but did not receive credit.</w:t>
            </w:r>
          </w:p>
        </w:tc>
        <w:tc>
          <w:tcPr>
            <w:tcW w:w="1837" w:type="dxa"/>
          </w:tcPr>
          <w:p w:rsidRPr="00F87A9B" w:rsidR="00F87A9B" w:rsidP="00F87A9B" w:rsidRDefault="00F87A9B" w14:paraId="1030178C" w14:textId="43055C60">
            <w:pPr>
              <w:pStyle w:val="Default"/>
              <w:jc w:val="center"/>
              <w:rPr>
                <w:rFonts w:ascii="Arial" w:hAnsi="Arial" w:eastAsia="Arial Unicode MS" w:cs="Arial"/>
                <w:color w:val="auto"/>
                <w:sz w:val="18"/>
                <w:szCs w:val="18"/>
              </w:rPr>
            </w:pPr>
            <w:r w:rsidRPr="00F87A9B">
              <w:rPr>
                <w:rFonts w:ascii="Arial" w:hAnsi="Arial" w:cs="Arial"/>
                <w:color w:val="auto"/>
                <w:sz w:val="18"/>
                <w:szCs w:val="18"/>
              </w:rPr>
              <w:t>Semiannual</w:t>
            </w:r>
          </w:p>
        </w:tc>
        <w:tc>
          <w:tcPr>
            <w:tcW w:w="1763" w:type="dxa"/>
          </w:tcPr>
          <w:p w:rsidRPr="00F87A9B" w:rsidR="00F87A9B" w:rsidP="00F87A9B" w:rsidRDefault="00F87A9B" w14:paraId="20040FEE" w14:textId="2201E3C6">
            <w:pPr>
              <w:pStyle w:val="Default"/>
              <w:rPr>
                <w:rFonts w:ascii="Arial" w:hAnsi="Arial" w:eastAsia="Arial Unicode MS" w:cs="Arial"/>
                <w:color w:val="auto"/>
                <w:sz w:val="18"/>
                <w:szCs w:val="18"/>
              </w:rPr>
            </w:pPr>
            <w:r w:rsidRPr="00F87A9B">
              <w:rPr>
                <w:rFonts w:ascii="Arial" w:hAnsi="Arial" w:cs="Arial"/>
                <w:color w:val="auto"/>
                <w:sz w:val="18"/>
                <w:szCs w:val="18"/>
              </w:rPr>
              <w:t>SBDC information system.</w:t>
            </w:r>
          </w:p>
        </w:tc>
      </w:tr>
      <w:tr w:rsidRPr="00F87A9B" w:rsidR="00F87A9B" w:rsidTr="00E219DB" w14:paraId="27C8DC27" w14:textId="77777777">
        <w:trPr>
          <w:trHeight w:val="1160"/>
          <w:jc w:val="right"/>
        </w:trPr>
        <w:tc>
          <w:tcPr>
            <w:tcW w:w="1901" w:type="dxa"/>
            <w:vAlign w:val="center"/>
          </w:tcPr>
          <w:p w:rsidRPr="00F87A9B" w:rsidR="00F87A9B" w:rsidP="00F87A9B" w:rsidRDefault="00F87A9B" w14:paraId="0142C5C8" w14:textId="4323C65E">
            <w:pPr>
              <w:rPr>
                <w:rFonts w:ascii="Arial" w:hAnsi="Arial" w:eastAsia="Arial Unicode MS" w:cs="Arial"/>
                <w:sz w:val="18"/>
                <w:szCs w:val="18"/>
                <w:lang w:val="en-US"/>
              </w:rPr>
            </w:pPr>
            <w:r w:rsidRPr="00F87A9B">
              <w:rPr>
                <w:rFonts w:ascii="Arial" w:hAnsi="Arial" w:cs="Arial"/>
                <w:sz w:val="18"/>
                <w:szCs w:val="18"/>
                <w:lang w:val="en-US" w:eastAsia="zh-CN"/>
              </w:rPr>
              <w:t>Credit success rate of MSME assisted by SBDC.</w:t>
            </w:r>
          </w:p>
        </w:tc>
        <w:tc>
          <w:tcPr>
            <w:tcW w:w="2558" w:type="dxa"/>
          </w:tcPr>
          <w:p w:rsidRPr="00F87A9B" w:rsidR="00F87A9B" w:rsidP="00F87A9B" w:rsidRDefault="00F87A9B" w14:paraId="01166566" w14:textId="13F60DE8">
            <w:pPr>
              <w:autoSpaceDE w:val="0"/>
              <w:autoSpaceDN w:val="0"/>
              <w:adjustRightInd w:val="0"/>
              <w:rPr>
                <w:rFonts w:ascii="Arial" w:hAnsi="Arial" w:eastAsia="Arial Unicode MS" w:cs="Arial"/>
                <w:sz w:val="18"/>
                <w:szCs w:val="18"/>
                <w:lang w:val="en-US"/>
              </w:rPr>
            </w:pPr>
            <w:r w:rsidRPr="00F87A9B">
              <w:rPr>
                <w:rFonts w:ascii="Arial" w:hAnsi="Arial" w:eastAsia="Arial Unicode MS" w:cs="Arial"/>
                <w:sz w:val="18"/>
                <w:szCs w:val="18"/>
                <w:lang w:val="en-US"/>
              </w:rPr>
              <w:t>This indicator is measured as the percentage of SBDC-assisted firms that received credit by Financial Intermediaries (banks), supported by the guarantee from the Credit Enhancement Facility.</w:t>
            </w:r>
          </w:p>
          <w:p w:rsidRPr="00F87A9B" w:rsidR="00F87A9B" w:rsidP="00F87A9B" w:rsidRDefault="00F87A9B" w14:paraId="3C2C09BF" w14:textId="533C97F4">
            <w:pPr>
              <w:autoSpaceDE w:val="0"/>
              <w:autoSpaceDN w:val="0"/>
              <w:adjustRightInd w:val="0"/>
              <w:rPr>
                <w:rFonts w:ascii="Arial" w:hAnsi="Arial" w:eastAsia="Arial Unicode MS" w:cs="Arial"/>
                <w:sz w:val="18"/>
                <w:szCs w:val="18"/>
                <w:lang w:val="en-US"/>
              </w:rPr>
            </w:pPr>
            <w:r w:rsidRPr="00F87A9B">
              <w:rPr>
                <w:rFonts w:ascii="Arial" w:hAnsi="Arial" w:eastAsia="Arial Unicode MS" w:cs="Arial"/>
                <w:sz w:val="18"/>
                <w:szCs w:val="18"/>
                <w:lang w:val="en-US"/>
              </w:rPr>
              <w:t>The baseline is zero because at the time of preparation the CEF is not issuing guarantees.</w:t>
            </w:r>
          </w:p>
        </w:tc>
        <w:tc>
          <w:tcPr>
            <w:tcW w:w="1837" w:type="dxa"/>
          </w:tcPr>
          <w:p w:rsidRPr="00F87A9B" w:rsidR="00F87A9B" w:rsidP="00F87A9B" w:rsidRDefault="00F87A9B" w14:paraId="007EC127" w14:textId="06F3A1BA">
            <w:pPr>
              <w:pStyle w:val="Default"/>
              <w:jc w:val="center"/>
              <w:rPr>
                <w:rFonts w:ascii="Arial" w:hAnsi="Arial" w:cs="Arial"/>
                <w:color w:val="auto"/>
                <w:sz w:val="18"/>
                <w:szCs w:val="18"/>
              </w:rPr>
            </w:pPr>
            <w:r w:rsidRPr="00F87A9B">
              <w:rPr>
                <w:rFonts w:ascii="Arial" w:hAnsi="Arial" w:cs="Arial"/>
                <w:color w:val="auto"/>
                <w:sz w:val="18"/>
                <w:szCs w:val="18"/>
              </w:rPr>
              <w:t>Semiannual</w:t>
            </w:r>
          </w:p>
        </w:tc>
        <w:tc>
          <w:tcPr>
            <w:tcW w:w="1763" w:type="dxa"/>
          </w:tcPr>
          <w:p w:rsidRPr="00F87A9B" w:rsidR="00F87A9B" w:rsidP="00F87A9B" w:rsidRDefault="00F87A9B" w14:paraId="19C4A3B3" w14:textId="48F5DBD9">
            <w:pPr>
              <w:pStyle w:val="Default"/>
              <w:rPr>
                <w:rFonts w:ascii="Arial" w:hAnsi="Arial" w:cs="Arial"/>
                <w:color w:val="auto"/>
                <w:sz w:val="18"/>
                <w:szCs w:val="18"/>
              </w:rPr>
            </w:pPr>
            <w:r w:rsidRPr="00F87A9B">
              <w:rPr>
                <w:rFonts w:ascii="Arial" w:hAnsi="Arial" w:cs="Arial"/>
                <w:color w:val="auto"/>
                <w:sz w:val="18"/>
                <w:szCs w:val="18"/>
              </w:rPr>
              <w:t>SBDC information system.</w:t>
            </w:r>
          </w:p>
        </w:tc>
      </w:tr>
      <w:tr w:rsidRPr="00F87A9B" w:rsidR="00F87A9B" w:rsidTr="00E219DB" w14:paraId="19BAF45D" w14:textId="77777777">
        <w:trPr>
          <w:trHeight w:val="1880"/>
          <w:jc w:val="right"/>
        </w:trPr>
        <w:tc>
          <w:tcPr>
            <w:tcW w:w="1901" w:type="dxa"/>
            <w:vAlign w:val="center"/>
          </w:tcPr>
          <w:p w:rsidRPr="00F87A9B" w:rsidR="00F87A9B" w:rsidP="00F87A9B" w:rsidRDefault="00F87A9B" w14:paraId="5FB28624" w14:textId="40063094">
            <w:pPr>
              <w:rPr>
                <w:rFonts w:ascii="Arial" w:hAnsi="Arial" w:eastAsia="Arial Unicode MS" w:cs="Arial"/>
                <w:sz w:val="18"/>
                <w:szCs w:val="18"/>
                <w:lang w:val="en-US"/>
              </w:rPr>
            </w:pPr>
            <w:r w:rsidRPr="00F87A9B">
              <w:rPr>
                <w:rFonts w:ascii="Arial" w:hAnsi="Arial" w:cs="Arial"/>
                <w:sz w:val="18"/>
                <w:szCs w:val="18"/>
                <w:lang w:val="en-US" w:eastAsia="zh-CN"/>
              </w:rPr>
              <w:t xml:space="preserve">Annual financing issued to MSME by </w:t>
            </w:r>
            <w:r w:rsidR="003B58E8">
              <w:rPr>
                <w:rFonts w:ascii="Arial" w:hAnsi="Arial" w:cs="Arial"/>
                <w:sz w:val="18"/>
                <w:szCs w:val="18"/>
                <w:lang w:val="en-US" w:eastAsia="zh-CN"/>
              </w:rPr>
              <w:t>b</w:t>
            </w:r>
            <w:r w:rsidRPr="00F87A9B">
              <w:rPr>
                <w:rFonts w:ascii="Arial" w:hAnsi="Arial" w:cs="Arial"/>
                <w:sz w:val="18"/>
                <w:szCs w:val="18"/>
                <w:lang w:val="en-US" w:eastAsia="zh-CN"/>
              </w:rPr>
              <w:t>anks.</w:t>
            </w:r>
          </w:p>
        </w:tc>
        <w:tc>
          <w:tcPr>
            <w:tcW w:w="2558" w:type="dxa"/>
          </w:tcPr>
          <w:p w:rsidRPr="00F87A9B" w:rsidR="00F87A9B" w:rsidP="00F87A9B" w:rsidRDefault="00F87A9B" w14:paraId="5ED0FD96" w14:textId="4882714F">
            <w:pPr>
              <w:rPr>
                <w:rFonts w:ascii="Arial" w:hAnsi="Arial" w:eastAsia="Arial Unicode MS" w:cs="Arial"/>
                <w:sz w:val="18"/>
                <w:szCs w:val="18"/>
                <w:lang w:val="en-US"/>
              </w:rPr>
            </w:pPr>
            <w:r w:rsidRPr="00F87A9B">
              <w:rPr>
                <w:rFonts w:ascii="Arial" w:hAnsi="Arial" w:cs="Arial"/>
                <w:sz w:val="18"/>
                <w:szCs w:val="18"/>
                <w:lang w:val="en-US" w:eastAsia="zh-CN"/>
              </w:rPr>
              <w:t>This indicator measures the annual disbursement of credit to MSME by banks in The Bahamas. Baseline is equivalent to disbursements issued in 2018. Average program’s annual disbursements are added to the baseline to calculate the target value.</w:t>
            </w:r>
          </w:p>
        </w:tc>
        <w:tc>
          <w:tcPr>
            <w:tcW w:w="1837" w:type="dxa"/>
          </w:tcPr>
          <w:p w:rsidRPr="00F87A9B" w:rsidR="00F87A9B" w:rsidP="00F87A9B" w:rsidRDefault="00F87A9B" w14:paraId="129D583C" w14:textId="40768258">
            <w:pPr>
              <w:pStyle w:val="Default"/>
              <w:jc w:val="center"/>
              <w:rPr>
                <w:rFonts w:ascii="Arial" w:hAnsi="Arial" w:cs="Arial"/>
                <w:color w:val="auto"/>
                <w:sz w:val="18"/>
                <w:szCs w:val="18"/>
              </w:rPr>
            </w:pPr>
            <w:r w:rsidRPr="00F87A9B">
              <w:rPr>
                <w:rFonts w:ascii="Arial" w:hAnsi="Arial" w:cs="Arial"/>
                <w:color w:val="auto"/>
                <w:sz w:val="18"/>
                <w:szCs w:val="18"/>
              </w:rPr>
              <w:t>Semiannual</w:t>
            </w:r>
          </w:p>
        </w:tc>
        <w:tc>
          <w:tcPr>
            <w:tcW w:w="1763" w:type="dxa"/>
          </w:tcPr>
          <w:p w:rsidRPr="00F87A9B" w:rsidR="00F87A9B" w:rsidP="00F87A9B" w:rsidRDefault="00F87A9B" w14:paraId="394EA920" w14:textId="21C70DFF">
            <w:pPr>
              <w:pStyle w:val="Default"/>
              <w:rPr>
                <w:rFonts w:ascii="Arial" w:hAnsi="Arial" w:eastAsia="Arial Unicode MS" w:cs="Arial"/>
                <w:color w:val="auto"/>
                <w:sz w:val="18"/>
                <w:szCs w:val="18"/>
              </w:rPr>
            </w:pPr>
            <w:r w:rsidRPr="00F87A9B">
              <w:rPr>
                <w:rFonts w:ascii="Arial" w:hAnsi="Arial" w:cs="Arial"/>
                <w:color w:val="auto"/>
                <w:sz w:val="18"/>
                <w:szCs w:val="18"/>
              </w:rPr>
              <w:t>SBDC information system.</w:t>
            </w:r>
          </w:p>
        </w:tc>
      </w:tr>
    </w:tbl>
    <w:p w:rsidR="00D06E56" w:rsidP="00F87A9B" w:rsidRDefault="00D06E56" w14:paraId="249889BC" w14:textId="514B2BE7">
      <w:pPr>
        <w:pStyle w:val="Caption"/>
        <w:rPr>
          <w:rFonts w:ascii="Arial" w:hAnsi="Arial" w:cs="Arial"/>
          <w:color w:val="auto"/>
          <w:sz w:val="22"/>
          <w:szCs w:val="22"/>
          <w:lang w:val="en-US"/>
        </w:rPr>
      </w:pPr>
    </w:p>
    <w:p w:rsidR="00D06E56" w:rsidP="00F87A9B" w:rsidRDefault="00D06E56" w14:paraId="193EEE0D" w14:textId="77777777">
      <w:pPr>
        <w:pStyle w:val="Caption"/>
        <w:rPr>
          <w:rFonts w:ascii="Arial" w:hAnsi="Arial" w:cs="Arial"/>
          <w:color w:val="auto"/>
          <w:sz w:val="22"/>
          <w:szCs w:val="22"/>
          <w:lang w:val="en-US"/>
        </w:rPr>
      </w:pPr>
    </w:p>
    <w:p w:rsidR="00D06E56" w:rsidP="00F87A9B" w:rsidRDefault="00D06E56" w14:paraId="783A8A66" w14:textId="77777777">
      <w:pPr>
        <w:pStyle w:val="Caption"/>
        <w:rPr>
          <w:rFonts w:ascii="Arial" w:hAnsi="Arial" w:cs="Arial"/>
          <w:color w:val="auto"/>
          <w:sz w:val="22"/>
          <w:szCs w:val="22"/>
          <w:lang w:val="en-US"/>
        </w:rPr>
      </w:pPr>
    </w:p>
    <w:p w:rsidR="00D06E56" w:rsidP="00F87A9B" w:rsidRDefault="00D06E56" w14:paraId="3C5345FB" w14:textId="77777777">
      <w:pPr>
        <w:pStyle w:val="Caption"/>
        <w:rPr>
          <w:rFonts w:ascii="Arial" w:hAnsi="Arial" w:cs="Arial"/>
          <w:color w:val="auto"/>
          <w:sz w:val="22"/>
          <w:szCs w:val="22"/>
          <w:lang w:val="en-US"/>
        </w:rPr>
      </w:pPr>
    </w:p>
    <w:p w:rsidR="00D06E56" w:rsidP="00F87A9B" w:rsidRDefault="00D06E56" w14:paraId="4BF1E4C4" w14:textId="77777777">
      <w:pPr>
        <w:pStyle w:val="Caption"/>
        <w:rPr>
          <w:rFonts w:ascii="Arial" w:hAnsi="Arial" w:cs="Arial"/>
          <w:color w:val="auto"/>
          <w:sz w:val="22"/>
          <w:szCs w:val="22"/>
          <w:lang w:val="en-US"/>
        </w:rPr>
      </w:pPr>
    </w:p>
    <w:p w:rsidR="00D06E56" w:rsidP="00F87A9B" w:rsidRDefault="00D06E56" w14:paraId="1082AC04" w14:textId="77777777">
      <w:pPr>
        <w:pStyle w:val="Caption"/>
        <w:rPr>
          <w:rFonts w:ascii="Arial" w:hAnsi="Arial" w:cs="Arial"/>
          <w:color w:val="auto"/>
          <w:sz w:val="22"/>
          <w:szCs w:val="22"/>
          <w:lang w:val="en-US"/>
        </w:rPr>
      </w:pPr>
    </w:p>
    <w:p w:rsidR="00D06E56" w:rsidP="00F87A9B" w:rsidRDefault="00D06E56" w14:paraId="2C945C1E" w14:textId="77777777">
      <w:pPr>
        <w:pStyle w:val="Caption"/>
        <w:rPr>
          <w:rFonts w:ascii="Arial" w:hAnsi="Arial" w:cs="Arial"/>
          <w:color w:val="auto"/>
          <w:sz w:val="22"/>
          <w:szCs w:val="22"/>
          <w:lang w:val="en-US"/>
        </w:rPr>
      </w:pPr>
    </w:p>
    <w:p w:rsidR="00D06E56" w:rsidP="00F87A9B" w:rsidRDefault="00D06E56" w14:paraId="2C119275" w14:textId="2199ADEF">
      <w:pPr>
        <w:pStyle w:val="Caption"/>
        <w:rPr>
          <w:rFonts w:ascii="Arial" w:hAnsi="Arial" w:cs="Arial"/>
          <w:color w:val="auto"/>
          <w:sz w:val="22"/>
          <w:szCs w:val="22"/>
          <w:lang w:val="en-US"/>
        </w:rPr>
      </w:pPr>
    </w:p>
    <w:p w:rsidR="00D54F7F" w:rsidP="00D54F7F" w:rsidRDefault="00D54F7F" w14:paraId="1FB26159" w14:textId="194D5DAA">
      <w:pPr>
        <w:rPr>
          <w:lang w:val="en-US"/>
        </w:rPr>
      </w:pPr>
    </w:p>
    <w:p w:rsidR="00D54F7F" w:rsidP="00D54F7F" w:rsidRDefault="00D54F7F" w14:paraId="480EFD6D" w14:textId="021D210F">
      <w:pPr>
        <w:rPr>
          <w:lang w:val="en-US"/>
        </w:rPr>
      </w:pPr>
    </w:p>
    <w:p w:rsidR="00D54F7F" w:rsidP="00D54F7F" w:rsidRDefault="00D54F7F" w14:paraId="3289E37D" w14:textId="76CDD724">
      <w:pPr>
        <w:rPr>
          <w:lang w:val="en-US"/>
        </w:rPr>
      </w:pPr>
    </w:p>
    <w:p w:rsidR="001F794C" w:rsidP="00D54F7F" w:rsidRDefault="001F794C" w14:paraId="51C385E6" w14:textId="1A774FFF">
      <w:pPr>
        <w:rPr>
          <w:lang w:val="en-US"/>
        </w:rPr>
      </w:pPr>
    </w:p>
    <w:p w:rsidRPr="00D54F7F" w:rsidR="001F794C" w:rsidP="00D54F7F" w:rsidRDefault="001F794C" w14:paraId="6E44BA8F" w14:textId="77777777">
      <w:pPr>
        <w:rPr>
          <w:lang w:val="en-US"/>
        </w:rPr>
      </w:pPr>
    </w:p>
    <w:p w:rsidR="00D06E56" w:rsidP="00F87A9B" w:rsidRDefault="00D06E56" w14:paraId="78453DA3" w14:textId="77777777">
      <w:pPr>
        <w:pStyle w:val="Caption"/>
        <w:rPr>
          <w:rFonts w:ascii="Arial" w:hAnsi="Arial" w:cs="Arial"/>
          <w:color w:val="auto"/>
          <w:sz w:val="22"/>
          <w:szCs w:val="22"/>
          <w:lang w:val="en-US"/>
        </w:rPr>
      </w:pPr>
    </w:p>
    <w:p w:rsidRPr="00AC7BC8" w:rsidR="003A54EE" w:rsidP="00D06E56" w:rsidRDefault="00F87A9B" w14:paraId="3E20142A" w14:textId="04C186C8">
      <w:pPr>
        <w:pStyle w:val="Caption"/>
        <w:jc w:val="center"/>
        <w:rPr>
          <w:rFonts w:ascii="Arial" w:hAnsi="Arial" w:cs="Arial"/>
          <w:b/>
          <w:i w:val="0"/>
          <w:color w:val="auto"/>
          <w:sz w:val="22"/>
          <w:szCs w:val="22"/>
          <w:lang w:val="en-US"/>
        </w:rPr>
      </w:pPr>
      <w:r w:rsidRPr="00AC7BC8">
        <w:rPr>
          <w:rFonts w:ascii="Arial" w:hAnsi="Arial" w:cs="Arial"/>
          <w:b/>
          <w:i w:val="0"/>
          <w:color w:val="auto"/>
          <w:lang w:val="en-US"/>
        </w:rPr>
        <w:lastRenderedPageBreak/>
        <w:t xml:space="preserve">Table </w:t>
      </w:r>
      <w:r w:rsidRPr="00AC7BC8">
        <w:rPr>
          <w:rFonts w:ascii="Arial" w:hAnsi="Arial" w:cs="Arial"/>
          <w:b/>
          <w:i w:val="0"/>
          <w:color w:val="auto"/>
          <w:lang w:val="en-US"/>
        </w:rPr>
        <w:fldChar w:fldCharType="begin"/>
      </w:r>
      <w:r w:rsidRPr="00AC7BC8">
        <w:rPr>
          <w:rFonts w:ascii="Arial" w:hAnsi="Arial" w:cs="Arial"/>
          <w:b/>
          <w:i w:val="0"/>
          <w:color w:val="auto"/>
          <w:lang w:val="en-US"/>
        </w:rPr>
        <w:instrText xml:space="preserve"> SEQ Table \* ARABIC </w:instrText>
      </w:r>
      <w:r w:rsidRPr="00AC7BC8">
        <w:rPr>
          <w:rFonts w:ascii="Arial" w:hAnsi="Arial" w:cs="Arial"/>
          <w:b/>
          <w:i w:val="0"/>
          <w:color w:val="auto"/>
          <w:lang w:val="en-US"/>
        </w:rPr>
        <w:fldChar w:fldCharType="separate"/>
      </w:r>
      <w:r w:rsidR="004F466A">
        <w:rPr>
          <w:rFonts w:ascii="Arial" w:hAnsi="Arial" w:cs="Arial"/>
          <w:b/>
          <w:i w:val="0"/>
          <w:noProof/>
          <w:color w:val="auto"/>
          <w:lang w:val="en-US"/>
        </w:rPr>
        <w:t>2</w:t>
      </w:r>
      <w:r w:rsidRPr="00AC7BC8">
        <w:rPr>
          <w:rFonts w:ascii="Arial" w:hAnsi="Arial" w:cs="Arial"/>
          <w:b/>
          <w:i w:val="0"/>
          <w:color w:val="auto"/>
          <w:lang w:val="en-US"/>
        </w:rPr>
        <w:fldChar w:fldCharType="end"/>
      </w:r>
      <w:r w:rsidRPr="00AC7BC8">
        <w:rPr>
          <w:rFonts w:ascii="Arial" w:hAnsi="Arial" w:cs="Arial"/>
          <w:b/>
          <w:i w:val="0"/>
          <w:color w:val="auto"/>
          <w:lang w:val="en-US"/>
        </w:rPr>
        <w:t>. Products annual cost</w:t>
      </w:r>
    </w:p>
    <w:p w:rsidRPr="003A54EE" w:rsidR="003A54EE" w:rsidP="003A54EE" w:rsidRDefault="00AC7BC8" w14:paraId="6FB25D08" w14:textId="02C71EA1">
      <w:pPr>
        <w:pStyle w:val="SecHeading"/>
        <w:numPr>
          <w:ilvl w:val="0"/>
          <w:numId w:val="0"/>
        </w:numPr>
        <w:jc w:val="center"/>
        <w:rPr>
          <w:rFonts w:ascii="Arial" w:hAnsi="Arial" w:cs="Arial"/>
          <w:color w:val="auto"/>
          <w:sz w:val="22"/>
          <w:szCs w:val="22"/>
          <w:lang w:val="en-US"/>
        </w:rPr>
      </w:pPr>
      <w:bookmarkStart w:name="_Toc6175926" w:id="9"/>
      <w:r w:rsidRPr="00AC7BC8">
        <w:rPr>
          <w:noProof/>
        </w:rPr>
        <w:drawing>
          <wp:inline distT="0" distB="0" distL="0" distR="0" wp14:anchorId="49593CC0" wp14:editId="4027BE84">
            <wp:extent cx="3032173" cy="35106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3166" cy="3511793"/>
                    </a:xfrm>
                    <a:prstGeom prst="rect">
                      <a:avLst/>
                    </a:prstGeom>
                    <a:noFill/>
                    <a:ln>
                      <a:noFill/>
                    </a:ln>
                  </pic:spPr>
                </pic:pic>
              </a:graphicData>
            </a:graphic>
          </wp:inline>
        </w:drawing>
      </w:r>
      <w:bookmarkEnd w:id="9"/>
    </w:p>
    <w:p w:rsidRPr="003A54EE" w:rsidR="003A54EE" w:rsidP="003A54EE" w:rsidRDefault="00E219DB" w14:paraId="28A7EA94" w14:textId="061A9FC7">
      <w:pPr>
        <w:pStyle w:val="SecHeading"/>
        <w:tabs>
          <w:tab w:val="clear" w:pos="5400"/>
          <w:tab w:val="num" w:pos="1260"/>
        </w:tabs>
        <w:ind w:hanging="4680"/>
        <w:rPr>
          <w:rFonts w:ascii="Arial" w:hAnsi="Arial" w:cs="Arial"/>
          <w:color w:val="auto"/>
          <w:sz w:val="22"/>
          <w:szCs w:val="22"/>
          <w:lang w:val="en-US"/>
        </w:rPr>
      </w:pPr>
      <w:bookmarkStart w:name="_Toc6175927" w:id="10"/>
      <w:bookmarkEnd w:id="8"/>
      <w:r>
        <w:rPr>
          <w:rFonts w:ascii="Arial" w:hAnsi="Arial" w:cs="Arial"/>
          <w:color w:val="auto"/>
          <w:sz w:val="22"/>
          <w:szCs w:val="22"/>
          <w:lang w:val="en-US"/>
        </w:rPr>
        <w:t>Information gathering and instruments</w:t>
      </w:r>
      <w:bookmarkEnd w:id="10"/>
    </w:p>
    <w:p w:rsidRPr="00E219DB" w:rsidR="00E219DB" w:rsidP="003A54EE" w:rsidRDefault="00E219DB" w14:paraId="29CCE652" w14:textId="74EE5F7A">
      <w:pPr>
        <w:pStyle w:val="Paragraph"/>
        <w:tabs>
          <w:tab w:val="clear" w:pos="2736"/>
        </w:tabs>
        <w:ind w:left="720" w:hanging="720"/>
        <w:rPr>
          <w:rFonts w:ascii="Arial" w:hAnsi="Arial" w:cs="Arial"/>
          <w:sz w:val="22"/>
          <w:szCs w:val="22"/>
        </w:rPr>
      </w:pPr>
      <w:r>
        <w:rPr>
          <w:rFonts w:ascii="Arial" w:hAnsi="Arial" w:cs="Arial"/>
          <w:b/>
          <w:sz w:val="22"/>
          <w:szCs w:val="22"/>
        </w:rPr>
        <w:t>Information system</w:t>
      </w:r>
      <w:r w:rsidRPr="003A54EE" w:rsidR="003A54EE">
        <w:rPr>
          <w:rFonts w:ascii="Arial" w:hAnsi="Arial" w:cs="Arial"/>
          <w:b/>
          <w:sz w:val="22"/>
          <w:szCs w:val="22"/>
        </w:rPr>
        <w:t xml:space="preserve">. </w:t>
      </w:r>
      <w:r>
        <w:rPr>
          <w:rFonts w:ascii="Arial" w:hAnsi="Arial" w:cs="Arial"/>
          <w:sz w:val="22"/>
          <w:szCs w:val="22"/>
        </w:rPr>
        <w:t>SBDC maintains an information system with business data of their registered clients</w:t>
      </w:r>
      <w:r w:rsidR="003B58E8">
        <w:rPr>
          <w:rFonts w:ascii="Arial" w:hAnsi="Arial" w:cs="Arial"/>
          <w:sz w:val="22"/>
          <w:szCs w:val="22"/>
        </w:rPr>
        <w:t xml:space="preserve"> (“Growth Wheel”)</w:t>
      </w:r>
      <w:r>
        <w:rPr>
          <w:rFonts w:ascii="Arial" w:hAnsi="Arial" w:cs="Arial"/>
          <w:sz w:val="22"/>
          <w:szCs w:val="22"/>
        </w:rPr>
        <w:t>. This system will be expanded to include information regarding the CEF-backed loans that are granted by private banks to MSME registered at SBDC. The resulting database will contain information on revenue, profits, employment, interests, tenor, loan amounts that will be employed for the program’s monitoring and evaluation.</w:t>
      </w:r>
    </w:p>
    <w:p w:rsidRPr="00A436ED" w:rsidR="003C7FE9" w:rsidP="00A436ED" w:rsidRDefault="00E219DB" w14:paraId="32D0FE8B" w14:textId="4557F85B">
      <w:pPr>
        <w:pStyle w:val="Paragraph"/>
        <w:tabs>
          <w:tab w:val="clear" w:pos="2736"/>
        </w:tabs>
        <w:ind w:left="720" w:hanging="720"/>
        <w:rPr>
          <w:rFonts w:ascii="Arial" w:hAnsi="Arial" w:cs="Arial"/>
          <w:sz w:val="22"/>
          <w:szCs w:val="22"/>
        </w:rPr>
      </w:pPr>
      <w:r>
        <w:rPr>
          <w:rFonts w:ascii="Arial" w:hAnsi="Arial" w:cs="Arial"/>
          <w:b/>
          <w:sz w:val="22"/>
          <w:szCs w:val="22"/>
        </w:rPr>
        <w:t>Users</w:t>
      </w:r>
      <w:r w:rsidRPr="003A54EE" w:rsidR="003A54EE">
        <w:rPr>
          <w:rFonts w:ascii="Arial" w:hAnsi="Arial" w:cs="Arial"/>
          <w:b/>
          <w:sz w:val="22"/>
          <w:szCs w:val="22"/>
        </w:rPr>
        <w:t xml:space="preserve">. </w:t>
      </w:r>
      <w:r>
        <w:rPr>
          <w:rFonts w:ascii="Arial" w:hAnsi="Arial" w:cs="Arial"/>
          <w:sz w:val="22"/>
          <w:szCs w:val="22"/>
        </w:rPr>
        <w:t xml:space="preserve">The semiannual report users will include the Inter-American Development Bank (IDB), the SBDC and the audit firms. </w:t>
      </w:r>
    </w:p>
    <w:p w:rsidR="003A54EE" w:rsidP="003A54EE" w:rsidRDefault="00E219DB" w14:paraId="64042297" w14:textId="0BFA27FB">
      <w:pPr>
        <w:pStyle w:val="SecHeading"/>
        <w:tabs>
          <w:tab w:val="clear" w:pos="5400"/>
          <w:tab w:val="num" w:pos="1260"/>
        </w:tabs>
        <w:ind w:hanging="4680"/>
        <w:rPr>
          <w:rFonts w:ascii="Arial" w:hAnsi="Arial" w:cs="Arial"/>
          <w:color w:val="auto"/>
          <w:sz w:val="22"/>
          <w:szCs w:val="22"/>
          <w:lang w:val="en-US"/>
        </w:rPr>
      </w:pPr>
      <w:bookmarkStart w:name="_Toc6175928" w:id="11"/>
      <w:r>
        <w:rPr>
          <w:rFonts w:ascii="Arial" w:hAnsi="Arial" w:cs="Arial"/>
          <w:color w:val="auto"/>
          <w:sz w:val="22"/>
          <w:szCs w:val="22"/>
          <w:lang w:val="en-US"/>
        </w:rPr>
        <w:t>Presentation of reports</w:t>
      </w:r>
      <w:bookmarkEnd w:id="11"/>
    </w:p>
    <w:p w:rsidRPr="003C7FE9" w:rsidR="003A54EE" w:rsidP="003A54EE" w:rsidRDefault="003C7FE9" w14:paraId="2E349A31" w14:textId="02458BB6">
      <w:pPr>
        <w:pStyle w:val="Paragraph"/>
        <w:tabs>
          <w:tab w:val="clear" w:pos="2736"/>
        </w:tabs>
        <w:ind w:left="720" w:hanging="720"/>
        <w:rPr>
          <w:rFonts w:ascii="Arial" w:hAnsi="Arial" w:cs="Arial"/>
          <w:sz w:val="22"/>
          <w:szCs w:val="22"/>
        </w:rPr>
      </w:pPr>
      <w:r w:rsidRPr="003C7FE9">
        <w:rPr>
          <w:rFonts w:ascii="Arial" w:hAnsi="Arial" w:cs="Arial"/>
          <w:sz w:val="22"/>
          <w:szCs w:val="22"/>
        </w:rPr>
        <w:t xml:space="preserve">The program will be monitored through semiannual reports prepared by the EA and presented to the Bank within </w:t>
      </w:r>
      <w:r w:rsidR="00454DAE">
        <w:rPr>
          <w:rFonts w:ascii="Arial" w:hAnsi="Arial" w:cs="Arial"/>
          <w:sz w:val="22"/>
          <w:szCs w:val="22"/>
        </w:rPr>
        <w:t>9</w:t>
      </w:r>
      <w:r w:rsidRPr="003C7FE9">
        <w:rPr>
          <w:rFonts w:ascii="Arial" w:hAnsi="Arial" w:cs="Arial"/>
          <w:sz w:val="22"/>
          <w:szCs w:val="22"/>
        </w:rPr>
        <w:t>0 days after the close of each semester, measuring progress on the results indicators (for further information see Annex II Results Framework), and on the fulfillment of the eligibility criteria at project and program levels. Periodical supervision meetings and missions will also be scheduled.</w:t>
      </w:r>
    </w:p>
    <w:p w:rsidRPr="00006489" w:rsidR="003A54EE" w:rsidP="003A54EE" w:rsidRDefault="00812B8B" w14:paraId="330C05BF" w14:textId="4D71F860">
      <w:pPr>
        <w:pStyle w:val="Paragraph"/>
        <w:tabs>
          <w:tab w:val="clear" w:pos="2736"/>
        </w:tabs>
        <w:ind w:left="720" w:hanging="720"/>
        <w:rPr>
          <w:rFonts w:ascii="Arial" w:hAnsi="Arial" w:cs="Arial"/>
          <w:sz w:val="22"/>
          <w:szCs w:val="22"/>
        </w:rPr>
      </w:pPr>
      <w:r w:rsidRPr="00006489">
        <w:rPr>
          <w:rFonts w:ascii="Arial" w:hAnsi="Arial" w:cs="Arial"/>
          <w:sz w:val="22"/>
          <w:szCs w:val="22"/>
        </w:rPr>
        <w:t xml:space="preserve">Program financial statements and the eligibility of program expenses shall be audited annually by an independent auditing firm acceptable to the </w:t>
      </w:r>
      <w:r w:rsidRPr="00006489" w:rsidR="00006489">
        <w:rPr>
          <w:rFonts w:ascii="Arial" w:hAnsi="Arial" w:cs="Arial"/>
          <w:sz w:val="22"/>
          <w:szCs w:val="22"/>
        </w:rPr>
        <w:t>IDB and</w:t>
      </w:r>
      <w:r w:rsidRPr="00006489">
        <w:rPr>
          <w:rFonts w:ascii="Arial" w:hAnsi="Arial" w:cs="Arial"/>
          <w:sz w:val="22"/>
          <w:szCs w:val="22"/>
        </w:rPr>
        <w:t xml:space="preserve"> hired and paid by the SBDC. The firm will report on the eligibility of the program expenses, verify the existence of issued guarantees under the CEF, and carry out physical inspections of the projects guaranteed by the CEF to verify implementation of investments. The program’s audited financial statements will be submitted within 120 days following the close of the EA’s fiscal year in accordance with the accounting standards and principles acceptable to the IDB.</w:t>
      </w:r>
    </w:p>
    <w:p w:rsidRPr="003A54EE" w:rsidR="003A54EE" w:rsidP="003A54EE" w:rsidRDefault="00C511BD" w14:paraId="6F452FD9" w14:textId="0CE931E1">
      <w:pPr>
        <w:pStyle w:val="SecHeading"/>
        <w:tabs>
          <w:tab w:val="clear" w:pos="5400"/>
          <w:tab w:val="num" w:pos="1260"/>
        </w:tabs>
        <w:ind w:right="-82" w:hanging="4680"/>
        <w:rPr>
          <w:rFonts w:ascii="Arial" w:hAnsi="Arial" w:cs="Arial"/>
          <w:color w:val="auto"/>
          <w:sz w:val="22"/>
          <w:szCs w:val="22"/>
          <w:lang w:val="en-US"/>
        </w:rPr>
      </w:pPr>
      <w:bookmarkStart w:name="_Toc352756756" w:id="12"/>
      <w:bookmarkStart w:name="_Toc6175929" w:id="13"/>
      <w:r>
        <w:rPr>
          <w:rFonts w:ascii="Arial" w:hAnsi="Arial" w:cs="Arial"/>
          <w:color w:val="auto"/>
          <w:sz w:val="22"/>
          <w:szCs w:val="22"/>
          <w:lang w:val="en-US"/>
        </w:rPr>
        <w:lastRenderedPageBreak/>
        <w:t>Monitoring coordination, workplan and budget</w:t>
      </w:r>
      <w:bookmarkEnd w:id="12"/>
      <w:bookmarkEnd w:id="13"/>
      <w:r w:rsidRPr="003A54EE" w:rsidR="003A54EE">
        <w:rPr>
          <w:rFonts w:ascii="Arial" w:hAnsi="Arial" w:cs="Arial"/>
          <w:color w:val="auto"/>
          <w:sz w:val="22"/>
          <w:szCs w:val="22"/>
          <w:lang w:val="en-US"/>
        </w:rPr>
        <w:t xml:space="preserve"> </w:t>
      </w:r>
    </w:p>
    <w:p w:rsidR="00C511BD" w:rsidP="003A54EE" w:rsidRDefault="00C511BD" w14:paraId="39776EE5" w14:textId="3362BC20">
      <w:pPr>
        <w:pStyle w:val="Paragraph"/>
        <w:tabs>
          <w:tab w:val="clear" w:pos="2736"/>
          <w:tab w:val="num" w:pos="720"/>
        </w:tabs>
        <w:ind w:left="720" w:hanging="720"/>
        <w:rPr>
          <w:rFonts w:ascii="Arial" w:hAnsi="Arial" w:cs="Arial"/>
          <w:sz w:val="22"/>
          <w:szCs w:val="22"/>
        </w:rPr>
      </w:pPr>
      <w:bookmarkStart w:name="_Toc352755939" w:id="14"/>
      <w:bookmarkStart w:name="_Toc387738398" w:id="15"/>
      <w:r>
        <w:rPr>
          <w:rFonts w:ascii="Arial" w:hAnsi="Arial" w:cs="Arial"/>
          <w:sz w:val="22"/>
          <w:szCs w:val="22"/>
        </w:rPr>
        <w:t xml:space="preserve">SBDC will be responsible for </w:t>
      </w:r>
      <w:r w:rsidR="005C2BDE">
        <w:rPr>
          <w:rFonts w:ascii="Arial" w:hAnsi="Arial" w:cs="Arial"/>
          <w:sz w:val="22"/>
          <w:szCs w:val="22"/>
        </w:rPr>
        <w:t xml:space="preserve">programs’ </w:t>
      </w:r>
      <w:r w:rsidR="00910EDB">
        <w:rPr>
          <w:rFonts w:ascii="Arial" w:hAnsi="Arial" w:cs="Arial"/>
          <w:sz w:val="22"/>
          <w:szCs w:val="22"/>
        </w:rPr>
        <w:t>operating and administrative oversight and coordination</w:t>
      </w:r>
      <w:r w:rsidR="005C2BDE">
        <w:rPr>
          <w:rFonts w:ascii="Arial" w:hAnsi="Arial" w:cs="Arial"/>
          <w:sz w:val="22"/>
          <w:szCs w:val="22"/>
        </w:rPr>
        <w:t>.</w:t>
      </w:r>
      <w:r w:rsidR="00475E45">
        <w:rPr>
          <w:rFonts w:ascii="Arial" w:hAnsi="Arial" w:cs="Arial"/>
          <w:sz w:val="22"/>
          <w:szCs w:val="22"/>
        </w:rPr>
        <w:t xml:space="preserve"> Its administrative functions will include:</w:t>
      </w:r>
      <w:r w:rsidR="00910EDB">
        <w:rPr>
          <w:rFonts w:ascii="Arial" w:hAnsi="Arial" w:cs="Arial"/>
          <w:sz w:val="22"/>
          <w:szCs w:val="22"/>
        </w:rPr>
        <w:t xml:space="preserve"> </w:t>
      </w:r>
      <w:r w:rsidRPr="002C2FF0" w:rsidR="001A3627">
        <w:rPr>
          <w:rFonts w:ascii="Arial" w:hAnsi="Arial" w:cs="Arial"/>
          <w:sz w:val="22"/>
          <w:szCs w:val="22"/>
        </w:rPr>
        <w:t>(i) preparation, implementation, coordination of the annual operating plans; (ii) preparation of budgets, project accounting, financial management, reports, and disbursement requests; (iii) preparation of the procurement plan of consulting services; (iv) preparation of technical, progress and financial reports; (v) periodic monitoring and analysis of the program’s activities; (vi) evaluation of the program’s execution; (vii) hiring of the external audit firm and implementation of its recommendations; and (viii) liaison with the project team.</w:t>
      </w:r>
    </w:p>
    <w:bookmarkEnd w:id="14"/>
    <w:bookmarkEnd w:id="15"/>
    <w:p w:rsidR="003A54EE" w:rsidP="003A54EE" w:rsidRDefault="004402AD" w14:paraId="3D7D0D0D" w14:textId="5340C1B0">
      <w:pPr>
        <w:pStyle w:val="Paragraph"/>
        <w:tabs>
          <w:tab w:val="clear" w:pos="2736"/>
          <w:tab w:val="num" w:pos="720"/>
        </w:tabs>
        <w:ind w:left="720" w:hanging="720"/>
        <w:rPr>
          <w:rFonts w:ascii="Arial" w:hAnsi="Arial" w:cs="Arial"/>
          <w:sz w:val="22"/>
          <w:szCs w:val="22"/>
        </w:rPr>
      </w:pPr>
      <w:r>
        <w:rPr>
          <w:rFonts w:ascii="Arial" w:hAnsi="Arial" w:cs="Arial"/>
          <w:sz w:val="22"/>
          <w:szCs w:val="22"/>
        </w:rPr>
        <w:t xml:space="preserve">Monitoring </w:t>
      </w:r>
      <w:r w:rsidR="008B1EAF">
        <w:rPr>
          <w:rFonts w:ascii="Arial" w:hAnsi="Arial" w:cs="Arial"/>
          <w:sz w:val="22"/>
          <w:szCs w:val="22"/>
        </w:rPr>
        <w:t xml:space="preserve">and evaluation </w:t>
      </w:r>
      <w:r>
        <w:rPr>
          <w:rFonts w:ascii="Arial" w:hAnsi="Arial" w:cs="Arial"/>
          <w:sz w:val="22"/>
          <w:szCs w:val="22"/>
        </w:rPr>
        <w:t>costs will be covered by the EA. The</w:t>
      </w:r>
      <w:r w:rsidR="00543D6C">
        <w:rPr>
          <w:rFonts w:ascii="Arial" w:hAnsi="Arial" w:cs="Arial"/>
          <w:sz w:val="22"/>
          <w:szCs w:val="22"/>
        </w:rPr>
        <w:t xml:space="preserve">se are </w:t>
      </w:r>
      <w:r>
        <w:rPr>
          <w:rFonts w:ascii="Arial" w:hAnsi="Arial" w:cs="Arial"/>
          <w:sz w:val="22"/>
          <w:szCs w:val="22"/>
        </w:rPr>
        <w:t xml:space="preserve">included in the </w:t>
      </w:r>
      <w:r w:rsidR="007C76C9">
        <w:rPr>
          <w:rFonts w:ascii="Arial" w:hAnsi="Arial" w:cs="Arial"/>
          <w:sz w:val="22"/>
          <w:szCs w:val="22"/>
        </w:rPr>
        <w:t>SBDC’s institutional strengthening subcomponent.</w:t>
      </w:r>
    </w:p>
    <w:p w:rsidR="00D54F7F" w:rsidP="00D54F7F" w:rsidRDefault="00D54F7F" w14:paraId="76535400" w14:textId="77777777">
      <w:pPr>
        <w:pStyle w:val="Paragraph"/>
        <w:numPr>
          <w:ilvl w:val="0"/>
          <w:numId w:val="0"/>
        </w:numPr>
        <w:ind w:left="720"/>
        <w:rPr>
          <w:rFonts w:ascii="Arial" w:hAnsi="Arial" w:cs="Arial"/>
          <w:sz w:val="22"/>
          <w:szCs w:val="22"/>
        </w:rPr>
      </w:pPr>
    </w:p>
    <w:p w:rsidRPr="003F4B33" w:rsidR="00897D2F" w:rsidP="00897D2F" w:rsidRDefault="00897D2F" w14:paraId="3314B76A" w14:textId="05437450">
      <w:pPr>
        <w:pStyle w:val="Caption"/>
        <w:jc w:val="center"/>
        <w:rPr>
          <w:rFonts w:ascii="Arial" w:hAnsi="Arial" w:cs="Arial"/>
          <w:b/>
          <w:i w:val="0"/>
          <w:color w:val="auto"/>
          <w:lang w:val="en-US"/>
        </w:rPr>
      </w:pPr>
      <w:bookmarkStart w:name="_Ref6174725" w:id="16"/>
      <w:r w:rsidRPr="003F4B33">
        <w:rPr>
          <w:rFonts w:ascii="Arial" w:hAnsi="Arial" w:cs="Arial"/>
          <w:b/>
          <w:i w:val="0"/>
          <w:color w:val="auto"/>
          <w:lang w:val="en-US"/>
        </w:rPr>
        <w:t xml:space="preserve">Table </w:t>
      </w:r>
      <w:r w:rsidRPr="003F4B33">
        <w:rPr>
          <w:rFonts w:ascii="Arial" w:hAnsi="Arial" w:cs="Arial"/>
          <w:b/>
          <w:i w:val="0"/>
          <w:color w:val="auto"/>
          <w:lang w:val="en-US"/>
        </w:rPr>
        <w:fldChar w:fldCharType="begin"/>
      </w:r>
      <w:r w:rsidRPr="003F4B33">
        <w:rPr>
          <w:rFonts w:ascii="Arial" w:hAnsi="Arial" w:cs="Arial"/>
          <w:b/>
          <w:i w:val="0"/>
          <w:color w:val="auto"/>
          <w:lang w:val="en-US"/>
        </w:rPr>
        <w:instrText xml:space="preserve"> SEQ Table \* ARABIC </w:instrText>
      </w:r>
      <w:r w:rsidRPr="003F4B33">
        <w:rPr>
          <w:rFonts w:ascii="Arial" w:hAnsi="Arial" w:cs="Arial"/>
          <w:b/>
          <w:i w:val="0"/>
          <w:color w:val="auto"/>
          <w:lang w:val="en-US"/>
        </w:rPr>
        <w:fldChar w:fldCharType="separate"/>
      </w:r>
      <w:r w:rsidR="004F466A">
        <w:rPr>
          <w:rFonts w:ascii="Arial" w:hAnsi="Arial" w:cs="Arial"/>
          <w:b/>
          <w:i w:val="0"/>
          <w:noProof/>
          <w:color w:val="auto"/>
          <w:lang w:val="en-US"/>
        </w:rPr>
        <w:t>3</w:t>
      </w:r>
      <w:r w:rsidRPr="003F4B33">
        <w:rPr>
          <w:rFonts w:ascii="Arial" w:hAnsi="Arial" w:cs="Arial"/>
          <w:b/>
          <w:i w:val="0"/>
          <w:color w:val="auto"/>
          <w:lang w:val="en-US"/>
        </w:rPr>
        <w:fldChar w:fldCharType="end"/>
      </w:r>
      <w:bookmarkEnd w:id="16"/>
      <w:r w:rsidRPr="003F4B33">
        <w:rPr>
          <w:rFonts w:ascii="Arial" w:hAnsi="Arial" w:cs="Arial"/>
          <w:b/>
          <w:i w:val="0"/>
          <w:color w:val="auto"/>
          <w:lang w:val="en-US"/>
        </w:rPr>
        <w:t>. Monitoring and Evaluation Costs</w:t>
      </w:r>
    </w:p>
    <w:tbl>
      <w:tblPr>
        <w:tblStyle w:val="TableGrid"/>
        <w:tblW w:w="8071" w:type="dxa"/>
        <w:jc w:val="right"/>
        <w:tblLook w:val="04A0" w:firstRow="1" w:lastRow="0" w:firstColumn="1" w:lastColumn="0" w:noHBand="0" w:noVBand="1"/>
      </w:tblPr>
      <w:tblGrid>
        <w:gridCol w:w="1510"/>
        <w:gridCol w:w="337"/>
        <w:gridCol w:w="337"/>
        <w:gridCol w:w="337"/>
        <w:gridCol w:w="337"/>
        <w:gridCol w:w="337"/>
        <w:gridCol w:w="337"/>
        <w:gridCol w:w="337"/>
        <w:gridCol w:w="337"/>
        <w:gridCol w:w="1186"/>
        <w:gridCol w:w="1337"/>
        <w:gridCol w:w="1342"/>
      </w:tblGrid>
      <w:tr w:rsidRPr="003A54EE" w:rsidR="00C66961" w:rsidTr="00A436ED" w14:paraId="4FA4A6BA" w14:textId="77777777">
        <w:trPr>
          <w:trHeight w:val="404"/>
          <w:jc w:val="right"/>
        </w:trPr>
        <w:tc>
          <w:tcPr>
            <w:tcW w:w="1510" w:type="dxa"/>
            <w:vMerge w:val="restart"/>
            <w:vAlign w:val="center"/>
          </w:tcPr>
          <w:p w:rsidRPr="00A436ED" w:rsidR="00C66961" w:rsidP="00E219DB" w:rsidRDefault="00955A8D" w14:paraId="6A6CE60A" w14:textId="3E25A680">
            <w:pPr>
              <w:ind w:right="-99"/>
              <w:jc w:val="center"/>
              <w:rPr>
                <w:rFonts w:ascii="Arial" w:hAnsi="Arial" w:cs="Arial"/>
                <w:b/>
                <w:sz w:val="18"/>
                <w:szCs w:val="18"/>
                <w:lang w:val="en-US"/>
              </w:rPr>
            </w:pPr>
            <w:bookmarkStart w:name="_Toc346643520" w:id="17"/>
            <w:bookmarkStart w:name="_Toc352755941" w:id="18"/>
            <w:bookmarkStart w:name="_Toc352756757" w:id="19"/>
            <w:r w:rsidRPr="00A436ED">
              <w:rPr>
                <w:rFonts w:ascii="Arial" w:hAnsi="Arial" w:cs="Arial"/>
                <w:b/>
                <w:sz w:val="18"/>
                <w:szCs w:val="18"/>
                <w:lang w:val="en-US"/>
              </w:rPr>
              <w:t>Activities</w:t>
            </w:r>
          </w:p>
        </w:tc>
        <w:tc>
          <w:tcPr>
            <w:tcW w:w="674" w:type="dxa"/>
            <w:gridSpan w:val="2"/>
            <w:vAlign w:val="center"/>
          </w:tcPr>
          <w:p w:rsidRPr="00A436ED" w:rsidR="00C66961" w:rsidP="00E219DB" w:rsidRDefault="00C66961" w14:paraId="20809721" w14:textId="77777777">
            <w:pPr>
              <w:rPr>
                <w:rFonts w:ascii="Arial" w:hAnsi="Arial" w:cs="Arial"/>
                <w:b/>
                <w:sz w:val="18"/>
                <w:szCs w:val="18"/>
                <w:lang w:val="en-US"/>
              </w:rPr>
            </w:pPr>
            <w:r w:rsidRPr="00A436ED">
              <w:rPr>
                <w:rFonts w:ascii="Arial" w:hAnsi="Arial" w:cs="Arial"/>
                <w:b/>
                <w:sz w:val="18"/>
                <w:szCs w:val="18"/>
                <w:lang w:val="en-US"/>
              </w:rPr>
              <w:t>2019</w:t>
            </w:r>
          </w:p>
        </w:tc>
        <w:tc>
          <w:tcPr>
            <w:tcW w:w="674" w:type="dxa"/>
            <w:gridSpan w:val="2"/>
            <w:vAlign w:val="center"/>
          </w:tcPr>
          <w:p w:rsidRPr="00A436ED" w:rsidR="00C66961" w:rsidP="00A436ED" w:rsidRDefault="00C66961" w14:paraId="00329D8A" w14:textId="77777777">
            <w:pPr>
              <w:jc w:val="center"/>
              <w:rPr>
                <w:rFonts w:ascii="Arial" w:hAnsi="Arial" w:cs="Arial"/>
                <w:b/>
                <w:sz w:val="18"/>
                <w:szCs w:val="18"/>
                <w:lang w:val="en-US"/>
              </w:rPr>
            </w:pPr>
            <w:r w:rsidRPr="00A436ED">
              <w:rPr>
                <w:rFonts w:ascii="Arial" w:hAnsi="Arial" w:cs="Arial"/>
                <w:b/>
                <w:sz w:val="18"/>
                <w:szCs w:val="18"/>
                <w:lang w:val="en-US"/>
              </w:rPr>
              <w:t>2020</w:t>
            </w:r>
          </w:p>
        </w:tc>
        <w:tc>
          <w:tcPr>
            <w:tcW w:w="674" w:type="dxa"/>
            <w:gridSpan w:val="2"/>
            <w:vAlign w:val="center"/>
          </w:tcPr>
          <w:p w:rsidRPr="00A436ED" w:rsidR="00C66961" w:rsidP="00A436ED" w:rsidRDefault="00C66961" w14:paraId="30D274BA" w14:textId="77777777">
            <w:pPr>
              <w:jc w:val="center"/>
              <w:rPr>
                <w:rFonts w:ascii="Arial" w:hAnsi="Arial" w:cs="Arial"/>
                <w:b/>
                <w:sz w:val="18"/>
                <w:szCs w:val="18"/>
                <w:lang w:val="en-US"/>
              </w:rPr>
            </w:pPr>
            <w:r w:rsidRPr="00A436ED">
              <w:rPr>
                <w:rFonts w:ascii="Arial" w:hAnsi="Arial" w:cs="Arial"/>
                <w:b/>
                <w:sz w:val="18"/>
                <w:szCs w:val="18"/>
                <w:lang w:val="en-US"/>
              </w:rPr>
              <w:t>2021</w:t>
            </w:r>
          </w:p>
        </w:tc>
        <w:tc>
          <w:tcPr>
            <w:tcW w:w="674" w:type="dxa"/>
            <w:gridSpan w:val="2"/>
            <w:vAlign w:val="center"/>
          </w:tcPr>
          <w:p w:rsidRPr="00A436ED" w:rsidR="00C66961" w:rsidP="00A436ED" w:rsidRDefault="00C66961" w14:paraId="14D4C2E4" w14:textId="77777777">
            <w:pPr>
              <w:jc w:val="center"/>
              <w:rPr>
                <w:rFonts w:ascii="Arial" w:hAnsi="Arial" w:cs="Arial"/>
                <w:b/>
                <w:sz w:val="18"/>
                <w:szCs w:val="18"/>
                <w:lang w:val="en-US"/>
              </w:rPr>
            </w:pPr>
            <w:r w:rsidRPr="00A436ED">
              <w:rPr>
                <w:rFonts w:ascii="Arial" w:hAnsi="Arial" w:cs="Arial"/>
                <w:b/>
                <w:sz w:val="18"/>
                <w:szCs w:val="18"/>
                <w:lang w:val="en-US"/>
              </w:rPr>
              <w:t>2022</w:t>
            </w:r>
          </w:p>
        </w:tc>
        <w:tc>
          <w:tcPr>
            <w:tcW w:w="1186" w:type="dxa"/>
            <w:vAlign w:val="center"/>
          </w:tcPr>
          <w:p w:rsidRPr="00A436ED" w:rsidR="00C66961" w:rsidP="00E219DB" w:rsidRDefault="00955A8D" w14:paraId="414552FC" w14:textId="2E215BD5">
            <w:pPr>
              <w:jc w:val="center"/>
              <w:rPr>
                <w:rFonts w:ascii="Arial" w:hAnsi="Arial" w:cs="Arial"/>
                <w:b/>
                <w:sz w:val="18"/>
                <w:szCs w:val="18"/>
                <w:lang w:val="en-US"/>
              </w:rPr>
            </w:pPr>
            <w:r w:rsidRPr="00A436ED">
              <w:rPr>
                <w:rFonts w:ascii="Arial" w:hAnsi="Arial" w:cs="Arial"/>
                <w:b/>
                <w:sz w:val="18"/>
                <w:szCs w:val="18"/>
                <w:lang w:val="en-US"/>
              </w:rPr>
              <w:t>Cost (US$ thousands)</w:t>
            </w:r>
          </w:p>
        </w:tc>
        <w:tc>
          <w:tcPr>
            <w:tcW w:w="1337" w:type="dxa"/>
            <w:vAlign w:val="center"/>
          </w:tcPr>
          <w:p w:rsidRPr="00A436ED" w:rsidR="00C66961" w:rsidP="00E219DB" w:rsidRDefault="00955A8D" w14:paraId="1B8D6331" w14:textId="0FACAC90">
            <w:pPr>
              <w:jc w:val="center"/>
              <w:rPr>
                <w:rFonts w:ascii="Arial" w:hAnsi="Arial" w:cs="Arial"/>
                <w:b/>
                <w:sz w:val="18"/>
                <w:szCs w:val="18"/>
                <w:lang w:val="en-US"/>
              </w:rPr>
            </w:pPr>
            <w:r w:rsidRPr="00A436ED">
              <w:rPr>
                <w:rFonts w:ascii="Arial" w:hAnsi="Arial" w:cs="Arial"/>
                <w:b/>
                <w:sz w:val="18"/>
                <w:szCs w:val="18"/>
                <w:lang w:val="en-US"/>
              </w:rPr>
              <w:t>Responsible</w:t>
            </w:r>
          </w:p>
        </w:tc>
        <w:tc>
          <w:tcPr>
            <w:tcW w:w="1342" w:type="dxa"/>
            <w:vAlign w:val="center"/>
          </w:tcPr>
          <w:p w:rsidRPr="00A436ED" w:rsidR="00C66961" w:rsidP="00E219DB" w:rsidRDefault="001E6B51" w14:paraId="1A2319E2" w14:textId="4478E54D">
            <w:pPr>
              <w:jc w:val="center"/>
              <w:rPr>
                <w:rFonts w:ascii="Arial" w:hAnsi="Arial" w:cs="Arial"/>
                <w:b/>
                <w:sz w:val="18"/>
                <w:szCs w:val="18"/>
                <w:lang w:val="en-US"/>
              </w:rPr>
            </w:pPr>
            <w:r w:rsidRPr="00A436ED">
              <w:rPr>
                <w:rFonts w:ascii="Arial" w:hAnsi="Arial" w:cs="Arial"/>
                <w:b/>
                <w:sz w:val="18"/>
                <w:szCs w:val="18"/>
                <w:lang w:val="en-US"/>
              </w:rPr>
              <w:t>Funding source</w:t>
            </w:r>
          </w:p>
        </w:tc>
      </w:tr>
      <w:tr w:rsidRPr="003A54EE" w:rsidR="00C66961" w:rsidTr="00410EBB" w14:paraId="3D5A8902" w14:textId="77777777">
        <w:trPr>
          <w:jc w:val="right"/>
        </w:trPr>
        <w:tc>
          <w:tcPr>
            <w:tcW w:w="1510" w:type="dxa"/>
            <w:vMerge/>
          </w:tcPr>
          <w:p w:rsidRPr="00A436ED" w:rsidR="00C66961" w:rsidP="00E219DB" w:rsidRDefault="00C66961" w14:paraId="7A9D0D2D" w14:textId="77777777">
            <w:pPr>
              <w:rPr>
                <w:rFonts w:ascii="Arial" w:hAnsi="Arial" w:cs="Arial"/>
                <w:sz w:val="18"/>
                <w:szCs w:val="18"/>
                <w:lang w:val="en-US"/>
              </w:rPr>
            </w:pPr>
          </w:p>
        </w:tc>
        <w:tc>
          <w:tcPr>
            <w:tcW w:w="337" w:type="dxa"/>
          </w:tcPr>
          <w:p w:rsidRPr="00A436ED" w:rsidR="00C66961" w:rsidP="00E219DB" w:rsidRDefault="00C66961" w14:paraId="6E8A6835" w14:textId="77777777">
            <w:pPr>
              <w:jc w:val="center"/>
              <w:rPr>
                <w:rFonts w:ascii="Arial" w:hAnsi="Arial" w:cs="Arial"/>
                <w:sz w:val="18"/>
                <w:szCs w:val="18"/>
                <w:lang w:val="en-US"/>
              </w:rPr>
            </w:pPr>
            <w:r w:rsidRPr="00A436ED">
              <w:rPr>
                <w:rFonts w:ascii="Arial" w:hAnsi="Arial" w:cs="Arial"/>
                <w:sz w:val="18"/>
                <w:szCs w:val="18"/>
                <w:lang w:val="en-US"/>
              </w:rPr>
              <w:t>1</w:t>
            </w:r>
          </w:p>
        </w:tc>
        <w:tc>
          <w:tcPr>
            <w:tcW w:w="337" w:type="dxa"/>
          </w:tcPr>
          <w:p w:rsidRPr="00A436ED" w:rsidR="00C66961" w:rsidP="00E219DB" w:rsidRDefault="00C66961" w14:paraId="4ECCAB98" w14:textId="77777777">
            <w:pPr>
              <w:jc w:val="center"/>
              <w:rPr>
                <w:rFonts w:ascii="Arial" w:hAnsi="Arial" w:cs="Arial"/>
                <w:sz w:val="18"/>
                <w:szCs w:val="18"/>
                <w:lang w:val="en-US"/>
              </w:rPr>
            </w:pPr>
            <w:r w:rsidRPr="00A436ED">
              <w:rPr>
                <w:rFonts w:ascii="Arial" w:hAnsi="Arial" w:cs="Arial"/>
                <w:sz w:val="18"/>
                <w:szCs w:val="18"/>
                <w:lang w:val="en-US"/>
              </w:rPr>
              <w:t>2</w:t>
            </w:r>
          </w:p>
        </w:tc>
        <w:tc>
          <w:tcPr>
            <w:tcW w:w="337" w:type="dxa"/>
          </w:tcPr>
          <w:p w:rsidRPr="00A436ED" w:rsidR="00C66961" w:rsidP="00E219DB" w:rsidRDefault="00C66961" w14:paraId="1CDFC741" w14:textId="77777777">
            <w:pPr>
              <w:jc w:val="center"/>
              <w:rPr>
                <w:rFonts w:ascii="Arial" w:hAnsi="Arial" w:cs="Arial"/>
                <w:sz w:val="18"/>
                <w:szCs w:val="18"/>
                <w:lang w:val="en-US"/>
              </w:rPr>
            </w:pPr>
            <w:r w:rsidRPr="00A436ED">
              <w:rPr>
                <w:rFonts w:ascii="Arial" w:hAnsi="Arial" w:cs="Arial"/>
                <w:sz w:val="18"/>
                <w:szCs w:val="18"/>
                <w:lang w:val="en-US"/>
              </w:rPr>
              <w:t>1</w:t>
            </w:r>
          </w:p>
        </w:tc>
        <w:tc>
          <w:tcPr>
            <w:tcW w:w="337" w:type="dxa"/>
          </w:tcPr>
          <w:p w:rsidRPr="00A436ED" w:rsidR="00C66961" w:rsidP="00E219DB" w:rsidRDefault="00C66961" w14:paraId="4FEBC4B5" w14:textId="77777777">
            <w:pPr>
              <w:jc w:val="center"/>
              <w:rPr>
                <w:rFonts w:ascii="Arial" w:hAnsi="Arial" w:cs="Arial"/>
                <w:sz w:val="18"/>
                <w:szCs w:val="18"/>
                <w:lang w:val="en-US"/>
              </w:rPr>
            </w:pPr>
            <w:r w:rsidRPr="00A436ED">
              <w:rPr>
                <w:rFonts w:ascii="Arial" w:hAnsi="Arial" w:cs="Arial"/>
                <w:sz w:val="18"/>
                <w:szCs w:val="18"/>
                <w:lang w:val="en-US"/>
              </w:rPr>
              <w:t>2</w:t>
            </w:r>
          </w:p>
        </w:tc>
        <w:tc>
          <w:tcPr>
            <w:tcW w:w="337" w:type="dxa"/>
          </w:tcPr>
          <w:p w:rsidRPr="00A436ED" w:rsidR="00C66961" w:rsidP="00E219DB" w:rsidRDefault="00C66961" w14:paraId="22E62128" w14:textId="77777777">
            <w:pPr>
              <w:rPr>
                <w:rFonts w:ascii="Arial" w:hAnsi="Arial" w:cs="Arial"/>
                <w:sz w:val="18"/>
                <w:szCs w:val="18"/>
                <w:lang w:val="en-US"/>
              </w:rPr>
            </w:pPr>
            <w:r w:rsidRPr="00A436ED">
              <w:rPr>
                <w:rFonts w:ascii="Arial" w:hAnsi="Arial" w:cs="Arial"/>
                <w:sz w:val="18"/>
                <w:szCs w:val="18"/>
                <w:lang w:val="en-US"/>
              </w:rPr>
              <w:t>1</w:t>
            </w:r>
          </w:p>
        </w:tc>
        <w:tc>
          <w:tcPr>
            <w:tcW w:w="337" w:type="dxa"/>
          </w:tcPr>
          <w:p w:rsidRPr="00A436ED" w:rsidR="00C66961" w:rsidP="00E219DB" w:rsidRDefault="00C66961" w14:paraId="7192C75B" w14:textId="77777777">
            <w:pPr>
              <w:jc w:val="center"/>
              <w:rPr>
                <w:rFonts w:ascii="Arial" w:hAnsi="Arial" w:cs="Arial"/>
                <w:sz w:val="18"/>
                <w:szCs w:val="18"/>
                <w:lang w:val="en-US"/>
              </w:rPr>
            </w:pPr>
            <w:r w:rsidRPr="00A436ED">
              <w:rPr>
                <w:rFonts w:ascii="Arial" w:hAnsi="Arial" w:cs="Arial"/>
                <w:sz w:val="18"/>
                <w:szCs w:val="18"/>
                <w:lang w:val="en-US"/>
              </w:rPr>
              <w:t>2</w:t>
            </w:r>
          </w:p>
        </w:tc>
        <w:tc>
          <w:tcPr>
            <w:tcW w:w="337" w:type="dxa"/>
          </w:tcPr>
          <w:p w:rsidRPr="00A436ED" w:rsidR="00C66961" w:rsidP="00E219DB" w:rsidRDefault="00C66961" w14:paraId="26F6E75F" w14:textId="77777777">
            <w:pPr>
              <w:rPr>
                <w:rFonts w:ascii="Arial" w:hAnsi="Arial" w:cs="Arial"/>
                <w:sz w:val="18"/>
                <w:szCs w:val="18"/>
                <w:lang w:val="en-US"/>
              </w:rPr>
            </w:pPr>
            <w:r w:rsidRPr="00A436ED">
              <w:rPr>
                <w:rFonts w:ascii="Arial" w:hAnsi="Arial" w:cs="Arial"/>
                <w:sz w:val="18"/>
                <w:szCs w:val="18"/>
                <w:lang w:val="en-US"/>
              </w:rPr>
              <w:t>1</w:t>
            </w:r>
          </w:p>
        </w:tc>
        <w:tc>
          <w:tcPr>
            <w:tcW w:w="337" w:type="dxa"/>
          </w:tcPr>
          <w:p w:rsidRPr="00A436ED" w:rsidR="00C66961" w:rsidP="00E219DB" w:rsidRDefault="00C66961" w14:paraId="6916DDFB" w14:textId="77777777">
            <w:pPr>
              <w:rPr>
                <w:rFonts w:ascii="Arial" w:hAnsi="Arial" w:cs="Arial"/>
                <w:sz w:val="18"/>
                <w:szCs w:val="18"/>
                <w:lang w:val="en-US"/>
              </w:rPr>
            </w:pPr>
            <w:r w:rsidRPr="00A436ED">
              <w:rPr>
                <w:rFonts w:ascii="Arial" w:hAnsi="Arial" w:cs="Arial"/>
                <w:sz w:val="18"/>
                <w:szCs w:val="18"/>
                <w:lang w:val="en-US"/>
              </w:rPr>
              <w:t>2</w:t>
            </w:r>
          </w:p>
        </w:tc>
        <w:tc>
          <w:tcPr>
            <w:tcW w:w="1186" w:type="dxa"/>
          </w:tcPr>
          <w:p w:rsidRPr="00A436ED" w:rsidR="00C66961" w:rsidP="00E219DB" w:rsidRDefault="00C66961" w14:paraId="2D4EE869" w14:textId="77777777">
            <w:pPr>
              <w:rPr>
                <w:rFonts w:ascii="Arial" w:hAnsi="Arial" w:cs="Arial"/>
                <w:sz w:val="18"/>
                <w:szCs w:val="18"/>
                <w:lang w:val="en-US"/>
              </w:rPr>
            </w:pPr>
          </w:p>
        </w:tc>
        <w:tc>
          <w:tcPr>
            <w:tcW w:w="1337" w:type="dxa"/>
          </w:tcPr>
          <w:p w:rsidRPr="00A436ED" w:rsidR="00C66961" w:rsidP="00E219DB" w:rsidRDefault="00C66961" w14:paraId="4736D225" w14:textId="77777777">
            <w:pPr>
              <w:rPr>
                <w:rFonts w:ascii="Arial" w:hAnsi="Arial" w:cs="Arial"/>
                <w:sz w:val="18"/>
                <w:szCs w:val="18"/>
                <w:lang w:val="en-US"/>
              </w:rPr>
            </w:pPr>
          </w:p>
        </w:tc>
        <w:tc>
          <w:tcPr>
            <w:tcW w:w="1342" w:type="dxa"/>
          </w:tcPr>
          <w:p w:rsidRPr="00A436ED" w:rsidR="00C66961" w:rsidP="00E219DB" w:rsidRDefault="00C66961" w14:paraId="1D28B2A8" w14:textId="77777777">
            <w:pPr>
              <w:rPr>
                <w:rFonts w:ascii="Arial" w:hAnsi="Arial" w:cs="Arial"/>
                <w:sz w:val="18"/>
                <w:szCs w:val="18"/>
                <w:lang w:val="en-US"/>
              </w:rPr>
            </w:pPr>
          </w:p>
        </w:tc>
      </w:tr>
      <w:tr w:rsidRPr="003A54EE" w:rsidR="00C66961" w:rsidTr="00A436ED" w14:paraId="706ADFD6" w14:textId="77777777">
        <w:trPr>
          <w:jc w:val="right"/>
        </w:trPr>
        <w:tc>
          <w:tcPr>
            <w:tcW w:w="1510" w:type="dxa"/>
          </w:tcPr>
          <w:p w:rsidRPr="00A436ED" w:rsidR="00C66961" w:rsidP="00E219DB" w:rsidRDefault="001E6B51" w14:paraId="5546F17C" w14:textId="43B3F974">
            <w:pPr>
              <w:rPr>
                <w:rFonts w:ascii="Arial" w:hAnsi="Arial" w:cs="Arial"/>
                <w:sz w:val="18"/>
                <w:szCs w:val="18"/>
                <w:lang w:val="en-US"/>
              </w:rPr>
            </w:pPr>
            <w:r w:rsidRPr="00A436ED">
              <w:rPr>
                <w:rFonts w:ascii="Arial" w:hAnsi="Arial" w:cs="Arial"/>
                <w:sz w:val="18"/>
                <w:szCs w:val="18"/>
                <w:lang w:val="en-US"/>
              </w:rPr>
              <w:t>Semiannual monitoring reports</w:t>
            </w:r>
          </w:p>
        </w:tc>
        <w:tc>
          <w:tcPr>
            <w:tcW w:w="337" w:type="dxa"/>
          </w:tcPr>
          <w:p w:rsidRPr="00A436ED" w:rsidR="00C66961" w:rsidP="00E219DB" w:rsidRDefault="00C66961" w14:paraId="61A8DD73"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66961" w:rsidP="00E219DB" w:rsidRDefault="00C66961" w14:paraId="26446D3B"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66961" w:rsidP="00E219DB" w:rsidRDefault="00C66961" w14:paraId="2A1F2BDA"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66961" w:rsidP="00E219DB" w:rsidRDefault="00C66961" w14:paraId="08E2259D"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66961" w:rsidP="00E219DB" w:rsidRDefault="00C66961" w14:paraId="66C99C39"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66961" w:rsidP="00E219DB" w:rsidRDefault="00C66961" w14:paraId="5F7B2CA4"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66961" w:rsidP="00E219DB" w:rsidRDefault="00C66961" w14:paraId="136C8C09"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66961" w:rsidP="00E219DB" w:rsidRDefault="00C66961" w14:paraId="464503CB" w14:textId="77777777">
            <w:pPr>
              <w:jc w:val="center"/>
              <w:rPr>
                <w:rFonts w:ascii="Arial" w:hAnsi="Arial" w:cs="Arial"/>
                <w:sz w:val="18"/>
                <w:szCs w:val="18"/>
                <w:lang w:val="en-US"/>
              </w:rPr>
            </w:pPr>
            <w:r w:rsidRPr="00A436ED">
              <w:rPr>
                <w:rFonts w:ascii="Arial" w:hAnsi="Arial" w:cs="Arial"/>
                <w:sz w:val="18"/>
                <w:szCs w:val="18"/>
                <w:lang w:val="en-US"/>
              </w:rPr>
              <w:t>X</w:t>
            </w:r>
          </w:p>
        </w:tc>
        <w:tc>
          <w:tcPr>
            <w:tcW w:w="1186" w:type="dxa"/>
            <w:vAlign w:val="center"/>
          </w:tcPr>
          <w:p w:rsidRPr="00A436ED" w:rsidR="00C66961" w:rsidP="00A436ED" w:rsidRDefault="00C66961" w14:paraId="60AF6A5F" w14:textId="5ADF944C">
            <w:pPr>
              <w:jc w:val="center"/>
              <w:rPr>
                <w:rFonts w:ascii="Arial" w:hAnsi="Arial" w:cs="Arial"/>
                <w:sz w:val="18"/>
                <w:szCs w:val="18"/>
                <w:lang w:val="en-US"/>
              </w:rPr>
            </w:pPr>
            <w:r w:rsidRPr="00A436ED">
              <w:rPr>
                <w:rFonts w:ascii="Arial" w:hAnsi="Arial" w:cs="Arial"/>
                <w:sz w:val="18"/>
                <w:szCs w:val="18"/>
                <w:lang w:val="en-US"/>
              </w:rPr>
              <w:t>US$</w:t>
            </w:r>
            <w:r w:rsidRPr="00A436ED" w:rsidR="0066763C">
              <w:rPr>
                <w:rFonts w:ascii="Arial" w:hAnsi="Arial" w:cs="Arial"/>
                <w:sz w:val="18"/>
                <w:szCs w:val="18"/>
                <w:lang w:val="en-US"/>
              </w:rPr>
              <w:t>40</w:t>
            </w:r>
          </w:p>
        </w:tc>
        <w:tc>
          <w:tcPr>
            <w:tcW w:w="1337" w:type="dxa"/>
            <w:vAlign w:val="center"/>
          </w:tcPr>
          <w:p w:rsidRPr="00A436ED" w:rsidR="00C66961" w:rsidP="00A436ED" w:rsidRDefault="00A540E1" w14:paraId="4490A05E" w14:textId="57DF6C92">
            <w:pPr>
              <w:jc w:val="center"/>
              <w:rPr>
                <w:rFonts w:ascii="Arial" w:hAnsi="Arial" w:cs="Arial"/>
                <w:sz w:val="18"/>
                <w:szCs w:val="18"/>
                <w:lang w:val="en-US"/>
              </w:rPr>
            </w:pPr>
            <w:r w:rsidRPr="00A436ED">
              <w:rPr>
                <w:rFonts w:ascii="Arial" w:hAnsi="Arial" w:cs="Arial"/>
                <w:sz w:val="18"/>
                <w:szCs w:val="18"/>
                <w:lang w:val="en-US"/>
              </w:rPr>
              <w:t>SBDC</w:t>
            </w:r>
          </w:p>
        </w:tc>
        <w:tc>
          <w:tcPr>
            <w:tcW w:w="1342" w:type="dxa"/>
            <w:vAlign w:val="center"/>
          </w:tcPr>
          <w:p w:rsidRPr="00A436ED" w:rsidR="00C66961" w:rsidP="00A436ED" w:rsidRDefault="00D27CF7" w14:paraId="7B651887" w14:textId="05CA53DA">
            <w:pPr>
              <w:jc w:val="center"/>
              <w:rPr>
                <w:rFonts w:ascii="Arial" w:hAnsi="Arial" w:cs="Arial"/>
                <w:sz w:val="18"/>
                <w:szCs w:val="18"/>
                <w:lang w:val="en-US"/>
              </w:rPr>
            </w:pPr>
            <w:r w:rsidRPr="00A436ED">
              <w:rPr>
                <w:rFonts w:ascii="Arial" w:hAnsi="Arial" w:cs="Arial"/>
                <w:sz w:val="18"/>
                <w:szCs w:val="18"/>
                <w:lang w:val="en-US"/>
              </w:rPr>
              <w:t>SBDC-</w:t>
            </w:r>
            <w:r w:rsidRPr="00A436ED" w:rsidR="00CB3451">
              <w:rPr>
                <w:rFonts w:ascii="Arial" w:hAnsi="Arial" w:cs="Arial"/>
                <w:sz w:val="18"/>
                <w:szCs w:val="18"/>
                <w:lang w:val="en-US"/>
              </w:rPr>
              <w:t>Program budget</w:t>
            </w:r>
          </w:p>
        </w:tc>
      </w:tr>
      <w:tr w:rsidRPr="003A54EE" w:rsidR="00CB3451" w:rsidTr="00A436ED" w14:paraId="2876F916" w14:textId="77777777">
        <w:trPr>
          <w:jc w:val="right"/>
        </w:trPr>
        <w:tc>
          <w:tcPr>
            <w:tcW w:w="1510" w:type="dxa"/>
          </w:tcPr>
          <w:p w:rsidRPr="00A436ED" w:rsidR="00CB3451" w:rsidP="00CB3451" w:rsidRDefault="00CB3451" w14:paraId="3090D16B" w14:textId="243E1211">
            <w:pPr>
              <w:rPr>
                <w:rFonts w:ascii="Arial" w:hAnsi="Arial" w:cs="Arial"/>
                <w:sz w:val="18"/>
                <w:szCs w:val="18"/>
                <w:lang w:val="en-US"/>
              </w:rPr>
            </w:pPr>
            <w:r w:rsidRPr="00A436ED">
              <w:rPr>
                <w:rFonts w:ascii="Arial" w:hAnsi="Arial" w:cs="Arial"/>
                <w:sz w:val="18"/>
                <w:szCs w:val="18"/>
                <w:lang w:val="en-US"/>
              </w:rPr>
              <w:t>Financial audits</w:t>
            </w:r>
          </w:p>
        </w:tc>
        <w:tc>
          <w:tcPr>
            <w:tcW w:w="337" w:type="dxa"/>
          </w:tcPr>
          <w:p w:rsidRPr="00A436ED" w:rsidR="00CB3451" w:rsidP="00CB3451" w:rsidRDefault="00CB3451" w14:paraId="5EF76742" w14:textId="77777777">
            <w:pPr>
              <w:jc w:val="center"/>
              <w:rPr>
                <w:rFonts w:ascii="Arial" w:hAnsi="Arial" w:cs="Arial"/>
                <w:sz w:val="18"/>
                <w:szCs w:val="18"/>
                <w:lang w:val="en-US"/>
              </w:rPr>
            </w:pPr>
          </w:p>
        </w:tc>
        <w:tc>
          <w:tcPr>
            <w:tcW w:w="337" w:type="dxa"/>
          </w:tcPr>
          <w:p w:rsidRPr="00A436ED" w:rsidR="00CB3451" w:rsidP="00CB3451" w:rsidRDefault="00CB3451" w14:paraId="544132C8"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B3451" w:rsidP="00CB3451" w:rsidRDefault="00CB3451" w14:paraId="6445FA65" w14:textId="77777777">
            <w:pPr>
              <w:jc w:val="center"/>
              <w:rPr>
                <w:rFonts w:ascii="Arial" w:hAnsi="Arial" w:cs="Arial"/>
                <w:sz w:val="18"/>
                <w:szCs w:val="18"/>
                <w:lang w:val="en-US"/>
              </w:rPr>
            </w:pPr>
          </w:p>
        </w:tc>
        <w:tc>
          <w:tcPr>
            <w:tcW w:w="337" w:type="dxa"/>
          </w:tcPr>
          <w:p w:rsidRPr="00A436ED" w:rsidR="00CB3451" w:rsidP="00CB3451" w:rsidRDefault="00CB3451" w14:paraId="6BA3E96D"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B3451" w:rsidP="00CB3451" w:rsidRDefault="00CB3451" w14:paraId="0A3EFAA7" w14:textId="77777777">
            <w:pPr>
              <w:jc w:val="center"/>
              <w:rPr>
                <w:rFonts w:ascii="Arial" w:hAnsi="Arial" w:cs="Arial"/>
                <w:sz w:val="18"/>
                <w:szCs w:val="18"/>
                <w:lang w:val="en-US"/>
              </w:rPr>
            </w:pPr>
          </w:p>
        </w:tc>
        <w:tc>
          <w:tcPr>
            <w:tcW w:w="337" w:type="dxa"/>
          </w:tcPr>
          <w:p w:rsidRPr="00A436ED" w:rsidR="00CB3451" w:rsidP="00CB3451" w:rsidRDefault="00CB3451" w14:paraId="2D229C7B" w14:textId="77777777">
            <w:pPr>
              <w:jc w:val="center"/>
              <w:rPr>
                <w:rFonts w:ascii="Arial" w:hAnsi="Arial" w:cs="Arial"/>
                <w:sz w:val="18"/>
                <w:szCs w:val="18"/>
                <w:lang w:val="en-US"/>
              </w:rPr>
            </w:pPr>
            <w:r w:rsidRPr="00A436ED">
              <w:rPr>
                <w:rFonts w:ascii="Arial" w:hAnsi="Arial" w:cs="Arial"/>
                <w:sz w:val="18"/>
                <w:szCs w:val="18"/>
                <w:lang w:val="en-US"/>
              </w:rPr>
              <w:t>X</w:t>
            </w:r>
          </w:p>
        </w:tc>
        <w:tc>
          <w:tcPr>
            <w:tcW w:w="337" w:type="dxa"/>
          </w:tcPr>
          <w:p w:rsidRPr="00A436ED" w:rsidR="00CB3451" w:rsidP="00CB3451" w:rsidRDefault="00CB3451" w14:paraId="23D9DCEC" w14:textId="77777777">
            <w:pPr>
              <w:jc w:val="center"/>
              <w:rPr>
                <w:rFonts w:ascii="Arial" w:hAnsi="Arial" w:cs="Arial"/>
                <w:sz w:val="18"/>
                <w:szCs w:val="18"/>
                <w:lang w:val="en-US"/>
              </w:rPr>
            </w:pPr>
          </w:p>
        </w:tc>
        <w:tc>
          <w:tcPr>
            <w:tcW w:w="337" w:type="dxa"/>
          </w:tcPr>
          <w:p w:rsidRPr="00A436ED" w:rsidR="00CB3451" w:rsidP="00CB3451" w:rsidRDefault="00CB3451" w14:paraId="77FD1316" w14:textId="77777777">
            <w:pPr>
              <w:jc w:val="center"/>
              <w:rPr>
                <w:rFonts w:ascii="Arial" w:hAnsi="Arial" w:cs="Arial"/>
                <w:sz w:val="18"/>
                <w:szCs w:val="18"/>
                <w:lang w:val="en-US"/>
              </w:rPr>
            </w:pPr>
            <w:r w:rsidRPr="00A436ED">
              <w:rPr>
                <w:rFonts w:ascii="Arial" w:hAnsi="Arial" w:cs="Arial"/>
                <w:sz w:val="18"/>
                <w:szCs w:val="18"/>
                <w:lang w:val="en-US"/>
              </w:rPr>
              <w:t>X</w:t>
            </w:r>
          </w:p>
        </w:tc>
        <w:tc>
          <w:tcPr>
            <w:tcW w:w="1186" w:type="dxa"/>
            <w:vAlign w:val="center"/>
          </w:tcPr>
          <w:p w:rsidRPr="00A436ED" w:rsidR="00CB3451" w:rsidP="00A436ED" w:rsidRDefault="00CB3451" w14:paraId="42D22C87" w14:textId="6E2EF3F6">
            <w:pPr>
              <w:jc w:val="center"/>
              <w:rPr>
                <w:rFonts w:ascii="Arial" w:hAnsi="Arial" w:cs="Arial"/>
                <w:sz w:val="18"/>
                <w:szCs w:val="18"/>
                <w:lang w:val="en-US"/>
              </w:rPr>
            </w:pPr>
            <w:r w:rsidRPr="00A436ED">
              <w:rPr>
                <w:rFonts w:ascii="Arial" w:hAnsi="Arial" w:cs="Arial"/>
                <w:sz w:val="18"/>
                <w:szCs w:val="18"/>
                <w:lang w:val="en-US"/>
              </w:rPr>
              <w:t>US$</w:t>
            </w:r>
            <w:r w:rsidRPr="00A436ED" w:rsidR="008977DC">
              <w:rPr>
                <w:rFonts w:ascii="Arial" w:hAnsi="Arial" w:cs="Arial"/>
                <w:sz w:val="18"/>
                <w:szCs w:val="18"/>
                <w:lang w:val="en-US"/>
              </w:rPr>
              <w:t>6</w:t>
            </w:r>
            <w:r w:rsidRPr="00A436ED">
              <w:rPr>
                <w:rFonts w:ascii="Arial" w:hAnsi="Arial" w:cs="Arial"/>
                <w:sz w:val="18"/>
                <w:szCs w:val="18"/>
                <w:lang w:val="en-US"/>
              </w:rPr>
              <w:t>0</w:t>
            </w:r>
          </w:p>
          <w:p w:rsidRPr="00A436ED" w:rsidR="00CB3451" w:rsidP="00A436ED" w:rsidRDefault="00CB3451" w14:paraId="14030280" w14:textId="77777777">
            <w:pPr>
              <w:jc w:val="center"/>
              <w:rPr>
                <w:rFonts w:ascii="Arial" w:hAnsi="Arial" w:cs="Arial"/>
                <w:sz w:val="18"/>
                <w:szCs w:val="18"/>
                <w:lang w:val="en-US"/>
              </w:rPr>
            </w:pPr>
          </w:p>
        </w:tc>
        <w:tc>
          <w:tcPr>
            <w:tcW w:w="1337" w:type="dxa"/>
            <w:tcBorders>
              <w:bottom w:val="single" w:color="auto" w:sz="4" w:space="0"/>
            </w:tcBorders>
            <w:vAlign w:val="center"/>
          </w:tcPr>
          <w:p w:rsidRPr="00A436ED" w:rsidR="00CB3451" w:rsidP="00A436ED" w:rsidRDefault="00CB3451" w14:paraId="5283989A" w14:textId="75461CD9">
            <w:pPr>
              <w:jc w:val="center"/>
              <w:rPr>
                <w:rFonts w:ascii="Arial" w:hAnsi="Arial" w:cs="Arial"/>
                <w:sz w:val="18"/>
                <w:szCs w:val="18"/>
                <w:lang w:val="en-US"/>
              </w:rPr>
            </w:pPr>
            <w:r w:rsidRPr="00A436ED">
              <w:rPr>
                <w:rFonts w:ascii="Arial" w:hAnsi="Arial" w:cs="Arial"/>
                <w:sz w:val="18"/>
                <w:szCs w:val="18"/>
                <w:lang w:val="en-US"/>
              </w:rPr>
              <w:t>SBDC</w:t>
            </w:r>
          </w:p>
        </w:tc>
        <w:tc>
          <w:tcPr>
            <w:tcW w:w="1342" w:type="dxa"/>
            <w:tcBorders>
              <w:bottom w:val="single" w:color="auto" w:sz="4" w:space="0"/>
            </w:tcBorders>
            <w:vAlign w:val="center"/>
          </w:tcPr>
          <w:p w:rsidRPr="00A436ED" w:rsidR="00CB3451" w:rsidP="00A436ED" w:rsidRDefault="00CB3451" w14:paraId="1D823D50" w14:textId="268CD3A2">
            <w:pPr>
              <w:jc w:val="center"/>
              <w:rPr>
                <w:rFonts w:ascii="Arial" w:hAnsi="Arial" w:cs="Arial"/>
                <w:sz w:val="18"/>
                <w:szCs w:val="18"/>
                <w:lang w:val="en-US"/>
              </w:rPr>
            </w:pPr>
            <w:r w:rsidRPr="00A436ED">
              <w:rPr>
                <w:rFonts w:ascii="Arial" w:hAnsi="Arial" w:cs="Arial"/>
                <w:sz w:val="18"/>
                <w:szCs w:val="18"/>
                <w:lang w:val="en-US"/>
              </w:rPr>
              <w:t>SBDC-Program budget</w:t>
            </w:r>
          </w:p>
        </w:tc>
      </w:tr>
      <w:tr w:rsidRPr="003A54EE" w:rsidR="00CB3451" w:rsidTr="00A436ED" w14:paraId="39E8D975" w14:textId="77777777">
        <w:trPr>
          <w:jc w:val="right"/>
        </w:trPr>
        <w:tc>
          <w:tcPr>
            <w:tcW w:w="1510" w:type="dxa"/>
          </w:tcPr>
          <w:p w:rsidRPr="00A436ED" w:rsidR="00CB3451" w:rsidP="00CB3451" w:rsidRDefault="00CB3451" w14:paraId="773E7E5B" w14:textId="58646F86">
            <w:pPr>
              <w:rPr>
                <w:rFonts w:ascii="Arial" w:hAnsi="Arial" w:cs="Arial"/>
                <w:sz w:val="18"/>
                <w:szCs w:val="18"/>
                <w:lang w:val="en-US"/>
              </w:rPr>
            </w:pPr>
            <w:r w:rsidRPr="00A436ED">
              <w:rPr>
                <w:rFonts w:ascii="Arial" w:hAnsi="Arial" w:cs="Arial"/>
                <w:sz w:val="18"/>
                <w:szCs w:val="18"/>
                <w:lang w:val="en-US"/>
              </w:rPr>
              <w:t>Final evaluation: ex-post cost-benefit and PCR.</w:t>
            </w:r>
          </w:p>
        </w:tc>
        <w:tc>
          <w:tcPr>
            <w:tcW w:w="337" w:type="dxa"/>
          </w:tcPr>
          <w:p w:rsidRPr="00A436ED" w:rsidR="00CB3451" w:rsidP="00CB3451" w:rsidRDefault="00CB3451" w14:paraId="47AA5C73" w14:textId="77777777">
            <w:pPr>
              <w:jc w:val="center"/>
              <w:rPr>
                <w:rFonts w:ascii="Arial" w:hAnsi="Arial" w:cs="Arial"/>
                <w:sz w:val="18"/>
                <w:szCs w:val="18"/>
                <w:lang w:val="en-US"/>
              </w:rPr>
            </w:pPr>
          </w:p>
        </w:tc>
        <w:tc>
          <w:tcPr>
            <w:tcW w:w="337" w:type="dxa"/>
          </w:tcPr>
          <w:p w:rsidRPr="00A436ED" w:rsidR="00CB3451" w:rsidP="00CB3451" w:rsidRDefault="00CB3451" w14:paraId="6DA98D27" w14:textId="77777777">
            <w:pPr>
              <w:jc w:val="center"/>
              <w:rPr>
                <w:rFonts w:ascii="Arial" w:hAnsi="Arial" w:cs="Arial"/>
                <w:sz w:val="18"/>
                <w:szCs w:val="18"/>
                <w:lang w:val="en-US"/>
              </w:rPr>
            </w:pPr>
          </w:p>
        </w:tc>
        <w:tc>
          <w:tcPr>
            <w:tcW w:w="337" w:type="dxa"/>
          </w:tcPr>
          <w:p w:rsidRPr="00A436ED" w:rsidR="00CB3451" w:rsidP="00CB3451" w:rsidRDefault="00CB3451" w14:paraId="1C990828" w14:textId="77777777">
            <w:pPr>
              <w:jc w:val="center"/>
              <w:rPr>
                <w:rFonts w:ascii="Arial" w:hAnsi="Arial" w:cs="Arial"/>
                <w:sz w:val="18"/>
                <w:szCs w:val="18"/>
                <w:lang w:val="en-US"/>
              </w:rPr>
            </w:pPr>
          </w:p>
        </w:tc>
        <w:tc>
          <w:tcPr>
            <w:tcW w:w="337" w:type="dxa"/>
          </w:tcPr>
          <w:p w:rsidRPr="00A436ED" w:rsidR="00CB3451" w:rsidP="00CB3451" w:rsidRDefault="00CB3451" w14:paraId="35DAAB17" w14:textId="77777777">
            <w:pPr>
              <w:jc w:val="center"/>
              <w:rPr>
                <w:rFonts w:ascii="Arial" w:hAnsi="Arial" w:cs="Arial"/>
                <w:sz w:val="18"/>
                <w:szCs w:val="18"/>
                <w:lang w:val="en-US"/>
              </w:rPr>
            </w:pPr>
          </w:p>
        </w:tc>
        <w:tc>
          <w:tcPr>
            <w:tcW w:w="337" w:type="dxa"/>
          </w:tcPr>
          <w:p w:rsidRPr="00A436ED" w:rsidR="00CB3451" w:rsidP="00CB3451" w:rsidRDefault="00CB3451" w14:paraId="20E272EA" w14:textId="77777777">
            <w:pPr>
              <w:jc w:val="center"/>
              <w:rPr>
                <w:rFonts w:ascii="Arial" w:hAnsi="Arial" w:cs="Arial"/>
                <w:sz w:val="18"/>
                <w:szCs w:val="18"/>
                <w:lang w:val="en-US"/>
              </w:rPr>
            </w:pPr>
          </w:p>
        </w:tc>
        <w:tc>
          <w:tcPr>
            <w:tcW w:w="337" w:type="dxa"/>
          </w:tcPr>
          <w:p w:rsidRPr="00A436ED" w:rsidR="00CB3451" w:rsidP="00CB3451" w:rsidRDefault="00CB3451" w14:paraId="2A5F4184" w14:textId="77777777">
            <w:pPr>
              <w:jc w:val="center"/>
              <w:rPr>
                <w:rFonts w:ascii="Arial" w:hAnsi="Arial" w:cs="Arial"/>
                <w:sz w:val="18"/>
                <w:szCs w:val="18"/>
                <w:lang w:val="en-US"/>
              </w:rPr>
            </w:pPr>
          </w:p>
        </w:tc>
        <w:tc>
          <w:tcPr>
            <w:tcW w:w="337" w:type="dxa"/>
          </w:tcPr>
          <w:p w:rsidRPr="00A436ED" w:rsidR="00CB3451" w:rsidP="00CB3451" w:rsidRDefault="00CB3451" w14:paraId="23613BDF" w14:textId="77777777">
            <w:pPr>
              <w:jc w:val="center"/>
              <w:rPr>
                <w:rFonts w:ascii="Arial" w:hAnsi="Arial" w:cs="Arial"/>
                <w:sz w:val="18"/>
                <w:szCs w:val="18"/>
                <w:lang w:val="en-US"/>
              </w:rPr>
            </w:pPr>
          </w:p>
        </w:tc>
        <w:tc>
          <w:tcPr>
            <w:tcW w:w="337" w:type="dxa"/>
          </w:tcPr>
          <w:p w:rsidRPr="00A436ED" w:rsidR="00CB3451" w:rsidP="00CB3451" w:rsidRDefault="00CB3451" w14:paraId="6442A876" w14:textId="77777777">
            <w:pPr>
              <w:jc w:val="center"/>
              <w:rPr>
                <w:rFonts w:ascii="Arial" w:hAnsi="Arial" w:cs="Arial"/>
                <w:sz w:val="18"/>
                <w:szCs w:val="18"/>
                <w:lang w:val="en-US"/>
              </w:rPr>
            </w:pPr>
            <w:r w:rsidRPr="00A436ED">
              <w:rPr>
                <w:rFonts w:ascii="Arial" w:hAnsi="Arial" w:cs="Arial"/>
                <w:sz w:val="18"/>
                <w:szCs w:val="18"/>
                <w:lang w:val="en-US"/>
              </w:rPr>
              <w:t>X</w:t>
            </w:r>
          </w:p>
        </w:tc>
        <w:tc>
          <w:tcPr>
            <w:tcW w:w="1186" w:type="dxa"/>
            <w:vAlign w:val="center"/>
          </w:tcPr>
          <w:p w:rsidRPr="00A436ED" w:rsidR="00CB3451" w:rsidP="00A436ED" w:rsidRDefault="00CB3451" w14:paraId="6C459786" w14:textId="77777777">
            <w:pPr>
              <w:jc w:val="center"/>
              <w:rPr>
                <w:rFonts w:ascii="Arial" w:hAnsi="Arial" w:cs="Arial"/>
                <w:sz w:val="18"/>
                <w:szCs w:val="18"/>
                <w:lang w:val="en-US"/>
              </w:rPr>
            </w:pPr>
            <w:r w:rsidRPr="00A436ED">
              <w:rPr>
                <w:rFonts w:ascii="Arial" w:hAnsi="Arial" w:cs="Arial"/>
                <w:sz w:val="18"/>
                <w:szCs w:val="18"/>
                <w:lang w:val="en-US"/>
              </w:rPr>
              <w:t>US$15</w:t>
            </w:r>
          </w:p>
        </w:tc>
        <w:tc>
          <w:tcPr>
            <w:tcW w:w="1337" w:type="dxa"/>
            <w:tcBorders>
              <w:bottom w:val="single" w:color="auto" w:sz="4" w:space="0"/>
            </w:tcBorders>
            <w:vAlign w:val="center"/>
          </w:tcPr>
          <w:p w:rsidRPr="00A436ED" w:rsidR="00CB3451" w:rsidP="00A436ED" w:rsidRDefault="00CB3451" w14:paraId="44D2D5A8" w14:textId="2605BAFB">
            <w:pPr>
              <w:jc w:val="center"/>
              <w:rPr>
                <w:rFonts w:ascii="Arial" w:hAnsi="Arial" w:cs="Arial"/>
                <w:sz w:val="18"/>
                <w:szCs w:val="18"/>
                <w:lang w:val="en-US"/>
              </w:rPr>
            </w:pPr>
            <w:r w:rsidRPr="00A436ED">
              <w:rPr>
                <w:rFonts w:ascii="Arial" w:hAnsi="Arial" w:cs="Arial"/>
                <w:sz w:val="18"/>
                <w:szCs w:val="18"/>
                <w:lang w:val="en-US"/>
              </w:rPr>
              <w:t>SBDC/IDB</w:t>
            </w:r>
          </w:p>
        </w:tc>
        <w:tc>
          <w:tcPr>
            <w:tcW w:w="1342" w:type="dxa"/>
            <w:tcBorders>
              <w:bottom w:val="single" w:color="auto" w:sz="4" w:space="0"/>
            </w:tcBorders>
            <w:vAlign w:val="center"/>
          </w:tcPr>
          <w:p w:rsidRPr="00A436ED" w:rsidR="00CB3451" w:rsidP="00A436ED" w:rsidRDefault="00CB3451" w14:paraId="675B701C" w14:textId="555EDA20">
            <w:pPr>
              <w:jc w:val="center"/>
              <w:rPr>
                <w:rFonts w:ascii="Arial" w:hAnsi="Arial" w:cs="Arial"/>
                <w:sz w:val="18"/>
                <w:szCs w:val="18"/>
                <w:lang w:val="en-US"/>
              </w:rPr>
            </w:pPr>
            <w:r w:rsidRPr="00A436ED">
              <w:rPr>
                <w:rFonts w:ascii="Arial" w:hAnsi="Arial" w:cs="Arial"/>
                <w:sz w:val="18"/>
                <w:szCs w:val="18"/>
                <w:lang w:val="en-US"/>
              </w:rPr>
              <w:t>SBDC-Program budget</w:t>
            </w:r>
          </w:p>
        </w:tc>
      </w:tr>
      <w:tr w:rsidRPr="003A54EE" w:rsidR="00CB3451" w:rsidTr="00A436ED" w14:paraId="0DAEF5A0" w14:textId="77777777">
        <w:trPr>
          <w:jc w:val="right"/>
        </w:trPr>
        <w:tc>
          <w:tcPr>
            <w:tcW w:w="1510" w:type="dxa"/>
          </w:tcPr>
          <w:p w:rsidRPr="00A436ED" w:rsidR="00CB3451" w:rsidP="00CB3451" w:rsidRDefault="00CB3451" w14:paraId="34EB3DF0" w14:textId="055B28FC">
            <w:pPr>
              <w:rPr>
                <w:rFonts w:ascii="Arial" w:hAnsi="Arial" w:cs="Arial"/>
                <w:sz w:val="18"/>
                <w:szCs w:val="18"/>
                <w:lang w:val="en-US"/>
              </w:rPr>
            </w:pPr>
            <w:r w:rsidRPr="00A436ED">
              <w:rPr>
                <w:rFonts w:ascii="Arial" w:hAnsi="Arial" w:cs="Arial"/>
                <w:sz w:val="18"/>
                <w:szCs w:val="18"/>
                <w:lang w:val="en-US"/>
              </w:rPr>
              <w:t>Distribution and discussion of Program’s final evaluation</w:t>
            </w:r>
          </w:p>
        </w:tc>
        <w:tc>
          <w:tcPr>
            <w:tcW w:w="337" w:type="dxa"/>
          </w:tcPr>
          <w:p w:rsidRPr="00A436ED" w:rsidR="00CB3451" w:rsidP="00CB3451" w:rsidRDefault="00CB3451" w14:paraId="01C5A22B" w14:textId="77777777">
            <w:pPr>
              <w:jc w:val="center"/>
              <w:rPr>
                <w:rFonts w:ascii="Arial" w:hAnsi="Arial" w:cs="Arial"/>
                <w:sz w:val="18"/>
                <w:szCs w:val="18"/>
                <w:lang w:val="en-US"/>
              </w:rPr>
            </w:pPr>
          </w:p>
        </w:tc>
        <w:tc>
          <w:tcPr>
            <w:tcW w:w="337" w:type="dxa"/>
          </w:tcPr>
          <w:p w:rsidRPr="00A436ED" w:rsidR="00CB3451" w:rsidP="00CB3451" w:rsidRDefault="00CB3451" w14:paraId="15EAEE04" w14:textId="77777777">
            <w:pPr>
              <w:jc w:val="center"/>
              <w:rPr>
                <w:rFonts w:ascii="Arial" w:hAnsi="Arial" w:cs="Arial"/>
                <w:sz w:val="18"/>
                <w:szCs w:val="18"/>
                <w:lang w:val="en-US"/>
              </w:rPr>
            </w:pPr>
          </w:p>
        </w:tc>
        <w:tc>
          <w:tcPr>
            <w:tcW w:w="337" w:type="dxa"/>
          </w:tcPr>
          <w:p w:rsidRPr="00A436ED" w:rsidR="00CB3451" w:rsidP="00CB3451" w:rsidRDefault="00CB3451" w14:paraId="70B9D13D" w14:textId="77777777">
            <w:pPr>
              <w:jc w:val="center"/>
              <w:rPr>
                <w:rFonts w:ascii="Arial" w:hAnsi="Arial" w:cs="Arial"/>
                <w:sz w:val="18"/>
                <w:szCs w:val="18"/>
                <w:lang w:val="en-US"/>
              </w:rPr>
            </w:pPr>
          </w:p>
        </w:tc>
        <w:tc>
          <w:tcPr>
            <w:tcW w:w="337" w:type="dxa"/>
          </w:tcPr>
          <w:p w:rsidRPr="00A436ED" w:rsidR="00CB3451" w:rsidP="00CB3451" w:rsidRDefault="00CB3451" w14:paraId="239D1470" w14:textId="77777777">
            <w:pPr>
              <w:jc w:val="center"/>
              <w:rPr>
                <w:rFonts w:ascii="Arial" w:hAnsi="Arial" w:cs="Arial"/>
                <w:sz w:val="18"/>
                <w:szCs w:val="18"/>
                <w:lang w:val="en-US"/>
              </w:rPr>
            </w:pPr>
          </w:p>
        </w:tc>
        <w:tc>
          <w:tcPr>
            <w:tcW w:w="337" w:type="dxa"/>
          </w:tcPr>
          <w:p w:rsidRPr="00A436ED" w:rsidR="00CB3451" w:rsidP="00CB3451" w:rsidRDefault="00CB3451" w14:paraId="5C25C927" w14:textId="77777777">
            <w:pPr>
              <w:jc w:val="center"/>
              <w:rPr>
                <w:rFonts w:ascii="Arial" w:hAnsi="Arial" w:cs="Arial"/>
                <w:sz w:val="18"/>
                <w:szCs w:val="18"/>
                <w:lang w:val="en-US"/>
              </w:rPr>
            </w:pPr>
          </w:p>
        </w:tc>
        <w:tc>
          <w:tcPr>
            <w:tcW w:w="337" w:type="dxa"/>
          </w:tcPr>
          <w:p w:rsidRPr="00A436ED" w:rsidR="00CB3451" w:rsidP="00CB3451" w:rsidRDefault="00CB3451" w14:paraId="30A2CD69" w14:textId="77777777">
            <w:pPr>
              <w:jc w:val="center"/>
              <w:rPr>
                <w:rFonts w:ascii="Arial" w:hAnsi="Arial" w:cs="Arial"/>
                <w:sz w:val="18"/>
                <w:szCs w:val="18"/>
                <w:lang w:val="en-US"/>
              </w:rPr>
            </w:pPr>
          </w:p>
        </w:tc>
        <w:tc>
          <w:tcPr>
            <w:tcW w:w="337" w:type="dxa"/>
          </w:tcPr>
          <w:p w:rsidRPr="00A436ED" w:rsidR="00CB3451" w:rsidP="00CB3451" w:rsidRDefault="00CB3451" w14:paraId="70AF12BA" w14:textId="77777777">
            <w:pPr>
              <w:jc w:val="center"/>
              <w:rPr>
                <w:rFonts w:ascii="Arial" w:hAnsi="Arial" w:cs="Arial"/>
                <w:sz w:val="18"/>
                <w:szCs w:val="18"/>
                <w:lang w:val="en-US"/>
              </w:rPr>
            </w:pPr>
          </w:p>
        </w:tc>
        <w:tc>
          <w:tcPr>
            <w:tcW w:w="337" w:type="dxa"/>
          </w:tcPr>
          <w:p w:rsidRPr="00A436ED" w:rsidR="00CB3451" w:rsidP="00CB3451" w:rsidRDefault="00CB3451" w14:paraId="076E64C2" w14:textId="77777777">
            <w:pPr>
              <w:jc w:val="center"/>
              <w:rPr>
                <w:rFonts w:ascii="Arial" w:hAnsi="Arial" w:cs="Arial"/>
                <w:sz w:val="18"/>
                <w:szCs w:val="18"/>
                <w:lang w:val="en-US"/>
              </w:rPr>
            </w:pPr>
            <w:r w:rsidRPr="00A436ED">
              <w:rPr>
                <w:rFonts w:ascii="Arial" w:hAnsi="Arial" w:cs="Arial"/>
                <w:sz w:val="18"/>
                <w:szCs w:val="18"/>
                <w:lang w:val="en-US"/>
              </w:rPr>
              <w:t>X</w:t>
            </w:r>
          </w:p>
        </w:tc>
        <w:tc>
          <w:tcPr>
            <w:tcW w:w="1186" w:type="dxa"/>
            <w:vAlign w:val="center"/>
          </w:tcPr>
          <w:p w:rsidRPr="00A436ED" w:rsidR="00CB3451" w:rsidP="00A436ED" w:rsidRDefault="00CB3451" w14:paraId="311C0B45" w14:textId="77777777">
            <w:pPr>
              <w:jc w:val="center"/>
              <w:rPr>
                <w:rFonts w:ascii="Arial" w:hAnsi="Arial" w:cs="Arial"/>
                <w:sz w:val="18"/>
                <w:szCs w:val="18"/>
                <w:lang w:val="en-US"/>
              </w:rPr>
            </w:pPr>
            <w:r w:rsidRPr="00A436ED">
              <w:rPr>
                <w:rFonts w:ascii="Arial" w:hAnsi="Arial" w:cs="Arial"/>
                <w:sz w:val="18"/>
                <w:szCs w:val="18"/>
                <w:lang w:val="en-US"/>
              </w:rPr>
              <w:t>US$5</w:t>
            </w:r>
          </w:p>
        </w:tc>
        <w:tc>
          <w:tcPr>
            <w:tcW w:w="1337" w:type="dxa"/>
            <w:tcBorders>
              <w:bottom w:val="single" w:color="auto" w:sz="4" w:space="0"/>
            </w:tcBorders>
            <w:vAlign w:val="center"/>
          </w:tcPr>
          <w:p w:rsidRPr="00A436ED" w:rsidR="00CB3451" w:rsidP="00A436ED" w:rsidRDefault="00CB3451" w14:paraId="1BE910AA" w14:textId="2AAC2E77">
            <w:pPr>
              <w:jc w:val="center"/>
              <w:rPr>
                <w:rFonts w:ascii="Arial" w:hAnsi="Arial" w:cs="Arial"/>
                <w:sz w:val="18"/>
                <w:szCs w:val="18"/>
                <w:lang w:val="en-US"/>
              </w:rPr>
            </w:pPr>
            <w:r w:rsidRPr="00A436ED">
              <w:rPr>
                <w:rFonts w:ascii="Arial" w:hAnsi="Arial" w:cs="Arial"/>
                <w:sz w:val="18"/>
                <w:szCs w:val="18"/>
                <w:lang w:val="en-US"/>
              </w:rPr>
              <w:t>SBDC/IDB</w:t>
            </w:r>
          </w:p>
        </w:tc>
        <w:tc>
          <w:tcPr>
            <w:tcW w:w="1342" w:type="dxa"/>
            <w:tcBorders>
              <w:bottom w:val="single" w:color="auto" w:sz="4" w:space="0"/>
            </w:tcBorders>
            <w:vAlign w:val="center"/>
          </w:tcPr>
          <w:p w:rsidRPr="00A436ED" w:rsidR="00CB3451" w:rsidP="00A436ED" w:rsidRDefault="00CB3451" w14:paraId="5730FEE2" w14:textId="5F31DFAC">
            <w:pPr>
              <w:jc w:val="center"/>
              <w:rPr>
                <w:rFonts w:ascii="Arial" w:hAnsi="Arial" w:cs="Arial"/>
                <w:sz w:val="18"/>
                <w:szCs w:val="18"/>
                <w:lang w:val="en-US"/>
              </w:rPr>
            </w:pPr>
            <w:r w:rsidRPr="00A436ED">
              <w:rPr>
                <w:rFonts w:ascii="Arial" w:hAnsi="Arial" w:cs="Arial"/>
                <w:sz w:val="18"/>
                <w:szCs w:val="18"/>
                <w:lang w:val="en-US"/>
              </w:rPr>
              <w:t>SBDC-Program budget</w:t>
            </w:r>
          </w:p>
        </w:tc>
      </w:tr>
      <w:tr w:rsidRPr="00FE364E" w:rsidR="003A54EE" w:rsidTr="00410EBB" w14:paraId="2340357F" w14:textId="77777777">
        <w:trPr>
          <w:jc w:val="right"/>
        </w:trPr>
        <w:tc>
          <w:tcPr>
            <w:tcW w:w="4206" w:type="dxa"/>
            <w:gridSpan w:val="9"/>
            <w:vAlign w:val="center"/>
          </w:tcPr>
          <w:p w:rsidRPr="00A436ED" w:rsidR="003A54EE" w:rsidP="00E219DB" w:rsidRDefault="00410EBB" w14:paraId="0C11C695" w14:textId="7AC33D2C">
            <w:pPr>
              <w:rPr>
                <w:rFonts w:ascii="Arial" w:hAnsi="Arial" w:cs="Arial"/>
                <w:sz w:val="18"/>
                <w:szCs w:val="18"/>
                <w:lang w:val="en-US"/>
              </w:rPr>
            </w:pPr>
            <w:r w:rsidRPr="00A436ED">
              <w:rPr>
                <w:rFonts w:ascii="Arial" w:hAnsi="Arial" w:cs="Arial"/>
                <w:b/>
                <w:sz w:val="18"/>
                <w:szCs w:val="18"/>
                <w:lang w:val="en-US"/>
              </w:rPr>
              <w:t>Total cost</w:t>
            </w:r>
          </w:p>
        </w:tc>
        <w:tc>
          <w:tcPr>
            <w:tcW w:w="3865" w:type="dxa"/>
            <w:gridSpan w:val="3"/>
            <w:vAlign w:val="center"/>
          </w:tcPr>
          <w:p w:rsidRPr="00A436ED" w:rsidR="003A54EE" w:rsidP="00E219DB" w:rsidRDefault="003A54EE" w14:paraId="20FBF23C" w14:textId="509A2C46">
            <w:pPr>
              <w:jc w:val="center"/>
              <w:rPr>
                <w:rFonts w:ascii="Arial" w:hAnsi="Arial" w:cs="Arial"/>
                <w:sz w:val="18"/>
                <w:szCs w:val="18"/>
                <w:lang w:val="en-US"/>
              </w:rPr>
            </w:pPr>
            <w:r w:rsidRPr="00A436ED">
              <w:rPr>
                <w:rFonts w:ascii="Arial" w:hAnsi="Arial" w:cs="Arial"/>
                <w:sz w:val="18"/>
                <w:szCs w:val="18"/>
                <w:lang w:val="en-US"/>
              </w:rPr>
              <w:t>Total: US$</w:t>
            </w:r>
            <w:r w:rsidRPr="00A436ED" w:rsidR="008977DC">
              <w:rPr>
                <w:rFonts w:ascii="Arial" w:hAnsi="Arial" w:cs="Arial"/>
                <w:sz w:val="18"/>
                <w:szCs w:val="18"/>
                <w:lang w:val="en-US"/>
              </w:rPr>
              <w:t>12</w:t>
            </w:r>
            <w:r w:rsidRPr="00A436ED" w:rsidR="00635FA7">
              <w:rPr>
                <w:rFonts w:ascii="Arial" w:hAnsi="Arial" w:cs="Arial"/>
                <w:sz w:val="18"/>
                <w:szCs w:val="18"/>
                <w:lang w:val="en-US"/>
              </w:rPr>
              <w:t>0</w:t>
            </w:r>
            <w:r w:rsidRPr="00A436ED">
              <w:rPr>
                <w:rFonts w:ascii="Arial" w:hAnsi="Arial" w:cs="Arial"/>
                <w:sz w:val="18"/>
                <w:szCs w:val="18"/>
                <w:lang w:val="en-US"/>
              </w:rPr>
              <w:t xml:space="preserve"> </w:t>
            </w:r>
          </w:p>
          <w:p w:rsidRPr="00A436ED" w:rsidR="00FE364E" w:rsidP="00E219DB" w:rsidRDefault="003A54EE" w14:paraId="25680766" w14:textId="6FDB948D">
            <w:pPr>
              <w:jc w:val="center"/>
              <w:rPr>
                <w:rFonts w:ascii="Arial" w:hAnsi="Arial" w:cs="Arial"/>
                <w:sz w:val="18"/>
                <w:szCs w:val="18"/>
                <w:lang w:val="en-US"/>
              </w:rPr>
            </w:pPr>
            <w:r w:rsidRPr="00A436ED">
              <w:rPr>
                <w:rFonts w:ascii="Arial" w:hAnsi="Arial" w:cs="Arial"/>
                <w:sz w:val="18"/>
                <w:szCs w:val="18"/>
                <w:lang w:val="en-US"/>
              </w:rPr>
              <w:t>Monitor</w:t>
            </w:r>
            <w:r w:rsidRPr="00A436ED" w:rsidR="00846869">
              <w:rPr>
                <w:rFonts w:ascii="Arial" w:hAnsi="Arial" w:cs="Arial"/>
                <w:sz w:val="18"/>
                <w:szCs w:val="18"/>
                <w:lang w:val="en-US"/>
              </w:rPr>
              <w:t>ing</w:t>
            </w:r>
            <w:r w:rsidRPr="00A436ED">
              <w:rPr>
                <w:rFonts w:ascii="Arial" w:hAnsi="Arial" w:cs="Arial"/>
                <w:sz w:val="18"/>
                <w:szCs w:val="18"/>
                <w:lang w:val="en-US"/>
              </w:rPr>
              <w:t xml:space="preserve"> </w:t>
            </w:r>
            <w:r w:rsidRPr="00A436ED" w:rsidR="00FE364E">
              <w:rPr>
                <w:rFonts w:ascii="Arial" w:hAnsi="Arial" w:cs="Arial"/>
                <w:sz w:val="18"/>
                <w:szCs w:val="18"/>
                <w:lang w:val="en-US"/>
              </w:rPr>
              <w:t>and audits</w:t>
            </w:r>
            <w:r w:rsidRPr="00A436ED">
              <w:rPr>
                <w:rFonts w:ascii="Arial" w:hAnsi="Arial" w:cs="Arial"/>
                <w:sz w:val="18"/>
                <w:szCs w:val="18"/>
                <w:lang w:val="en-US"/>
              </w:rPr>
              <w:t>: US$</w:t>
            </w:r>
            <w:r w:rsidRPr="00A436ED" w:rsidR="008977DC">
              <w:rPr>
                <w:rFonts w:ascii="Arial" w:hAnsi="Arial" w:cs="Arial"/>
                <w:sz w:val="18"/>
                <w:szCs w:val="18"/>
                <w:lang w:val="en-US"/>
              </w:rPr>
              <w:t>10</w:t>
            </w:r>
            <w:r w:rsidRPr="00A436ED" w:rsidR="00897D2F">
              <w:rPr>
                <w:rFonts w:ascii="Arial" w:hAnsi="Arial" w:cs="Arial"/>
                <w:sz w:val="18"/>
                <w:szCs w:val="18"/>
                <w:lang w:val="en-US"/>
              </w:rPr>
              <w:t>0</w:t>
            </w:r>
            <w:r w:rsidRPr="00A436ED">
              <w:rPr>
                <w:rFonts w:ascii="Arial" w:hAnsi="Arial" w:cs="Arial"/>
                <w:sz w:val="18"/>
                <w:szCs w:val="18"/>
                <w:lang w:val="en-US"/>
              </w:rPr>
              <w:t xml:space="preserve"> </w:t>
            </w:r>
          </w:p>
          <w:p w:rsidRPr="00A436ED" w:rsidR="003A54EE" w:rsidP="00E219DB" w:rsidRDefault="003A54EE" w14:paraId="7C88B2CC" w14:textId="32CECAB6">
            <w:pPr>
              <w:jc w:val="center"/>
              <w:rPr>
                <w:rFonts w:ascii="Arial" w:hAnsi="Arial" w:cs="Arial"/>
                <w:sz w:val="18"/>
                <w:szCs w:val="18"/>
                <w:lang w:val="en-US"/>
              </w:rPr>
            </w:pPr>
            <w:r w:rsidRPr="00A436ED">
              <w:rPr>
                <w:rFonts w:ascii="Arial" w:hAnsi="Arial" w:cs="Arial"/>
                <w:sz w:val="18"/>
                <w:szCs w:val="18"/>
                <w:lang w:val="en-US"/>
              </w:rPr>
              <w:t>Evalua</w:t>
            </w:r>
            <w:r w:rsidRPr="00A436ED" w:rsidR="00FE364E">
              <w:rPr>
                <w:rFonts w:ascii="Arial" w:hAnsi="Arial" w:cs="Arial"/>
                <w:sz w:val="18"/>
                <w:szCs w:val="18"/>
                <w:lang w:val="en-US"/>
              </w:rPr>
              <w:t>tion</w:t>
            </w:r>
            <w:r w:rsidRPr="00A436ED">
              <w:rPr>
                <w:rFonts w:ascii="Arial" w:hAnsi="Arial" w:cs="Arial"/>
                <w:sz w:val="18"/>
                <w:szCs w:val="18"/>
                <w:lang w:val="en-US"/>
              </w:rPr>
              <w:t>: US$2</w:t>
            </w:r>
            <w:r w:rsidRPr="00A436ED" w:rsidR="00897D2F">
              <w:rPr>
                <w:rFonts w:ascii="Arial" w:hAnsi="Arial" w:cs="Arial"/>
                <w:sz w:val="18"/>
                <w:szCs w:val="18"/>
                <w:lang w:val="en-US"/>
              </w:rPr>
              <w:t>0</w:t>
            </w:r>
            <w:r w:rsidRPr="00A436ED">
              <w:rPr>
                <w:rFonts w:ascii="Arial" w:hAnsi="Arial" w:cs="Arial"/>
                <w:sz w:val="18"/>
                <w:szCs w:val="18"/>
                <w:lang w:val="en-US"/>
              </w:rPr>
              <w:t xml:space="preserve"> </w:t>
            </w:r>
          </w:p>
        </w:tc>
      </w:tr>
    </w:tbl>
    <w:p w:rsidRPr="00FE364E" w:rsidR="003A54EE" w:rsidP="003A54EE" w:rsidRDefault="003A54EE" w14:paraId="71510680" w14:textId="77777777">
      <w:pPr>
        <w:pStyle w:val="Chapter"/>
        <w:numPr>
          <w:ilvl w:val="0"/>
          <w:numId w:val="0"/>
        </w:numPr>
        <w:spacing w:before="120"/>
        <w:ind w:firstLine="288"/>
        <w:jc w:val="left"/>
        <w:rPr>
          <w:rFonts w:ascii="Arial" w:hAnsi="Arial" w:cs="Arial"/>
          <w:sz w:val="22"/>
          <w:szCs w:val="22"/>
        </w:rPr>
      </w:pPr>
    </w:p>
    <w:p w:rsidRPr="003A54EE" w:rsidR="003A54EE" w:rsidP="003A54EE" w:rsidRDefault="00F11E95" w14:paraId="4C7353A3" w14:textId="1F9285B4">
      <w:pPr>
        <w:pStyle w:val="Chapter"/>
        <w:tabs>
          <w:tab w:val="clear" w:pos="1440"/>
        </w:tabs>
        <w:spacing w:before="0"/>
        <w:ind w:left="630" w:hanging="180"/>
        <w:rPr>
          <w:rFonts w:ascii="Arial" w:hAnsi="Arial" w:cs="Arial"/>
          <w:szCs w:val="22"/>
        </w:rPr>
      </w:pPr>
      <w:bookmarkStart w:name="_Toc6175930" w:id="20"/>
      <w:bookmarkEnd w:id="17"/>
      <w:bookmarkEnd w:id="18"/>
      <w:bookmarkEnd w:id="19"/>
      <w:r>
        <w:rPr>
          <w:rFonts w:ascii="Arial" w:hAnsi="Arial" w:cs="Arial"/>
          <w:szCs w:val="22"/>
        </w:rPr>
        <w:t>Evaluation</w:t>
      </w:r>
      <w:bookmarkEnd w:id="20"/>
    </w:p>
    <w:p w:rsidRPr="003A54EE" w:rsidR="003A54EE" w:rsidP="003A54EE" w:rsidRDefault="00F11E95" w14:paraId="7F5C66DB" w14:textId="60792BBC">
      <w:pPr>
        <w:pStyle w:val="SecHeading"/>
        <w:numPr>
          <w:ilvl w:val="1"/>
          <w:numId w:val="2"/>
        </w:numPr>
        <w:tabs>
          <w:tab w:val="clear" w:pos="5400"/>
          <w:tab w:val="num" w:pos="1260"/>
        </w:tabs>
        <w:ind w:hanging="4680"/>
        <w:rPr>
          <w:rFonts w:ascii="Arial" w:hAnsi="Arial" w:cs="Arial"/>
          <w:color w:val="auto"/>
          <w:sz w:val="22"/>
          <w:szCs w:val="22"/>
          <w:lang w:val="en-US"/>
        </w:rPr>
      </w:pPr>
      <w:bookmarkStart w:name="_Toc6175931" w:id="21"/>
      <w:r>
        <w:rPr>
          <w:rFonts w:ascii="Arial" w:hAnsi="Arial" w:cs="Arial"/>
          <w:color w:val="auto"/>
          <w:sz w:val="22"/>
          <w:szCs w:val="22"/>
          <w:lang w:val="en-US"/>
        </w:rPr>
        <w:t>Evaluation Questions</w:t>
      </w:r>
      <w:bookmarkEnd w:id="21"/>
    </w:p>
    <w:p w:rsidRPr="003A54EE" w:rsidR="003A54EE" w:rsidP="00F67E37" w:rsidRDefault="003002E2" w14:paraId="16E2ED2D" w14:textId="4CE53ED0">
      <w:pPr>
        <w:pStyle w:val="Paragraph"/>
        <w:tabs>
          <w:tab w:val="clear" w:pos="2736"/>
        </w:tabs>
        <w:ind w:left="720" w:hanging="720"/>
        <w:rPr>
          <w:rFonts w:ascii="Arial" w:hAnsi="Arial" w:cs="Arial"/>
          <w:sz w:val="22"/>
          <w:szCs w:val="22"/>
        </w:rPr>
      </w:pPr>
      <w:r>
        <w:rPr>
          <w:rFonts w:ascii="Arial" w:hAnsi="Arial" w:cs="Arial"/>
          <w:sz w:val="22"/>
          <w:szCs w:val="22"/>
        </w:rPr>
        <w:t>Given the program’s characteristics, its scale</w:t>
      </w:r>
      <w:r w:rsidR="008679E8">
        <w:rPr>
          <w:rFonts w:ascii="Arial" w:hAnsi="Arial" w:cs="Arial"/>
          <w:sz w:val="22"/>
          <w:szCs w:val="22"/>
        </w:rPr>
        <w:t xml:space="preserve"> and the unfeasibility of </w:t>
      </w:r>
      <w:r w:rsidR="00EE3E4B">
        <w:rPr>
          <w:rFonts w:ascii="Arial" w:hAnsi="Arial" w:cs="Arial"/>
          <w:sz w:val="22"/>
          <w:szCs w:val="22"/>
        </w:rPr>
        <w:t>doing field surveys</w:t>
      </w:r>
      <w:r w:rsidR="000E6DB0">
        <w:rPr>
          <w:rFonts w:ascii="Arial" w:hAnsi="Arial" w:cs="Arial"/>
          <w:sz w:val="22"/>
          <w:szCs w:val="22"/>
        </w:rPr>
        <w:t xml:space="preserve">, an impact evaluation </w:t>
      </w:r>
      <w:r w:rsidR="009C44CB">
        <w:rPr>
          <w:rFonts w:ascii="Arial" w:hAnsi="Arial" w:cs="Arial"/>
          <w:sz w:val="22"/>
          <w:szCs w:val="22"/>
        </w:rPr>
        <w:t xml:space="preserve">with </w:t>
      </w:r>
      <w:proofErr w:type="gramStart"/>
      <w:r w:rsidR="009C44CB">
        <w:rPr>
          <w:rFonts w:ascii="Arial" w:hAnsi="Arial" w:cs="Arial"/>
          <w:sz w:val="22"/>
          <w:szCs w:val="22"/>
        </w:rPr>
        <w:t>sufficient</w:t>
      </w:r>
      <w:proofErr w:type="gramEnd"/>
      <w:r w:rsidR="009C44CB">
        <w:rPr>
          <w:rFonts w:ascii="Arial" w:hAnsi="Arial" w:cs="Arial"/>
          <w:sz w:val="22"/>
          <w:szCs w:val="22"/>
        </w:rPr>
        <w:t xml:space="preserve"> </w:t>
      </w:r>
      <w:r w:rsidR="004A2ABB">
        <w:rPr>
          <w:rFonts w:ascii="Arial" w:hAnsi="Arial" w:cs="Arial"/>
          <w:sz w:val="22"/>
          <w:szCs w:val="22"/>
        </w:rPr>
        <w:t xml:space="preserve">sample size, proper control group and a rich set of control variables </w:t>
      </w:r>
      <w:r w:rsidR="000E6DB0">
        <w:rPr>
          <w:rFonts w:ascii="Arial" w:hAnsi="Arial" w:cs="Arial"/>
          <w:sz w:val="22"/>
          <w:szCs w:val="22"/>
        </w:rPr>
        <w:t xml:space="preserve">is unlikely to be </w:t>
      </w:r>
      <w:r w:rsidR="009C44CB">
        <w:rPr>
          <w:rFonts w:ascii="Arial" w:hAnsi="Arial" w:cs="Arial"/>
          <w:sz w:val="22"/>
          <w:szCs w:val="22"/>
        </w:rPr>
        <w:t>implemented.</w:t>
      </w:r>
      <w:r w:rsidR="004A2ABB">
        <w:rPr>
          <w:rFonts w:ascii="Arial" w:hAnsi="Arial" w:cs="Arial"/>
          <w:sz w:val="22"/>
          <w:szCs w:val="22"/>
        </w:rPr>
        <w:t xml:space="preserve"> However, the type of </w:t>
      </w:r>
      <w:r w:rsidR="00190597">
        <w:rPr>
          <w:rFonts w:ascii="Arial" w:hAnsi="Arial" w:cs="Arial"/>
          <w:sz w:val="22"/>
          <w:szCs w:val="22"/>
        </w:rPr>
        <w:t xml:space="preserve">administrative information and </w:t>
      </w:r>
      <w:r w:rsidR="00D97D0C">
        <w:rPr>
          <w:rFonts w:ascii="Arial" w:hAnsi="Arial" w:cs="Arial"/>
          <w:sz w:val="22"/>
          <w:szCs w:val="22"/>
        </w:rPr>
        <w:t xml:space="preserve">beneficiaries’ </w:t>
      </w:r>
      <w:r w:rsidR="00190597">
        <w:rPr>
          <w:rFonts w:ascii="Arial" w:hAnsi="Arial" w:cs="Arial"/>
          <w:sz w:val="22"/>
          <w:szCs w:val="22"/>
        </w:rPr>
        <w:t>basic economic data that is going to be collected by SBDC during programs execution</w:t>
      </w:r>
      <w:r w:rsidR="00D97D0C">
        <w:rPr>
          <w:rFonts w:ascii="Arial" w:hAnsi="Arial" w:cs="Arial"/>
          <w:sz w:val="22"/>
          <w:szCs w:val="22"/>
        </w:rPr>
        <w:t xml:space="preserve"> will allow an ex-post cost-benefit analysis to be </w:t>
      </w:r>
      <w:r w:rsidR="003C71FD">
        <w:rPr>
          <w:rFonts w:ascii="Arial" w:hAnsi="Arial" w:cs="Arial"/>
          <w:sz w:val="22"/>
          <w:szCs w:val="22"/>
        </w:rPr>
        <w:t xml:space="preserve">performed. </w:t>
      </w:r>
      <w:r w:rsidR="00D97D0C">
        <w:rPr>
          <w:rFonts w:ascii="Arial" w:hAnsi="Arial" w:cs="Arial"/>
          <w:sz w:val="22"/>
          <w:szCs w:val="22"/>
        </w:rPr>
        <w:t>Hence, t</w:t>
      </w:r>
      <w:r w:rsidR="00F67E37">
        <w:rPr>
          <w:rFonts w:ascii="Arial" w:hAnsi="Arial" w:cs="Arial"/>
          <w:sz w:val="22"/>
          <w:szCs w:val="22"/>
        </w:rPr>
        <w:t>he evaluation questions will be the following:</w:t>
      </w:r>
    </w:p>
    <w:p w:rsidRPr="003A54EE" w:rsidR="003A54EE" w:rsidP="003A54EE" w:rsidRDefault="00F67E37" w14:paraId="1AB19684" w14:textId="7ABD464A">
      <w:pPr>
        <w:pStyle w:val="subpar"/>
        <w:tabs>
          <w:tab w:val="clear" w:pos="2682"/>
        </w:tabs>
        <w:ind w:left="1710" w:hanging="630"/>
        <w:rPr>
          <w:rFonts w:ascii="Arial" w:hAnsi="Arial" w:cs="Arial"/>
          <w:sz w:val="22"/>
          <w:szCs w:val="22"/>
          <w:lang w:val="en-US"/>
        </w:rPr>
      </w:pPr>
      <w:r>
        <w:rPr>
          <w:rFonts w:ascii="Arial" w:hAnsi="Arial" w:cs="Arial"/>
          <w:sz w:val="22"/>
          <w:szCs w:val="22"/>
          <w:lang w:val="en-US"/>
        </w:rPr>
        <w:t>Which is the economic value, attributable to the program, that was generated due to an increase in beneficiaries</w:t>
      </w:r>
      <w:r w:rsidR="00CD2C16">
        <w:rPr>
          <w:rFonts w:ascii="Arial" w:hAnsi="Arial" w:cs="Arial"/>
          <w:sz w:val="22"/>
          <w:szCs w:val="22"/>
          <w:lang w:val="en-US"/>
        </w:rPr>
        <w:t>’</w:t>
      </w:r>
      <w:r>
        <w:rPr>
          <w:rFonts w:ascii="Arial" w:hAnsi="Arial" w:cs="Arial"/>
          <w:sz w:val="22"/>
          <w:szCs w:val="22"/>
          <w:lang w:val="en-US"/>
        </w:rPr>
        <w:t xml:space="preserve"> </w:t>
      </w:r>
      <w:r w:rsidR="008F017B">
        <w:rPr>
          <w:rFonts w:ascii="Arial" w:hAnsi="Arial" w:cs="Arial"/>
          <w:sz w:val="22"/>
          <w:szCs w:val="22"/>
          <w:lang w:val="en-US"/>
        </w:rPr>
        <w:t>revenue</w:t>
      </w:r>
      <w:r>
        <w:rPr>
          <w:rFonts w:ascii="Arial" w:hAnsi="Arial" w:cs="Arial"/>
          <w:sz w:val="22"/>
          <w:szCs w:val="22"/>
          <w:lang w:val="en-US"/>
        </w:rPr>
        <w:t>?</w:t>
      </w:r>
    </w:p>
    <w:p w:rsidRPr="003A54EE" w:rsidR="003A54EE" w:rsidP="003A54EE" w:rsidRDefault="00767936" w14:paraId="29E7FE27" w14:textId="262A0385">
      <w:pPr>
        <w:pStyle w:val="subpar"/>
        <w:tabs>
          <w:tab w:val="clear" w:pos="2682"/>
        </w:tabs>
        <w:ind w:left="1710" w:hanging="630"/>
        <w:rPr>
          <w:rFonts w:ascii="Arial" w:hAnsi="Arial" w:cs="Arial"/>
          <w:sz w:val="22"/>
          <w:szCs w:val="22"/>
          <w:lang w:val="en-US"/>
        </w:rPr>
      </w:pPr>
      <w:r>
        <w:rPr>
          <w:rFonts w:ascii="Arial" w:hAnsi="Arial" w:cs="Arial"/>
          <w:sz w:val="22"/>
          <w:szCs w:val="22"/>
          <w:lang w:val="en-US"/>
        </w:rPr>
        <w:t>W</w:t>
      </w:r>
      <w:r w:rsidR="004C4218">
        <w:rPr>
          <w:rFonts w:ascii="Arial" w:hAnsi="Arial" w:cs="Arial"/>
          <w:sz w:val="22"/>
          <w:szCs w:val="22"/>
          <w:lang w:val="en-US"/>
        </w:rPr>
        <w:t>as the targeted success rate</w:t>
      </w:r>
      <w:r w:rsidR="008B25E2">
        <w:rPr>
          <w:rFonts w:ascii="Arial" w:hAnsi="Arial" w:cs="Arial"/>
          <w:sz w:val="22"/>
          <w:szCs w:val="22"/>
          <w:lang w:val="en-US"/>
        </w:rPr>
        <w:t xml:space="preserve"> (in terms of loan approval by banks)</w:t>
      </w:r>
      <w:r w:rsidR="004C4218">
        <w:rPr>
          <w:rFonts w:ascii="Arial" w:hAnsi="Arial" w:cs="Arial"/>
          <w:sz w:val="22"/>
          <w:szCs w:val="22"/>
          <w:lang w:val="en-US"/>
        </w:rPr>
        <w:t xml:space="preserve"> of MSME that received assistance </w:t>
      </w:r>
      <w:r w:rsidR="008B25E2">
        <w:rPr>
          <w:rFonts w:ascii="Arial" w:hAnsi="Arial" w:cs="Arial"/>
          <w:sz w:val="22"/>
          <w:szCs w:val="22"/>
          <w:lang w:val="en-US"/>
        </w:rPr>
        <w:t>by SBDC the expected?</w:t>
      </w:r>
    </w:p>
    <w:p w:rsidRPr="003A54EE" w:rsidR="003A54EE" w:rsidP="00AE240F" w:rsidRDefault="008B25E2" w14:paraId="6283A95A" w14:textId="52241CAE">
      <w:pPr>
        <w:pStyle w:val="subpar"/>
        <w:tabs>
          <w:tab w:val="clear" w:pos="2682"/>
        </w:tabs>
        <w:ind w:left="1710" w:hanging="630"/>
        <w:rPr>
          <w:rFonts w:ascii="Arial" w:hAnsi="Arial" w:cs="Arial"/>
          <w:sz w:val="22"/>
          <w:szCs w:val="22"/>
          <w:lang w:val="en-US"/>
        </w:rPr>
      </w:pPr>
      <w:r>
        <w:rPr>
          <w:rFonts w:ascii="Arial" w:hAnsi="Arial" w:cs="Arial"/>
          <w:sz w:val="22"/>
          <w:szCs w:val="22"/>
          <w:lang w:val="en-US"/>
        </w:rPr>
        <w:lastRenderedPageBreak/>
        <w:t xml:space="preserve">Did the program contribute </w:t>
      </w:r>
      <w:r w:rsidR="00490714">
        <w:rPr>
          <w:rFonts w:ascii="Arial" w:hAnsi="Arial" w:cs="Arial"/>
          <w:sz w:val="22"/>
          <w:szCs w:val="22"/>
          <w:lang w:val="en-US"/>
        </w:rPr>
        <w:t>to the expansion of the MSME loan portfolio of banks in the Bahamas?</w:t>
      </w:r>
    </w:p>
    <w:p w:rsidRPr="003A54EE" w:rsidR="003A54EE" w:rsidP="003A54EE" w:rsidRDefault="003C71FD" w14:paraId="7004C785" w14:textId="14D0240D">
      <w:pPr>
        <w:pStyle w:val="SecHeading"/>
        <w:tabs>
          <w:tab w:val="clear" w:pos="5400"/>
          <w:tab w:val="num" w:pos="1260"/>
        </w:tabs>
        <w:ind w:hanging="4680"/>
        <w:rPr>
          <w:rFonts w:ascii="Arial" w:hAnsi="Arial" w:cs="Arial"/>
          <w:color w:val="auto"/>
          <w:sz w:val="22"/>
          <w:szCs w:val="22"/>
          <w:lang w:val="en-US"/>
        </w:rPr>
      </w:pPr>
      <w:bookmarkStart w:name="_Toc6175932" w:id="22"/>
      <w:r>
        <w:rPr>
          <w:rFonts w:ascii="Arial" w:hAnsi="Arial" w:cs="Arial"/>
          <w:color w:val="auto"/>
          <w:sz w:val="22"/>
          <w:szCs w:val="22"/>
          <w:lang w:val="en-US"/>
        </w:rPr>
        <w:t>Existing knowledge</w:t>
      </w:r>
      <w:bookmarkEnd w:id="22"/>
    </w:p>
    <w:p w:rsidRPr="001C25E8" w:rsidR="00EC7F89" w:rsidP="003A54EE" w:rsidRDefault="002E7141" w14:paraId="31EE1A39" w14:textId="3E803F22">
      <w:pPr>
        <w:pStyle w:val="Paragraph"/>
        <w:tabs>
          <w:tab w:val="clear" w:pos="2736"/>
        </w:tabs>
        <w:ind w:left="720" w:hanging="720"/>
        <w:rPr>
          <w:rFonts w:ascii="Arial" w:hAnsi="Arial" w:cs="Arial"/>
          <w:sz w:val="22"/>
          <w:szCs w:val="22"/>
        </w:rPr>
      </w:pPr>
      <w:r w:rsidRPr="001C25E8">
        <w:rPr>
          <w:rFonts w:ascii="Arial" w:hAnsi="Arial" w:cs="Arial"/>
          <w:sz w:val="22"/>
          <w:szCs w:val="22"/>
        </w:rPr>
        <w:t>Partial credit guarantee funds are a key tool for promoting MSME credit, as witnessed through various programs in LAC</w:t>
      </w:r>
      <w:r w:rsidRPr="001C25E8">
        <w:rPr>
          <w:rFonts w:ascii="Arial" w:hAnsi="Arial" w:cs="Arial"/>
          <w:sz w:val="22"/>
          <w:szCs w:val="22"/>
          <w:vertAlign w:val="superscript"/>
        </w:rPr>
        <w:footnoteReference w:id="1"/>
      </w:r>
      <w:r w:rsidRPr="001C25E8">
        <w:rPr>
          <w:rFonts w:ascii="Arial" w:hAnsi="Arial" w:cs="Arial"/>
          <w:sz w:val="22"/>
          <w:szCs w:val="22"/>
        </w:rPr>
        <w:t>. They can be effective by resolving market failures related to the asymmetry of information between the financial institution and its client, and the moral hazard caused by customer behavior, as well as the lack of legal and institutional framework to secure financial transactions and ensure compliance with financial contracts. As for business advisory services and other technical assistance to MSME, empirical evidence suggests that the use of these non-financial services along with credit programs produces a positive contribution to profits and access to longer-term loans and leads to a greater likelihood of timely payment by debtors</w:t>
      </w:r>
      <w:r w:rsidRPr="001C25E8">
        <w:rPr>
          <w:rFonts w:ascii="Arial" w:hAnsi="Arial" w:cs="Arial"/>
          <w:sz w:val="22"/>
          <w:szCs w:val="22"/>
          <w:vertAlign w:val="superscript"/>
        </w:rPr>
        <w:footnoteReference w:id="2"/>
      </w:r>
      <w:r w:rsidRPr="001C25E8">
        <w:rPr>
          <w:rFonts w:ascii="Arial" w:hAnsi="Arial" w:cs="Arial"/>
          <w:sz w:val="22"/>
          <w:szCs w:val="22"/>
        </w:rPr>
        <w:t>.</w:t>
      </w:r>
    </w:p>
    <w:p w:rsidRPr="00A436ED" w:rsidR="000C6386" w:rsidP="00A436ED" w:rsidRDefault="00287B21" w14:paraId="56F26ABE" w14:textId="3019239D">
      <w:pPr>
        <w:pStyle w:val="Paragraph"/>
        <w:tabs>
          <w:tab w:val="clear" w:pos="2736"/>
        </w:tabs>
        <w:ind w:left="720" w:hanging="720"/>
        <w:rPr>
          <w:rFonts w:ascii="Arial" w:hAnsi="Arial" w:cs="Arial"/>
          <w:sz w:val="22"/>
          <w:szCs w:val="22"/>
        </w:rPr>
      </w:pPr>
      <w:r w:rsidRPr="001C25E8">
        <w:rPr>
          <w:rFonts w:ascii="Arial" w:hAnsi="Arial" w:cs="Arial"/>
          <w:sz w:val="22"/>
          <w:szCs w:val="22"/>
        </w:rPr>
        <w:t>Evidence from different MSME guarantee funds in the region (</w:t>
      </w:r>
      <w:r w:rsidRPr="00CD2C16" w:rsidR="00656C5F">
        <w:rPr>
          <w:rFonts w:ascii="Arial" w:hAnsi="Arial" w:cs="Arial"/>
          <w:sz w:val="22"/>
          <w:szCs w:val="22"/>
        </w:rPr>
        <w:t>Chile,</w:t>
      </w:r>
      <w:r w:rsidRPr="00656C5F" w:rsidR="00656C5F">
        <w:rPr>
          <w:rFonts w:ascii="Arial" w:hAnsi="Arial" w:cs="Arial"/>
          <w:sz w:val="22"/>
          <w:szCs w:val="22"/>
          <w:vertAlign w:val="superscript"/>
          <w:lang w:val="es-ES_tradnl"/>
        </w:rPr>
        <w:footnoteReference w:id="3"/>
      </w:r>
      <w:r w:rsidRPr="00CD2C16" w:rsidR="00656C5F">
        <w:rPr>
          <w:rFonts w:ascii="Arial" w:hAnsi="Arial" w:cs="Arial"/>
          <w:sz w:val="22"/>
          <w:szCs w:val="22"/>
        </w:rPr>
        <w:t xml:space="preserve"> Peru,</w:t>
      </w:r>
      <w:r w:rsidRPr="00656C5F" w:rsidR="00656C5F">
        <w:rPr>
          <w:rFonts w:ascii="Arial" w:hAnsi="Arial" w:cs="Arial"/>
          <w:sz w:val="22"/>
          <w:szCs w:val="22"/>
          <w:vertAlign w:val="superscript"/>
          <w:lang w:val="es-ES_tradnl"/>
        </w:rPr>
        <w:footnoteReference w:id="4"/>
      </w:r>
      <w:r w:rsidRPr="00CD2C16" w:rsidR="00656C5F">
        <w:rPr>
          <w:rFonts w:ascii="Arial" w:hAnsi="Arial" w:cs="Arial"/>
          <w:sz w:val="22"/>
          <w:szCs w:val="22"/>
        </w:rPr>
        <w:t xml:space="preserve"> Colombia</w:t>
      </w:r>
      <w:r w:rsidRPr="00656C5F" w:rsidR="00656C5F">
        <w:rPr>
          <w:rFonts w:ascii="Arial" w:hAnsi="Arial" w:cs="Arial"/>
          <w:sz w:val="22"/>
          <w:szCs w:val="22"/>
          <w:vertAlign w:val="superscript"/>
          <w:lang w:val="es-ES_tradnl"/>
        </w:rPr>
        <w:footnoteReference w:id="5"/>
      </w:r>
      <w:r w:rsidRPr="001C25E8">
        <w:rPr>
          <w:rFonts w:ascii="Arial" w:hAnsi="Arial" w:cs="Arial"/>
          <w:sz w:val="22"/>
          <w:szCs w:val="22"/>
        </w:rPr>
        <w:t>) show that they have helped obtain suitable financing amounts, terms and conditions relative to their needs. These interventions showed generally positive trends in investment, productivity, employment, and revenues.</w:t>
      </w:r>
      <w:r w:rsidRPr="001C25E8" w:rsidR="00601E3D">
        <w:rPr>
          <w:rFonts w:ascii="Arial" w:hAnsi="Arial" w:cs="Arial"/>
          <w:sz w:val="22"/>
          <w:szCs w:val="22"/>
        </w:rPr>
        <w:t xml:space="preserve"> For example, the impact evaluation carried for Chile’s </w:t>
      </w:r>
      <w:proofErr w:type="spellStart"/>
      <w:r w:rsidRPr="001C25E8" w:rsidR="00601E3D">
        <w:rPr>
          <w:rFonts w:ascii="Arial" w:hAnsi="Arial" w:cs="Arial"/>
          <w:sz w:val="22"/>
          <w:szCs w:val="22"/>
        </w:rPr>
        <w:t>Fondo</w:t>
      </w:r>
      <w:proofErr w:type="spellEnd"/>
      <w:r w:rsidRPr="001C25E8" w:rsidR="00601E3D">
        <w:rPr>
          <w:rFonts w:ascii="Arial" w:hAnsi="Arial" w:cs="Arial"/>
          <w:sz w:val="22"/>
          <w:szCs w:val="22"/>
        </w:rPr>
        <w:t xml:space="preserve"> de </w:t>
      </w:r>
      <w:proofErr w:type="spellStart"/>
      <w:r w:rsidRPr="001C25E8" w:rsidR="00601E3D">
        <w:rPr>
          <w:rFonts w:ascii="Arial" w:hAnsi="Arial" w:cs="Arial"/>
          <w:sz w:val="22"/>
          <w:szCs w:val="22"/>
        </w:rPr>
        <w:t>Garantía</w:t>
      </w:r>
      <w:proofErr w:type="spellEnd"/>
      <w:r w:rsidRPr="001C25E8" w:rsidR="00601E3D">
        <w:rPr>
          <w:rFonts w:ascii="Arial" w:hAnsi="Arial" w:cs="Arial"/>
          <w:sz w:val="22"/>
          <w:szCs w:val="22"/>
        </w:rPr>
        <w:t xml:space="preserve"> para </w:t>
      </w:r>
      <w:proofErr w:type="spellStart"/>
      <w:r w:rsidRPr="001C25E8" w:rsidR="00601E3D">
        <w:rPr>
          <w:rFonts w:ascii="Arial" w:hAnsi="Arial" w:cs="Arial"/>
          <w:sz w:val="22"/>
          <w:szCs w:val="22"/>
        </w:rPr>
        <w:t>Pequeños</w:t>
      </w:r>
      <w:proofErr w:type="spellEnd"/>
      <w:r w:rsidRPr="001C25E8" w:rsidR="00601E3D">
        <w:rPr>
          <w:rFonts w:ascii="Arial" w:hAnsi="Arial" w:cs="Arial"/>
          <w:sz w:val="22"/>
          <w:szCs w:val="22"/>
        </w:rPr>
        <w:t xml:space="preserve"> Empresarios (FOGAPE) found that beneficiaries from these guarantees had, on average, 6% higher sales and a higher 4% profit</w:t>
      </w:r>
      <w:r w:rsidRPr="001C25E8" w:rsidR="00601E3D">
        <w:rPr>
          <w:rFonts w:ascii="Arial" w:hAnsi="Arial" w:cs="Arial"/>
          <w:sz w:val="22"/>
          <w:szCs w:val="22"/>
          <w:vertAlign w:val="superscript"/>
        </w:rPr>
        <w:footnoteReference w:id="6"/>
      </w:r>
      <w:r w:rsidRPr="001C25E8" w:rsidR="00601E3D">
        <w:rPr>
          <w:rFonts w:ascii="Arial" w:hAnsi="Arial" w:cs="Arial"/>
          <w:sz w:val="22"/>
          <w:szCs w:val="22"/>
        </w:rPr>
        <w:t xml:space="preserve">. Similarly, the impact evaluation for Colombia’s </w:t>
      </w:r>
      <w:proofErr w:type="spellStart"/>
      <w:r w:rsidRPr="001C25E8" w:rsidR="00601E3D">
        <w:rPr>
          <w:rFonts w:ascii="Arial" w:hAnsi="Arial" w:cs="Arial"/>
          <w:sz w:val="22"/>
          <w:szCs w:val="22"/>
        </w:rPr>
        <w:t>Fondo</w:t>
      </w:r>
      <w:proofErr w:type="spellEnd"/>
      <w:r w:rsidRPr="001C25E8" w:rsidR="00601E3D">
        <w:rPr>
          <w:rFonts w:ascii="Arial" w:hAnsi="Arial" w:cs="Arial"/>
          <w:sz w:val="22"/>
          <w:szCs w:val="22"/>
        </w:rPr>
        <w:t xml:space="preserve"> Nacional de </w:t>
      </w:r>
      <w:proofErr w:type="spellStart"/>
      <w:r w:rsidRPr="001C25E8" w:rsidR="00601E3D">
        <w:rPr>
          <w:rFonts w:ascii="Arial" w:hAnsi="Arial" w:cs="Arial"/>
          <w:sz w:val="22"/>
          <w:szCs w:val="22"/>
        </w:rPr>
        <w:t>Garantías</w:t>
      </w:r>
      <w:proofErr w:type="spellEnd"/>
      <w:r w:rsidRPr="001C25E8" w:rsidR="00601E3D">
        <w:rPr>
          <w:rFonts w:ascii="Arial" w:hAnsi="Arial" w:cs="Arial"/>
          <w:sz w:val="22"/>
          <w:szCs w:val="22"/>
        </w:rPr>
        <w:t xml:space="preserve"> (FNG) found that the sales of beneficiaries grew 8% more on average that their counterfactual</w:t>
      </w:r>
      <w:r w:rsidRPr="001C25E8" w:rsidR="00601E3D">
        <w:rPr>
          <w:rFonts w:ascii="Arial" w:hAnsi="Arial" w:cs="Arial"/>
          <w:sz w:val="22"/>
          <w:szCs w:val="22"/>
          <w:vertAlign w:val="superscript"/>
        </w:rPr>
        <w:footnoteReference w:id="7"/>
      </w:r>
      <w:r w:rsidRPr="001C25E8" w:rsidR="00601E3D">
        <w:rPr>
          <w:rFonts w:ascii="Arial" w:hAnsi="Arial" w:cs="Arial"/>
          <w:sz w:val="22"/>
          <w:szCs w:val="22"/>
        </w:rPr>
        <w:t>. A more recent impact evaluation for credit guarantees programs for SME in Europe found that, after two years of treatment, the sales of the beneficiaries rose by 14,8 percentage points above the control group</w:t>
      </w:r>
      <w:r w:rsidRPr="001C25E8" w:rsidR="00601E3D">
        <w:rPr>
          <w:rFonts w:ascii="Arial" w:hAnsi="Arial" w:cs="Arial"/>
          <w:sz w:val="22"/>
          <w:szCs w:val="22"/>
          <w:vertAlign w:val="superscript"/>
        </w:rPr>
        <w:footnoteReference w:id="8"/>
      </w:r>
      <w:r w:rsidRPr="001C25E8" w:rsidR="00601E3D">
        <w:rPr>
          <w:rFonts w:ascii="Arial" w:hAnsi="Arial" w:cs="Arial"/>
          <w:sz w:val="22"/>
          <w:szCs w:val="22"/>
        </w:rPr>
        <w:t>.</w:t>
      </w:r>
    </w:p>
    <w:p w:rsidRPr="003A54EE" w:rsidR="003A54EE" w:rsidP="003A54EE" w:rsidRDefault="000C6386" w14:paraId="466ACD76" w14:textId="7D211246">
      <w:pPr>
        <w:pStyle w:val="SecHeading"/>
        <w:tabs>
          <w:tab w:val="clear" w:pos="5400"/>
          <w:tab w:val="num" w:pos="1260"/>
        </w:tabs>
        <w:ind w:hanging="4680"/>
        <w:rPr>
          <w:rFonts w:ascii="Arial" w:hAnsi="Arial" w:cs="Arial"/>
          <w:color w:val="auto"/>
          <w:sz w:val="22"/>
          <w:szCs w:val="22"/>
          <w:lang w:val="en-US"/>
        </w:rPr>
      </w:pPr>
      <w:bookmarkStart w:name="_Toc6175933" w:id="23"/>
      <w:r>
        <w:rPr>
          <w:rFonts w:ascii="Arial" w:hAnsi="Arial" w:cs="Arial"/>
          <w:color w:val="auto"/>
          <w:sz w:val="22"/>
          <w:szCs w:val="22"/>
          <w:lang w:val="en-US"/>
        </w:rPr>
        <w:t>Results Indicators</w:t>
      </w:r>
      <w:bookmarkEnd w:id="23"/>
    </w:p>
    <w:p w:rsidRPr="00A436ED" w:rsidR="004449E8" w:rsidP="00A436ED" w:rsidRDefault="000C6386" w14:paraId="0709E734" w14:textId="75048FD8">
      <w:pPr>
        <w:pStyle w:val="Paragraph"/>
        <w:tabs>
          <w:tab w:val="clear" w:pos="2736"/>
        </w:tabs>
        <w:ind w:left="720" w:hanging="720"/>
        <w:rPr>
          <w:rFonts w:ascii="Arial" w:hAnsi="Arial" w:cs="Arial"/>
          <w:sz w:val="22"/>
          <w:szCs w:val="22"/>
        </w:rPr>
      </w:pPr>
      <w:r>
        <w:rPr>
          <w:rFonts w:ascii="Arial" w:hAnsi="Arial" w:cs="Arial"/>
          <w:sz w:val="22"/>
          <w:szCs w:val="22"/>
        </w:rPr>
        <w:t xml:space="preserve">Key results indicators are described in </w:t>
      </w:r>
      <w:r>
        <w:rPr>
          <w:rFonts w:ascii="Arial" w:hAnsi="Arial" w:cs="Arial"/>
          <w:sz w:val="22"/>
          <w:szCs w:val="22"/>
        </w:rPr>
        <w:fldChar w:fldCharType="begin"/>
      </w:r>
      <w:r>
        <w:rPr>
          <w:rFonts w:ascii="Arial" w:hAnsi="Arial" w:cs="Arial"/>
          <w:sz w:val="22"/>
          <w:szCs w:val="22"/>
        </w:rPr>
        <w:instrText xml:space="preserve"> REF _Ref6157761 \h  \* MERGEFORMAT </w:instrText>
      </w:r>
      <w:r>
        <w:rPr>
          <w:rFonts w:ascii="Arial" w:hAnsi="Arial" w:cs="Arial"/>
          <w:sz w:val="22"/>
          <w:szCs w:val="22"/>
        </w:rPr>
      </w:r>
      <w:r>
        <w:rPr>
          <w:rFonts w:ascii="Arial" w:hAnsi="Arial" w:cs="Arial"/>
          <w:sz w:val="22"/>
          <w:szCs w:val="22"/>
        </w:rPr>
        <w:fldChar w:fldCharType="end"/>
      </w:r>
      <w:r>
        <w:rPr>
          <w:rFonts w:ascii="Arial" w:hAnsi="Arial" w:cs="Arial"/>
          <w:sz w:val="22"/>
          <w:szCs w:val="22"/>
        </w:rPr>
        <w:fldChar w:fldCharType="begin"/>
      </w:r>
      <w:r>
        <w:rPr>
          <w:rFonts w:ascii="Arial" w:hAnsi="Arial" w:cs="Arial"/>
          <w:sz w:val="22"/>
          <w:szCs w:val="22"/>
        </w:rPr>
        <w:instrText xml:space="preserve"> REF _Ref6141478 \h  \* MERGEFORMAT </w:instrText>
      </w:r>
      <w:r>
        <w:rPr>
          <w:rFonts w:ascii="Arial" w:hAnsi="Arial" w:cs="Arial"/>
          <w:sz w:val="22"/>
          <w:szCs w:val="22"/>
        </w:rPr>
      </w:r>
      <w:r>
        <w:rPr>
          <w:rFonts w:ascii="Arial" w:hAnsi="Arial" w:cs="Arial"/>
          <w:sz w:val="22"/>
          <w:szCs w:val="22"/>
        </w:rPr>
        <w:fldChar w:fldCharType="separate"/>
      </w:r>
      <w:r w:rsidRPr="000C6386">
        <w:rPr>
          <w:rFonts w:ascii="Arial" w:hAnsi="Arial" w:cs="Arial"/>
          <w:sz w:val="22"/>
          <w:szCs w:val="22"/>
        </w:rPr>
        <w:t>Table 1</w:t>
      </w:r>
      <w:r>
        <w:rPr>
          <w:rFonts w:ascii="Arial" w:hAnsi="Arial" w:cs="Arial"/>
          <w:sz w:val="22"/>
          <w:szCs w:val="22"/>
        </w:rPr>
        <w:fldChar w:fldCharType="end"/>
      </w:r>
      <w:r w:rsidRPr="003A54EE" w:rsidR="003A54EE">
        <w:rPr>
          <w:rFonts w:ascii="Arial" w:hAnsi="Arial" w:cs="Arial"/>
          <w:sz w:val="22"/>
          <w:szCs w:val="22"/>
        </w:rPr>
        <w:t>.</w:t>
      </w:r>
    </w:p>
    <w:p w:rsidRPr="003A54EE" w:rsidR="003A54EE" w:rsidP="003A54EE" w:rsidRDefault="008D2CEB" w14:paraId="15891893" w14:textId="73CEA6C1">
      <w:pPr>
        <w:pStyle w:val="SecHeading"/>
        <w:tabs>
          <w:tab w:val="clear" w:pos="5400"/>
          <w:tab w:val="num" w:pos="1260"/>
        </w:tabs>
        <w:ind w:hanging="4680"/>
        <w:rPr>
          <w:rFonts w:ascii="Arial" w:hAnsi="Arial" w:cs="Arial"/>
          <w:color w:val="auto"/>
          <w:sz w:val="22"/>
          <w:szCs w:val="22"/>
          <w:lang w:val="en-US"/>
        </w:rPr>
      </w:pPr>
      <w:bookmarkStart w:name="_Toc6175934" w:id="24"/>
      <w:r>
        <w:rPr>
          <w:rFonts w:ascii="Arial" w:hAnsi="Arial" w:cs="Arial"/>
          <w:color w:val="auto"/>
          <w:sz w:val="22"/>
          <w:szCs w:val="22"/>
          <w:lang w:val="en-US"/>
        </w:rPr>
        <w:t>Methodology</w:t>
      </w:r>
      <w:bookmarkEnd w:id="24"/>
    </w:p>
    <w:p w:rsidR="002D1B35" w:rsidP="003A54EE" w:rsidRDefault="00017F3B" w14:paraId="789F9F4C" w14:textId="392131FC">
      <w:pPr>
        <w:pStyle w:val="Paragraph"/>
        <w:tabs>
          <w:tab w:val="clear" w:pos="2736"/>
          <w:tab w:val="num" w:pos="720"/>
        </w:tabs>
        <w:ind w:left="720" w:hanging="720"/>
        <w:rPr>
          <w:rFonts w:ascii="Arial" w:hAnsi="Arial" w:cs="Arial"/>
          <w:sz w:val="22"/>
          <w:szCs w:val="22"/>
        </w:rPr>
      </w:pPr>
      <w:r>
        <w:rPr>
          <w:rFonts w:ascii="Arial" w:hAnsi="Arial" w:cs="Arial"/>
          <w:b/>
          <w:sz w:val="22"/>
          <w:szCs w:val="22"/>
        </w:rPr>
        <w:t>Ex-post Cost-Benefit</w:t>
      </w:r>
      <w:r w:rsidRPr="003A54EE" w:rsidR="003A54EE">
        <w:rPr>
          <w:rFonts w:ascii="Arial" w:hAnsi="Arial" w:cs="Arial"/>
          <w:sz w:val="22"/>
          <w:szCs w:val="22"/>
        </w:rPr>
        <w:t xml:space="preserve">. </w:t>
      </w:r>
      <w:r w:rsidR="002D1B35">
        <w:rPr>
          <w:rFonts w:ascii="Arial" w:hAnsi="Arial" w:cs="Arial"/>
          <w:sz w:val="22"/>
          <w:szCs w:val="22"/>
        </w:rPr>
        <w:t xml:space="preserve">The ex-post evaluation will employ the same cost-benefit model used in the </w:t>
      </w:r>
      <w:r w:rsidR="00033134">
        <w:rPr>
          <w:rFonts w:ascii="Arial" w:hAnsi="Arial" w:cs="Arial"/>
          <w:sz w:val="22"/>
          <w:szCs w:val="22"/>
        </w:rPr>
        <w:t xml:space="preserve">ex-ante Economic Analysis of the program, but, this time, the projected and estimated data will be replaced by actual data gathered from project’s execution (for the corresponding years of the </w:t>
      </w:r>
      <w:r w:rsidR="00EC01EE">
        <w:rPr>
          <w:rFonts w:ascii="Arial" w:hAnsi="Arial" w:cs="Arial"/>
          <w:sz w:val="22"/>
          <w:szCs w:val="22"/>
        </w:rPr>
        <w:t>timeline present in the model)</w:t>
      </w:r>
      <w:r w:rsidR="00033134">
        <w:rPr>
          <w:rFonts w:ascii="Arial" w:hAnsi="Arial" w:cs="Arial"/>
          <w:sz w:val="22"/>
          <w:szCs w:val="22"/>
        </w:rPr>
        <w:t>.</w:t>
      </w:r>
    </w:p>
    <w:p w:rsidRPr="003A54EE" w:rsidR="003A54EE" w:rsidP="003A54EE" w:rsidRDefault="00EC01EE" w14:paraId="24CF9E68" w14:textId="16FC1CA2">
      <w:pPr>
        <w:pStyle w:val="Paragraph"/>
        <w:tabs>
          <w:tab w:val="clear" w:pos="2736"/>
          <w:tab w:val="num" w:pos="720"/>
        </w:tabs>
        <w:ind w:left="720" w:hanging="720"/>
        <w:rPr>
          <w:rFonts w:ascii="Arial" w:hAnsi="Arial" w:cs="Arial"/>
          <w:sz w:val="22"/>
          <w:szCs w:val="22"/>
        </w:rPr>
      </w:pPr>
      <w:proofErr w:type="gramStart"/>
      <w:r>
        <w:rPr>
          <w:rFonts w:ascii="Arial" w:hAnsi="Arial" w:cs="Arial"/>
          <w:sz w:val="22"/>
          <w:szCs w:val="22"/>
        </w:rPr>
        <w:t>Similar to</w:t>
      </w:r>
      <w:proofErr w:type="gramEnd"/>
      <w:r>
        <w:rPr>
          <w:rFonts w:ascii="Arial" w:hAnsi="Arial" w:cs="Arial"/>
          <w:sz w:val="22"/>
          <w:szCs w:val="22"/>
        </w:rPr>
        <w:t xml:space="preserve"> the ex-ante analysis, </w:t>
      </w:r>
      <w:r w:rsidR="007969D4">
        <w:rPr>
          <w:rFonts w:ascii="Arial" w:hAnsi="Arial" w:cs="Arial"/>
          <w:sz w:val="22"/>
          <w:szCs w:val="22"/>
        </w:rPr>
        <w:t xml:space="preserve">net benefits will </w:t>
      </w:r>
      <w:r w:rsidR="00160D86">
        <w:rPr>
          <w:rFonts w:ascii="Arial" w:hAnsi="Arial" w:cs="Arial"/>
          <w:sz w:val="22"/>
          <w:szCs w:val="22"/>
        </w:rPr>
        <w:t>arise from</w:t>
      </w:r>
      <w:r w:rsidR="008F73B8">
        <w:rPr>
          <w:rFonts w:ascii="Arial" w:hAnsi="Arial" w:cs="Arial"/>
          <w:sz w:val="22"/>
          <w:szCs w:val="22"/>
        </w:rPr>
        <w:t xml:space="preserve"> increased sales expected as a result of the investments </w:t>
      </w:r>
      <w:r w:rsidR="000D3B4E">
        <w:rPr>
          <w:rFonts w:ascii="Arial" w:hAnsi="Arial" w:cs="Arial"/>
          <w:sz w:val="22"/>
          <w:szCs w:val="22"/>
        </w:rPr>
        <w:t>realized</w:t>
      </w:r>
      <w:r w:rsidR="00160D86">
        <w:rPr>
          <w:rFonts w:ascii="Arial" w:hAnsi="Arial" w:cs="Arial"/>
          <w:sz w:val="22"/>
          <w:szCs w:val="22"/>
        </w:rPr>
        <w:t xml:space="preserve"> </w:t>
      </w:r>
      <w:r w:rsidR="008C314B">
        <w:rPr>
          <w:rFonts w:ascii="Arial" w:hAnsi="Arial" w:cs="Arial"/>
          <w:sz w:val="22"/>
          <w:szCs w:val="22"/>
        </w:rPr>
        <w:t xml:space="preserve">due </w:t>
      </w:r>
      <w:r w:rsidR="00160D86">
        <w:rPr>
          <w:rFonts w:ascii="Arial" w:hAnsi="Arial" w:cs="Arial"/>
          <w:sz w:val="22"/>
          <w:szCs w:val="22"/>
        </w:rPr>
        <w:t>to the program. In the ex-ante analysis, a</w:t>
      </w:r>
      <w:r w:rsidR="004466D4">
        <w:rPr>
          <w:rFonts w:ascii="Arial" w:hAnsi="Arial" w:cs="Arial"/>
          <w:sz w:val="22"/>
          <w:szCs w:val="22"/>
        </w:rPr>
        <w:t>n</w:t>
      </w:r>
      <w:r w:rsidR="00160D86">
        <w:rPr>
          <w:rFonts w:ascii="Arial" w:hAnsi="Arial" w:cs="Arial"/>
          <w:sz w:val="22"/>
          <w:szCs w:val="22"/>
        </w:rPr>
        <w:t xml:space="preserve"> </w:t>
      </w:r>
      <w:r w:rsidR="00160D86">
        <w:rPr>
          <w:rFonts w:ascii="Arial" w:hAnsi="Arial" w:cs="Arial"/>
          <w:sz w:val="22"/>
          <w:szCs w:val="22"/>
        </w:rPr>
        <w:lastRenderedPageBreak/>
        <w:t>improvement of cost in the long run also contributed to the benefits</w:t>
      </w:r>
      <w:r w:rsidR="00E95D14">
        <w:rPr>
          <w:rFonts w:ascii="Arial" w:hAnsi="Arial" w:cs="Arial"/>
          <w:sz w:val="22"/>
          <w:szCs w:val="22"/>
        </w:rPr>
        <w:t xml:space="preserve">. Although </w:t>
      </w:r>
      <w:r w:rsidR="004D23EE">
        <w:rPr>
          <w:rFonts w:ascii="Arial" w:hAnsi="Arial" w:cs="Arial"/>
          <w:sz w:val="22"/>
          <w:szCs w:val="22"/>
        </w:rPr>
        <w:t>these costs reductions</w:t>
      </w:r>
      <w:r w:rsidR="00E95D14">
        <w:rPr>
          <w:rFonts w:ascii="Arial" w:hAnsi="Arial" w:cs="Arial"/>
          <w:sz w:val="22"/>
          <w:szCs w:val="22"/>
        </w:rPr>
        <w:t xml:space="preserve"> are not expected in the short run (during project’s execution)</w:t>
      </w:r>
      <w:r w:rsidR="00415D0B">
        <w:rPr>
          <w:rFonts w:ascii="Arial" w:hAnsi="Arial" w:cs="Arial"/>
          <w:sz w:val="22"/>
          <w:szCs w:val="22"/>
        </w:rPr>
        <w:t xml:space="preserve">, the ex-post analysis will look for </w:t>
      </w:r>
      <w:r w:rsidR="00354161">
        <w:rPr>
          <w:rFonts w:ascii="Arial" w:hAnsi="Arial" w:cs="Arial"/>
          <w:sz w:val="22"/>
          <w:szCs w:val="22"/>
        </w:rPr>
        <w:t>possible improvements in costs that can be included in the calculations</w:t>
      </w:r>
      <w:r w:rsidR="004D23EE">
        <w:rPr>
          <w:rFonts w:ascii="Arial" w:hAnsi="Arial" w:cs="Arial"/>
          <w:sz w:val="22"/>
          <w:szCs w:val="22"/>
        </w:rPr>
        <w:t>. For a detailed description of the cost-benefit model see the Economic Analysis of the project.</w:t>
      </w:r>
    </w:p>
    <w:p w:rsidR="003A54EE" w:rsidP="003A54EE" w:rsidRDefault="006D7FBD" w14:paraId="4BFCB3D4" w14:textId="041463C5">
      <w:pPr>
        <w:pStyle w:val="Paragraph"/>
        <w:tabs>
          <w:tab w:val="clear" w:pos="2736"/>
          <w:tab w:val="num" w:pos="720"/>
        </w:tabs>
        <w:ind w:left="720" w:hanging="72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REF _Ref6159580 \h </w:instrText>
      </w:r>
      <w:r w:rsidR="00D2627C">
        <w:rPr>
          <w:rFonts w:ascii="Arial" w:hAnsi="Arial" w:cs="Arial"/>
          <w:sz w:val="22"/>
          <w:szCs w:val="22"/>
        </w:rPr>
        <w:instrText xml:space="preserve"> \* MERGEFORMAT </w:instrText>
      </w:r>
      <w:r>
        <w:rPr>
          <w:rFonts w:ascii="Arial" w:hAnsi="Arial" w:cs="Arial"/>
          <w:sz w:val="22"/>
          <w:szCs w:val="22"/>
        </w:rPr>
      </w:r>
      <w:r>
        <w:rPr>
          <w:rFonts w:ascii="Arial" w:hAnsi="Arial" w:cs="Arial"/>
          <w:sz w:val="22"/>
          <w:szCs w:val="22"/>
        </w:rPr>
        <w:fldChar w:fldCharType="separate"/>
      </w:r>
      <w:r w:rsidRPr="00D2627C">
        <w:rPr>
          <w:rFonts w:ascii="Arial" w:hAnsi="Arial" w:cs="Arial"/>
          <w:sz w:val="22"/>
          <w:szCs w:val="22"/>
        </w:rPr>
        <w:t>Table 4</w:t>
      </w:r>
      <w:r>
        <w:rPr>
          <w:rFonts w:ascii="Arial" w:hAnsi="Arial" w:cs="Arial"/>
          <w:sz w:val="22"/>
          <w:szCs w:val="22"/>
        </w:rPr>
        <w:fldChar w:fldCharType="end"/>
      </w:r>
      <w:r>
        <w:rPr>
          <w:rFonts w:ascii="Arial" w:hAnsi="Arial" w:cs="Arial"/>
          <w:sz w:val="22"/>
          <w:szCs w:val="22"/>
        </w:rPr>
        <w:t xml:space="preserve"> describes the </w:t>
      </w:r>
      <w:r w:rsidR="00C439A7">
        <w:rPr>
          <w:rFonts w:ascii="Arial" w:hAnsi="Arial" w:cs="Arial"/>
          <w:sz w:val="22"/>
          <w:szCs w:val="22"/>
        </w:rPr>
        <w:t>variables present in the ex-ante and ex-post analysis</w:t>
      </w:r>
      <w:r w:rsidR="004466D4">
        <w:rPr>
          <w:rFonts w:ascii="Arial" w:hAnsi="Arial" w:cs="Arial"/>
          <w:sz w:val="22"/>
          <w:szCs w:val="22"/>
        </w:rPr>
        <w:t>,</w:t>
      </w:r>
      <w:r w:rsidR="00C439A7">
        <w:rPr>
          <w:rFonts w:ascii="Arial" w:hAnsi="Arial" w:cs="Arial"/>
          <w:sz w:val="22"/>
          <w:szCs w:val="22"/>
        </w:rPr>
        <w:t xml:space="preserve"> </w:t>
      </w:r>
      <w:r w:rsidR="004C7E68">
        <w:rPr>
          <w:rFonts w:ascii="Arial" w:hAnsi="Arial" w:cs="Arial"/>
          <w:sz w:val="22"/>
          <w:szCs w:val="22"/>
        </w:rPr>
        <w:t xml:space="preserve">as well as other results indicators that are not explicitly modeled but are related to the </w:t>
      </w:r>
      <w:r w:rsidR="00DD3661">
        <w:rPr>
          <w:rFonts w:ascii="Arial" w:hAnsi="Arial" w:cs="Arial"/>
          <w:sz w:val="22"/>
          <w:szCs w:val="22"/>
        </w:rPr>
        <w:t xml:space="preserve">others, and that are necessary for the efficiency assessment that will be done </w:t>
      </w:r>
      <w:r w:rsidR="003924FB">
        <w:rPr>
          <w:rFonts w:ascii="Arial" w:hAnsi="Arial" w:cs="Arial"/>
          <w:sz w:val="22"/>
          <w:szCs w:val="22"/>
        </w:rPr>
        <w:t xml:space="preserve">in the Project Completion Report (PCR). </w:t>
      </w:r>
      <w:r w:rsidR="00D2627C">
        <w:rPr>
          <w:rFonts w:ascii="Arial" w:hAnsi="Arial" w:cs="Arial"/>
          <w:sz w:val="22"/>
          <w:szCs w:val="22"/>
        </w:rPr>
        <w:t xml:space="preserve"> </w:t>
      </w:r>
    </w:p>
    <w:p w:rsidRPr="003A54EE" w:rsidR="00D54F7F" w:rsidP="00D54F7F" w:rsidRDefault="00D54F7F" w14:paraId="1D57FAE4" w14:textId="77777777">
      <w:pPr>
        <w:pStyle w:val="Paragraph"/>
        <w:numPr>
          <w:ilvl w:val="0"/>
          <w:numId w:val="0"/>
        </w:numPr>
        <w:ind w:left="720"/>
        <w:rPr>
          <w:rFonts w:ascii="Arial" w:hAnsi="Arial" w:cs="Arial"/>
          <w:sz w:val="22"/>
          <w:szCs w:val="22"/>
        </w:rPr>
      </w:pPr>
    </w:p>
    <w:p w:rsidRPr="00494F51" w:rsidR="003A54EE" w:rsidP="004F466A" w:rsidRDefault="004F466A" w14:paraId="388BA0C3" w14:textId="177D9A0A">
      <w:pPr>
        <w:pStyle w:val="Caption"/>
        <w:jc w:val="center"/>
        <w:rPr>
          <w:rFonts w:ascii="Arial" w:hAnsi="Arial" w:cs="Arial"/>
          <w:b/>
          <w:i w:val="0"/>
          <w:color w:val="auto"/>
          <w:sz w:val="24"/>
          <w:szCs w:val="22"/>
          <w:lang w:val="fr-FR"/>
        </w:rPr>
      </w:pPr>
      <w:bookmarkStart w:name="_Ref6159580" w:id="25"/>
      <w:r w:rsidRPr="00494F51">
        <w:rPr>
          <w:rFonts w:ascii="Arial" w:hAnsi="Arial" w:cs="Arial"/>
          <w:b/>
          <w:i w:val="0"/>
          <w:color w:val="auto"/>
          <w:sz w:val="20"/>
          <w:lang w:val="fr-FR"/>
        </w:rPr>
        <w:t xml:space="preserve">Table </w:t>
      </w:r>
      <w:r w:rsidRPr="00D54F7F">
        <w:rPr>
          <w:rFonts w:ascii="Arial" w:hAnsi="Arial" w:cs="Arial"/>
          <w:b/>
          <w:i w:val="0"/>
          <w:color w:val="auto"/>
          <w:sz w:val="20"/>
        </w:rPr>
        <w:fldChar w:fldCharType="begin"/>
      </w:r>
      <w:r w:rsidRPr="00494F51">
        <w:rPr>
          <w:rFonts w:ascii="Arial" w:hAnsi="Arial" w:cs="Arial"/>
          <w:b/>
          <w:i w:val="0"/>
          <w:color w:val="auto"/>
          <w:sz w:val="20"/>
          <w:lang w:val="fr-FR"/>
        </w:rPr>
        <w:instrText xml:space="preserve"> SEQ Table \* ARABIC </w:instrText>
      </w:r>
      <w:r w:rsidRPr="00D54F7F">
        <w:rPr>
          <w:rFonts w:ascii="Arial" w:hAnsi="Arial" w:cs="Arial"/>
          <w:b/>
          <w:i w:val="0"/>
          <w:color w:val="auto"/>
          <w:sz w:val="20"/>
        </w:rPr>
        <w:fldChar w:fldCharType="separate"/>
      </w:r>
      <w:r w:rsidRPr="00494F51">
        <w:rPr>
          <w:rFonts w:ascii="Arial" w:hAnsi="Arial" w:cs="Arial"/>
          <w:b/>
          <w:i w:val="0"/>
          <w:noProof/>
          <w:color w:val="auto"/>
          <w:sz w:val="20"/>
          <w:lang w:val="fr-FR"/>
        </w:rPr>
        <w:t>4</w:t>
      </w:r>
      <w:r w:rsidRPr="00D54F7F">
        <w:rPr>
          <w:rFonts w:ascii="Arial" w:hAnsi="Arial" w:cs="Arial"/>
          <w:b/>
          <w:i w:val="0"/>
          <w:color w:val="auto"/>
          <w:sz w:val="20"/>
        </w:rPr>
        <w:fldChar w:fldCharType="end"/>
      </w:r>
      <w:bookmarkEnd w:id="25"/>
      <w:r w:rsidRPr="00494F51">
        <w:rPr>
          <w:rFonts w:ascii="Arial" w:hAnsi="Arial" w:cs="Arial"/>
          <w:b/>
          <w:i w:val="0"/>
          <w:color w:val="auto"/>
          <w:sz w:val="20"/>
          <w:lang w:val="fr-FR"/>
        </w:rPr>
        <w:t>. Ex-ante and Ex-post variables</w:t>
      </w:r>
    </w:p>
    <w:tbl>
      <w:tblPr>
        <w:tblStyle w:val="TableGrid"/>
        <w:tblW w:w="8995" w:type="dxa"/>
        <w:tblLook w:val="04A0" w:firstRow="1" w:lastRow="0" w:firstColumn="1" w:lastColumn="0" w:noHBand="0" w:noVBand="1"/>
      </w:tblPr>
      <w:tblGrid>
        <w:gridCol w:w="2183"/>
        <w:gridCol w:w="2314"/>
        <w:gridCol w:w="2068"/>
        <w:gridCol w:w="2430"/>
      </w:tblGrid>
      <w:tr w:rsidRPr="003A54EE" w:rsidR="003A54EE" w:rsidTr="00E219DB" w14:paraId="5F218F1C" w14:textId="77777777">
        <w:tc>
          <w:tcPr>
            <w:tcW w:w="2183" w:type="dxa"/>
            <w:shd w:val="clear" w:color="auto" w:fill="F2F2F2" w:themeFill="background1" w:themeFillShade="F2"/>
          </w:tcPr>
          <w:p w:rsidRPr="003A54EE" w:rsidR="003A54EE" w:rsidP="00E219DB" w:rsidRDefault="00D36E4F" w14:paraId="5FA31D06" w14:textId="69D6BDB5">
            <w:pPr>
              <w:pStyle w:val="Paragraph"/>
              <w:numPr>
                <w:ilvl w:val="0"/>
                <w:numId w:val="0"/>
              </w:numPr>
              <w:jc w:val="center"/>
              <w:rPr>
                <w:rFonts w:ascii="Arial" w:hAnsi="Arial" w:cs="Arial"/>
                <w:b/>
                <w:sz w:val="18"/>
                <w:szCs w:val="22"/>
              </w:rPr>
            </w:pPr>
            <w:r>
              <w:rPr>
                <w:rFonts w:ascii="Arial" w:hAnsi="Arial" w:cs="Arial"/>
                <w:b/>
                <w:sz w:val="18"/>
                <w:szCs w:val="22"/>
              </w:rPr>
              <w:t>Variable present in Ex-ante Cost-Benefit</w:t>
            </w:r>
          </w:p>
        </w:tc>
        <w:tc>
          <w:tcPr>
            <w:tcW w:w="2314" w:type="dxa"/>
            <w:shd w:val="clear" w:color="auto" w:fill="F2F2F2" w:themeFill="background1" w:themeFillShade="F2"/>
          </w:tcPr>
          <w:p w:rsidRPr="003A54EE" w:rsidR="003A54EE" w:rsidP="00E219DB" w:rsidRDefault="00D36E4F" w14:paraId="0F9D5443" w14:textId="56986578">
            <w:pPr>
              <w:pStyle w:val="Paragraph"/>
              <w:numPr>
                <w:ilvl w:val="0"/>
                <w:numId w:val="0"/>
              </w:numPr>
              <w:jc w:val="center"/>
              <w:rPr>
                <w:rFonts w:ascii="Arial" w:hAnsi="Arial" w:cs="Arial"/>
                <w:b/>
                <w:sz w:val="18"/>
                <w:szCs w:val="22"/>
              </w:rPr>
            </w:pPr>
            <w:r>
              <w:rPr>
                <w:rFonts w:ascii="Arial" w:hAnsi="Arial" w:cs="Arial"/>
                <w:b/>
                <w:sz w:val="18"/>
                <w:szCs w:val="22"/>
              </w:rPr>
              <w:t xml:space="preserve">Variable Present in Ex-post Cost-Benefit </w:t>
            </w:r>
          </w:p>
        </w:tc>
        <w:tc>
          <w:tcPr>
            <w:tcW w:w="2068" w:type="dxa"/>
            <w:shd w:val="clear" w:color="auto" w:fill="F2F2F2" w:themeFill="background1" w:themeFillShade="F2"/>
          </w:tcPr>
          <w:p w:rsidRPr="003A54EE" w:rsidR="003A54EE" w:rsidP="00E219DB" w:rsidRDefault="00AD254C" w14:paraId="21B64317" w14:textId="76593F5D">
            <w:pPr>
              <w:pStyle w:val="Paragraph"/>
              <w:numPr>
                <w:ilvl w:val="0"/>
                <w:numId w:val="0"/>
              </w:numPr>
              <w:jc w:val="center"/>
              <w:rPr>
                <w:rFonts w:ascii="Arial" w:hAnsi="Arial" w:cs="Arial"/>
                <w:b/>
                <w:sz w:val="18"/>
                <w:szCs w:val="22"/>
              </w:rPr>
            </w:pPr>
            <w:r>
              <w:rPr>
                <w:rFonts w:ascii="Arial" w:hAnsi="Arial" w:cs="Arial"/>
                <w:b/>
                <w:sz w:val="18"/>
                <w:szCs w:val="22"/>
              </w:rPr>
              <w:t>Related results indicator</w:t>
            </w:r>
          </w:p>
        </w:tc>
        <w:tc>
          <w:tcPr>
            <w:tcW w:w="2430" w:type="dxa"/>
            <w:shd w:val="clear" w:color="auto" w:fill="F2F2F2" w:themeFill="background1" w:themeFillShade="F2"/>
          </w:tcPr>
          <w:p w:rsidRPr="003A54EE" w:rsidR="003A54EE" w:rsidP="00E219DB" w:rsidRDefault="00AD254C" w14:paraId="68389E66" w14:textId="10A95384">
            <w:pPr>
              <w:pStyle w:val="Paragraph"/>
              <w:numPr>
                <w:ilvl w:val="0"/>
                <w:numId w:val="0"/>
              </w:numPr>
              <w:jc w:val="center"/>
              <w:rPr>
                <w:rFonts w:ascii="Arial" w:hAnsi="Arial" w:cs="Arial"/>
                <w:b/>
                <w:sz w:val="18"/>
                <w:szCs w:val="22"/>
              </w:rPr>
            </w:pPr>
            <w:r>
              <w:rPr>
                <w:rFonts w:ascii="Arial" w:hAnsi="Arial" w:cs="Arial"/>
                <w:b/>
                <w:sz w:val="18"/>
                <w:szCs w:val="22"/>
              </w:rPr>
              <w:t>Means of measurement</w:t>
            </w:r>
          </w:p>
        </w:tc>
      </w:tr>
      <w:tr w:rsidRPr="00B57634" w:rsidR="003A54EE" w:rsidTr="00E219DB" w14:paraId="39BD8E3E" w14:textId="77777777">
        <w:tc>
          <w:tcPr>
            <w:tcW w:w="2183" w:type="dxa"/>
          </w:tcPr>
          <w:p w:rsidRPr="003A54EE" w:rsidR="003A54EE" w:rsidP="00E219DB" w:rsidRDefault="003E5AAC" w14:paraId="257C2022" w14:textId="5D7DB5F3">
            <w:pPr>
              <w:pStyle w:val="Paragraph"/>
              <w:numPr>
                <w:ilvl w:val="0"/>
                <w:numId w:val="0"/>
              </w:numPr>
              <w:rPr>
                <w:rFonts w:ascii="Arial" w:hAnsi="Arial" w:cs="Arial"/>
                <w:sz w:val="18"/>
                <w:szCs w:val="22"/>
              </w:rPr>
            </w:pPr>
            <w:r>
              <w:rPr>
                <w:rFonts w:ascii="Arial" w:hAnsi="Arial" w:cs="Arial"/>
                <w:sz w:val="18"/>
                <w:szCs w:val="22"/>
              </w:rPr>
              <w:t>Expected increase</w:t>
            </w:r>
            <w:r w:rsidR="00223438">
              <w:rPr>
                <w:rFonts w:ascii="Arial" w:hAnsi="Arial" w:cs="Arial"/>
                <w:sz w:val="18"/>
                <w:szCs w:val="22"/>
              </w:rPr>
              <w:t xml:space="preserve"> in sales </w:t>
            </w:r>
            <w:r w:rsidR="00E149E5">
              <w:rPr>
                <w:rFonts w:ascii="Arial" w:hAnsi="Arial" w:cs="Arial"/>
                <w:sz w:val="18"/>
                <w:szCs w:val="22"/>
              </w:rPr>
              <w:t>of</w:t>
            </w:r>
            <w:r w:rsidR="00223438">
              <w:rPr>
                <w:rFonts w:ascii="Arial" w:hAnsi="Arial" w:cs="Arial"/>
                <w:sz w:val="18"/>
                <w:szCs w:val="22"/>
              </w:rPr>
              <w:t xml:space="preserve"> </w:t>
            </w:r>
            <w:r w:rsidR="004F2D77">
              <w:rPr>
                <w:rFonts w:ascii="Arial" w:hAnsi="Arial" w:cs="Arial"/>
                <w:sz w:val="18"/>
                <w:szCs w:val="22"/>
              </w:rPr>
              <w:t>MSME</w:t>
            </w:r>
            <w:r w:rsidR="00E149E5">
              <w:rPr>
                <w:rFonts w:ascii="Arial" w:hAnsi="Arial" w:cs="Arial"/>
                <w:sz w:val="18"/>
                <w:szCs w:val="22"/>
              </w:rPr>
              <w:t xml:space="preserve"> that benefit from the program</w:t>
            </w:r>
            <w:r w:rsidR="004466D4">
              <w:rPr>
                <w:rFonts w:ascii="Arial" w:hAnsi="Arial" w:cs="Arial"/>
                <w:sz w:val="18"/>
                <w:szCs w:val="22"/>
              </w:rPr>
              <w:t>.</w:t>
            </w:r>
            <w:r w:rsidR="009A3A27">
              <w:rPr>
                <w:rFonts w:ascii="Arial" w:hAnsi="Arial" w:cs="Arial"/>
                <w:sz w:val="18"/>
                <w:szCs w:val="22"/>
              </w:rPr>
              <w:t xml:space="preserve"> </w:t>
            </w:r>
          </w:p>
        </w:tc>
        <w:tc>
          <w:tcPr>
            <w:tcW w:w="2314" w:type="dxa"/>
          </w:tcPr>
          <w:p w:rsidRPr="003A54EE" w:rsidR="003A54EE" w:rsidP="00E219DB" w:rsidRDefault="00747687" w14:paraId="25E96E9A" w14:textId="796B60F4">
            <w:pPr>
              <w:pStyle w:val="Paragraph"/>
              <w:numPr>
                <w:ilvl w:val="0"/>
                <w:numId w:val="0"/>
              </w:numPr>
              <w:rPr>
                <w:rFonts w:ascii="Arial" w:hAnsi="Arial" w:cs="Arial"/>
                <w:sz w:val="18"/>
                <w:szCs w:val="22"/>
              </w:rPr>
            </w:pPr>
            <w:r>
              <w:rPr>
                <w:rFonts w:ascii="Arial" w:hAnsi="Arial" w:cs="Arial"/>
                <w:sz w:val="18"/>
                <w:szCs w:val="22"/>
              </w:rPr>
              <w:t xml:space="preserve">Actual </w:t>
            </w:r>
            <w:r w:rsidR="00516021">
              <w:rPr>
                <w:rFonts w:ascii="Arial" w:hAnsi="Arial" w:cs="Arial"/>
                <w:sz w:val="18"/>
                <w:szCs w:val="22"/>
              </w:rPr>
              <w:t xml:space="preserve">sales of </w:t>
            </w:r>
            <w:r w:rsidR="00E149E5">
              <w:rPr>
                <w:rFonts w:ascii="Arial" w:hAnsi="Arial" w:cs="Arial"/>
                <w:sz w:val="18"/>
                <w:szCs w:val="22"/>
              </w:rPr>
              <w:t>MSME that benefit from the program</w:t>
            </w:r>
            <w:r w:rsidR="00516021">
              <w:rPr>
                <w:rFonts w:ascii="Arial" w:hAnsi="Arial" w:cs="Arial"/>
                <w:sz w:val="18"/>
                <w:szCs w:val="22"/>
              </w:rPr>
              <w:t>.</w:t>
            </w:r>
          </w:p>
        </w:tc>
        <w:tc>
          <w:tcPr>
            <w:tcW w:w="2068" w:type="dxa"/>
          </w:tcPr>
          <w:p w:rsidR="003A54EE" w:rsidP="00E219DB" w:rsidRDefault="00045F6A" w14:paraId="47B3A9E1" w14:textId="77777777">
            <w:pPr>
              <w:pStyle w:val="Paragraph"/>
              <w:numPr>
                <w:ilvl w:val="0"/>
                <w:numId w:val="0"/>
              </w:numPr>
              <w:rPr>
                <w:rFonts w:ascii="Arial" w:hAnsi="Arial" w:cs="Arial"/>
                <w:sz w:val="18"/>
                <w:szCs w:val="22"/>
                <w:lang w:val="en-CA"/>
              </w:rPr>
            </w:pPr>
            <w:r w:rsidRPr="00045F6A">
              <w:rPr>
                <w:rFonts w:ascii="Arial" w:hAnsi="Arial" w:cs="Arial"/>
                <w:sz w:val="18"/>
                <w:szCs w:val="22"/>
                <w:lang w:val="en-CA"/>
              </w:rPr>
              <w:t>Average percentage growth of revenue of project’s beneficiaries.</w:t>
            </w:r>
          </w:p>
          <w:p w:rsidR="00664651" w:rsidP="00E219DB" w:rsidRDefault="00664651" w14:paraId="6BAD5A55" w14:textId="77777777">
            <w:pPr>
              <w:pStyle w:val="Paragraph"/>
              <w:numPr>
                <w:ilvl w:val="0"/>
                <w:numId w:val="0"/>
              </w:numPr>
              <w:rPr>
                <w:rFonts w:ascii="Arial" w:hAnsi="Arial" w:cs="Arial"/>
                <w:sz w:val="18"/>
                <w:szCs w:val="22"/>
                <w:lang w:val="en-CA"/>
              </w:rPr>
            </w:pPr>
          </w:p>
          <w:p w:rsidRPr="003A54EE" w:rsidR="00664651" w:rsidP="00E219DB" w:rsidRDefault="00664651" w14:paraId="0744D0E8" w14:textId="0063D89D">
            <w:pPr>
              <w:pStyle w:val="Paragraph"/>
              <w:numPr>
                <w:ilvl w:val="0"/>
                <w:numId w:val="0"/>
              </w:numPr>
              <w:rPr>
                <w:rFonts w:ascii="Arial" w:hAnsi="Arial" w:cs="Arial"/>
                <w:sz w:val="18"/>
                <w:szCs w:val="22"/>
              </w:rPr>
            </w:pPr>
            <w:r w:rsidRPr="00664651">
              <w:rPr>
                <w:rFonts w:ascii="Arial" w:hAnsi="Arial" w:cs="Arial"/>
                <w:sz w:val="18"/>
                <w:szCs w:val="22"/>
                <w:lang w:val="en-CA"/>
              </w:rPr>
              <w:t>Credit success rate of MSME assisted by SBDC.</w:t>
            </w:r>
          </w:p>
        </w:tc>
        <w:tc>
          <w:tcPr>
            <w:tcW w:w="2430" w:type="dxa"/>
          </w:tcPr>
          <w:p w:rsidRPr="003A54EE" w:rsidR="003A54EE" w:rsidP="00E219DB" w:rsidRDefault="006C7F92" w14:paraId="760F0847" w14:textId="50E71BC8">
            <w:pPr>
              <w:pStyle w:val="Paragraph"/>
              <w:numPr>
                <w:ilvl w:val="0"/>
                <w:numId w:val="0"/>
              </w:numPr>
              <w:rPr>
                <w:rFonts w:ascii="Arial" w:hAnsi="Arial" w:cs="Arial"/>
                <w:sz w:val="18"/>
                <w:szCs w:val="22"/>
              </w:rPr>
            </w:pPr>
            <w:bookmarkStart w:name="_Hlk6167119" w:id="26"/>
            <w:r>
              <w:rPr>
                <w:rFonts w:ascii="Arial" w:hAnsi="Arial" w:cs="Arial"/>
                <w:sz w:val="18"/>
                <w:szCs w:val="22"/>
              </w:rPr>
              <w:t xml:space="preserve">This information will be collected through SBDC </w:t>
            </w:r>
            <w:r w:rsidR="000055A5">
              <w:rPr>
                <w:rFonts w:ascii="Arial" w:hAnsi="Arial" w:cs="Arial"/>
                <w:sz w:val="18"/>
                <w:szCs w:val="22"/>
              </w:rPr>
              <w:t>follow up surveys to registered MSME</w:t>
            </w:r>
            <w:r w:rsidRPr="003A54EE" w:rsidR="003A54EE">
              <w:rPr>
                <w:rFonts w:ascii="Arial" w:hAnsi="Arial" w:cs="Arial"/>
                <w:sz w:val="18"/>
                <w:szCs w:val="22"/>
              </w:rPr>
              <w:t>.</w:t>
            </w:r>
            <w:r w:rsidR="000055A5">
              <w:rPr>
                <w:rFonts w:ascii="Arial" w:hAnsi="Arial" w:cs="Arial"/>
                <w:sz w:val="18"/>
                <w:szCs w:val="22"/>
              </w:rPr>
              <w:t xml:space="preserve"> Every time that a firm register with SBDC they answer a survey that contains questions about revenues, profits, employment</w:t>
            </w:r>
            <w:r w:rsidR="008F2622">
              <w:rPr>
                <w:rFonts w:ascii="Arial" w:hAnsi="Arial" w:cs="Arial"/>
                <w:sz w:val="18"/>
                <w:szCs w:val="22"/>
              </w:rPr>
              <w:t xml:space="preserve">, among others. These MSME commit themselves to answer follow up surveys </w:t>
            </w:r>
            <w:r w:rsidR="00224153">
              <w:rPr>
                <w:rFonts w:ascii="Arial" w:hAnsi="Arial" w:cs="Arial"/>
                <w:sz w:val="18"/>
                <w:szCs w:val="22"/>
              </w:rPr>
              <w:t xml:space="preserve">after they conclude the training, and after they obtain (if they do) credit. This commitment also holds for MSME that do not manage to get approved for credit, hence providing </w:t>
            </w:r>
            <w:r w:rsidR="000B0810">
              <w:rPr>
                <w:rFonts w:ascii="Arial" w:hAnsi="Arial" w:cs="Arial"/>
                <w:sz w:val="18"/>
                <w:szCs w:val="22"/>
              </w:rPr>
              <w:t>the counterfactual data for the cost-benefit analysis.</w:t>
            </w:r>
            <w:bookmarkEnd w:id="26"/>
          </w:p>
        </w:tc>
      </w:tr>
      <w:tr w:rsidRPr="003A54EE" w:rsidR="003A54EE" w:rsidTr="00E219DB" w14:paraId="6D976282" w14:textId="77777777">
        <w:tc>
          <w:tcPr>
            <w:tcW w:w="2183" w:type="dxa"/>
          </w:tcPr>
          <w:p w:rsidRPr="003A54EE" w:rsidR="003A54EE" w:rsidP="00E219DB" w:rsidRDefault="00956FDF" w14:paraId="3806C381" w14:textId="3281D5AB">
            <w:pPr>
              <w:pStyle w:val="Paragraph"/>
              <w:numPr>
                <w:ilvl w:val="0"/>
                <w:numId w:val="0"/>
              </w:numPr>
              <w:rPr>
                <w:rFonts w:ascii="Arial" w:hAnsi="Arial" w:cs="Arial"/>
                <w:sz w:val="18"/>
                <w:szCs w:val="22"/>
              </w:rPr>
            </w:pPr>
            <w:r>
              <w:rPr>
                <w:rFonts w:ascii="Arial" w:hAnsi="Arial" w:cs="Arial"/>
                <w:sz w:val="18"/>
                <w:szCs w:val="22"/>
              </w:rPr>
              <w:t>Expected reduction in costs of MSME that benefit from the program.</w:t>
            </w:r>
          </w:p>
        </w:tc>
        <w:tc>
          <w:tcPr>
            <w:tcW w:w="2314" w:type="dxa"/>
          </w:tcPr>
          <w:p w:rsidRPr="003A54EE" w:rsidR="003A54EE" w:rsidP="00E219DB" w:rsidRDefault="009123F7" w14:paraId="768703AD" w14:textId="4E97710C">
            <w:pPr>
              <w:pStyle w:val="Paragraph"/>
              <w:numPr>
                <w:ilvl w:val="0"/>
                <w:numId w:val="0"/>
              </w:numPr>
              <w:rPr>
                <w:rFonts w:ascii="Arial" w:hAnsi="Arial" w:cs="Arial"/>
                <w:sz w:val="18"/>
                <w:szCs w:val="22"/>
              </w:rPr>
            </w:pPr>
            <w:r>
              <w:rPr>
                <w:rFonts w:ascii="Arial" w:hAnsi="Arial" w:cs="Arial"/>
                <w:sz w:val="18"/>
                <w:szCs w:val="22"/>
              </w:rPr>
              <w:t>Actual costs of MSME that benefit from the program</w:t>
            </w:r>
          </w:p>
        </w:tc>
        <w:tc>
          <w:tcPr>
            <w:tcW w:w="2068" w:type="dxa"/>
          </w:tcPr>
          <w:p w:rsidR="003A54EE" w:rsidP="00E219DB" w:rsidRDefault="00BD2CF2" w14:paraId="0F513DF5" w14:textId="52F61EDA">
            <w:pPr>
              <w:pStyle w:val="Paragraph"/>
              <w:numPr>
                <w:ilvl w:val="0"/>
                <w:numId w:val="0"/>
              </w:numPr>
              <w:rPr>
                <w:rFonts w:ascii="Arial" w:hAnsi="Arial" w:cs="Arial"/>
                <w:sz w:val="18"/>
                <w:szCs w:val="22"/>
              </w:rPr>
            </w:pPr>
            <w:r>
              <w:rPr>
                <w:rFonts w:ascii="Arial" w:hAnsi="Arial" w:cs="Arial"/>
                <w:sz w:val="18"/>
                <w:szCs w:val="22"/>
              </w:rPr>
              <w:t xml:space="preserve">Since this variable </w:t>
            </w:r>
            <w:r w:rsidR="00D70583">
              <w:rPr>
                <w:rFonts w:ascii="Arial" w:hAnsi="Arial" w:cs="Arial"/>
                <w:sz w:val="18"/>
                <w:szCs w:val="22"/>
              </w:rPr>
              <w:t>is</w:t>
            </w:r>
            <w:r>
              <w:rPr>
                <w:rFonts w:ascii="Arial" w:hAnsi="Arial" w:cs="Arial"/>
                <w:sz w:val="18"/>
                <w:szCs w:val="22"/>
              </w:rPr>
              <w:t xml:space="preserve"> </w:t>
            </w:r>
            <w:r w:rsidR="00D70583">
              <w:rPr>
                <w:rFonts w:ascii="Arial" w:hAnsi="Arial" w:cs="Arial"/>
                <w:sz w:val="18"/>
                <w:szCs w:val="22"/>
              </w:rPr>
              <w:t xml:space="preserve">expected to be </w:t>
            </w:r>
            <w:r>
              <w:rPr>
                <w:rFonts w:ascii="Arial" w:hAnsi="Arial" w:cs="Arial"/>
                <w:sz w:val="18"/>
                <w:szCs w:val="22"/>
              </w:rPr>
              <w:t>affected only on the long-run, i.e. beyond the years of execution of the project</w:t>
            </w:r>
            <w:r w:rsidR="00D70583">
              <w:rPr>
                <w:rFonts w:ascii="Arial" w:hAnsi="Arial" w:cs="Arial"/>
                <w:sz w:val="18"/>
                <w:szCs w:val="22"/>
              </w:rPr>
              <w:t>, it is not present as a result indicator.</w:t>
            </w:r>
            <w:r w:rsidR="00D15849">
              <w:rPr>
                <w:rFonts w:ascii="Arial" w:hAnsi="Arial" w:cs="Arial"/>
                <w:sz w:val="18"/>
                <w:szCs w:val="22"/>
              </w:rPr>
              <w:t xml:space="preserve"> However, for the ex-post analysis, actual cost data will be </w:t>
            </w:r>
            <w:r w:rsidR="00257038">
              <w:rPr>
                <w:rFonts w:ascii="Arial" w:hAnsi="Arial" w:cs="Arial"/>
                <w:sz w:val="18"/>
                <w:szCs w:val="22"/>
              </w:rPr>
              <w:t>used,</w:t>
            </w:r>
            <w:r w:rsidR="00D15849">
              <w:rPr>
                <w:rFonts w:ascii="Arial" w:hAnsi="Arial" w:cs="Arial"/>
                <w:sz w:val="18"/>
                <w:szCs w:val="22"/>
              </w:rPr>
              <w:t xml:space="preserve"> an</w:t>
            </w:r>
            <w:r w:rsidR="00086403">
              <w:rPr>
                <w:rFonts w:ascii="Arial" w:hAnsi="Arial" w:cs="Arial"/>
                <w:sz w:val="18"/>
                <w:szCs w:val="22"/>
              </w:rPr>
              <w:t>d the analysis will reflect the effects of the real evolution of this variable.</w:t>
            </w:r>
          </w:p>
          <w:p w:rsidRPr="003A54EE" w:rsidR="00447998" w:rsidP="00E219DB" w:rsidRDefault="009729DB" w14:paraId="34A4FF8E" w14:textId="058C2490">
            <w:pPr>
              <w:pStyle w:val="Paragraph"/>
              <w:numPr>
                <w:ilvl w:val="0"/>
                <w:numId w:val="0"/>
              </w:numPr>
              <w:rPr>
                <w:rFonts w:ascii="Arial" w:hAnsi="Arial" w:cs="Arial"/>
                <w:sz w:val="18"/>
                <w:szCs w:val="22"/>
              </w:rPr>
            </w:pPr>
            <w:r w:rsidRPr="009729DB">
              <w:rPr>
                <w:rFonts w:ascii="Arial" w:hAnsi="Arial" w:cs="Arial"/>
                <w:sz w:val="18"/>
                <w:szCs w:val="22"/>
                <w:lang w:val="en-CA"/>
              </w:rPr>
              <w:t>Credit success rate of MSME assisted by SBDC.</w:t>
            </w:r>
          </w:p>
        </w:tc>
        <w:tc>
          <w:tcPr>
            <w:tcW w:w="2430" w:type="dxa"/>
          </w:tcPr>
          <w:p w:rsidRPr="003A54EE" w:rsidR="003A54EE" w:rsidP="00E219DB" w:rsidRDefault="00D15849" w14:paraId="38ECC03B" w14:textId="208D5837">
            <w:pPr>
              <w:pStyle w:val="Paragraph"/>
              <w:numPr>
                <w:ilvl w:val="0"/>
                <w:numId w:val="0"/>
              </w:numPr>
              <w:rPr>
                <w:rFonts w:ascii="Arial" w:hAnsi="Arial" w:cs="Arial"/>
                <w:sz w:val="18"/>
                <w:szCs w:val="22"/>
              </w:rPr>
            </w:pPr>
            <w:r>
              <w:rPr>
                <w:rFonts w:ascii="Arial" w:hAnsi="Arial" w:cs="Arial"/>
                <w:sz w:val="18"/>
                <w:szCs w:val="22"/>
              </w:rPr>
              <w:t>Same as previous variable</w:t>
            </w:r>
          </w:p>
        </w:tc>
      </w:tr>
    </w:tbl>
    <w:p w:rsidRPr="003A54EE" w:rsidR="003A54EE" w:rsidP="003A54EE" w:rsidRDefault="003A54EE" w14:paraId="26DD640B" w14:textId="56D8C18D">
      <w:pPr>
        <w:pStyle w:val="Paragraph"/>
        <w:numPr>
          <w:ilvl w:val="0"/>
          <w:numId w:val="0"/>
        </w:numPr>
        <w:rPr>
          <w:rFonts w:ascii="Arial" w:hAnsi="Arial" w:cs="Arial"/>
          <w:sz w:val="22"/>
          <w:szCs w:val="22"/>
        </w:rPr>
      </w:pPr>
    </w:p>
    <w:p w:rsidRPr="000D14F2" w:rsidR="000D14F2" w:rsidP="003A54EE" w:rsidRDefault="000D14F2" w14:paraId="384D245D" w14:textId="3EB07DEF">
      <w:pPr>
        <w:pStyle w:val="Paragraph"/>
        <w:tabs>
          <w:tab w:val="clear" w:pos="2736"/>
          <w:tab w:val="num" w:pos="720"/>
        </w:tabs>
        <w:ind w:left="720" w:hanging="720"/>
        <w:rPr>
          <w:rFonts w:ascii="Arial" w:hAnsi="Arial" w:cs="Arial"/>
          <w:sz w:val="22"/>
          <w:szCs w:val="22"/>
        </w:rPr>
      </w:pPr>
      <w:r>
        <w:rPr>
          <w:rFonts w:ascii="Arial" w:hAnsi="Arial" w:cs="Arial"/>
          <w:sz w:val="22"/>
          <w:szCs w:val="22"/>
        </w:rPr>
        <w:lastRenderedPageBreak/>
        <w:t xml:space="preserve">The result indicator </w:t>
      </w:r>
      <w:r w:rsidR="00693857">
        <w:rPr>
          <w:rFonts w:ascii="Arial" w:hAnsi="Arial" w:cs="Arial"/>
          <w:sz w:val="22"/>
          <w:szCs w:val="22"/>
        </w:rPr>
        <w:t xml:space="preserve">associated to the annual financing </w:t>
      </w:r>
      <w:r w:rsidR="00340271">
        <w:rPr>
          <w:rFonts w:ascii="Arial" w:hAnsi="Arial" w:cs="Arial"/>
          <w:sz w:val="22"/>
          <w:szCs w:val="22"/>
        </w:rPr>
        <w:t xml:space="preserve">issued to MSME by banks does not relate directly </w:t>
      </w:r>
      <w:r w:rsidR="009B5DEE">
        <w:rPr>
          <w:rFonts w:ascii="Arial" w:hAnsi="Arial" w:cs="Arial"/>
          <w:sz w:val="22"/>
          <w:szCs w:val="22"/>
        </w:rPr>
        <w:t>to a variable in the cost-benefit model</w:t>
      </w:r>
      <w:r w:rsidR="00F21093">
        <w:rPr>
          <w:rFonts w:ascii="Arial" w:hAnsi="Arial" w:cs="Arial"/>
          <w:sz w:val="22"/>
          <w:szCs w:val="22"/>
        </w:rPr>
        <w:t>. However, it will be important for the efficiency evaluation of the program at the time of elaboration of the Project Completion Report.</w:t>
      </w:r>
    </w:p>
    <w:p w:rsidRPr="00ED15E9" w:rsidR="003A54EE" w:rsidP="003A54EE" w:rsidRDefault="00EB0B56" w14:paraId="1653D171" w14:textId="55F46DFF">
      <w:pPr>
        <w:pStyle w:val="Paragraph"/>
        <w:tabs>
          <w:tab w:val="clear" w:pos="2736"/>
          <w:tab w:val="num" w:pos="720"/>
        </w:tabs>
        <w:ind w:left="720" w:hanging="720"/>
        <w:rPr>
          <w:rFonts w:ascii="Arial" w:hAnsi="Arial" w:cs="Arial"/>
          <w:sz w:val="22"/>
          <w:szCs w:val="22"/>
        </w:rPr>
      </w:pPr>
      <w:r>
        <w:rPr>
          <w:rFonts w:ascii="Arial" w:hAnsi="Arial" w:cs="Arial"/>
          <w:b/>
          <w:sz w:val="22"/>
          <w:szCs w:val="22"/>
        </w:rPr>
        <w:t xml:space="preserve">Counterfactual scenario. </w:t>
      </w:r>
      <w:r w:rsidR="001070E7">
        <w:rPr>
          <w:rFonts w:ascii="Arial" w:hAnsi="Arial" w:cs="Arial"/>
          <w:sz w:val="22"/>
          <w:szCs w:val="22"/>
        </w:rPr>
        <w:t xml:space="preserve">The counterfactual scenario </w:t>
      </w:r>
      <w:r w:rsidR="004913FE">
        <w:rPr>
          <w:rFonts w:ascii="Arial" w:hAnsi="Arial" w:cs="Arial"/>
          <w:sz w:val="22"/>
          <w:szCs w:val="22"/>
        </w:rPr>
        <w:t xml:space="preserve">will be constituted </w:t>
      </w:r>
      <w:r w:rsidR="00541081">
        <w:rPr>
          <w:rFonts w:ascii="Arial" w:hAnsi="Arial" w:cs="Arial"/>
          <w:sz w:val="22"/>
          <w:szCs w:val="22"/>
        </w:rPr>
        <w:t xml:space="preserve">by the MSME that were technically assisted by SBDC but were unable to secure a loan from </w:t>
      </w:r>
      <w:r w:rsidR="00FA5A37">
        <w:rPr>
          <w:rFonts w:ascii="Arial" w:hAnsi="Arial" w:cs="Arial"/>
          <w:sz w:val="22"/>
          <w:szCs w:val="22"/>
        </w:rPr>
        <w:t xml:space="preserve">a </w:t>
      </w:r>
      <w:r w:rsidR="00541081">
        <w:rPr>
          <w:rFonts w:ascii="Arial" w:hAnsi="Arial" w:cs="Arial"/>
          <w:sz w:val="22"/>
          <w:szCs w:val="22"/>
        </w:rPr>
        <w:t>bank. Since the</w:t>
      </w:r>
      <w:r w:rsidR="008365D6">
        <w:rPr>
          <w:rFonts w:ascii="Arial" w:hAnsi="Arial" w:cs="Arial"/>
          <w:sz w:val="22"/>
          <w:szCs w:val="22"/>
        </w:rPr>
        <w:t>se firms will sign a commitment to answer follow up surveys by SBDC</w:t>
      </w:r>
      <w:r w:rsidR="00112E09">
        <w:rPr>
          <w:rFonts w:ascii="Arial" w:hAnsi="Arial" w:cs="Arial"/>
          <w:sz w:val="22"/>
          <w:szCs w:val="22"/>
        </w:rPr>
        <w:t xml:space="preserve">, it is </w:t>
      </w:r>
      <w:r w:rsidRPr="00ED15E9" w:rsidR="00112E09">
        <w:rPr>
          <w:rFonts w:ascii="Arial" w:hAnsi="Arial" w:cs="Arial"/>
          <w:sz w:val="22"/>
          <w:szCs w:val="22"/>
        </w:rPr>
        <w:t>expected that information on sales and costs will be gathered for this group.</w:t>
      </w:r>
      <w:r w:rsidRPr="00ED15E9" w:rsidR="003A54EE">
        <w:rPr>
          <w:rFonts w:ascii="Arial" w:hAnsi="Arial" w:cs="Arial"/>
          <w:sz w:val="22"/>
          <w:szCs w:val="22"/>
        </w:rPr>
        <w:t xml:space="preserve"> </w:t>
      </w:r>
    </w:p>
    <w:p w:rsidRPr="00104711" w:rsidR="003A54EE" w:rsidP="00943F62" w:rsidRDefault="00356559" w14:paraId="32E7A166" w14:textId="37EEC219">
      <w:pPr>
        <w:pStyle w:val="Paragraph"/>
        <w:tabs>
          <w:tab w:val="clear" w:pos="2736"/>
          <w:tab w:val="num" w:pos="720"/>
        </w:tabs>
        <w:ind w:left="720" w:hanging="720"/>
        <w:rPr>
          <w:rFonts w:ascii="Arial" w:hAnsi="Arial" w:cs="Arial"/>
          <w:sz w:val="22"/>
          <w:szCs w:val="22"/>
        </w:rPr>
      </w:pPr>
      <w:r w:rsidRPr="00104711">
        <w:rPr>
          <w:rFonts w:ascii="Arial" w:hAnsi="Arial" w:cs="Arial"/>
          <w:b/>
          <w:sz w:val="22"/>
          <w:szCs w:val="22"/>
        </w:rPr>
        <w:t xml:space="preserve">Information gathering. </w:t>
      </w:r>
      <w:r w:rsidRPr="00104711" w:rsidR="000A31C3">
        <w:rPr>
          <w:rFonts w:ascii="Arial" w:hAnsi="Arial" w:cs="Arial"/>
          <w:sz w:val="22"/>
          <w:szCs w:val="22"/>
        </w:rPr>
        <w:t xml:space="preserve">Information will be collected through SBDC follow up surveys to registered MSME. Every time that a </w:t>
      </w:r>
      <w:r w:rsidRPr="00104711" w:rsidR="00A436ED">
        <w:rPr>
          <w:rFonts w:ascii="Arial" w:hAnsi="Arial" w:cs="Arial"/>
          <w:sz w:val="22"/>
          <w:szCs w:val="22"/>
        </w:rPr>
        <w:t>firm register</w:t>
      </w:r>
      <w:r w:rsidRPr="00104711" w:rsidR="000A31C3">
        <w:rPr>
          <w:rFonts w:ascii="Arial" w:hAnsi="Arial" w:cs="Arial"/>
          <w:sz w:val="22"/>
          <w:szCs w:val="22"/>
        </w:rPr>
        <w:t xml:space="preserve"> with SBDC they answer a survey that contains questions about revenues, profits, employment, among others. These MSME commit themselves to answer follow up surveys after they conclude the training, and after they obtain (if they do) credit. This commitment also holds for MSME that do not manage to get approved for credit, hence providing the counterfactual data for the cost-benefit analysis.</w:t>
      </w:r>
      <w:r w:rsidRPr="00104711" w:rsidR="00A26FF2">
        <w:rPr>
          <w:rFonts w:ascii="Arial" w:hAnsi="Arial" w:cs="Arial"/>
          <w:sz w:val="22"/>
          <w:szCs w:val="22"/>
        </w:rPr>
        <w:t xml:space="preserve"> The </w:t>
      </w:r>
      <w:r w:rsidRPr="00104711" w:rsidR="00104711">
        <w:rPr>
          <w:rFonts w:ascii="Arial" w:hAnsi="Arial" w:cs="Arial"/>
          <w:sz w:val="22"/>
          <w:szCs w:val="22"/>
        </w:rPr>
        <w:t>follow up survey is expected to be collected in the fourth year of project execution</w:t>
      </w:r>
      <w:r w:rsidRPr="00104711" w:rsidR="003A54EE">
        <w:rPr>
          <w:rFonts w:ascii="Arial" w:hAnsi="Arial" w:cs="Arial"/>
          <w:sz w:val="22"/>
          <w:szCs w:val="22"/>
        </w:rPr>
        <w:t xml:space="preserve">. </w:t>
      </w:r>
    </w:p>
    <w:p w:rsidRPr="00A436ED" w:rsidR="0070583D" w:rsidP="00A436ED" w:rsidRDefault="00D25C0A" w14:paraId="4C838720" w14:textId="2A534F12">
      <w:pPr>
        <w:pStyle w:val="Paragraph"/>
        <w:tabs>
          <w:tab w:val="clear" w:pos="2736"/>
          <w:tab w:val="num" w:pos="720"/>
        </w:tabs>
        <w:ind w:left="720" w:hanging="720"/>
        <w:rPr>
          <w:rFonts w:ascii="Arial" w:hAnsi="Arial" w:cs="Arial"/>
          <w:sz w:val="22"/>
          <w:szCs w:val="22"/>
        </w:rPr>
      </w:pPr>
      <w:r>
        <w:rPr>
          <w:rFonts w:ascii="Arial" w:hAnsi="Arial" w:cs="Arial"/>
          <w:b/>
          <w:sz w:val="22"/>
          <w:szCs w:val="22"/>
        </w:rPr>
        <w:t>Cost and benefits calculation</w:t>
      </w:r>
      <w:r w:rsidR="00AE1405">
        <w:rPr>
          <w:rFonts w:ascii="Arial" w:hAnsi="Arial" w:cs="Arial"/>
          <w:b/>
          <w:sz w:val="22"/>
          <w:szCs w:val="22"/>
        </w:rPr>
        <w:t xml:space="preserve">s. </w:t>
      </w:r>
      <w:r w:rsidR="00D50CC6">
        <w:rPr>
          <w:rFonts w:ascii="Arial" w:hAnsi="Arial" w:cs="Arial"/>
          <w:sz w:val="22"/>
          <w:szCs w:val="22"/>
        </w:rPr>
        <w:t>Programs net benefit will be calcula</w:t>
      </w:r>
      <w:r w:rsidR="00AF4380">
        <w:rPr>
          <w:rFonts w:ascii="Arial" w:hAnsi="Arial" w:cs="Arial"/>
          <w:sz w:val="22"/>
          <w:szCs w:val="22"/>
        </w:rPr>
        <w:t>ted by aggregating al</w:t>
      </w:r>
      <w:r w:rsidR="008E2919">
        <w:rPr>
          <w:rFonts w:ascii="Arial" w:hAnsi="Arial" w:cs="Arial"/>
          <w:sz w:val="22"/>
          <w:szCs w:val="22"/>
        </w:rPr>
        <w:t>l sales of beneficiaries and subtracting their aggregated costs.</w:t>
      </w:r>
      <w:r w:rsidR="00B542A9">
        <w:rPr>
          <w:rFonts w:ascii="Arial" w:hAnsi="Arial" w:cs="Arial"/>
          <w:sz w:val="22"/>
          <w:szCs w:val="22"/>
        </w:rPr>
        <w:t xml:space="preserve"> Then we will the </w:t>
      </w:r>
      <w:r w:rsidR="003B073F">
        <w:rPr>
          <w:rFonts w:ascii="Arial" w:hAnsi="Arial" w:cs="Arial"/>
          <w:sz w:val="22"/>
          <w:szCs w:val="22"/>
        </w:rPr>
        <w:t>subtract</w:t>
      </w:r>
      <w:r w:rsidR="00B542A9">
        <w:rPr>
          <w:rFonts w:ascii="Arial" w:hAnsi="Arial" w:cs="Arial"/>
          <w:sz w:val="22"/>
          <w:szCs w:val="22"/>
        </w:rPr>
        <w:t xml:space="preserve"> from this benefit</w:t>
      </w:r>
      <w:r w:rsidR="009F2F3B">
        <w:rPr>
          <w:rFonts w:ascii="Arial" w:hAnsi="Arial" w:cs="Arial"/>
          <w:sz w:val="22"/>
          <w:szCs w:val="22"/>
        </w:rPr>
        <w:t xml:space="preserve"> the corresponding aggregated one to the non-</w:t>
      </w:r>
      <w:r w:rsidR="003B073F">
        <w:rPr>
          <w:rFonts w:ascii="Arial" w:hAnsi="Arial" w:cs="Arial"/>
          <w:sz w:val="22"/>
          <w:szCs w:val="22"/>
        </w:rPr>
        <w:t>beneficiaries</w:t>
      </w:r>
      <w:r w:rsidR="009F2F3B">
        <w:rPr>
          <w:rFonts w:ascii="Arial" w:hAnsi="Arial" w:cs="Arial"/>
          <w:sz w:val="22"/>
          <w:szCs w:val="22"/>
        </w:rPr>
        <w:t xml:space="preserve"> MSME that were registered and monitored by SBDC. </w:t>
      </w:r>
      <w:r w:rsidR="00087288">
        <w:rPr>
          <w:rFonts w:ascii="Arial" w:hAnsi="Arial" w:cs="Arial"/>
          <w:sz w:val="22"/>
          <w:szCs w:val="22"/>
        </w:rPr>
        <w:t xml:space="preserve">For the </w:t>
      </w:r>
      <w:r w:rsidR="003B073F">
        <w:rPr>
          <w:rFonts w:ascii="Arial" w:hAnsi="Arial" w:cs="Arial"/>
          <w:sz w:val="22"/>
          <w:szCs w:val="22"/>
        </w:rPr>
        <w:t>years going</w:t>
      </w:r>
      <w:r w:rsidR="00087288">
        <w:rPr>
          <w:rFonts w:ascii="Arial" w:hAnsi="Arial" w:cs="Arial"/>
          <w:sz w:val="22"/>
          <w:szCs w:val="22"/>
        </w:rPr>
        <w:t xml:space="preserve"> forward the execution period,</w:t>
      </w:r>
      <w:r w:rsidR="0082039D">
        <w:rPr>
          <w:rFonts w:ascii="Arial" w:hAnsi="Arial" w:cs="Arial"/>
          <w:sz w:val="22"/>
          <w:szCs w:val="22"/>
        </w:rPr>
        <w:t xml:space="preserve"> projections will be used based on the observed trends during the first four years.</w:t>
      </w:r>
    </w:p>
    <w:p w:rsidRPr="003A54EE" w:rsidR="003A54EE" w:rsidP="003A54EE" w:rsidRDefault="0070583D" w14:paraId="3A9524AF" w14:textId="6824B9FC">
      <w:pPr>
        <w:pStyle w:val="SecHeading"/>
        <w:tabs>
          <w:tab w:val="clear" w:pos="5400"/>
          <w:tab w:val="num" w:pos="1296"/>
        </w:tabs>
        <w:ind w:left="1296"/>
        <w:rPr>
          <w:rFonts w:ascii="Arial" w:hAnsi="Arial" w:cs="Arial"/>
          <w:color w:val="auto"/>
          <w:sz w:val="22"/>
          <w:szCs w:val="22"/>
          <w:lang w:val="en-US"/>
        </w:rPr>
      </w:pPr>
      <w:bookmarkStart w:name="_Toc6175935" w:id="27"/>
      <w:r>
        <w:rPr>
          <w:rFonts w:ascii="Arial" w:hAnsi="Arial" w:cs="Arial"/>
          <w:color w:val="auto"/>
          <w:sz w:val="22"/>
          <w:szCs w:val="22"/>
          <w:lang w:val="en-US"/>
        </w:rPr>
        <w:t>Workplan and evaluation budget</w:t>
      </w:r>
      <w:bookmarkEnd w:id="27"/>
    </w:p>
    <w:p w:rsidRPr="003A54EE" w:rsidR="003A54EE" w:rsidP="00886086" w:rsidRDefault="00A06383" w14:paraId="06AD1C54" w14:textId="415560F4">
      <w:pPr>
        <w:pStyle w:val="Paragraph"/>
        <w:tabs>
          <w:tab w:val="clear" w:pos="2736"/>
          <w:tab w:val="num" w:pos="630"/>
        </w:tabs>
        <w:ind w:left="630" w:hanging="540"/>
        <w:rPr>
          <w:rFonts w:ascii="Arial" w:hAnsi="Arial" w:cs="Arial"/>
          <w:sz w:val="22"/>
          <w:szCs w:val="22"/>
        </w:rPr>
      </w:pPr>
      <w:r>
        <w:rPr>
          <w:rFonts w:ascii="Arial" w:hAnsi="Arial" w:cs="Arial"/>
          <w:sz w:val="22"/>
          <w:szCs w:val="22"/>
        </w:rPr>
        <w:t xml:space="preserve">The schedule of monitoring and evaluation activities are presented in </w:t>
      </w:r>
      <w:r>
        <w:rPr>
          <w:rFonts w:ascii="Arial" w:hAnsi="Arial" w:cs="Arial"/>
          <w:sz w:val="22"/>
          <w:szCs w:val="22"/>
        </w:rPr>
        <w:fldChar w:fldCharType="begin"/>
      </w:r>
      <w:r>
        <w:rPr>
          <w:rFonts w:ascii="Arial" w:hAnsi="Arial" w:cs="Arial"/>
          <w:sz w:val="22"/>
          <w:szCs w:val="22"/>
        </w:rPr>
        <w:instrText xml:space="preserve"> REF _Ref6174725 \h  \* MERGEFORMAT </w:instrText>
      </w:r>
      <w:r>
        <w:rPr>
          <w:rFonts w:ascii="Arial" w:hAnsi="Arial" w:cs="Arial"/>
          <w:sz w:val="22"/>
          <w:szCs w:val="22"/>
        </w:rPr>
      </w:r>
      <w:r>
        <w:rPr>
          <w:rFonts w:ascii="Arial" w:hAnsi="Arial" w:cs="Arial"/>
          <w:sz w:val="22"/>
          <w:szCs w:val="22"/>
        </w:rPr>
        <w:fldChar w:fldCharType="separate"/>
      </w:r>
      <w:r w:rsidRPr="00A06383">
        <w:rPr>
          <w:rFonts w:ascii="Arial" w:hAnsi="Arial" w:cs="Arial"/>
          <w:sz w:val="22"/>
          <w:szCs w:val="22"/>
        </w:rPr>
        <w:t>Table 3</w:t>
      </w:r>
      <w:r>
        <w:rPr>
          <w:rFonts w:ascii="Arial" w:hAnsi="Arial" w:cs="Arial"/>
          <w:sz w:val="22"/>
          <w:szCs w:val="22"/>
        </w:rPr>
        <w:fldChar w:fldCharType="end"/>
      </w:r>
      <w:r w:rsidR="007D0B8C">
        <w:rPr>
          <w:rFonts w:ascii="Arial" w:hAnsi="Arial" w:cs="Arial"/>
          <w:sz w:val="22"/>
          <w:szCs w:val="22"/>
        </w:rPr>
        <w:t xml:space="preserve">. </w:t>
      </w:r>
      <w:r w:rsidR="00F82C7C">
        <w:rPr>
          <w:rFonts w:ascii="Arial" w:hAnsi="Arial" w:cs="Arial"/>
          <w:sz w:val="22"/>
          <w:szCs w:val="22"/>
        </w:rPr>
        <w:t xml:space="preserve">Monitoring information will be collected </w:t>
      </w:r>
      <w:r w:rsidR="00E30251">
        <w:rPr>
          <w:rFonts w:ascii="Arial" w:hAnsi="Arial" w:cs="Arial"/>
          <w:sz w:val="22"/>
          <w:szCs w:val="22"/>
        </w:rPr>
        <w:t xml:space="preserve">semiannually, with the follow-up survey to MSME expected to be completed during the last year of execution. </w:t>
      </w:r>
      <w:r w:rsidR="00290640">
        <w:rPr>
          <w:rFonts w:ascii="Arial" w:hAnsi="Arial" w:cs="Arial"/>
          <w:sz w:val="22"/>
          <w:szCs w:val="22"/>
        </w:rPr>
        <w:t xml:space="preserve">Costs associated to these activities </w:t>
      </w:r>
      <w:r w:rsidR="008251F1">
        <w:rPr>
          <w:rFonts w:ascii="Arial" w:hAnsi="Arial" w:cs="Arial"/>
          <w:sz w:val="22"/>
          <w:szCs w:val="22"/>
        </w:rPr>
        <w:t xml:space="preserve">consists of survey to MSME, processing of administrative data, </w:t>
      </w:r>
      <w:r w:rsidR="00886086">
        <w:rPr>
          <w:rFonts w:ascii="Arial" w:hAnsi="Arial" w:cs="Arial"/>
          <w:sz w:val="22"/>
          <w:szCs w:val="22"/>
        </w:rPr>
        <w:t xml:space="preserve">and labor time employed by SBDC and IDB staff. </w:t>
      </w:r>
    </w:p>
    <w:p w:rsidR="00BD373A" w:rsidP="0015710E" w:rsidRDefault="00314F44" w14:paraId="7AC11004" w14:textId="77777777">
      <w:pPr>
        <w:pStyle w:val="Paragraph"/>
        <w:tabs>
          <w:tab w:val="clear" w:pos="2736"/>
          <w:tab w:val="num" w:pos="630"/>
        </w:tabs>
        <w:ind w:left="630" w:hanging="540"/>
        <w:rPr>
          <w:rFonts w:ascii="Arial" w:hAnsi="Arial" w:cs="Arial"/>
          <w:sz w:val="22"/>
          <w:szCs w:val="22"/>
        </w:rPr>
      </w:pPr>
      <w:r w:rsidRPr="00BD373A">
        <w:rPr>
          <w:rFonts w:ascii="Arial" w:hAnsi="Arial" w:cs="Arial"/>
          <w:sz w:val="22"/>
          <w:szCs w:val="22"/>
        </w:rPr>
        <w:t xml:space="preserve">Personnel costs will be covered by </w:t>
      </w:r>
      <w:r w:rsidRPr="00BD373A" w:rsidR="00C9076F">
        <w:rPr>
          <w:rFonts w:ascii="Arial" w:hAnsi="Arial" w:cs="Arial"/>
          <w:sz w:val="22"/>
          <w:szCs w:val="22"/>
        </w:rPr>
        <w:t xml:space="preserve">operation budget included in the component of institutional </w:t>
      </w:r>
      <w:r w:rsidRPr="00BD373A" w:rsidR="00010AA1">
        <w:rPr>
          <w:rFonts w:ascii="Arial" w:hAnsi="Arial" w:cs="Arial"/>
          <w:sz w:val="22"/>
          <w:szCs w:val="22"/>
        </w:rPr>
        <w:t xml:space="preserve">strengthening. IDB personnel costs will be covered by </w:t>
      </w:r>
      <w:r w:rsidRPr="00BD373A" w:rsidR="00743009">
        <w:rPr>
          <w:rFonts w:ascii="Arial" w:hAnsi="Arial" w:cs="Arial"/>
          <w:sz w:val="22"/>
          <w:szCs w:val="22"/>
        </w:rPr>
        <w:t xml:space="preserve">CMF administrative budget. </w:t>
      </w:r>
      <w:r w:rsidRPr="00BD373A" w:rsidR="00AE606C">
        <w:rPr>
          <w:rFonts w:ascii="Arial" w:hAnsi="Arial" w:cs="Arial"/>
          <w:sz w:val="22"/>
          <w:szCs w:val="22"/>
        </w:rPr>
        <w:t>The institutional strengthening component will further reinforce SBDC capaci</w:t>
      </w:r>
      <w:r w:rsidRPr="00BD373A" w:rsidR="00565D59">
        <w:rPr>
          <w:rFonts w:ascii="Arial" w:hAnsi="Arial" w:cs="Arial"/>
          <w:sz w:val="22"/>
          <w:szCs w:val="22"/>
        </w:rPr>
        <w:t>ty to ex</w:t>
      </w:r>
      <w:r w:rsidRPr="00BD373A" w:rsidR="00ED1A56">
        <w:rPr>
          <w:rFonts w:ascii="Arial" w:hAnsi="Arial" w:cs="Arial"/>
          <w:sz w:val="22"/>
          <w:szCs w:val="22"/>
        </w:rPr>
        <w:t xml:space="preserve">ecute all the task and compromises detailed in this monitoring and evaluation plan. </w:t>
      </w:r>
    </w:p>
    <w:p w:rsidRPr="00BD373A" w:rsidR="003A54EE" w:rsidP="0015710E" w:rsidRDefault="00C6304D" w14:paraId="3A247252" w14:textId="68F32375">
      <w:pPr>
        <w:pStyle w:val="Paragraph"/>
        <w:tabs>
          <w:tab w:val="clear" w:pos="2736"/>
          <w:tab w:val="num" w:pos="630"/>
        </w:tabs>
        <w:ind w:left="630" w:hanging="540"/>
        <w:rPr>
          <w:rFonts w:ascii="Arial" w:hAnsi="Arial" w:cs="Arial"/>
          <w:sz w:val="22"/>
          <w:szCs w:val="22"/>
        </w:rPr>
      </w:pPr>
      <w:r w:rsidRPr="00BD373A">
        <w:rPr>
          <w:rFonts w:ascii="Arial" w:hAnsi="Arial" w:cs="Arial"/>
          <w:sz w:val="22"/>
          <w:szCs w:val="22"/>
        </w:rPr>
        <w:t xml:space="preserve">The results from the final evaluation will be disseminated by the IDB and the EA </w:t>
      </w:r>
      <w:r w:rsidRPr="00BD373A" w:rsidR="00F87F7B">
        <w:rPr>
          <w:rFonts w:ascii="Arial" w:hAnsi="Arial" w:cs="Arial"/>
          <w:sz w:val="22"/>
          <w:szCs w:val="22"/>
        </w:rPr>
        <w:t>including all the necess</w:t>
      </w:r>
      <w:r w:rsidRPr="00BD373A" w:rsidR="00446EA2">
        <w:rPr>
          <w:rFonts w:ascii="Arial" w:hAnsi="Arial" w:cs="Arial"/>
          <w:sz w:val="22"/>
          <w:szCs w:val="22"/>
        </w:rPr>
        <w:t>ary information</w:t>
      </w:r>
      <w:r w:rsidRPr="00BD373A" w:rsidR="00D53808">
        <w:rPr>
          <w:rFonts w:ascii="Arial" w:hAnsi="Arial" w:cs="Arial"/>
          <w:sz w:val="22"/>
          <w:szCs w:val="22"/>
        </w:rPr>
        <w:t xml:space="preserve"> (</w:t>
      </w:r>
      <w:proofErr w:type="gramStart"/>
      <w:r w:rsidRPr="00BD373A" w:rsidR="00D53808">
        <w:rPr>
          <w:rFonts w:ascii="Arial" w:hAnsi="Arial" w:cs="Arial"/>
          <w:sz w:val="22"/>
          <w:szCs w:val="22"/>
        </w:rPr>
        <w:t>as long as</w:t>
      </w:r>
      <w:proofErr w:type="gramEnd"/>
      <w:r w:rsidRPr="00BD373A" w:rsidR="00D53808">
        <w:rPr>
          <w:rFonts w:ascii="Arial" w:hAnsi="Arial" w:cs="Arial"/>
          <w:sz w:val="22"/>
          <w:szCs w:val="22"/>
        </w:rPr>
        <w:t xml:space="preserve"> there </w:t>
      </w:r>
      <w:r w:rsidR="00E93D02">
        <w:rPr>
          <w:rFonts w:ascii="Arial" w:hAnsi="Arial" w:cs="Arial"/>
          <w:sz w:val="22"/>
          <w:szCs w:val="22"/>
        </w:rPr>
        <w:t>is no classified information</w:t>
      </w:r>
      <w:r w:rsidRPr="00BD373A" w:rsidR="00D53808">
        <w:rPr>
          <w:rFonts w:ascii="Arial" w:hAnsi="Arial" w:cs="Arial"/>
          <w:sz w:val="22"/>
          <w:szCs w:val="22"/>
        </w:rPr>
        <w:t>)</w:t>
      </w:r>
      <w:r w:rsidRPr="00BD373A" w:rsidR="00446EA2">
        <w:rPr>
          <w:rFonts w:ascii="Arial" w:hAnsi="Arial" w:cs="Arial"/>
          <w:sz w:val="22"/>
          <w:szCs w:val="22"/>
        </w:rPr>
        <w:t xml:space="preserve"> that would </w:t>
      </w:r>
      <w:r w:rsidRPr="00BD373A" w:rsidR="00D53808">
        <w:rPr>
          <w:rFonts w:ascii="Arial" w:hAnsi="Arial" w:cs="Arial"/>
          <w:sz w:val="22"/>
          <w:szCs w:val="22"/>
        </w:rPr>
        <w:t xml:space="preserve">allow the interpretation and replication of the results. </w:t>
      </w:r>
      <w:r w:rsidR="00CF4AE5">
        <w:rPr>
          <w:rFonts w:ascii="Arial" w:hAnsi="Arial" w:cs="Arial"/>
          <w:sz w:val="22"/>
          <w:szCs w:val="22"/>
        </w:rPr>
        <w:t xml:space="preserve">These results should be available not after </w:t>
      </w:r>
      <w:r w:rsidR="00E23915">
        <w:rPr>
          <w:rFonts w:ascii="Arial" w:hAnsi="Arial" w:cs="Arial"/>
          <w:sz w:val="22"/>
          <w:szCs w:val="22"/>
        </w:rPr>
        <w:t>18 month</w:t>
      </w:r>
      <w:r w:rsidR="00A151A1">
        <w:rPr>
          <w:rFonts w:ascii="Arial" w:hAnsi="Arial" w:cs="Arial"/>
          <w:sz w:val="22"/>
          <w:szCs w:val="22"/>
        </w:rPr>
        <w:t>s</w:t>
      </w:r>
      <w:r w:rsidR="00E23915">
        <w:rPr>
          <w:rFonts w:ascii="Arial" w:hAnsi="Arial" w:cs="Arial"/>
          <w:sz w:val="22"/>
          <w:szCs w:val="22"/>
        </w:rPr>
        <w:t xml:space="preserve"> after the evaluation’s conclusion. </w:t>
      </w:r>
    </w:p>
    <w:p w:rsidRPr="003A54EE" w:rsidR="003A54EE" w:rsidP="000C2B63" w:rsidRDefault="0069092F" w14:paraId="19E08432" w14:textId="4D8FA349">
      <w:pPr>
        <w:pStyle w:val="Paragraph"/>
        <w:tabs>
          <w:tab w:val="clear" w:pos="2736"/>
          <w:tab w:val="num" w:pos="630"/>
        </w:tabs>
        <w:ind w:left="630" w:hanging="540"/>
      </w:pPr>
      <w:r>
        <w:rPr>
          <w:rFonts w:ascii="Arial" w:hAnsi="Arial" w:cs="Arial"/>
          <w:sz w:val="22"/>
          <w:szCs w:val="22"/>
        </w:rPr>
        <w:t xml:space="preserve">The project’s team will invite SBDC to organize dissemination seminars </w:t>
      </w:r>
      <w:r w:rsidR="00654B6C">
        <w:rPr>
          <w:rFonts w:ascii="Arial" w:hAnsi="Arial" w:cs="Arial"/>
          <w:sz w:val="22"/>
          <w:szCs w:val="22"/>
        </w:rPr>
        <w:t xml:space="preserve">among organizations potentially interested in the results, such as </w:t>
      </w:r>
      <w:r w:rsidR="002A6400">
        <w:rPr>
          <w:rFonts w:ascii="Arial" w:hAnsi="Arial" w:cs="Arial"/>
          <w:sz w:val="22"/>
          <w:szCs w:val="22"/>
        </w:rPr>
        <w:t>government organizations, education</w:t>
      </w:r>
      <w:r w:rsidR="00195F9D">
        <w:rPr>
          <w:rFonts w:ascii="Arial" w:hAnsi="Arial" w:cs="Arial"/>
          <w:sz w:val="22"/>
          <w:szCs w:val="22"/>
        </w:rPr>
        <w:t>al</w:t>
      </w:r>
      <w:r w:rsidR="002A6400">
        <w:rPr>
          <w:rFonts w:ascii="Arial" w:hAnsi="Arial" w:cs="Arial"/>
          <w:sz w:val="22"/>
          <w:szCs w:val="22"/>
        </w:rPr>
        <w:t xml:space="preserve"> institutions </w:t>
      </w:r>
      <w:r w:rsidR="00EA1719">
        <w:rPr>
          <w:rFonts w:ascii="Arial" w:hAnsi="Arial" w:cs="Arial"/>
          <w:sz w:val="22"/>
          <w:szCs w:val="22"/>
        </w:rPr>
        <w:t>and international organizations. At the same time IFD/CMF will promote</w:t>
      </w:r>
      <w:r w:rsidR="006A1939">
        <w:rPr>
          <w:rFonts w:ascii="Arial" w:hAnsi="Arial" w:cs="Arial"/>
          <w:sz w:val="22"/>
          <w:szCs w:val="22"/>
        </w:rPr>
        <w:t xml:space="preserve"> the dissemination </w:t>
      </w:r>
      <w:r w:rsidR="000C2B63">
        <w:rPr>
          <w:rFonts w:ascii="Arial" w:hAnsi="Arial" w:cs="Arial"/>
          <w:sz w:val="22"/>
          <w:szCs w:val="22"/>
        </w:rPr>
        <w:t xml:space="preserve">of results </w:t>
      </w:r>
      <w:r w:rsidR="006A1939">
        <w:rPr>
          <w:rFonts w:ascii="Arial" w:hAnsi="Arial" w:cs="Arial"/>
          <w:sz w:val="22"/>
          <w:szCs w:val="22"/>
        </w:rPr>
        <w:t>through internal seminar</w:t>
      </w:r>
      <w:r w:rsidR="000C2B63">
        <w:rPr>
          <w:rFonts w:ascii="Arial" w:hAnsi="Arial" w:cs="Arial"/>
          <w:sz w:val="22"/>
          <w:szCs w:val="22"/>
        </w:rPr>
        <w:t>s.</w:t>
      </w:r>
      <w:r w:rsidRPr="003A54EE" w:rsidR="000C2B63">
        <w:t xml:space="preserve"> </w:t>
      </w:r>
    </w:p>
    <w:sectPr w:rsidRPr="003A54EE" w:rsidR="003A54EE" w:rsidSect="00E63D93">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A98" w:rsidP="003A54EE" w:rsidRDefault="00497A98" w14:paraId="4978D998" w14:textId="77777777">
      <w:r>
        <w:separator/>
      </w:r>
    </w:p>
  </w:endnote>
  <w:endnote w:type="continuationSeparator" w:id="0">
    <w:p w:rsidR="00497A98" w:rsidP="003A54EE" w:rsidRDefault="00497A98" w14:paraId="11D559E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7059657"/>
      <w:docPartObj>
        <w:docPartGallery w:val="Page Numbers (Bottom of Page)"/>
        <w:docPartUnique/>
      </w:docPartObj>
    </w:sdtPr>
    <w:sdtEndPr>
      <w:rPr>
        <w:noProof/>
        <w:sz w:val="18"/>
      </w:rPr>
    </w:sdtEndPr>
    <w:sdtContent>
      <w:p w:rsidRPr="007E2358" w:rsidR="003A54EE" w:rsidRDefault="003A54EE" w14:paraId="138D4F59" w14:textId="77777777">
        <w:pPr>
          <w:pStyle w:val="Footer"/>
          <w:jc w:val="center"/>
          <w:rPr>
            <w:rFonts w:ascii="Arial" w:hAnsi="Arial" w:cs="Arial"/>
            <w:sz w:val="18"/>
          </w:rPr>
        </w:pPr>
        <w:r w:rsidRPr="007E2358">
          <w:rPr>
            <w:rFonts w:ascii="Arial" w:hAnsi="Arial" w:cs="Arial"/>
            <w:sz w:val="18"/>
          </w:rPr>
          <w:t>-</w:t>
        </w:r>
        <w:r w:rsidRPr="007E2358">
          <w:rPr>
            <w:rFonts w:ascii="Arial" w:hAnsi="Arial" w:cs="Arial"/>
            <w:sz w:val="18"/>
          </w:rPr>
          <w:fldChar w:fldCharType="begin"/>
        </w:r>
        <w:r w:rsidRPr="007E2358">
          <w:rPr>
            <w:rFonts w:ascii="Arial" w:hAnsi="Arial" w:cs="Arial"/>
            <w:sz w:val="18"/>
          </w:rPr>
          <w:instrText xml:space="preserve"> PAGE   \* MERGEFORMAT </w:instrText>
        </w:r>
        <w:r w:rsidRPr="007E2358">
          <w:rPr>
            <w:rFonts w:ascii="Arial" w:hAnsi="Arial" w:cs="Arial"/>
            <w:sz w:val="18"/>
          </w:rPr>
          <w:fldChar w:fldCharType="separate"/>
        </w:r>
        <w:r w:rsidRPr="007E2358">
          <w:rPr>
            <w:rFonts w:ascii="Arial" w:hAnsi="Arial" w:cs="Arial"/>
            <w:noProof/>
            <w:sz w:val="18"/>
          </w:rPr>
          <w:t>14</w:t>
        </w:r>
        <w:r w:rsidRPr="007E2358">
          <w:rPr>
            <w:rFonts w:ascii="Arial" w:hAnsi="Arial" w:cs="Arial"/>
            <w:noProof/>
            <w:sz w:val="18"/>
          </w:rPr>
          <w:fldChar w:fldCharType="end"/>
        </w:r>
        <w:r w:rsidRPr="007E2358">
          <w:rPr>
            <w:rFonts w:ascii="Arial" w:hAnsi="Arial" w:cs="Arial"/>
            <w:noProof/>
            <w:sz w:val="18"/>
          </w:rPr>
          <w:t>-</w:t>
        </w:r>
      </w:p>
    </w:sdtContent>
  </w:sdt>
  <w:p w:rsidR="003A54EE" w:rsidRDefault="003A54EE" w14:paraId="2F29C5B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A98" w:rsidP="003A54EE" w:rsidRDefault="00497A98" w14:paraId="60D0CDAC" w14:textId="77777777">
      <w:r>
        <w:separator/>
      </w:r>
    </w:p>
  </w:footnote>
  <w:footnote w:type="continuationSeparator" w:id="0">
    <w:p w:rsidR="00497A98" w:rsidP="003A54EE" w:rsidRDefault="00497A98" w14:paraId="561F294D" w14:textId="77777777">
      <w:r>
        <w:continuationSeparator/>
      </w:r>
    </w:p>
  </w:footnote>
  <w:footnote w:id="1">
    <w:p w:rsidRPr="00FA7C14" w:rsidR="002E7141" w:rsidP="00CD2C16" w:rsidRDefault="002E7141" w14:paraId="0C89E4EF" w14:textId="4B0F41F0">
      <w:pPr>
        <w:pStyle w:val="FootnoteText"/>
        <w:spacing w:after="0"/>
        <w:rPr>
          <w:szCs w:val="18"/>
        </w:rPr>
      </w:pPr>
      <w:r w:rsidRPr="00FA7C14">
        <w:rPr>
          <w:rStyle w:val="FootnoteReference"/>
          <w:szCs w:val="18"/>
        </w:rPr>
        <w:footnoteRef/>
      </w:r>
      <w:r w:rsidRPr="00FA7C14">
        <w:rPr>
          <w:szCs w:val="18"/>
        </w:rPr>
        <w:t xml:space="preserve"> </w:t>
      </w:r>
      <w:r w:rsidR="00A436ED">
        <w:rPr>
          <w:szCs w:val="18"/>
        </w:rPr>
        <w:tab/>
      </w:r>
      <w:r w:rsidRPr="00FA7C14">
        <w:rPr>
          <w:szCs w:val="18"/>
        </w:rPr>
        <w:t>Public Development Banks, Towards a New Paradigm? IDB, 2013.</w:t>
      </w:r>
    </w:p>
  </w:footnote>
  <w:footnote w:id="2">
    <w:p w:rsidRPr="00FA7C14" w:rsidR="002E7141" w:rsidP="00CD2C16" w:rsidRDefault="002E7141" w14:paraId="21206B69" w14:textId="23616064">
      <w:pPr>
        <w:pStyle w:val="FootnoteText"/>
        <w:spacing w:after="0"/>
      </w:pPr>
      <w:r w:rsidRPr="00FA7C14">
        <w:rPr>
          <w:rStyle w:val="FootnoteReference"/>
          <w:szCs w:val="18"/>
        </w:rPr>
        <w:footnoteRef/>
      </w:r>
      <w:r w:rsidRPr="00FA7C14">
        <w:rPr>
          <w:szCs w:val="18"/>
        </w:rPr>
        <w:t xml:space="preserve"> </w:t>
      </w:r>
      <w:r w:rsidR="00A436ED">
        <w:rPr>
          <w:szCs w:val="18"/>
        </w:rPr>
        <w:tab/>
      </w:r>
      <w:r w:rsidRPr="00FA7C14">
        <w:rPr>
          <w:szCs w:val="18"/>
        </w:rPr>
        <w:t>Ibid.</w:t>
      </w:r>
    </w:p>
  </w:footnote>
  <w:footnote w:id="3">
    <w:p w:rsidRPr="00EE64FB" w:rsidR="00656C5F" w:rsidP="00CD2C16" w:rsidRDefault="00656C5F" w14:paraId="185B41B2" w14:textId="32B8F5AA">
      <w:pPr>
        <w:pStyle w:val="FootnoteText"/>
        <w:spacing w:after="0"/>
        <w:rPr>
          <w:szCs w:val="18"/>
        </w:rPr>
      </w:pPr>
      <w:r w:rsidRPr="00B00FC0">
        <w:rPr>
          <w:rStyle w:val="FootnoteReference"/>
          <w:szCs w:val="18"/>
        </w:rPr>
        <w:footnoteRef/>
      </w:r>
      <w:r w:rsidRPr="00EE64FB">
        <w:rPr>
          <w:szCs w:val="18"/>
        </w:rPr>
        <w:t xml:space="preserve"> </w:t>
      </w:r>
      <w:r w:rsidRPr="00EE64FB">
        <w:rPr>
          <w:szCs w:val="18"/>
        </w:rPr>
        <w:tab/>
      </w:r>
      <w:r w:rsidRPr="00CC33B0">
        <w:rPr>
          <w:szCs w:val="18"/>
        </w:rPr>
        <w:t xml:space="preserve">OECD, op cit. and </w:t>
      </w:r>
      <w:r w:rsidRPr="00F15548">
        <w:rPr>
          <w:szCs w:val="18"/>
        </w:rPr>
        <w:t>IDB (2013), op cit., based on evidence from</w:t>
      </w:r>
      <w:r w:rsidRPr="00CC33B0">
        <w:rPr>
          <w:szCs w:val="18"/>
        </w:rPr>
        <w:t xml:space="preserve"> </w:t>
      </w:r>
      <w:r w:rsidRPr="00CC33B0">
        <w:rPr>
          <w:szCs w:val="18"/>
        </w:rPr>
        <w:t>Larraín and Quiroz, “</w:t>
      </w:r>
      <w:r w:rsidRPr="00CC33B0">
        <w:rPr>
          <w:i/>
          <w:szCs w:val="18"/>
        </w:rPr>
        <w:t>Estudio para el fondo de garantía de pequeños empresarios</w:t>
      </w:r>
      <w:r w:rsidRPr="00CC33B0">
        <w:rPr>
          <w:szCs w:val="18"/>
        </w:rPr>
        <w:t xml:space="preserve">”, 2006, and Drexler, et.al., The effect of partial credit guarantees on the credit market for small businesses, 2008. </w:t>
      </w:r>
      <w:r>
        <w:rPr>
          <w:szCs w:val="18"/>
        </w:rPr>
        <w:t xml:space="preserve">These studies reveal not only credit additionality but a positive effect on firm output. </w:t>
      </w:r>
      <w:r w:rsidRPr="00CC33B0">
        <w:rPr>
          <w:szCs w:val="18"/>
        </w:rPr>
        <w:t>Also, see Llisterri et al, “</w:t>
      </w:r>
      <w:r w:rsidRPr="00CC33B0">
        <w:rPr>
          <w:i/>
          <w:szCs w:val="18"/>
        </w:rPr>
        <w:t>Sistema de garantías de crédito en América Latina: orientaciones operativas</w:t>
      </w:r>
      <w:r w:rsidRPr="00CC33B0">
        <w:rPr>
          <w:szCs w:val="18"/>
        </w:rPr>
        <w:t>”, IDB, 2006; and Central Bank of Chile Working Papers Nº254, The effect of credit insurance on liquidity constraints and default rates: evidence from a governmental intervention, 2009.</w:t>
      </w:r>
    </w:p>
  </w:footnote>
  <w:footnote w:id="4">
    <w:p w:rsidRPr="00B00FC0" w:rsidR="00656C5F" w:rsidP="00CD2C16" w:rsidRDefault="00656C5F" w14:paraId="7FF3FCC3" w14:textId="77777777">
      <w:pPr>
        <w:pStyle w:val="FootnoteText"/>
        <w:spacing w:after="0"/>
        <w:rPr>
          <w:szCs w:val="18"/>
          <w:lang w:val="es-ES_tradnl"/>
        </w:rPr>
      </w:pPr>
      <w:r w:rsidRPr="00B00FC0">
        <w:rPr>
          <w:rStyle w:val="FootnoteReference"/>
          <w:szCs w:val="18"/>
        </w:rPr>
        <w:footnoteRef/>
      </w:r>
      <w:r w:rsidRPr="00B00FC0">
        <w:rPr>
          <w:szCs w:val="18"/>
          <w:lang w:val="es-ES_tradnl"/>
        </w:rPr>
        <w:t xml:space="preserve"> </w:t>
      </w:r>
      <w:r w:rsidRPr="00B00FC0">
        <w:rPr>
          <w:szCs w:val="18"/>
          <w:lang w:val="es-ES_tradnl"/>
        </w:rPr>
        <w:tab/>
      </w:r>
      <w:r w:rsidRPr="00B00FC0">
        <w:rPr>
          <w:szCs w:val="18"/>
          <w:lang w:val="es-ES_tradnl"/>
        </w:rPr>
        <w:t>IDB</w:t>
      </w:r>
      <w:r>
        <w:rPr>
          <w:szCs w:val="18"/>
          <w:lang w:val="es-ES_tradnl"/>
        </w:rPr>
        <w:t xml:space="preserve"> (2006), </w:t>
      </w:r>
      <w:r>
        <w:rPr>
          <w:szCs w:val="18"/>
          <w:lang w:val="es-ES_tradnl"/>
        </w:rPr>
        <w:t>op cit.</w:t>
      </w:r>
      <w:r w:rsidRPr="00B00FC0">
        <w:rPr>
          <w:szCs w:val="18"/>
          <w:lang w:val="es-ES_tradnl"/>
        </w:rPr>
        <w:t>; Larraín</w:t>
      </w:r>
      <w:r>
        <w:rPr>
          <w:szCs w:val="18"/>
          <w:lang w:val="es-ES_tradnl"/>
        </w:rPr>
        <w:t xml:space="preserve"> (2006), op cit.; </w:t>
      </w:r>
      <w:r w:rsidRPr="00B00FC0">
        <w:rPr>
          <w:szCs w:val="18"/>
          <w:lang w:val="es-ES_tradnl"/>
        </w:rPr>
        <w:t xml:space="preserve">Alvarado and Galarza, </w:t>
      </w:r>
      <w:r w:rsidRPr="00BB5062">
        <w:rPr>
          <w:i/>
          <w:szCs w:val="18"/>
          <w:lang w:val="es-ES_tradnl"/>
        </w:rPr>
        <w:t>“Los fondos de garantía para el acceso al crédito en Perú: alcances y limitaciones</w:t>
      </w:r>
      <w:r w:rsidRPr="00B00FC0">
        <w:rPr>
          <w:szCs w:val="18"/>
          <w:lang w:val="es-ES_tradnl"/>
        </w:rPr>
        <w:t xml:space="preserve">”, </w:t>
      </w:r>
      <w:r>
        <w:rPr>
          <w:szCs w:val="18"/>
          <w:lang w:val="es-ES_tradnl"/>
        </w:rPr>
        <w:t xml:space="preserve">Peruvian Center </w:t>
      </w:r>
      <w:r w:rsidRPr="00CC33B0">
        <w:rPr>
          <w:szCs w:val="18"/>
          <w:lang w:val="es-ES_tradnl"/>
        </w:rPr>
        <w:t>of Social Studies</w:t>
      </w:r>
      <w:r w:rsidRPr="00BB5062">
        <w:rPr>
          <w:i/>
          <w:szCs w:val="18"/>
          <w:lang w:val="es-ES_tradnl"/>
        </w:rPr>
        <w:t>,</w:t>
      </w:r>
      <w:r w:rsidRPr="00B00FC0">
        <w:rPr>
          <w:szCs w:val="18"/>
          <w:lang w:val="es-ES_tradnl"/>
        </w:rPr>
        <w:t>2002.</w:t>
      </w:r>
    </w:p>
  </w:footnote>
  <w:footnote w:id="5">
    <w:p w:rsidRPr="00B00FC0" w:rsidR="00656C5F" w:rsidP="00CD2C16" w:rsidRDefault="00656C5F" w14:paraId="4E34C065" w14:textId="77777777">
      <w:pPr>
        <w:pStyle w:val="FootnoteText"/>
        <w:spacing w:after="0"/>
        <w:rPr>
          <w:szCs w:val="18"/>
        </w:rPr>
      </w:pPr>
      <w:r w:rsidRPr="00B00FC0">
        <w:rPr>
          <w:rStyle w:val="FootnoteReference"/>
          <w:szCs w:val="18"/>
        </w:rPr>
        <w:footnoteRef/>
      </w:r>
      <w:r w:rsidRPr="00B00FC0">
        <w:rPr>
          <w:szCs w:val="18"/>
        </w:rPr>
        <w:t xml:space="preserve"> </w:t>
      </w:r>
      <w:r w:rsidRPr="00B00FC0">
        <w:rPr>
          <w:szCs w:val="18"/>
        </w:rPr>
        <w:tab/>
      </w:r>
      <w:r w:rsidRPr="00ED14B7">
        <w:t xml:space="preserve">Arraíz, et al., Partial credit guarantee and firm performance: evidence from the Colombian National Guarantee Fund, IDB - Office of the Evaluation and Oversight, 2012. The study finds that firms that gain access to credit backed by the guarantee fund </w:t>
      </w:r>
      <w:r w:rsidRPr="00ED14B7">
        <w:t>are able to grow in terms of both output and employment, using funds mainly for working capital.</w:t>
      </w:r>
    </w:p>
  </w:footnote>
  <w:footnote w:id="6">
    <w:p w:rsidRPr="00ED14B7" w:rsidR="00601E3D" w:rsidP="00A436ED" w:rsidRDefault="00601E3D" w14:paraId="4542F664" w14:textId="2A8A7FA0">
      <w:pPr>
        <w:pStyle w:val="FootnoteText"/>
        <w:spacing w:after="0"/>
        <w:ind w:left="270"/>
        <w:rPr>
          <w:lang w:val="fr-FR"/>
        </w:rPr>
      </w:pPr>
      <w:r>
        <w:rPr>
          <w:rStyle w:val="FootnoteReference"/>
        </w:rPr>
        <w:footnoteRef/>
      </w:r>
      <w:r w:rsidRPr="00ED14B7">
        <w:rPr>
          <w:lang w:val="fr-FR"/>
        </w:rPr>
        <w:t xml:space="preserve"> </w:t>
      </w:r>
      <w:r w:rsidR="00A436ED">
        <w:rPr>
          <w:lang w:val="fr-FR"/>
        </w:rPr>
        <w:tab/>
      </w:r>
      <w:r w:rsidRPr="00ED14B7">
        <w:rPr>
          <w:lang w:val="fr-FR"/>
        </w:rPr>
        <w:t xml:space="preserve">Drexler, </w:t>
      </w:r>
      <w:r w:rsidRPr="00ED14B7" w:rsidR="00ED14B7">
        <w:rPr>
          <w:lang w:val="fr-FR"/>
        </w:rPr>
        <w:t>et al, op cit</w:t>
      </w:r>
      <w:r w:rsidRPr="00ED14B7">
        <w:rPr>
          <w:lang w:val="fr-FR"/>
        </w:rPr>
        <w:t>.</w:t>
      </w:r>
    </w:p>
  </w:footnote>
  <w:footnote w:id="7">
    <w:p w:rsidRPr="000121C2" w:rsidR="00601E3D" w:rsidP="00A436ED" w:rsidRDefault="00601E3D" w14:paraId="34F32435" w14:textId="7CB54742">
      <w:pPr>
        <w:pStyle w:val="FootnoteText"/>
        <w:spacing w:after="0"/>
        <w:ind w:left="270"/>
      </w:pPr>
      <w:r>
        <w:rPr>
          <w:rStyle w:val="FootnoteReference"/>
        </w:rPr>
        <w:footnoteRef/>
      </w:r>
      <w:r>
        <w:t xml:space="preserve"> </w:t>
      </w:r>
      <w:r w:rsidR="00A436ED">
        <w:tab/>
      </w:r>
      <w:r w:rsidRPr="000121C2">
        <w:t xml:space="preserve">Arraíz, </w:t>
      </w:r>
      <w:r w:rsidR="00ED14B7">
        <w:t>et al, op cit</w:t>
      </w:r>
      <w:r w:rsidR="0038447D">
        <w:t>.</w:t>
      </w:r>
    </w:p>
  </w:footnote>
  <w:footnote w:id="8">
    <w:p w:rsidRPr="00F41BD3" w:rsidR="00601E3D" w:rsidP="00A436ED" w:rsidRDefault="00601E3D" w14:paraId="6EC0E2D6" w14:textId="62AF8463">
      <w:pPr>
        <w:pStyle w:val="FootnoteText"/>
        <w:spacing w:after="0"/>
        <w:ind w:left="270"/>
      </w:pPr>
      <w:r>
        <w:rPr>
          <w:rStyle w:val="FootnoteReference"/>
        </w:rPr>
        <w:footnoteRef/>
      </w:r>
      <w:r>
        <w:t xml:space="preserve"> </w:t>
      </w:r>
      <w:r w:rsidR="00A436ED">
        <w:tab/>
      </w:r>
      <w:r>
        <w:t>Bertoni, F., Brault, J., Colombp, M., Quas, A., Signore, S. (2019), “Econometric study on the impact of EU loan guarantee financial instruments on growth and jobs of SMEs”, European Investment Fund, Working Paper 2019/54.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29DB7F98"/>
    <w:multiLevelType w:val="multilevel"/>
    <w:tmpl w:val="F6C6B160"/>
    <w:lvl w:ilvl="0">
      <w:start w:val="1"/>
      <w:numFmt w:val="upperRoman"/>
      <w:lvlRestart w:val="0"/>
      <w:pStyle w:val="Chapter"/>
      <w:lvlText w:val="%1."/>
      <w:lvlJc w:val="center"/>
      <w:pPr>
        <w:tabs>
          <w:tab w:val="num" w:pos="2088"/>
        </w:tabs>
        <w:ind w:left="1440" w:firstLine="288"/>
      </w:pPr>
      <w:rPr>
        <w:rFonts w:hint="default"/>
        <w:b/>
        <w:i w:val="0"/>
      </w:rPr>
    </w:lvl>
    <w:lvl w:ilvl="1">
      <w:start w:val="1"/>
      <w:numFmt w:val="decimal"/>
      <w:pStyle w:val="Paragraph"/>
      <w:lvlText w:val="%1.%2"/>
      <w:lvlJc w:val="left"/>
      <w:pPr>
        <w:tabs>
          <w:tab w:val="num" w:pos="2736"/>
        </w:tabs>
        <w:ind w:left="2736" w:hanging="1296"/>
      </w:pPr>
      <w:rPr>
        <w:b w:val="0"/>
      </w:rPr>
    </w:lvl>
    <w:lvl w:ilvl="2">
      <w:start w:val="1"/>
      <w:numFmt w:val="lowerLetter"/>
      <w:pStyle w:val="subpar"/>
      <w:lvlText w:val="%3."/>
      <w:lvlJc w:val="left"/>
      <w:pPr>
        <w:tabs>
          <w:tab w:val="num" w:pos="2682"/>
        </w:tabs>
        <w:ind w:left="2682" w:hanging="432"/>
      </w:pPr>
      <w:rPr>
        <w:rFonts w:hint="default"/>
      </w:rPr>
    </w:lvl>
    <w:lvl w:ilvl="3">
      <w:start w:val="1"/>
      <w:numFmt w:val="lowerRoman"/>
      <w:pStyle w:val="SubSubPar"/>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2" w15:restartNumberingAfterBreak="0">
    <w:nsid w:val="359B4991"/>
    <w:multiLevelType w:val="multilevel"/>
    <w:tmpl w:val="66DEEC76"/>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EE"/>
    <w:rsid w:val="000055A5"/>
    <w:rsid w:val="00006489"/>
    <w:rsid w:val="00010AA1"/>
    <w:rsid w:val="00017F3B"/>
    <w:rsid w:val="00033134"/>
    <w:rsid w:val="00045F6A"/>
    <w:rsid w:val="00086403"/>
    <w:rsid w:val="00087288"/>
    <w:rsid w:val="000A31C3"/>
    <w:rsid w:val="000B0810"/>
    <w:rsid w:val="000C2B63"/>
    <w:rsid w:val="000C6386"/>
    <w:rsid w:val="000D14F2"/>
    <w:rsid w:val="000D3B4E"/>
    <w:rsid w:val="000E6DB0"/>
    <w:rsid w:val="00104711"/>
    <w:rsid w:val="001070E7"/>
    <w:rsid w:val="00112E09"/>
    <w:rsid w:val="00123D6C"/>
    <w:rsid w:val="00160D86"/>
    <w:rsid w:val="00176DE0"/>
    <w:rsid w:val="00190597"/>
    <w:rsid w:val="00195F9D"/>
    <w:rsid w:val="001A3627"/>
    <w:rsid w:val="001A3A9C"/>
    <w:rsid w:val="001C25E8"/>
    <w:rsid w:val="001D25B4"/>
    <w:rsid w:val="001E6B51"/>
    <w:rsid w:val="001F336F"/>
    <w:rsid w:val="001F794C"/>
    <w:rsid w:val="00223438"/>
    <w:rsid w:val="00224153"/>
    <w:rsid w:val="00230BE9"/>
    <w:rsid w:val="002534AC"/>
    <w:rsid w:val="00255675"/>
    <w:rsid w:val="00257038"/>
    <w:rsid w:val="002674E9"/>
    <w:rsid w:val="00287B21"/>
    <w:rsid w:val="00290640"/>
    <w:rsid w:val="002A3FE1"/>
    <w:rsid w:val="002A6400"/>
    <w:rsid w:val="002C2FF0"/>
    <w:rsid w:val="002D1B35"/>
    <w:rsid w:val="002E7141"/>
    <w:rsid w:val="003002E2"/>
    <w:rsid w:val="00314F44"/>
    <w:rsid w:val="00324091"/>
    <w:rsid w:val="00324F8D"/>
    <w:rsid w:val="00337DF5"/>
    <w:rsid w:val="00340271"/>
    <w:rsid w:val="003450E7"/>
    <w:rsid w:val="00347AE2"/>
    <w:rsid w:val="00354161"/>
    <w:rsid w:val="00356559"/>
    <w:rsid w:val="00361A2B"/>
    <w:rsid w:val="00381BDA"/>
    <w:rsid w:val="0038447D"/>
    <w:rsid w:val="003924FB"/>
    <w:rsid w:val="003A54EE"/>
    <w:rsid w:val="003B073F"/>
    <w:rsid w:val="003B2519"/>
    <w:rsid w:val="003B58E8"/>
    <w:rsid w:val="003C71FD"/>
    <w:rsid w:val="003C7FE9"/>
    <w:rsid w:val="003E5AAC"/>
    <w:rsid w:val="003F4B33"/>
    <w:rsid w:val="00410EBB"/>
    <w:rsid w:val="00415D0B"/>
    <w:rsid w:val="00431D35"/>
    <w:rsid w:val="004402AD"/>
    <w:rsid w:val="004449E8"/>
    <w:rsid w:val="004466D4"/>
    <w:rsid w:val="00446EA2"/>
    <w:rsid w:val="00447358"/>
    <w:rsid w:val="00447998"/>
    <w:rsid w:val="00454DAE"/>
    <w:rsid w:val="00475E45"/>
    <w:rsid w:val="00480951"/>
    <w:rsid w:val="00490714"/>
    <w:rsid w:val="004913FE"/>
    <w:rsid w:val="00494F51"/>
    <w:rsid w:val="00497A98"/>
    <w:rsid w:val="00497B88"/>
    <w:rsid w:val="004A2ABB"/>
    <w:rsid w:val="004C4218"/>
    <w:rsid w:val="004C7E68"/>
    <w:rsid w:val="004D23EE"/>
    <w:rsid w:val="004F2D77"/>
    <w:rsid w:val="004F466A"/>
    <w:rsid w:val="00516021"/>
    <w:rsid w:val="0052550B"/>
    <w:rsid w:val="00541081"/>
    <w:rsid w:val="00543D6C"/>
    <w:rsid w:val="0055264A"/>
    <w:rsid w:val="005553E6"/>
    <w:rsid w:val="00565D59"/>
    <w:rsid w:val="005776A1"/>
    <w:rsid w:val="005A7C8B"/>
    <w:rsid w:val="005B4020"/>
    <w:rsid w:val="005C2BDE"/>
    <w:rsid w:val="00601E3D"/>
    <w:rsid w:val="00602642"/>
    <w:rsid w:val="00635FA7"/>
    <w:rsid w:val="00654B6C"/>
    <w:rsid w:val="00656C5F"/>
    <w:rsid w:val="00664651"/>
    <w:rsid w:val="0066763C"/>
    <w:rsid w:val="0069092F"/>
    <w:rsid w:val="00693857"/>
    <w:rsid w:val="006A1939"/>
    <w:rsid w:val="006A6D70"/>
    <w:rsid w:val="006C7F92"/>
    <w:rsid w:val="006D4395"/>
    <w:rsid w:val="006D7400"/>
    <w:rsid w:val="006D7FBD"/>
    <w:rsid w:val="006F3094"/>
    <w:rsid w:val="0070583D"/>
    <w:rsid w:val="00743009"/>
    <w:rsid w:val="00747687"/>
    <w:rsid w:val="00767936"/>
    <w:rsid w:val="0077227E"/>
    <w:rsid w:val="00777A62"/>
    <w:rsid w:val="00781A89"/>
    <w:rsid w:val="0079665F"/>
    <w:rsid w:val="007969D4"/>
    <w:rsid w:val="007C6DCD"/>
    <w:rsid w:val="007C76C9"/>
    <w:rsid w:val="007D0B8C"/>
    <w:rsid w:val="007D41ED"/>
    <w:rsid w:val="00812B8B"/>
    <w:rsid w:val="0082039D"/>
    <w:rsid w:val="008251F1"/>
    <w:rsid w:val="00835914"/>
    <w:rsid w:val="008365D6"/>
    <w:rsid w:val="00846869"/>
    <w:rsid w:val="00854FC8"/>
    <w:rsid w:val="008679E8"/>
    <w:rsid w:val="008708BC"/>
    <w:rsid w:val="00886086"/>
    <w:rsid w:val="008977DC"/>
    <w:rsid w:val="00897D2F"/>
    <w:rsid w:val="008B1EAF"/>
    <w:rsid w:val="008B25E2"/>
    <w:rsid w:val="008C314B"/>
    <w:rsid w:val="008D2CEB"/>
    <w:rsid w:val="008E27D0"/>
    <w:rsid w:val="008E2919"/>
    <w:rsid w:val="008F017B"/>
    <w:rsid w:val="008F2622"/>
    <w:rsid w:val="008F73B8"/>
    <w:rsid w:val="00910EDB"/>
    <w:rsid w:val="009123F7"/>
    <w:rsid w:val="00946181"/>
    <w:rsid w:val="00953BE4"/>
    <w:rsid w:val="00955A8D"/>
    <w:rsid w:val="00956FDF"/>
    <w:rsid w:val="00965245"/>
    <w:rsid w:val="009729DB"/>
    <w:rsid w:val="009A14DD"/>
    <w:rsid w:val="009A3A27"/>
    <w:rsid w:val="009B5DEE"/>
    <w:rsid w:val="009C44CB"/>
    <w:rsid w:val="009E06CF"/>
    <w:rsid w:val="009F2F3B"/>
    <w:rsid w:val="00A06383"/>
    <w:rsid w:val="00A151A1"/>
    <w:rsid w:val="00A26FF2"/>
    <w:rsid w:val="00A436ED"/>
    <w:rsid w:val="00A540E1"/>
    <w:rsid w:val="00A54CC4"/>
    <w:rsid w:val="00AC7BC8"/>
    <w:rsid w:val="00AD254C"/>
    <w:rsid w:val="00AE1405"/>
    <w:rsid w:val="00AE240F"/>
    <w:rsid w:val="00AE606C"/>
    <w:rsid w:val="00AF4380"/>
    <w:rsid w:val="00B5193B"/>
    <w:rsid w:val="00B542A9"/>
    <w:rsid w:val="00B57634"/>
    <w:rsid w:val="00BB3758"/>
    <w:rsid w:val="00BB50FC"/>
    <w:rsid w:val="00BC03C6"/>
    <w:rsid w:val="00BD2CF2"/>
    <w:rsid w:val="00BD373A"/>
    <w:rsid w:val="00BD37DE"/>
    <w:rsid w:val="00BF10D8"/>
    <w:rsid w:val="00C1326C"/>
    <w:rsid w:val="00C439A7"/>
    <w:rsid w:val="00C511BD"/>
    <w:rsid w:val="00C52066"/>
    <w:rsid w:val="00C6304D"/>
    <w:rsid w:val="00C66961"/>
    <w:rsid w:val="00C9076F"/>
    <w:rsid w:val="00CB3451"/>
    <w:rsid w:val="00CC3E37"/>
    <w:rsid w:val="00CD2C16"/>
    <w:rsid w:val="00CF4AE5"/>
    <w:rsid w:val="00D044FA"/>
    <w:rsid w:val="00D06E56"/>
    <w:rsid w:val="00D15849"/>
    <w:rsid w:val="00D25C0A"/>
    <w:rsid w:val="00D2627C"/>
    <w:rsid w:val="00D27CF7"/>
    <w:rsid w:val="00D30CF4"/>
    <w:rsid w:val="00D36E4F"/>
    <w:rsid w:val="00D50CC6"/>
    <w:rsid w:val="00D53808"/>
    <w:rsid w:val="00D54F7F"/>
    <w:rsid w:val="00D616B3"/>
    <w:rsid w:val="00D70583"/>
    <w:rsid w:val="00D97D0C"/>
    <w:rsid w:val="00DA30DC"/>
    <w:rsid w:val="00DA7C93"/>
    <w:rsid w:val="00DB32F5"/>
    <w:rsid w:val="00DB366D"/>
    <w:rsid w:val="00DD3661"/>
    <w:rsid w:val="00DF4B24"/>
    <w:rsid w:val="00E149E5"/>
    <w:rsid w:val="00E219DB"/>
    <w:rsid w:val="00E23915"/>
    <w:rsid w:val="00E30251"/>
    <w:rsid w:val="00E35D6E"/>
    <w:rsid w:val="00E4367B"/>
    <w:rsid w:val="00E63D93"/>
    <w:rsid w:val="00E85F7D"/>
    <w:rsid w:val="00E93D02"/>
    <w:rsid w:val="00E95D14"/>
    <w:rsid w:val="00EA1719"/>
    <w:rsid w:val="00EA2ADB"/>
    <w:rsid w:val="00EB0B56"/>
    <w:rsid w:val="00EB437D"/>
    <w:rsid w:val="00EC01EE"/>
    <w:rsid w:val="00EC7F89"/>
    <w:rsid w:val="00ED14B7"/>
    <w:rsid w:val="00ED15E9"/>
    <w:rsid w:val="00ED1A56"/>
    <w:rsid w:val="00EE3E4B"/>
    <w:rsid w:val="00F11E95"/>
    <w:rsid w:val="00F21093"/>
    <w:rsid w:val="00F31130"/>
    <w:rsid w:val="00F4594D"/>
    <w:rsid w:val="00F5416A"/>
    <w:rsid w:val="00F67E37"/>
    <w:rsid w:val="00F72053"/>
    <w:rsid w:val="00F815BE"/>
    <w:rsid w:val="00F82C7C"/>
    <w:rsid w:val="00F87A9B"/>
    <w:rsid w:val="00F87F7B"/>
    <w:rsid w:val="00F93192"/>
    <w:rsid w:val="00FA5A37"/>
    <w:rsid w:val="00FD1570"/>
    <w:rsid w:val="00FE364E"/>
    <w:rsid w:val="00FF48B6"/>
    <w:rsid w:val="3DB18018"/>
    <w:rsid w:val="684C6E7D"/>
  </w:rsids>
  <m:mathPr>
    <m:mathFont m:val="Cambria Math"/>
    <m:brkBin m:val="before"/>
    <m:brkBinSub m:val="--"/>
    <m:smallFrac m:val="0"/>
    <m:dispDef/>
    <m:lMargin m:val="0"/>
    <m:rMargin m:val="0"/>
    <m:defJc m:val="centerGroup"/>
    <m:wrapIndent m:val="1440"/>
    <m:intLim m:val="subSup"/>
    <m:naryLim m:val="undOvr"/>
  </m:mathPr>
  <w:themeFontLang w:val="en-US" w:eastAsia="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D746E"/>
  <w15:chartTrackingRefBased/>
  <w15:docId w15:val="{E3C0A13F-D2EB-4CB0-B512-E1DBD49AE7F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A54EE"/>
    <w:pPr>
      <w:spacing w:after="0" w:line="240" w:lineRule="auto"/>
    </w:pPr>
    <w:rPr>
      <w:rFonts w:ascii="Times New Roman" w:hAnsi="Times New Roman" w:eastAsia="Times New Roman" w:cs="Times New Roman"/>
      <w:sz w:val="24"/>
      <w:szCs w:val="20"/>
      <w:lang w:val="es-ES_tradnl"/>
    </w:rPr>
  </w:style>
  <w:style w:type="paragraph" w:styleId="Heading5">
    <w:name w:val="heading 5"/>
    <w:basedOn w:val="Normal"/>
    <w:next w:val="Normal"/>
    <w:link w:val="Heading5Char"/>
    <w:uiPriority w:val="9"/>
    <w:unhideWhenUsed/>
    <w:qFormat/>
    <w:rsid w:val="003A54EE"/>
    <w:pPr>
      <w:keepNext/>
      <w:keepLines/>
      <w:numPr>
        <w:ilvl w:val="4"/>
        <w:numId w:val="1"/>
      </w:numPr>
      <w:spacing w:before="200" w:line="276" w:lineRule="auto"/>
      <w:outlineLvl w:val="4"/>
    </w:pPr>
    <w:rPr>
      <w:rFonts w:asciiTheme="majorHAnsi" w:hAnsiTheme="majorHAnsi" w:eastAsiaTheme="majorEastAsia" w:cstheme="majorBidi"/>
      <w:color w:val="1F3763" w:themeColor="accent1" w:themeShade="7F"/>
      <w:sz w:val="22"/>
      <w:szCs w:val="22"/>
      <w:lang w:val="en-US" w:eastAsia="en-GB"/>
    </w:rPr>
  </w:style>
  <w:style w:type="paragraph" w:styleId="Heading6">
    <w:name w:val="heading 6"/>
    <w:basedOn w:val="Normal"/>
    <w:next w:val="Normal"/>
    <w:link w:val="Heading6Char"/>
    <w:uiPriority w:val="9"/>
    <w:semiHidden/>
    <w:unhideWhenUsed/>
    <w:qFormat/>
    <w:rsid w:val="003A54EE"/>
    <w:pPr>
      <w:keepNext/>
      <w:keepLines/>
      <w:numPr>
        <w:ilvl w:val="5"/>
        <w:numId w:val="1"/>
      </w:numPr>
      <w:spacing w:before="200" w:line="276" w:lineRule="auto"/>
      <w:outlineLvl w:val="5"/>
    </w:pPr>
    <w:rPr>
      <w:rFonts w:asciiTheme="majorHAnsi" w:hAnsiTheme="majorHAnsi" w:eastAsiaTheme="majorEastAsia" w:cstheme="majorBidi"/>
      <w:i/>
      <w:iCs/>
      <w:color w:val="1F3763" w:themeColor="accent1" w:themeShade="7F"/>
      <w:sz w:val="22"/>
      <w:szCs w:val="22"/>
      <w:lang w:val="en-US" w:eastAsia="en-GB"/>
    </w:rPr>
  </w:style>
  <w:style w:type="paragraph" w:styleId="Heading7">
    <w:name w:val="heading 7"/>
    <w:basedOn w:val="Normal"/>
    <w:next w:val="Normal"/>
    <w:link w:val="Heading7Char"/>
    <w:uiPriority w:val="9"/>
    <w:unhideWhenUsed/>
    <w:qFormat/>
    <w:rsid w:val="003A54EE"/>
    <w:pPr>
      <w:keepNext/>
      <w:keepLines/>
      <w:numPr>
        <w:ilvl w:val="6"/>
        <w:numId w:val="1"/>
      </w:numPr>
      <w:spacing w:before="200" w:line="276" w:lineRule="auto"/>
      <w:outlineLvl w:val="6"/>
    </w:pPr>
    <w:rPr>
      <w:rFonts w:asciiTheme="majorHAnsi" w:hAnsiTheme="majorHAnsi" w:eastAsiaTheme="majorEastAsia" w:cstheme="majorBidi"/>
      <w:i/>
      <w:iCs/>
      <w:color w:val="404040" w:themeColor="text1" w:themeTint="BF"/>
      <w:sz w:val="22"/>
      <w:szCs w:val="22"/>
      <w:lang w:val="en-US" w:eastAsia="en-GB"/>
    </w:rPr>
  </w:style>
  <w:style w:type="paragraph" w:styleId="Heading8">
    <w:name w:val="heading 8"/>
    <w:basedOn w:val="Normal"/>
    <w:next w:val="Normal"/>
    <w:link w:val="Heading8Char"/>
    <w:uiPriority w:val="9"/>
    <w:semiHidden/>
    <w:unhideWhenUsed/>
    <w:qFormat/>
    <w:rsid w:val="003A54EE"/>
    <w:pPr>
      <w:keepNext/>
      <w:keepLines/>
      <w:numPr>
        <w:ilvl w:val="7"/>
        <w:numId w:val="1"/>
      </w:numPr>
      <w:spacing w:before="200" w:line="276" w:lineRule="auto"/>
      <w:outlineLvl w:val="7"/>
    </w:pPr>
    <w:rPr>
      <w:rFonts w:asciiTheme="majorHAnsi" w:hAnsiTheme="majorHAnsi" w:eastAsiaTheme="majorEastAsia" w:cstheme="majorBidi"/>
      <w:color w:val="404040" w:themeColor="text1" w:themeTint="BF"/>
      <w:sz w:val="20"/>
      <w:lang w:val="en-US" w:eastAsia="en-GB"/>
    </w:rPr>
  </w:style>
  <w:style w:type="paragraph" w:styleId="Heading9">
    <w:name w:val="heading 9"/>
    <w:basedOn w:val="Normal"/>
    <w:next w:val="Normal"/>
    <w:link w:val="Heading9Char"/>
    <w:uiPriority w:val="9"/>
    <w:semiHidden/>
    <w:unhideWhenUsed/>
    <w:qFormat/>
    <w:rsid w:val="003A54EE"/>
    <w:pPr>
      <w:keepNext/>
      <w:keepLines/>
      <w:numPr>
        <w:ilvl w:val="8"/>
        <w:numId w:val="1"/>
      </w:numPr>
      <w:spacing w:before="200" w:line="276" w:lineRule="auto"/>
      <w:outlineLvl w:val="8"/>
    </w:pPr>
    <w:rPr>
      <w:rFonts w:asciiTheme="majorHAnsi" w:hAnsiTheme="majorHAnsi" w:eastAsiaTheme="majorEastAsia" w:cstheme="majorBidi"/>
      <w:i/>
      <w:iCs/>
      <w:color w:val="404040" w:themeColor="text1" w:themeTint="BF"/>
      <w:sz w:val="20"/>
      <w:lang w:val="en-US"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3A54EE"/>
    <w:rPr>
      <w:rFonts w:asciiTheme="majorHAnsi" w:hAnsiTheme="majorHAnsi" w:eastAsiaTheme="majorEastAsia" w:cstheme="majorBidi"/>
      <w:color w:val="1F3763" w:themeColor="accent1" w:themeShade="7F"/>
      <w:lang w:val="en-US" w:eastAsia="en-GB"/>
    </w:rPr>
  </w:style>
  <w:style w:type="character" w:styleId="Heading6Char" w:customStyle="1">
    <w:name w:val="Heading 6 Char"/>
    <w:basedOn w:val="DefaultParagraphFont"/>
    <w:link w:val="Heading6"/>
    <w:uiPriority w:val="9"/>
    <w:semiHidden/>
    <w:rsid w:val="003A54EE"/>
    <w:rPr>
      <w:rFonts w:asciiTheme="majorHAnsi" w:hAnsiTheme="majorHAnsi" w:eastAsiaTheme="majorEastAsia" w:cstheme="majorBidi"/>
      <w:i/>
      <w:iCs/>
      <w:color w:val="1F3763" w:themeColor="accent1" w:themeShade="7F"/>
      <w:lang w:val="en-US" w:eastAsia="en-GB"/>
    </w:rPr>
  </w:style>
  <w:style w:type="character" w:styleId="Heading7Char" w:customStyle="1">
    <w:name w:val="Heading 7 Char"/>
    <w:basedOn w:val="DefaultParagraphFont"/>
    <w:link w:val="Heading7"/>
    <w:uiPriority w:val="9"/>
    <w:rsid w:val="003A54EE"/>
    <w:rPr>
      <w:rFonts w:asciiTheme="majorHAnsi" w:hAnsiTheme="majorHAnsi" w:eastAsiaTheme="majorEastAsia" w:cstheme="majorBidi"/>
      <w:i/>
      <w:iCs/>
      <w:color w:val="404040" w:themeColor="text1" w:themeTint="BF"/>
      <w:lang w:val="en-US" w:eastAsia="en-GB"/>
    </w:rPr>
  </w:style>
  <w:style w:type="character" w:styleId="Heading8Char" w:customStyle="1">
    <w:name w:val="Heading 8 Char"/>
    <w:basedOn w:val="DefaultParagraphFont"/>
    <w:link w:val="Heading8"/>
    <w:uiPriority w:val="9"/>
    <w:semiHidden/>
    <w:rsid w:val="003A54EE"/>
    <w:rPr>
      <w:rFonts w:asciiTheme="majorHAnsi" w:hAnsiTheme="majorHAnsi" w:eastAsiaTheme="majorEastAsia" w:cstheme="majorBidi"/>
      <w:color w:val="404040" w:themeColor="text1" w:themeTint="BF"/>
      <w:sz w:val="20"/>
      <w:szCs w:val="20"/>
      <w:lang w:val="en-US" w:eastAsia="en-GB"/>
    </w:rPr>
  </w:style>
  <w:style w:type="character" w:styleId="Heading9Char" w:customStyle="1">
    <w:name w:val="Heading 9 Char"/>
    <w:basedOn w:val="DefaultParagraphFont"/>
    <w:link w:val="Heading9"/>
    <w:uiPriority w:val="9"/>
    <w:semiHidden/>
    <w:rsid w:val="003A54EE"/>
    <w:rPr>
      <w:rFonts w:asciiTheme="majorHAnsi" w:hAnsiTheme="majorHAnsi" w:eastAsiaTheme="majorEastAsia" w:cstheme="majorBidi"/>
      <w:i/>
      <w:iCs/>
      <w:color w:val="404040" w:themeColor="text1" w:themeTint="BF"/>
      <w:sz w:val="20"/>
      <w:szCs w:val="20"/>
      <w:lang w:val="en-US" w:eastAsia="en-GB"/>
    </w:rPr>
  </w:style>
  <w:style w:type="table" w:styleId="TableGrid">
    <w:name w:val="Table Grid"/>
    <w:aliases w:val="CALC Tables,Tables for IDB"/>
    <w:basedOn w:val="TableNormal"/>
    <w:uiPriority w:val="59"/>
    <w:rsid w:val="003A54EE"/>
    <w:pPr>
      <w:spacing w:after="0" w:line="240" w:lineRule="auto"/>
    </w:pPr>
    <w:rPr>
      <w:rFonts w:eastAsiaTheme="minorEastAsia"/>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1">
    <w:name w:val="toc 1"/>
    <w:basedOn w:val="Normal"/>
    <w:next w:val="Normal"/>
    <w:autoRedefine/>
    <w:uiPriority w:val="39"/>
    <w:unhideWhenUsed/>
    <w:qFormat/>
    <w:rsid w:val="003A54EE"/>
    <w:pPr>
      <w:tabs>
        <w:tab w:val="right" w:leader="dot" w:pos="8741"/>
      </w:tabs>
      <w:spacing w:before="240" w:after="120"/>
      <w:ind w:left="547" w:hanging="547"/>
    </w:pPr>
    <w:rPr>
      <w:rFonts w:eastAsiaTheme="minorEastAsia"/>
      <w:b/>
      <w:smallCaps/>
      <w:noProof/>
      <w:szCs w:val="22"/>
      <w:lang w:val="en-US" w:eastAsia="ja-JP"/>
    </w:rPr>
  </w:style>
  <w:style w:type="paragraph" w:styleId="TOC3">
    <w:name w:val="toc 3"/>
    <w:basedOn w:val="Normal"/>
    <w:next w:val="Normal"/>
    <w:autoRedefine/>
    <w:uiPriority w:val="39"/>
    <w:unhideWhenUsed/>
    <w:qFormat/>
    <w:rsid w:val="003A54EE"/>
    <w:pPr>
      <w:tabs>
        <w:tab w:val="left" w:pos="1728"/>
        <w:tab w:val="right" w:leader="dot" w:pos="8741"/>
      </w:tabs>
      <w:ind w:left="1714" w:hanging="562"/>
    </w:pPr>
    <w:rPr>
      <w:rFonts w:eastAsiaTheme="minorEastAsia"/>
      <w:szCs w:val="22"/>
      <w:lang w:val="en-US" w:eastAsia="ja-JP"/>
    </w:rPr>
  </w:style>
  <w:style w:type="paragraph" w:styleId="Paragraph" w:customStyle="1">
    <w:name w:val="Paragraph"/>
    <w:aliases w:val="paragraph,p,PARAGRAPH,PG,pa,at"/>
    <w:basedOn w:val="BodyTextIndent"/>
    <w:link w:val="ParagraphChar"/>
    <w:qFormat/>
    <w:rsid w:val="003A54EE"/>
    <w:pPr>
      <w:numPr>
        <w:ilvl w:val="1"/>
        <w:numId w:val="4"/>
      </w:numPr>
      <w:spacing w:before="120"/>
      <w:jc w:val="both"/>
      <w:outlineLvl w:val="1"/>
    </w:pPr>
    <w:rPr>
      <w:lang w:val="en-US" w:eastAsia="en-GB"/>
    </w:rPr>
  </w:style>
  <w:style w:type="character" w:styleId="ParagraphChar" w:customStyle="1">
    <w:name w:val="Paragraph Char"/>
    <w:link w:val="Paragraph"/>
    <w:rsid w:val="003A54EE"/>
    <w:rPr>
      <w:rFonts w:ascii="Times New Roman" w:hAnsi="Times New Roman" w:eastAsia="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3A54EE"/>
    <w:pPr>
      <w:keepNext/>
      <w:keepLines/>
      <w:spacing w:after="120"/>
      <w:ind w:left="288" w:hanging="288"/>
      <w:jc w:val="both"/>
    </w:pPr>
    <w:rPr>
      <w:rFonts w:ascii="Arial" w:hAnsi="Arial" w:eastAsiaTheme="minorEastAsia"/>
      <w:spacing w:val="-3"/>
      <w:sz w:val="18"/>
      <w:lang w:val="en-US" w:eastAsia="en-GB"/>
    </w:rPr>
  </w:style>
  <w:style w:type="character" w:styleId="FootnoteTextChar" w:customStyle="1">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A54EE"/>
    <w:rPr>
      <w:rFonts w:ascii="Arial" w:hAnsi="Arial" w:cs="Times New Roman" w:eastAsiaTheme="minorEastAsia"/>
      <w:spacing w:val="-3"/>
      <w:sz w:val="18"/>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nhideWhenUsed/>
    <w:qFormat/>
    <w:rsid w:val="003A54EE"/>
    <w:rPr>
      <w:vertAlign w:val="superscript"/>
    </w:rPr>
  </w:style>
  <w:style w:type="paragraph" w:styleId="Chapter" w:customStyle="1">
    <w:name w:val="Chapter"/>
    <w:basedOn w:val="Normal"/>
    <w:next w:val="Normal"/>
    <w:qFormat/>
    <w:rsid w:val="003A54EE"/>
    <w:pPr>
      <w:keepNext/>
      <w:numPr>
        <w:numId w:val="4"/>
      </w:numPr>
      <w:tabs>
        <w:tab w:val="left" w:pos="1440"/>
      </w:tabs>
      <w:spacing w:before="240" w:after="240"/>
      <w:jc w:val="center"/>
    </w:pPr>
    <w:rPr>
      <w:b/>
      <w:smallCaps/>
      <w:lang w:val="en-US" w:eastAsia="en-GB"/>
    </w:rPr>
  </w:style>
  <w:style w:type="paragraph" w:styleId="Default" w:customStyle="1">
    <w:name w:val="Default"/>
    <w:link w:val="DefaultChar"/>
    <w:rsid w:val="003A54EE"/>
    <w:pPr>
      <w:autoSpaceDE w:val="0"/>
      <w:autoSpaceDN w:val="0"/>
      <w:adjustRightInd w:val="0"/>
      <w:spacing w:after="0" w:line="240" w:lineRule="auto"/>
    </w:pPr>
    <w:rPr>
      <w:rFonts w:ascii="Times New Roman" w:hAnsi="Times New Roman" w:cs="Times New Roman" w:eastAsiaTheme="minorEastAsia"/>
      <w:color w:val="000000"/>
      <w:sz w:val="24"/>
      <w:szCs w:val="24"/>
      <w:lang w:val="en-US" w:eastAsia="en-GB"/>
    </w:rPr>
  </w:style>
  <w:style w:type="paragraph" w:styleId="FirstHeading" w:customStyle="1">
    <w:name w:val="FirstHeading"/>
    <w:basedOn w:val="Normal"/>
    <w:next w:val="Normal"/>
    <w:rsid w:val="003A54EE"/>
    <w:pPr>
      <w:keepNext/>
      <w:numPr>
        <w:numId w:val="1"/>
      </w:numPr>
      <w:tabs>
        <w:tab w:val="left" w:pos="0"/>
        <w:tab w:val="left" w:pos="86"/>
      </w:tabs>
      <w:spacing w:before="120" w:after="120"/>
    </w:pPr>
    <w:rPr>
      <w:rFonts w:eastAsiaTheme="minorEastAsia"/>
      <w:b/>
      <w:bCs/>
      <w:szCs w:val="24"/>
      <w:lang w:eastAsia="en-GB"/>
    </w:rPr>
  </w:style>
  <w:style w:type="character" w:styleId="DefaultChar" w:customStyle="1">
    <w:name w:val="Default Char"/>
    <w:basedOn w:val="DefaultParagraphFont"/>
    <w:link w:val="Default"/>
    <w:rsid w:val="003A54EE"/>
    <w:rPr>
      <w:rFonts w:ascii="Times New Roman" w:hAnsi="Times New Roman" w:cs="Times New Roman" w:eastAsiaTheme="minorEastAsia"/>
      <w:color w:val="000000"/>
      <w:sz w:val="24"/>
      <w:szCs w:val="24"/>
      <w:lang w:val="en-US" w:eastAsia="en-GB"/>
    </w:rPr>
  </w:style>
  <w:style w:type="paragraph" w:styleId="SecHeading" w:customStyle="1">
    <w:name w:val="SecHeading"/>
    <w:basedOn w:val="Normal"/>
    <w:next w:val="Paragraph"/>
    <w:link w:val="SecHeadingChar"/>
    <w:rsid w:val="003A54EE"/>
    <w:pPr>
      <w:keepNext/>
      <w:numPr>
        <w:ilvl w:val="1"/>
        <w:numId w:val="1"/>
      </w:numPr>
      <w:spacing w:before="120" w:after="120"/>
    </w:pPr>
    <w:rPr>
      <w:rFonts w:eastAsiaTheme="minorEastAsia"/>
      <w:b/>
      <w:bCs/>
      <w:color w:val="000000"/>
      <w:szCs w:val="24"/>
      <w:lang w:eastAsia="en-GB"/>
    </w:rPr>
  </w:style>
  <w:style w:type="character" w:styleId="SecHeadingChar" w:customStyle="1">
    <w:name w:val="SecHeading Char"/>
    <w:basedOn w:val="DefaultChar"/>
    <w:link w:val="SecHeading"/>
    <w:rsid w:val="003A54EE"/>
    <w:rPr>
      <w:rFonts w:ascii="Times New Roman" w:hAnsi="Times New Roman" w:cs="Times New Roman" w:eastAsiaTheme="minorEastAsia"/>
      <w:b/>
      <w:bCs/>
      <w:color w:val="000000"/>
      <w:sz w:val="24"/>
      <w:szCs w:val="24"/>
      <w:lang w:val="es-ES_tradnl" w:eastAsia="en-GB"/>
    </w:rPr>
  </w:style>
  <w:style w:type="paragraph" w:styleId="SubHeading1" w:customStyle="1">
    <w:name w:val="SubHeading1"/>
    <w:basedOn w:val="SecHeading"/>
    <w:rsid w:val="003A54EE"/>
    <w:pPr>
      <w:numPr>
        <w:ilvl w:val="2"/>
      </w:numPr>
      <w:tabs>
        <w:tab w:val="clear" w:pos="5976"/>
        <w:tab w:val="num" w:pos="360"/>
      </w:tabs>
    </w:pPr>
    <w:rPr>
      <w:bCs w:val="0"/>
      <w:color w:val="auto"/>
    </w:rPr>
  </w:style>
  <w:style w:type="paragraph" w:styleId="Subheading2" w:customStyle="1">
    <w:name w:val="Subheading2"/>
    <w:basedOn w:val="SecHeading"/>
    <w:rsid w:val="003A54EE"/>
    <w:pPr>
      <w:numPr>
        <w:ilvl w:val="3"/>
      </w:numPr>
      <w:tabs>
        <w:tab w:val="clear" w:pos="6480"/>
        <w:tab w:val="num" w:pos="360"/>
        <w:tab w:val="num" w:pos="2376"/>
      </w:tabs>
      <w:ind w:left="2376"/>
    </w:pPr>
    <w:rPr>
      <w:bCs w:val="0"/>
      <w:color w:val="auto"/>
    </w:rPr>
  </w:style>
  <w:style w:type="paragraph" w:styleId="subpar" w:customStyle="1">
    <w:name w:val="subpar"/>
    <w:basedOn w:val="BodyTextIndent3"/>
    <w:link w:val="subparChar"/>
    <w:rsid w:val="003A54EE"/>
    <w:pPr>
      <w:numPr>
        <w:ilvl w:val="2"/>
        <w:numId w:val="4"/>
      </w:numPr>
      <w:spacing w:before="120"/>
      <w:jc w:val="both"/>
      <w:outlineLvl w:val="2"/>
    </w:pPr>
    <w:rPr>
      <w:rFonts w:eastAsiaTheme="minorEastAsia"/>
      <w:sz w:val="24"/>
      <w:lang w:val="en-GB" w:eastAsia="en-GB"/>
    </w:rPr>
  </w:style>
  <w:style w:type="character" w:styleId="subparChar" w:customStyle="1">
    <w:name w:val="subpar Char"/>
    <w:basedOn w:val="DefaultParagraphFont"/>
    <w:link w:val="subpar"/>
    <w:rsid w:val="003A54EE"/>
    <w:rPr>
      <w:rFonts w:ascii="Times New Roman" w:hAnsi="Times New Roman" w:cs="Times New Roman" w:eastAsiaTheme="minorEastAsia"/>
      <w:sz w:val="24"/>
      <w:szCs w:val="16"/>
      <w:lang w:val="en-GB" w:eastAsia="en-GB"/>
    </w:rPr>
  </w:style>
  <w:style w:type="paragraph" w:styleId="SubSubPar" w:customStyle="1">
    <w:name w:val="SubSubPar"/>
    <w:basedOn w:val="subpar"/>
    <w:rsid w:val="003A54EE"/>
    <w:pPr>
      <w:numPr>
        <w:ilvl w:val="3"/>
      </w:numPr>
      <w:tabs>
        <w:tab w:val="clear" w:pos="3024"/>
        <w:tab w:val="left" w:pos="0"/>
        <w:tab w:val="num" w:pos="360"/>
      </w:tabs>
    </w:pPr>
  </w:style>
  <w:style w:type="character" w:styleId="BookTitle">
    <w:name w:val="Book Title"/>
    <w:basedOn w:val="DefaultParagraphFont"/>
    <w:uiPriority w:val="33"/>
    <w:qFormat/>
    <w:rsid w:val="003A54EE"/>
    <w:rPr>
      <w:b/>
      <w:bCs/>
      <w:smallCaps/>
      <w:spacing w:val="5"/>
    </w:rPr>
  </w:style>
  <w:style w:type="paragraph" w:styleId="Footer">
    <w:name w:val="footer"/>
    <w:basedOn w:val="Normal"/>
    <w:link w:val="FooterChar"/>
    <w:uiPriority w:val="99"/>
    <w:unhideWhenUsed/>
    <w:rsid w:val="003A54EE"/>
    <w:pPr>
      <w:tabs>
        <w:tab w:val="center" w:pos="4680"/>
        <w:tab w:val="right" w:pos="9360"/>
      </w:tabs>
    </w:pPr>
    <w:rPr>
      <w:rFonts w:asciiTheme="minorHAnsi" w:hAnsiTheme="minorHAnsi" w:eastAsiaTheme="minorEastAsia" w:cstheme="minorBidi"/>
      <w:sz w:val="22"/>
      <w:szCs w:val="22"/>
      <w:lang w:val="en-GB" w:eastAsia="en-GB"/>
    </w:rPr>
  </w:style>
  <w:style w:type="character" w:styleId="FooterChar" w:customStyle="1">
    <w:name w:val="Footer Char"/>
    <w:basedOn w:val="DefaultParagraphFont"/>
    <w:link w:val="Footer"/>
    <w:uiPriority w:val="99"/>
    <w:rsid w:val="003A54EE"/>
    <w:rPr>
      <w:rFonts w:eastAsiaTheme="minorEastAsia"/>
      <w:lang w:val="en-GB" w:eastAsia="en-GB"/>
    </w:rPr>
  </w:style>
  <w:style w:type="character" w:styleId="Hyperlink">
    <w:name w:val="Hyperlink"/>
    <w:basedOn w:val="DefaultParagraphFont"/>
    <w:uiPriority w:val="99"/>
    <w:unhideWhenUsed/>
    <w:rsid w:val="003A54EE"/>
    <w:rPr>
      <w:color w:val="0563C1" w:themeColor="hyperlink"/>
      <w:u w:val="single"/>
    </w:rPr>
  </w:style>
  <w:style w:type="character" w:styleId="CommentReference">
    <w:name w:val="annotation reference"/>
    <w:basedOn w:val="DefaultParagraphFont"/>
    <w:unhideWhenUsed/>
    <w:rsid w:val="003A54EE"/>
    <w:rPr>
      <w:sz w:val="16"/>
      <w:szCs w:val="16"/>
    </w:rPr>
  </w:style>
  <w:style w:type="paragraph" w:styleId="CommentText">
    <w:name w:val="annotation text"/>
    <w:basedOn w:val="Normal"/>
    <w:link w:val="CommentTextChar"/>
    <w:uiPriority w:val="99"/>
    <w:unhideWhenUsed/>
    <w:rsid w:val="003A54EE"/>
    <w:pPr>
      <w:spacing w:after="200"/>
    </w:pPr>
    <w:rPr>
      <w:rFonts w:asciiTheme="minorHAnsi" w:hAnsiTheme="minorHAnsi" w:eastAsiaTheme="minorEastAsia" w:cstheme="minorBidi"/>
      <w:sz w:val="20"/>
      <w:lang w:val="en-GB" w:eastAsia="en-GB"/>
    </w:rPr>
  </w:style>
  <w:style w:type="character" w:styleId="CommentTextChar" w:customStyle="1">
    <w:name w:val="Comment Text Char"/>
    <w:basedOn w:val="DefaultParagraphFont"/>
    <w:link w:val="CommentText"/>
    <w:uiPriority w:val="99"/>
    <w:rsid w:val="003A54EE"/>
    <w:rPr>
      <w:rFonts w:eastAsiaTheme="minorEastAsia"/>
      <w:sz w:val="20"/>
      <w:szCs w:val="20"/>
      <w:lang w:val="en-GB" w:eastAsia="en-GB"/>
    </w:rPr>
  </w:style>
  <w:style w:type="paragraph" w:styleId="BodyTextIndent">
    <w:name w:val="Body Text Indent"/>
    <w:basedOn w:val="Normal"/>
    <w:link w:val="BodyTextIndentChar"/>
    <w:uiPriority w:val="99"/>
    <w:semiHidden/>
    <w:unhideWhenUsed/>
    <w:rsid w:val="003A54EE"/>
    <w:pPr>
      <w:spacing w:after="120"/>
      <w:ind w:left="360"/>
    </w:pPr>
  </w:style>
  <w:style w:type="character" w:styleId="BodyTextIndentChar" w:customStyle="1">
    <w:name w:val="Body Text Indent Char"/>
    <w:basedOn w:val="DefaultParagraphFont"/>
    <w:link w:val="BodyTextIndent"/>
    <w:uiPriority w:val="99"/>
    <w:semiHidden/>
    <w:rsid w:val="003A54EE"/>
    <w:rPr>
      <w:rFonts w:ascii="Times New Roman" w:hAnsi="Times New Roman" w:eastAsia="Times New Roman" w:cs="Times New Roman"/>
      <w:sz w:val="24"/>
      <w:szCs w:val="20"/>
      <w:lang w:val="es-ES_tradnl"/>
    </w:rPr>
  </w:style>
  <w:style w:type="paragraph" w:styleId="BodyTextIndent3">
    <w:name w:val="Body Text Indent 3"/>
    <w:basedOn w:val="Normal"/>
    <w:link w:val="BodyTextIndent3Char"/>
    <w:uiPriority w:val="99"/>
    <w:semiHidden/>
    <w:unhideWhenUsed/>
    <w:rsid w:val="003A54EE"/>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3A54EE"/>
    <w:rPr>
      <w:rFonts w:ascii="Times New Roman" w:hAnsi="Times New Roman" w:eastAsia="Times New Roman" w:cs="Times New Roman"/>
      <w:sz w:val="16"/>
      <w:szCs w:val="16"/>
      <w:lang w:val="es-ES_tradnl"/>
    </w:rPr>
  </w:style>
  <w:style w:type="paragraph" w:styleId="BalloonText">
    <w:name w:val="Balloon Text"/>
    <w:basedOn w:val="Normal"/>
    <w:link w:val="BalloonTextChar"/>
    <w:uiPriority w:val="99"/>
    <w:semiHidden/>
    <w:unhideWhenUsed/>
    <w:rsid w:val="003A54EE"/>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A54EE"/>
    <w:rPr>
      <w:rFonts w:ascii="Segoe UI" w:hAnsi="Segoe UI" w:eastAsia="Times New Roman" w:cs="Segoe UI"/>
      <w:sz w:val="18"/>
      <w:szCs w:val="18"/>
      <w:lang w:val="es-ES_tradnl"/>
    </w:rPr>
  </w:style>
  <w:style w:type="paragraph" w:styleId="Caption">
    <w:name w:val="caption"/>
    <w:basedOn w:val="Normal"/>
    <w:next w:val="Normal"/>
    <w:uiPriority w:val="35"/>
    <w:unhideWhenUsed/>
    <w:qFormat/>
    <w:rsid w:val="00777A62"/>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96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3ad0853faf1c4d22" Type="http://schemas.openxmlformats.org/officeDocument/2006/relationships/glossaryDocument" Target="/word/glossary/document.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customXml" Target="../customXml/item4.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de1ad58f-d20b-48cf-8035-ace296146eed}"/>
      </w:docPartPr>
      <w:docPartBody>
        <w:p w14:paraId="3DB1801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DB2EC8CACAF4E468EFC4DFF4A5914DD" ma:contentTypeVersion="1269" ma:contentTypeDescription="A content type to manage public (operations) IDB documents" ma:contentTypeScope="" ma:versionID="206ef5e3319b057b178e2ebbbb54dc61">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Document_x0020_Author xmlns="cdc7663a-08f0-4737-9e8c-148ce897a09c">Bernedo, Cecilia</Document_x0020_Author>
    <_dlc_DocId xmlns="cdc7663a-08f0-4737-9e8c-148ce897a09c">EZSHARE-1891893787-10</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TaxCatchAll xmlns="cdc7663a-08f0-4737-9e8c-148ce897a09c">
      <Value>92</Value>
      <Value>26</Value>
      <Value>93</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BH-L1046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4846/OC-BH;</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Document_x0020_Language_x0020_IDB xmlns="cdc7663a-08f0-4737-9e8c-148ce897a09c">English</Document_x0020_Language_x0020_IDB>
    <_dlc_DocIdUrl xmlns="cdc7663a-08f0-4737-9e8c-148ce897a09c">
      <Url>https://idbg.sharepoint.com/teams/EZ-BH-LON/BH-L1046/_layouts/15/DocIdRedir.aspx?ID=EZSHARE-1891893787-10</Url>
      <Description>EZSHARE-1891893787-10</Description>
    </_dlc_DocIdUrl>
    <Phase xmlns="cdc7663a-08f0-4737-9e8c-148ce897a09c" xsi:nil="true"/>
    <Other_x0020_Author xmlns="cdc7663a-08f0-4737-9e8c-148ce897a09c">Fernando de Olloqui</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F01E089-0281-4A99-B6FD-2BE70D9D69F8}">
  <ds:schemaRefs>
    <ds:schemaRef ds:uri="http://schemas.openxmlformats.org/officeDocument/2006/bibliography"/>
  </ds:schemaRefs>
</ds:datastoreItem>
</file>

<file path=customXml/itemProps2.xml><?xml version="1.0" encoding="utf-8"?>
<ds:datastoreItem xmlns:ds="http://schemas.openxmlformats.org/officeDocument/2006/customXml" ds:itemID="{ECF6F4AC-3837-4EC3-A762-E9577D0B0082}"/>
</file>

<file path=customXml/itemProps3.xml><?xml version="1.0" encoding="utf-8"?>
<ds:datastoreItem xmlns:ds="http://schemas.openxmlformats.org/officeDocument/2006/customXml" ds:itemID="{432AE64E-1F17-4F37-ABEB-A559D63A09F7}"/>
</file>

<file path=customXml/itemProps4.xml><?xml version="1.0" encoding="utf-8"?>
<ds:datastoreItem xmlns:ds="http://schemas.openxmlformats.org/officeDocument/2006/customXml" ds:itemID="{51A02E95-9CE8-44FB-B180-80E1B0AE9A52}"/>
</file>

<file path=customXml/itemProps5.xml><?xml version="1.0" encoding="utf-8"?>
<ds:datastoreItem xmlns:ds="http://schemas.openxmlformats.org/officeDocument/2006/customXml" ds:itemID="{4F512954-40F8-4E34-9B79-18400052CDE9}"/>
</file>

<file path=customXml/itemProps6.xml><?xml version="1.0" encoding="utf-8"?>
<ds:datastoreItem xmlns:ds="http://schemas.openxmlformats.org/officeDocument/2006/customXml" ds:itemID="{8567AE12-CFF2-402F-BCCE-A89DFC062688}"/>
</file>

<file path=customXml/itemProps7.xml><?xml version="1.0" encoding="utf-8"?>
<ds:datastoreItem xmlns:ds="http://schemas.openxmlformats.org/officeDocument/2006/customXml" ds:itemID="{02B785A7-DFCA-471F-A6C8-DAF5BB31F28C}"/>
</file>

<file path=customXml/itemProps8.xml><?xml version="1.0" encoding="utf-8"?>
<ds:datastoreItem xmlns:ds="http://schemas.openxmlformats.org/officeDocument/2006/customXml" ds:itemID="{A282FE39-3F99-4AA8-8ED9-2AA243B870F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Vargas Macedo, Sebastian</dc:creator>
  <cp:keywords/>
  <dc:description/>
  <cp:lastModifiedBy>Arauz Herrera, Alison</cp:lastModifiedBy>
  <cp:revision>30</cp:revision>
  <dcterms:created xsi:type="dcterms:W3CDTF">2019-04-15T21:18:00Z</dcterms:created>
  <dcterms:modified xsi:type="dcterms:W3CDTF">2019-06-25T19:45:15Z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93;#SMALL AND MEDIUM ENTERPRISE|dc60e909-07f3-41c5-be67-c26ad544a0ce</vt:lpwstr>
  </property>
  <property fmtid="{D5CDD505-2E9C-101B-9397-08002B2CF9AE}" pid="7" name="Country">
    <vt:lpwstr>26;#Bahamas|7662ea91-358d-4300-9a3d-1bdfe066f698</vt:lpwstr>
  </property>
  <property fmtid="{D5CDD505-2E9C-101B-9397-08002B2CF9AE}" pid="8" name="Fund IDB">
    <vt:lpwstr/>
  </property>
  <property fmtid="{D5CDD505-2E9C-101B-9397-08002B2CF9AE}" pid="9" name="_dlc_DocIdItemGuid">
    <vt:lpwstr>3267ccb8-d1a8-4dd6-a685-98e81dbd845b</vt:lpwstr>
  </property>
  <property fmtid="{D5CDD505-2E9C-101B-9397-08002B2CF9AE}" pid="10" name="Sector IDB">
    <vt:lpwstr>92;#PRIVATE FIRMS AND SME DEVELOPMENT|c1e6207a-501c-43c6-a42a-7c1a019b2e26</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0x0101001A458A224826124E8B45B1D613300CFC00DDB2EC8CACAF4E468EFC4DFF4A5914DD</vt:lpwstr>
  </property>
</Properties>
</file>