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F6592B" w:rsidR="00A7740C" w:rsidP="00A7740C" w:rsidRDefault="00A7740C" w14:paraId="5B42D2B2" w14:textId="77777777">
      <w:pPr>
        <w:jc w:val="center"/>
        <w:rPr>
          <w:rFonts w:ascii="Arial" w:hAnsi="Arial" w:eastAsia="Arial" w:cs="Arial"/>
          <w:smallCaps/>
          <w:sz w:val="22"/>
          <w:szCs w:val="22"/>
          <w:lang w:val="en-US"/>
        </w:rPr>
      </w:pPr>
      <w:r w:rsidRPr="00F6592B">
        <w:rPr>
          <w:rFonts w:ascii="Arial" w:hAnsi="Arial" w:eastAsia="Arial" w:cs="Arial"/>
          <w:smallCaps/>
          <w:sz w:val="22"/>
          <w:szCs w:val="22"/>
          <w:lang w:val="en-US"/>
        </w:rPr>
        <w:t>Document of the Inter-American Development Bank</w:t>
      </w:r>
    </w:p>
    <w:p w:rsidRPr="00F6592B" w:rsidR="00A7740C" w:rsidP="00A7740C" w:rsidRDefault="00A7740C" w14:paraId="2D99D407" w14:textId="77777777">
      <w:pPr>
        <w:jc w:val="center"/>
        <w:rPr>
          <w:rFonts w:ascii="Arial" w:hAnsi="Arial" w:cs="Arial"/>
          <w:sz w:val="22"/>
          <w:szCs w:val="22"/>
          <w:lang w:val="en-US"/>
        </w:rPr>
      </w:pPr>
    </w:p>
    <w:p w:rsidRPr="00F6592B" w:rsidR="00A7740C" w:rsidP="00A7740C" w:rsidRDefault="00A7740C" w14:paraId="0167D076" w14:textId="77777777">
      <w:pPr>
        <w:jc w:val="center"/>
        <w:rPr>
          <w:rFonts w:ascii="Arial" w:hAnsi="Arial" w:cs="Arial"/>
          <w:sz w:val="22"/>
          <w:szCs w:val="22"/>
          <w:lang w:val="en-US"/>
        </w:rPr>
      </w:pPr>
    </w:p>
    <w:p w:rsidRPr="00F6592B" w:rsidR="00A7740C" w:rsidP="00A7740C" w:rsidRDefault="00A7740C" w14:paraId="06B4F006" w14:textId="77777777">
      <w:pPr>
        <w:jc w:val="center"/>
        <w:rPr>
          <w:rFonts w:ascii="Arial" w:hAnsi="Arial" w:cs="Arial"/>
          <w:sz w:val="22"/>
          <w:szCs w:val="22"/>
          <w:lang w:val="en-US"/>
        </w:rPr>
      </w:pPr>
    </w:p>
    <w:p w:rsidRPr="00F6592B" w:rsidR="00A7740C" w:rsidP="00A7740C" w:rsidRDefault="00A7740C" w14:paraId="6668CFA6" w14:textId="77777777">
      <w:pPr>
        <w:jc w:val="center"/>
        <w:rPr>
          <w:rFonts w:ascii="Arial" w:hAnsi="Arial" w:cs="Arial"/>
          <w:sz w:val="22"/>
          <w:szCs w:val="22"/>
          <w:lang w:val="en-US"/>
        </w:rPr>
      </w:pPr>
    </w:p>
    <w:p w:rsidRPr="00F6592B" w:rsidR="00A7740C" w:rsidP="00A7740C" w:rsidRDefault="00A7740C" w14:paraId="5DF304DB" w14:textId="77777777">
      <w:pPr>
        <w:jc w:val="center"/>
        <w:rPr>
          <w:rFonts w:ascii="Arial" w:hAnsi="Arial" w:cs="Arial"/>
          <w:sz w:val="22"/>
          <w:szCs w:val="22"/>
          <w:lang w:val="en-US"/>
        </w:rPr>
      </w:pPr>
    </w:p>
    <w:p w:rsidRPr="00F6592B" w:rsidR="00A7740C" w:rsidP="00A7740C" w:rsidRDefault="00A7740C" w14:paraId="4F0E3D25" w14:textId="77777777">
      <w:pPr>
        <w:jc w:val="center"/>
        <w:rPr>
          <w:rFonts w:ascii="Arial" w:hAnsi="Arial" w:cs="Arial"/>
          <w:sz w:val="22"/>
          <w:szCs w:val="22"/>
          <w:lang w:val="en-US"/>
        </w:rPr>
      </w:pPr>
    </w:p>
    <w:p w:rsidRPr="00F6592B" w:rsidR="00A7740C" w:rsidP="00A7740C" w:rsidRDefault="00A7740C" w14:paraId="704C8A62" w14:textId="77777777">
      <w:pPr>
        <w:jc w:val="center"/>
        <w:rPr>
          <w:rFonts w:ascii="Arial" w:hAnsi="Arial" w:cs="Arial"/>
          <w:sz w:val="22"/>
          <w:szCs w:val="22"/>
          <w:lang w:val="en-US"/>
        </w:rPr>
      </w:pPr>
    </w:p>
    <w:p w:rsidRPr="00F6592B" w:rsidR="00A7740C" w:rsidP="00A7740C" w:rsidRDefault="00A7740C" w14:paraId="4365B88E" w14:textId="77777777">
      <w:pPr>
        <w:jc w:val="center"/>
        <w:rPr>
          <w:rFonts w:ascii="Arial" w:hAnsi="Arial" w:cs="Arial"/>
          <w:sz w:val="22"/>
          <w:szCs w:val="22"/>
          <w:lang w:val="en-US"/>
        </w:rPr>
      </w:pPr>
    </w:p>
    <w:p w:rsidRPr="00F6592B" w:rsidR="00A7740C" w:rsidP="00A7740C" w:rsidRDefault="00A7740C" w14:paraId="3065E93E" w14:textId="77777777">
      <w:pPr>
        <w:jc w:val="center"/>
        <w:rPr>
          <w:rFonts w:ascii="Arial" w:hAnsi="Arial" w:cs="Arial"/>
          <w:sz w:val="22"/>
          <w:szCs w:val="22"/>
          <w:lang w:val="en-US"/>
        </w:rPr>
      </w:pPr>
    </w:p>
    <w:p w:rsidRPr="00F6592B" w:rsidR="00A7740C" w:rsidP="00A7740C" w:rsidRDefault="00A7740C" w14:paraId="50B1B834" w14:textId="77777777">
      <w:pPr>
        <w:jc w:val="center"/>
        <w:rPr>
          <w:rFonts w:ascii="Arial" w:hAnsi="Arial" w:eastAsia="Arial" w:cs="Arial"/>
          <w:b/>
          <w:bCs/>
          <w:smallCaps/>
          <w:sz w:val="28"/>
          <w:szCs w:val="28"/>
          <w:lang w:val="en-US"/>
        </w:rPr>
      </w:pPr>
      <w:r w:rsidRPr="00F6592B">
        <w:rPr>
          <w:rFonts w:ascii="Arial" w:hAnsi="Arial" w:eastAsia="Arial" w:cs="Arial"/>
          <w:b/>
          <w:bCs/>
          <w:smallCaps/>
          <w:sz w:val="28"/>
          <w:szCs w:val="28"/>
          <w:lang w:val="en-US"/>
        </w:rPr>
        <w:t>The Bahamas</w:t>
      </w:r>
    </w:p>
    <w:p w:rsidRPr="00F6592B" w:rsidR="00A7740C" w:rsidP="00A7740C" w:rsidRDefault="00A7740C" w14:paraId="4CF48412" w14:textId="77777777">
      <w:pPr>
        <w:jc w:val="center"/>
        <w:rPr>
          <w:rFonts w:ascii="Arial" w:hAnsi="Arial" w:cs="Arial"/>
          <w:sz w:val="22"/>
          <w:szCs w:val="22"/>
          <w:lang w:val="en-US"/>
        </w:rPr>
      </w:pPr>
    </w:p>
    <w:p w:rsidRPr="00F6592B" w:rsidR="00A7740C" w:rsidP="00A7740C" w:rsidRDefault="00A7740C" w14:paraId="5B7B96EE" w14:textId="77777777">
      <w:pPr>
        <w:jc w:val="center"/>
        <w:rPr>
          <w:rFonts w:ascii="Arial" w:hAnsi="Arial" w:cs="Arial"/>
          <w:sz w:val="22"/>
          <w:szCs w:val="22"/>
          <w:lang w:val="en-US"/>
        </w:rPr>
      </w:pPr>
    </w:p>
    <w:p w:rsidRPr="00F6592B" w:rsidR="00A7740C" w:rsidP="00A7740C" w:rsidRDefault="00A7740C" w14:paraId="2F5A13FC" w14:textId="77777777">
      <w:pPr>
        <w:jc w:val="center"/>
        <w:rPr>
          <w:rFonts w:ascii="Arial" w:hAnsi="Arial" w:cs="Arial"/>
          <w:sz w:val="22"/>
          <w:szCs w:val="22"/>
          <w:lang w:val="en-US"/>
        </w:rPr>
      </w:pPr>
    </w:p>
    <w:p w:rsidRPr="00F6592B" w:rsidR="00A7740C" w:rsidP="00A7740C" w:rsidRDefault="00A7740C" w14:paraId="2DBD7720" w14:textId="77777777">
      <w:pPr>
        <w:jc w:val="center"/>
        <w:rPr>
          <w:rFonts w:ascii="Arial" w:hAnsi="Arial" w:cs="Arial"/>
          <w:sz w:val="22"/>
          <w:szCs w:val="22"/>
          <w:lang w:val="en-US"/>
        </w:rPr>
      </w:pPr>
    </w:p>
    <w:p w:rsidRPr="00F6592B" w:rsidR="00A7740C" w:rsidP="00A7740C" w:rsidRDefault="00A7740C" w14:paraId="588FD287" w14:textId="77777777">
      <w:pPr>
        <w:jc w:val="center"/>
        <w:rPr>
          <w:rFonts w:ascii="Arial" w:hAnsi="Arial" w:cs="Arial"/>
          <w:sz w:val="22"/>
          <w:szCs w:val="22"/>
          <w:lang w:val="en-US"/>
        </w:rPr>
      </w:pPr>
    </w:p>
    <w:p w:rsidRPr="00F6592B" w:rsidR="00A7740C" w:rsidP="00A7740C" w:rsidRDefault="00A7740C" w14:paraId="208C5EF6" w14:textId="77777777">
      <w:pPr>
        <w:jc w:val="center"/>
        <w:rPr>
          <w:rFonts w:ascii="Arial" w:hAnsi="Arial" w:eastAsia="Arial" w:cs="Arial"/>
          <w:sz w:val="28"/>
          <w:szCs w:val="28"/>
          <w:lang w:val="en-US"/>
        </w:rPr>
      </w:pPr>
      <w:r w:rsidRPr="00F6592B">
        <w:rPr>
          <w:rFonts w:ascii="Arial" w:hAnsi="Arial" w:eastAsia="Arial" w:cs="Arial"/>
          <w:b/>
          <w:bCs/>
          <w:smallCaps/>
          <w:sz w:val="28"/>
          <w:szCs w:val="28"/>
          <w:lang w:val="en-US"/>
        </w:rPr>
        <w:t xml:space="preserve">Credit Enhancement Program for Micro, Small and Medium Enterprises </w:t>
      </w:r>
    </w:p>
    <w:p w:rsidRPr="00F6592B" w:rsidR="00A7740C" w:rsidP="00A7740C" w:rsidRDefault="00A7740C" w14:paraId="4423B5A5" w14:textId="77777777">
      <w:pPr>
        <w:jc w:val="center"/>
        <w:rPr>
          <w:rFonts w:ascii="Arial" w:hAnsi="Arial" w:cs="Arial"/>
          <w:sz w:val="22"/>
          <w:szCs w:val="22"/>
          <w:lang w:val="en-US"/>
        </w:rPr>
      </w:pPr>
    </w:p>
    <w:p w:rsidRPr="00F6592B" w:rsidR="00A7740C" w:rsidP="00A7740C" w:rsidRDefault="00A7740C" w14:paraId="28FC5036" w14:textId="77777777">
      <w:pPr>
        <w:jc w:val="center"/>
        <w:rPr>
          <w:rFonts w:ascii="Arial" w:hAnsi="Arial" w:eastAsia="Arial" w:cs="Arial"/>
          <w:b/>
          <w:bCs/>
          <w:smallCaps/>
          <w:sz w:val="28"/>
          <w:szCs w:val="28"/>
          <w:lang w:val="en-US"/>
        </w:rPr>
      </w:pPr>
      <w:bookmarkStart w:name="Text7" w:id="0"/>
      <w:r w:rsidRPr="00F6592B">
        <w:rPr>
          <w:rFonts w:ascii="Arial" w:hAnsi="Arial" w:eastAsia="Arial" w:cs="Arial"/>
          <w:b/>
          <w:bCs/>
          <w:smallCaps/>
          <w:sz w:val="28"/>
          <w:szCs w:val="28"/>
          <w:lang w:val="en-US"/>
        </w:rPr>
        <w:t>(</w:t>
      </w:r>
      <w:bookmarkEnd w:id="0"/>
      <w:r w:rsidRPr="00F6592B">
        <w:rPr>
          <w:rFonts w:ascii="Arial" w:hAnsi="Arial" w:eastAsia="Arial" w:cs="Arial"/>
          <w:b/>
          <w:bCs/>
          <w:smallCaps/>
          <w:sz w:val="28"/>
          <w:szCs w:val="28"/>
          <w:lang w:val="en-US"/>
        </w:rPr>
        <w:t>BH-L1046)</w:t>
      </w:r>
    </w:p>
    <w:p w:rsidRPr="00F6592B" w:rsidR="00A7740C" w:rsidP="00A7740C" w:rsidRDefault="00A7740C" w14:paraId="729DF637" w14:textId="77777777">
      <w:pPr>
        <w:jc w:val="center"/>
        <w:rPr>
          <w:rFonts w:ascii="Arial" w:hAnsi="Arial" w:cs="Arial"/>
          <w:sz w:val="22"/>
          <w:szCs w:val="22"/>
          <w:lang w:val="en-US"/>
        </w:rPr>
      </w:pPr>
    </w:p>
    <w:p w:rsidRPr="00F6592B" w:rsidR="00A7740C" w:rsidP="00A7740C" w:rsidRDefault="00A7740C" w14:paraId="30FB8A93" w14:textId="77777777">
      <w:pPr>
        <w:jc w:val="center"/>
        <w:rPr>
          <w:rFonts w:ascii="Arial" w:hAnsi="Arial" w:cs="Arial"/>
          <w:sz w:val="22"/>
          <w:szCs w:val="22"/>
          <w:lang w:val="en-US"/>
        </w:rPr>
      </w:pPr>
    </w:p>
    <w:p w:rsidRPr="00F6592B" w:rsidR="00A7740C" w:rsidP="00A7740C" w:rsidRDefault="00A7740C" w14:paraId="3D000723" w14:textId="77777777">
      <w:pPr>
        <w:jc w:val="center"/>
        <w:rPr>
          <w:rFonts w:ascii="Arial" w:hAnsi="Arial" w:cs="Arial"/>
          <w:sz w:val="22"/>
          <w:szCs w:val="22"/>
          <w:lang w:val="en-US"/>
        </w:rPr>
      </w:pPr>
    </w:p>
    <w:p w:rsidRPr="00F6592B" w:rsidR="00A7740C" w:rsidP="00A7740C" w:rsidRDefault="00A7740C" w14:paraId="451EAC78" w14:textId="77777777">
      <w:pPr>
        <w:jc w:val="center"/>
        <w:rPr>
          <w:rFonts w:ascii="Arial" w:hAnsi="Arial" w:cs="Arial"/>
          <w:sz w:val="22"/>
          <w:szCs w:val="22"/>
          <w:lang w:val="en-US"/>
        </w:rPr>
      </w:pPr>
    </w:p>
    <w:p w:rsidRPr="00F6592B" w:rsidR="00A7740C" w:rsidP="00A7740C" w:rsidRDefault="00A7740C" w14:paraId="44CB60DE" w14:textId="77777777">
      <w:pPr>
        <w:jc w:val="center"/>
        <w:rPr>
          <w:rFonts w:ascii="Arial" w:hAnsi="Arial" w:cs="Arial"/>
          <w:sz w:val="22"/>
          <w:szCs w:val="22"/>
          <w:lang w:val="en-US"/>
        </w:rPr>
      </w:pPr>
    </w:p>
    <w:p w:rsidRPr="00F6592B" w:rsidR="00A7740C" w:rsidP="00A7740C" w:rsidRDefault="00A7740C" w14:paraId="4950065B" w14:textId="77777777">
      <w:pPr>
        <w:jc w:val="center"/>
        <w:rPr>
          <w:rFonts w:ascii="Arial" w:hAnsi="Arial" w:cs="Arial"/>
          <w:sz w:val="22"/>
          <w:szCs w:val="22"/>
          <w:lang w:val="en-US"/>
        </w:rPr>
      </w:pPr>
    </w:p>
    <w:p w:rsidRPr="00F6592B" w:rsidR="00A7740C" w:rsidP="00A7740C" w:rsidRDefault="00A7740C" w14:paraId="1E10A581" w14:textId="77777777">
      <w:pPr>
        <w:jc w:val="center"/>
        <w:rPr>
          <w:rFonts w:ascii="Arial" w:hAnsi="Arial" w:cs="Arial"/>
          <w:sz w:val="22"/>
          <w:szCs w:val="22"/>
          <w:lang w:val="en-US"/>
        </w:rPr>
      </w:pPr>
    </w:p>
    <w:p w:rsidRPr="00F6592B" w:rsidR="00A7740C" w:rsidP="00A7740C" w:rsidRDefault="00A7740C" w14:paraId="7FAA1489" w14:textId="77777777">
      <w:pPr>
        <w:tabs>
          <w:tab w:val="left" w:pos="1440"/>
          <w:tab w:val="left" w:pos="3060"/>
        </w:tabs>
        <w:jc w:val="center"/>
        <w:rPr>
          <w:rFonts w:ascii="Arial" w:hAnsi="Arial" w:cs="Arial"/>
          <w:smallCaps/>
          <w:sz w:val="22"/>
          <w:szCs w:val="22"/>
          <w:lang w:val="en-US"/>
        </w:rPr>
      </w:pPr>
    </w:p>
    <w:p w:rsidRPr="00F6592B" w:rsidR="00A7740C" w:rsidP="00A7740C" w:rsidRDefault="00A7740C" w14:paraId="3AE2C155" w14:textId="177E2C67">
      <w:pPr>
        <w:jc w:val="center"/>
        <w:rPr>
          <w:rFonts w:ascii="Arial" w:hAnsi="Arial" w:cs="Arial"/>
          <w:szCs w:val="24"/>
          <w:lang w:val="en-US"/>
        </w:rPr>
      </w:pPr>
      <w:r w:rsidRPr="00F6592B">
        <w:rPr>
          <w:rFonts w:ascii="Arial" w:hAnsi="Arial" w:eastAsia="Arial" w:cs="Arial"/>
          <w:b/>
          <w:bCs/>
          <w:smallCaps/>
          <w:szCs w:val="24"/>
          <w:lang w:val="en-US"/>
        </w:rPr>
        <w:t>Economic Analysis</w:t>
      </w:r>
    </w:p>
    <w:p w:rsidRPr="00F6592B" w:rsidR="00A7740C" w:rsidP="00A7740C" w:rsidRDefault="00A7740C" w14:paraId="281FB392" w14:textId="77777777">
      <w:pPr>
        <w:jc w:val="center"/>
        <w:rPr>
          <w:rFonts w:ascii="Arial" w:hAnsi="Arial" w:cs="Arial"/>
          <w:sz w:val="22"/>
          <w:szCs w:val="22"/>
          <w:lang w:val="en-US"/>
        </w:rPr>
      </w:pPr>
    </w:p>
    <w:p w:rsidRPr="00F6592B" w:rsidR="00A7740C" w:rsidP="00A7740C" w:rsidRDefault="00A7740C" w14:paraId="6338ABC6" w14:textId="77777777">
      <w:pPr>
        <w:jc w:val="center"/>
        <w:rPr>
          <w:rFonts w:ascii="Arial" w:hAnsi="Arial" w:cs="Arial"/>
          <w:sz w:val="22"/>
          <w:szCs w:val="22"/>
          <w:lang w:val="en-US"/>
        </w:rPr>
      </w:pPr>
    </w:p>
    <w:p w:rsidRPr="00F6592B" w:rsidR="00A7740C" w:rsidP="00A7740C" w:rsidRDefault="00A7740C" w14:paraId="1022AC91" w14:textId="77777777">
      <w:pPr>
        <w:jc w:val="center"/>
        <w:rPr>
          <w:rFonts w:ascii="Arial" w:hAnsi="Arial" w:cs="Arial"/>
          <w:sz w:val="22"/>
          <w:szCs w:val="22"/>
          <w:lang w:val="en-US"/>
        </w:rPr>
      </w:pPr>
    </w:p>
    <w:p w:rsidRPr="00F6592B" w:rsidR="00A7740C" w:rsidP="00A7740C" w:rsidRDefault="00A7740C" w14:paraId="1D42DDCA" w14:textId="77777777">
      <w:pPr>
        <w:jc w:val="center"/>
        <w:rPr>
          <w:rFonts w:ascii="Arial" w:hAnsi="Arial" w:cs="Arial"/>
          <w:sz w:val="22"/>
          <w:szCs w:val="22"/>
          <w:lang w:val="en-US"/>
        </w:rPr>
      </w:pPr>
    </w:p>
    <w:p w:rsidRPr="00F6592B" w:rsidR="00A7740C" w:rsidP="00A7740C" w:rsidRDefault="00A7740C" w14:paraId="2943612E" w14:textId="77777777">
      <w:pPr>
        <w:jc w:val="center"/>
        <w:rPr>
          <w:rFonts w:ascii="Arial" w:hAnsi="Arial" w:cs="Arial"/>
          <w:sz w:val="22"/>
          <w:szCs w:val="22"/>
          <w:lang w:val="en-US"/>
        </w:rPr>
      </w:pPr>
    </w:p>
    <w:p w:rsidRPr="00F6592B" w:rsidR="00A7740C" w:rsidP="00A7740C" w:rsidRDefault="00A7740C" w14:paraId="18F3F08A" w14:textId="77777777">
      <w:pPr>
        <w:jc w:val="center"/>
        <w:rPr>
          <w:rFonts w:ascii="Arial" w:hAnsi="Arial" w:cs="Arial"/>
          <w:sz w:val="22"/>
          <w:szCs w:val="22"/>
          <w:lang w:val="en-US"/>
        </w:rPr>
      </w:pPr>
    </w:p>
    <w:p w:rsidRPr="00F6592B" w:rsidR="00A7740C" w:rsidP="00A7740C" w:rsidRDefault="00A7740C" w14:paraId="615F94E7" w14:textId="77777777">
      <w:pPr>
        <w:jc w:val="center"/>
        <w:rPr>
          <w:rFonts w:ascii="Arial" w:hAnsi="Arial" w:cs="Arial"/>
          <w:sz w:val="22"/>
          <w:szCs w:val="22"/>
          <w:lang w:val="en-US"/>
        </w:rPr>
      </w:pPr>
    </w:p>
    <w:p w:rsidRPr="00F6592B" w:rsidR="00A7740C" w:rsidP="00A7740C" w:rsidRDefault="00A7740C" w14:paraId="2AE059A8" w14:textId="77777777">
      <w:pPr>
        <w:jc w:val="center"/>
        <w:rPr>
          <w:rFonts w:ascii="Arial" w:hAnsi="Arial" w:cs="Arial"/>
          <w:sz w:val="22"/>
          <w:szCs w:val="22"/>
          <w:lang w:val="en-US"/>
        </w:rPr>
      </w:pPr>
    </w:p>
    <w:p w:rsidRPr="00F6592B" w:rsidR="00A7740C" w:rsidP="00A7740C" w:rsidRDefault="00A7740C" w14:paraId="7BDC3F8B" w14:textId="77777777">
      <w:pPr>
        <w:jc w:val="center"/>
        <w:rPr>
          <w:rFonts w:ascii="Arial" w:hAnsi="Arial" w:cs="Arial"/>
          <w:sz w:val="22"/>
          <w:szCs w:val="22"/>
          <w:lang w:val="en-US"/>
        </w:rPr>
      </w:pPr>
    </w:p>
    <w:p w:rsidRPr="00F6592B" w:rsidR="00A7740C" w:rsidP="00A7740C" w:rsidRDefault="00A7740C" w14:paraId="4B7EBC92" w14:textId="77777777">
      <w:pPr>
        <w:jc w:val="center"/>
        <w:rPr>
          <w:rFonts w:ascii="Arial" w:hAnsi="Arial" w:cs="Arial"/>
          <w:sz w:val="22"/>
          <w:szCs w:val="22"/>
          <w:lang w:val="en-US"/>
        </w:rPr>
      </w:pPr>
    </w:p>
    <w:p w:rsidRPr="00F6592B" w:rsidR="00A7740C" w:rsidP="00202FC9" w:rsidRDefault="00A7740C" w14:paraId="5814F74B" w14:textId="0F6EBDCA">
      <w:pPr>
        <w:pBdr>
          <w:top w:val="single" w:color="auto" w:sz="4" w:space="1"/>
          <w:left w:val="single" w:color="auto" w:sz="4" w:space="4"/>
          <w:bottom w:val="single" w:color="auto" w:sz="4" w:space="6"/>
          <w:right w:val="single" w:color="auto" w:sz="4" w:space="0"/>
        </w:pBdr>
        <w:jc w:val="both"/>
        <w:rPr>
          <w:rFonts w:ascii="Arial" w:hAnsi="Arial" w:eastAsia="Arial" w:cs="Arial"/>
          <w:sz w:val="20"/>
          <w:lang w:val="en-US"/>
        </w:rPr>
      </w:pPr>
      <w:r w:rsidRPr="00F6592B">
        <w:rPr>
          <w:rFonts w:ascii="Arial" w:hAnsi="Arial" w:eastAsia="Arial" w:cs="Arial"/>
          <w:sz w:val="20"/>
          <w:lang w:val="en-US"/>
        </w:rPr>
        <w:t>This document was prepared by Sebastian Vargas (IFD/CMF).</w:t>
      </w:r>
    </w:p>
    <w:p w:rsidRPr="00F6592B" w:rsidR="00A7740C" w:rsidP="00A7740C" w:rsidRDefault="00A7740C" w14:paraId="04384604" w14:textId="77777777">
      <w:pPr>
        <w:tabs>
          <w:tab w:val="left" w:pos="1440"/>
          <w:tab w:val="left" w:pos="3060"/>
        </w:tabs>
        <w:outlineLvl w:val="0"/>
        <w:rPr>
          <w:rFonts w:ascii="Arial" w:hAnsi="Arial" w:cs="Arial"/>
          <w:sz w:val="22"/>
          <w:szCs w:val="22"/>
          <w:highlight w:val="yellow"/>
          <w:lang w:val="en-US"/>
        </w:rPr>
      </w:pPr>
    </w:p>
    <w:p w:rsidRPr="00F6592B" w:rsidR="00A7740C" w:rsidP="00A7740C" w:rsidRDefault="00A7740C" w14:paraId="3E7C966E" w14:textId="77777777">
      <w:pPr>
        <w:pStyle w:val="Newpage"/>
        <w:rPr>
          <w:rFonts w:ascii="Arial" w:hAnsi="Arial" w:cs="Arial"/>
          <w:sz w:val="22"/>
          <w:szCs w:val="22"/>
          <w:highlight w:val="yellow"/>
          <w:lang w:val="en-US"/>
        </w:rPr>
      </w:pPr>
    </w:p>
    <w:p w:rsidRPr="00884476" w:rsidR="00A7740C" w:rsidP="00A7740C" w:rsidRDefault="00A7740C" w14:paraId="7DE2B7B4" w14:textId="0106C7D8">
      <w:pPr>
        <w:pStyle w:val="Newpage"/>
        <w:rPr>
          <w:rFonts w:ascii="Arial" w:hAnsi="Arial" w:cs="Arial"/>
          <w:sz w:val="22"/>
          <w:szCs w:val="22"/>
          <w:lang w:val="en-US"/>
        </w:rPr>
      </w:pPr>
      <w:r w:rsidRPr="00884476">
        <w:rPr>
          <w:rFonts w:ascii="Arial" w:hAnsi="Arial" w:cs="Arial"/>
          <w:sz w:val="22"/>
          <w:szCs w:val="22"/>
          <w:lang w:val="en-US"/>
        </w:rPr>
        <w:t>Index</w:t>
      </w:r>
    </w:p>
    <w:p w:rsidRPr="00884476" w:rsidR="00A7740C" w:rsidP="00A7740C" w:rsidRDefault="00A7740C" w14:paraId="7DAE73B1" w14:textId="77777777">
      <w:pPr>
        <w:pStyle w:val="Newpage"/>
        <w:rPr>
          <w:rFonts w:ascii="Arial" w:hAnsi="Arial" w:cs="Arial"/>
          <w:sz w:val="22"/>
          <w:szCs w:val="22"/>
          <w:lang w:val="en-US"/>
        </w:rPr>
      </w:pPr>
    </w:p>
    <w:p w:rsidRPr="00884476" w:rsidR="00A7740C" w:rsidP="00A7740C" w:rsidRDefault="00A7740C" w14:paraId="28993E85" w14:textId="77777777">
      <w:pPr>
        <w:pStyle w:val="Newpage"/>
        <w:rPr>
          <w:rFonts w:ascii="Arial" w:hAnsi="Arial" w:cs="Arial"/>
          <w:sz w:val="22"/>
          <w:szCs w:val="22"/>
          <w:lang w:val="en-US"/>
        </w:rPr>
      </w:pPr>
    </w:p>
    <w:p w:rsidRPr="00884476" w:rsidR="00AA6795" w:rsidRDefault="00A7740C" w14:paraId="508E2C4C" w14:textId="36C12BBF">
      <w:pPr>
        <w:pStyle w:val="TOC1"/>
        <w:rPr>
          <w:rFonts w:asciiTheme="minorHAnsi" w:hAnsiTheme="minorHAnsi" w:eastAsiaTheme="minorEastAsia" w:cstheme="minorBidi"/>
          <w:b w:val="0"/>
          <w:smallCaps w:val="0"/>
          <w:lang w:val="en-US"/>
        </w:rPr>
      </w:pPr>
      <w:r w:rsidRPr="00884476">
        <w:rPr>
          <w:rFonts w:ascii="Arial" w:hAnsi="Arial" w:cs="Arial"/>
          <w:noProof w:val="0"/>
          <w:lang w:val="en-US"/>
        </w:rPr>
        <w:fldChar w:fldCharType="begin"/>
      </w:r>
      <w:r w:rsidRPr="00884476">
        <w:rPr>
          <w:rFonts w:ascii="Arial" w:hAnsi="Arial" w:cs="Arial"/>
          <w:noProof w:val="0"/>
          <w:lang w:val="en-US"/>
        </w:rPr>
        <w:instrText xml:space="preserve"> TOC \f \t "Chapter,1,FirstHeading,2,SecHeading,3" </w:instrText>
      </w:r>
      <w:r w:rsidRPr="00884476">
        <w:rPr>
          <w:rFonts w:ascii="Arial" w:hAnsi="Arial" w:cs="Arial"/>
          <w:noProof w:val="0"/>
          <w:lang w:val="en-US"/>
        </w:rPr>
        <w:fldChar w:fldCharType="separate"/>
      </w:r>
      <w:r w:rsidRPr="00884476" w:rsidR="00AA6795">
        <w:rPr>
          <w:rFonts w:ascii="Arial" w:hAnsi="Arial" w:cs="Arial"/>
          <w:lang w:val="en-US"/>
        </w:rPr>
        <w:t>I.</w:t>
      </w:r>
      <w:r w:rsidRPr="00884476" w:rsidR="00AA6795">
        <w:rPr>
          <w:rFonts w:asciiTheme="minorHAnsi" w:hAnsiTheme="minorHAnsi" w:eastAsiaTheme="minorEastAsia" w:cstheme="minorBidi"/>
          <w:b w:val="0"/>
          <w:smallCaps w:val="0"/>
          <w:lang w:val="en-US"/>
        </w:rPr>
        <w:tab/>
      </w:r>
      <w:r w:rsidRPr="00884476" w:rsidR="00AA6795">
        <w:rPr>
          <w:rFonts w:ascii="Arial" w:hAnsi="Arial" w:cs="Arial"/>
          <w:lang w:val="en-US"/>
        </w:rPr>
        <w:t>Introduction</w:t>
      </w:r>
      <w:r w:rsidRPr="0048553C" w:rsidR="00AA6795">
        <w:rPr>
          <w:lang w:val="en-US"/>
        </w:rPr>
        <w:tab/>
      </w:r>
      <w:r w:rsidRPr="00884476" w:rsidR="00AA6795">
        <w:fldChar w:fldCharType="begin"/>
      </w:r>
      <w:r w:rsidRPr="0048553C" w:rsidR="00AA6795">
        <w:rPr>
          <w:lang w:val="en-US"/>
        </w:rPr>
        <w:instrText xml:space="preserve"> PAGEREF _Toc6043641 \h </w:instrText>
      </w:r>
      <w:r w:rsidRPr="00884476" w:rsidR="00AA6795">
        <w:fldChar w:fldCharType="separate"/>
      </w:r>
      <w:r w:rsidRPr="0048553C" w:rsidR="00AA6795">
        <w:rPr>
          <w:lang w:val="en-US"/>
        </w:rPr>
        <w:t>3</w:t>
      </w:r>
      <w:r w:rsidRPr="00884476" w:rsidR="00AA6795">
        <w:fldChar w:fldCharType="end"/>
      </w:r>
    </w:p>
    <w:p w:rsidRPr="00884476" w:rsidR="00AA6795" w:rsidRDefault="00AA6795" w14:paraId="794632A0" w14:textId="3D5D463E">
      <w:pPr>
        <w:pStyle w:val="TOC2"/>
        <w:rPr>
          <w:rFonts w:asciiTheme="minorHAnsi" w:hAnsiTheme="minorHAnsi" w:eastAsiaTheme="minorEastAsia" w:cstheme="minorBidi"/>
          <w:sz w:val="22"/>
          <w:szCs w:val="22"/>
          <w:lang w:val="en-US"/>
        </w:rPr>
      </w:pPr>
      <w:r w:rsidRPr="00884476">
        <w:rPr>
          <w:rFonts w:ascii="Arial" w:hAnsi="Arial" w:cs="Arial"/>
          <w:lang w:val="en-US"/>
        </w:rPr>
        <w:t>A.</w:t>
      </w:r>
      <w:r w:rsidRPr="00884476">
        <w:rPr>
          <w:rFonts w:asciiTheme="minorHAnsi" w:hAnsiTheme="minorHAnsi" w:eastAsiaTheme="minorEastAsia" w:cstheme="minorBidi"/>
          <w:sz w:val="22"/>
          <w:szCs w:val="22"/>
          <w:lang w:val="en-US"/>
        </w:rPr>
        <w:tab/>
      </w:r>
      <w:r w:rsidRPr="00884476">
        <w:rPr>
          <w:rFonts w:ascii="Arial" w:hAnsi="Arial" w:cs="Arial"/>
          <w:lang w:val="en-US"/>
        </w:rPr>
        <w:t>General Aspects</w:t>
      </w:r>
      <w:r w:rsidRPr="0048553C">
        <w:rPr>
          <w:lang w:val="en-US"/>
        </w:rPr>
        <w:tab/>
      </w:r>
      <w:r w:rsidRPr="00884476">
        <w:fldChar w:fldCharType="begin"/>
      </w:r>
      <w:r w:rsidRPr="0048553C">
        <w:rPr>
          <w:lang w:val="en-US"/>
        </w:rPr>
        <w:instrText xml:space="preserve"> PAGEREF _Toc6043642 \h </w:instrText>
      </w:r>
      <w:r w:rsidRPr="00884476">
        <w:fldChar w:fldCharType="separate"/>
      </w:r>
      <w:r w:rsidRPr="0048553C">
        <w:rPr>
          <w:lang w:val="en-US"/>
        </w:rPr>
        <w:t>3</w:t>
      </w:r>
      <w:r w:rsidRPr="00884476">
        <w:fldChar w:fldCharType="end"/>
      </w:r>
    </w:p>
    <w:p w:rsidRPr="00884476" w:rsidR="00AA6795" w:rsidRDefault="00AA6795" w14:paraId="15112E39" w14:textId="5FCA8D12">
      <w:pPr>
        <w:pStyle w:val="TOC1"/>
        <w:rPr>
          <w:rFonts w:asciiTheme="minorHAnsi" w:hAnsiTheme="minorHAnsi" w:eastAsiaTheme="minorEastAsia" w:cstheme="minorBidi"/>
          <w:b w:val="0"/>
          <w:smallCaps w:val="0"/>
          <w:lang w:val="en-US"/>
        </w:rPr>
      </w:pPr>
      <w:r w:rsidRPr="00884476">
        <w:rPr>
          <w:rFonts w:ascii="Arial" w:hAnsi="Arial" w:cs="Arial"/>
          <w:lang w:val="en-US"/>
        </w:rPr>
        <w:t>II.</w:t>
      </w:r>
      <w:r w:rsidRPr="00884476">
        <w:rPr>
          <w:rFonts w:asciiTheme="minorHAnsi" w:hAnsiTheme="minorHAnsi" w:eastAsiaTheme="minorEastAsia" w:cstheme="minorBidi"/>
          <w:b w:val="0"/>
          <w:smallCaps w:val="0"/>
          <w:lang w:val="en-US"/>
        </w:rPr>
        <w:tab/>
      </w:r>
      <w:r w:rsidRPr="00884476">
        <w:rPr>
          <w:rFonts w:ascii="Arial" w:hAnsi="Arial" w:cs="Arial"/>
          <w:lang w:val="en-US"/>
        </w:rPr>
        <w:t>Methodology and Assumptions</w:t>
      </w:r>
      <w:r w:rsidRPr="0048553C">
        <w:rPr>
          <w:lang w:val="en-US"/>
        </w:rPr>
        <w:tab/>
      </w:r>
      <w:r w:rsidRPr="00884476">
        <w:fldChar w:fldCharType="begin"/>
      </w:r>
      <w:r w:rsidRPr="0048553C">
        <w:rPr>
          <w:lang w:val="en-US"/>
        </w:rPr>
        <w:instrText xml:space="preserve"> PAGEREF _Toc6043643 \h </w:instrText>
      </w:r>
      <w:r w:rsidRPr="00884476">
        <w:fldChar w:fldCharType="separate"/>
      </w:r>
      <w:r w:rsidRPr="0048553C">
        <w:rPr>
          <w:lang w:val="en-US"/>
        </w:rPr>
        <w:t>4</w:t>
      </w:r>
      <w:r w:rsidRPr="00884476">
        <w:fldChar w:fldCharType="end"/>
      </w:r>
    </w:p>
    <w:p w:rsidRPr="00884476" w:rsidR="00AA6795" w:rsidRDefault="00AA6795" w14:paraId="4F26EB31" w14:textId="4950D339">
      <w:pPr>
        <w:pStyle w:val="TOC2"/>
        <w:rPr>
          <w:rFonts w:asciiTheme="minorHAnsi" w:hAnsiTheme="minorHAnsi" w:eastAsiaTheme="minorEastAsia" w:cstheme="minorBidi"/>
          <w:sz w:val="22"/>
          <w:szCs w:val="22"/>
          <w:lang w:val="en-US"/>
        </w:rPr>
      </w:pPr>
      <w:r w:rsidRPr="00884476">
        <w:rPr>
          <w:rFonts w:ascii="Arial" w:hAnsi="Arial" w:cs="Arial"/>
          <w:lang w:val="en-US"/>
        </w:rPr>
        <w:t>B.</w:t>
      </w:r>
      <w:r w:rsidRPr="00884476">
        <w:rPr>
          <w:rFonts w:asciiTheme="minorHAnsi" w:hAnsiTheme="minorHAnsi" w:eastAsiaTheme="minorEastAsia" w:cstheme="minorBidi"/>
          <w:sz w:val="22"/>
          <w:szCs w:val="22"/>
          <w:lang w:val="en-US"/>
        </w:rPr>
        <w:tab/>
      </w:r>
      <w:r w:rsidRPr="00884476">
        <w:rPr>
          <w:rFonts w:ascii="Arial" w:hAnsi="Arial" w:cs="Arial"/>
          <w:lang w:val="en-US"/>
        </w:rPr>
        <w:t>Information and Asumptions</w:t>
      </w:r>
      <w:r w:rsidRPr="0048553C">
        <w:rPr>
          <w:lang w:val="en-US"/>
        </w:rPr>
        <w:tab/>
      </w:r>
      <w:r w:rsidRPr="00884476">
        <w:fldChar w:fldCharType="begin"/>
      </w:r>
      <w:r w:rsidRPr="0048553C">
        <w:rPr>
          <w:lang w:val="en-US"/>
        </w:rPr>
        <w:instrText xml:space="preserve"> PAGEREF _Toc6043644 \h </w:instrText>
      </w:r>
      <w:r w:rsidRPr="00884476">
        <w:fldChar w:fldCharType="separate"/>
      </w:r>
      <w:r w:rsidRPr="0048553C">
        <w:rPr>
          <w:lang w:val="en-US"/>
        </w:rPr>
        <w:t>5</w:t>
      </w:r>
      <w:r w:rsidRPr="00884476">
        <w:fldChar w:fldCharType="end"/>
      </w:r>
    </w:p>
    <w:p w:rsidRPr="00884476" w:rsidR="00AA6795" w:rsidRDefault="00AA6795" w14:paraId="23199044" w14:textId="606B3071">
      <w:pPr>
        <w:pStyle w:val="TOC1"/>
        <w:rPr>
          <w:rFonts w:asciiTheme="minorHAnsi" w:hAnsiTheme="minorHAnsi" w:eastAsiaTheme="minorEastAsia" w:cstheme="minorBidi"/>
          <w:b w:val="0"/>
          <w:smallCaps w:val="0"/>
          <w:lang w:val="en-US"/>
        </w:rPr>
      </w:pPr>
      <w:r w:rsidRPr="00884476">
        <w:rPr>
          <w:rFonts w:ascii="Arial" w:hAnsi="Arial" w:cs="Arial"/>
          <w:lang w:val="en-US"/>
        </w:rPr>
        <w:t>III.</w:t>
      </w:r>
      <w:r w:rsidRPr="00884476">
        <w:rPr>
          <w:rFonts w:asciiTheme="minorHAnsi" w:hAnsiTheme="minorHAnsi" w:eastAsiaTheme="minorEastAsia" w:cstheme="minorBidi"/>
          <w:b w:val="0"/>
          <w:smallCaps w:val="0"/>
          <w:lang w:val="en-US"/>
        </w:rPr>
        <w:tab/>
      </w:r>
      <w:r w:rsidRPr="00884476">
        <w:rPr>
          <w:rFonts w:ascii="Arial" w:hAnsi="Arial" w:cs="Arial"/>
          <w:lang w:val="en-US"/>
        </w:rPr>
        <w:t>Economic Benefit Assessment</w:t>
      </w:r>
      <w:r w:rsidRPr="0048553C">
        <w:rPr>
          <w:lang w:val="en-US"/>
        </w:rPr>
        <w:tab/>
      </w:r>
      <w:r w:rsidRPr="00884476">
        <w:fldChar w:fldCharType="begin"/>
      </w:r>
      <w:r w:rsidRPr="0048553C">
        <w:rPr>
          <w:lang w:val="en-US"/>
        </w:rPr>
        <w:instrText xml:space="preserve"> PAGEREF _Toc6043645 \h </w:instrText>
      </w:r>
      <w:r w:rsidRPr="00884476">
        <w:fldChar w:fldCharType="separate"/>
      </w:r>
      <w:r w:rsidRPr="0048553C">
        <w:rPr>
          <w:lang w:val="en-US"/>
        </w:rPr>
        <w:t>7</w:t>
      </w:r>
      <w:r w:rsidRPr="00884476">
        <w:fldChar w:fldCharType="end"/>
      </w:r>
    </w:p>
    <w:p w:rsidRPr="00884476" w:rsidR="00AA6795" w:rsidRDefault="00AA6795" w14:paraId="26C055E6" w14:textId="0B31B80F">
      <w:pPr>
        <w:pStyle w:val="TOC1"/>
        <w:rPr>
          <w:rFonts w:asciiTheme="minorHAnsi" w:hAnsiTheme="minorHAnsi" w:eastAsiaTheme="minorEastAsia" w:cstheme="minorBidi"/>
          <w:b w:val="0"/>
          <w:smallCaps w:val="0"/>
          <w:lang w:val="en-US"/>
        </w:rPr>
      </w:pPr>
      <w:r w:rsidRPr="00884476">
        <w:rPr>
          <w:rFonts w:ascii="Arial" w:hAnsi="Arial" w:cs="Arial"/>
          <w:lang w:val="en-US"/>
        </w:rPr>
        <w:t>IV.</w:t>
      </w:r>
      <w:r w:rsidRPr="00884476">
        <w:rPr>
          <w:rFonts w:asciiTheme="minorHAnsi" w:hAnsiTheme="minorHAnsi" w:eastAsiaTheme="minorEastAsia" w:cstheme="minorBidi"/>
          <w:b w:val="0"/>
          <w:smallCaps w:val="0"/>
          <w:lang w:val="en-US"/>
        </w:rPr>
        <w:tab/>
      </w:r>
      <w:r w:rsidRPr="00884476">
        <w:rPr>
          <w:rFonts w:ascii="Arial" w:hAnsi="Arial" w:cs="Arial"/>
          <w:lang w:val="en-US"/>
        </w:rPr>
        <w:t>Conclusions</w:t>
      </w:r>
      <w:r w:rsidRPr="0048553C">
        <w:rPr>
          <w:lang w:val="en-US"/>
        </w:rPr>
        <w:tab/>
      </w:r>
      <w:r w:rsidRPr="00884476">
        <w:fldChar w:fldCharType="begin"/>
      </w:r>
      <w:r w:rsidRPr="0048553C">
        <w:rPr>
          <w:lang w:val="en-US"/>
        </w:rPr>
        <w:instrText xml:space="preserve"> PAGEREF _Toc6043646 \h </w:instrText>
      </w:r>
      <w:r w:rsidRPr="00884476">
        <w:fldChar w:fldCharType="separate"/>
      </w:r>
      <w:r w:rsidRPr="0048553C">
        <w:rPr>
          <w:lang w:val="en-US"/>
        </w:rPr>
        <w:t>8</w:t>
      </w:r>
      <w:r w:rsidRPr="00884476">
        <w:fldChar w:fldCharType="end"/>
      </w:r>
    </w:p>
    <w:p w:rsidRPr="00F6592B" w:rsidR="00A7740C" w:rsidP="00A7740C" w:rsidRDefault="00A7740C" w14:paraId="267ABF2A" w14:textId="39BADBC7">
      <w:pPr>
        <w:pStyle w:val="TOC3"/>
        <w:rPr>
          <w:rFonts w:ascii="Arial" w:hAnsi="Arial" w:cs="Arial"/>
          <w:sz w:val="22"/>
          <w:szCs w:val="22"/>
          <w:highlight w:val="yellow"/>
          <w:lang w:val="en-US"/>
        </w:rPr>
      </w:pPr>
      <w:r w:rsidRPr="00884476">
        <w:rPr>
          <w:rFonts w:ascii="Arial" w:hAnsi="Arial" w:cs="Arial"/>
          <w:sz w:val="22"/>
          <w:szCs w:val="22"/>
          <w:lang w:val="en-US"/>
        </w:rPr>
        <w:fldChar w:fldCharType="end"/>
      </w:r>
    </w:p>
    <w:p w:rsidRPr="00F6592B" w:rsidR="00A7740C" w:rsidP="00A7740C" w:rsidRDefault="00A7740C" w14:paraId="4E046B66" w14:textId="77777777">
      <w:pPr>
        <w:rPr>
          <w:rFonts w:ascii="Arial" w:hAnsi="Arial" w:cs="Arial"/>
          <w:sz w:val="22"/>
          <w:szCs w:val="22"/>
          <w:highlight w:val="yellow"/>
          <w:lang w:val="en-US"/>
        </w:rPr>
      </w:pPr>
    </w:p>
    <w:p w:rsidRPr="00F6592B" w:rsidR="00A7740C" w:rsidP="00A7740C" w:rsidRDefault="00A7740C" w14:paraId="1A990A4A" w14:textId="77777777">
      <w:pPr>
        <w:pStyle w:val="AbbrDesc"/>
        <w:tabs>
          <w:tab w:val="left" w:pos="1440"/>
        </w:tabs>
        <w:rPr>
          <w:rFonts w:ascii="Arial" w:hAnsi="Arial" w:cs="Arial"/>
          <w:sz w:val="22"/>
          <w:szCs w:val="22"/>
          <w:highlight w:val="yellow"/>
          <w:lang w:val="en-US"/>
        </w:rPr>
        <w:sectPr w:rsidRPr="00F6592B" w:rsidR="00A7740C">
          <w:headerReference w:type="default" r:id="rId8"/>
          <w:footerReference w:type="default" r:id="rId9"/>
          <w:headerReference w:type="first" r:id="rId10"/>
          <w:pgSz w:w="12240" w:h="15840" w:orient="portrait" w:code="1"/>
          <w:pgMar w:top="1440" w:right="1800" w:bottom="1440" w:left="1800" w:header="706" w:footer="706" w:gutter="0"/>
          <w:pgNumType w:fmt="lowerRoman" w:start="1"/>
          <w:cols w:space="720"/>
          <w:formProt w:val="0"/>
          <w:titlePg/>
        </w:sectPr>
      </w:pPr>
    </w:p>
    <w:p w:rsidRPr="00F6592B" w:rsidR="00A7740C" w:rsidP="00A7740C" w:rsidRDefault="00A7740C" w14:paraId="7C2C7160" w14:textId="77777777">
      <w:pPr>
        <w:rPr>
          <w:rFonts w:ascii="Arial" w:hAnsi="Arial" w:cs="Arial"/>
          <w:sz w:val="22"/>
          <w:szCs w:val="22"/>
          <w:highlight w:val="yellow"/>
          <w:lang w:val="en-US"/>
        </w:rPr>
      </w:pPr>
    </w:p>
    <w:p w:rsidRPr="00F6592B" w:rsidR="00A7740C" w:rsidP="00A7740C" w:rsidRDefault="00A7740C" w14:paraId="50066E6E" w14:textId="77777777">
      <w:pPr>
        <w:spacing w:after="200" w:line="276" w:lineRule="auto"/>
        <w:rPr>
          <w:rFonts w:ascii="Arial" w:hAnsi="Arial" w:cs="Arial"/>
          <w:sz w:val="22"/>
          <w:szCs w:val="22"/>
          <w:highlight w:val="yellow"/>
          <w:lang w:val="en-US"/>
        </w:rPr>
      </w:pPr>
      <w:r w:rsidRPr="00F6592B">
        <w:rPr>
          <w:rFonts w:ascii="Arial" w:hAnsi="Arial" w:cs="Arial"/>
          <w:sz w:val="22"/>
          <w:szCs w:val="22"/>
          <w:highlight w:val="yellow"/>
          <w:lang w:val="en-US"/>
        </w:rPr>
        <w:br w:type="page"/>
      </w:r>
    </w:p>
    <w:p w:rsidRPr="00DB76FA" w:rsidR="00A7740C" w:rsidP="00DB76FA" w:rsidRDefault="001C31FB" w14:paraId="21C743DC" w14:textId="1DD2AC3F">
      <w:pPr>
        <w:pStyle w:val="Chapter"/>
        <w:tabs>
          <w:tab w:val="clear" w:pos="1440"/>
        </w:tabs>
        <w:ind w:left="720" w:hanging="702"/>
        <w:rPr>
          <w:rFonts w:ascii="Arial" w:hAnsi="Arial" w:cs="Arial"/>
          <w:sz w:val="28"/>
          <w:szCs w:val="22"/>
          <w:lang w:val="en-US"/>
        </w:rPr>
      </w:pPr>
      <w:bookmarkStart w:name="_Toc6043641" w:id="1"/>
      <w:r w:rsidRPr="00DB76FA">
        <w:rPr>
          <w:rFonts w:ascii="Arial" w:hAnsi="Arial" w:cs="Arial"/>
          <w:sz w:val="28"/>
          <w:szCs w:val="22"/>
          <w:lang w:val="en-US"/>
        </w:rPr>
        <w:lastRenderedPageBreak/>
        <w:t>Introduction</w:t>
      </w:r>
      <w:bookmarkEnd w:id="1"/>
    </w:p>
    <w:p w:rsidRPr="00884476" w:rsidR="00A7740C" w:rsidP="00FB7E42" w:rsidRDefault="00A7740C" w14:paraId="748316DA" w14:textId="2D37D9E6">
      <w:pPr>
        <w:pStyle w:val="FirstHeading"/>
        <w:numPr>
          <w:ilvl w:val="0"/>
          <w:numId w:val="0"/>
        </w:numPr>
        <w:rPr>
          <w:rFonts w:ascii="Arial" w:hAnsi="Arial" w:cs="Arial"/>
          <w:sz w:val="22"/>
          <w:szCs w:val="22"/>
          <w:lang w:val="en-US"/>
        </w:rPr>
      </w:pPr>
      <w:r w:rsidRPr="00884476">
        <w:rPr>
          <w:rFonts w:ascii="Arial" w:hAnsi="Arial" w:cs="Arial"/>
          <w:sz w:val="22"/>
          <w:szCs w:val="22"/>
          <w:lang w:val="en-US"/>
        </w:rPr>
        <w:fldChar w:fldCharType="begin"/>
      </w:r>
      <w:r w:rsidRPr="00884476">
        <w:rPr>
          <w:rFonts w:ascii="Arial" w:hAnsi="Arial" w:cs="Arial"/>
          <w:sz w:val="22"/>
          <w:szCs w:val="22"/>
          <w:lang w:val="en-US"/>
        </w:rPr>
        <w:instrText xml:space="preserve"> SEQ "</w:instrText>
      </w:r>
      <w:r w:rsidRPr="00884476">
        <w:rPr>
          <w:rFonts w:ascii="Arial" w:hAnsi="Arial" w:cs="Arial"/>
          <w:sz w:val="22"/>
          <w:szCs w:val="22"/>
          <w:lang w:val="en-US"/>
        </w:rPr>
        <w:fldChar w:fldCharType="begin"/>
      </w:r>
      <w:r w:rsidRPr="00884476">
        <w:rPr>
          <w:rFonts w:ascii="Arial" w:hAnsi="Arial" w:cs="Arial"/>
          <w:sz w:val="22"/>
          <w:szCs w:val="22"/>
          <w:lang w:val="en-US"/>
        </w:rPr>
        <w:instrText xml:space="preserve"> SECTION  \* MERGEFORMAT </w:instrText>
      </w:r>
      <w:r w:rsidRPr="00884476">
        <w:rPr>
          <w:rFonts w:ascii="Arial" w:hAnsi="Arial" w:cs="Arial"/>
          <w:sz w:val="22"/>
          <w:szCs w:val="22"/>
          <w:lang w:val="en-US"/>
        </w:rPr>
        <w:fldChar w:fldCharType="separate"/>
      </w:r>
      <w:r w:rsidRPr="00884476">
        <w:rPr>
          <w:rFonts w:ascii="Arial" w:hAnsi="Arial" w:cs="Arial"/>
          <w:sz w:val="22"/>
          <w:szCs w:val="22"/>
          <w:lang w:val="en-US"/>
        </w:rPr>
        <w:instrText>4</w:instrText>
      </w:r>
      <w:r w:rsidRPr="00884476">
        <w:rPr>
          <w:rFonts w:ascii="Arial" w:hAnsi="Arial" w:cs="Arial"/>
          <w:sz w:val="22"/>
          <w:szCs w:val="22"/>
          <w:lang w:val="en-US"/>
        </w:rPr>
        <w:fldChar w:fldCharType="end"/>
      </w:r>
      <w:r w:rsidRPr="00884476">
        <w:rPr>
          <w:rFonts w:ascii="Arial" w:hAnsi="Arial" w:cs="Arial"/>
          <w:sz w:val="22"/>
          <w:szCs w:val="22"/>
          <w:lang w:val="en-US"/>
        </w:rPr>
        <w:instrText xml:space="preserve">#"\* ALPHABETIC \* MERGEFORMAT </w:instrText>
      </w:r>
      <w:r w:rsidRPr="00884476">
        <w:rPr>
          <w:rFonts w:ascii="Arial" w:hAnsi="Arial" w:cs="Arial"/>
          <w:sz w:val="22"/>
          <w:szCs w:val="22"/>
          <w:lang w:val="en-US"/>
        </w:rPr>
        <w:fldChar w:fldCharType="separate"/>
      </w:r>
      <w:bookmarkStart w:name="_Toc6043642" w:id="2"/>
      <w:r w:rsidRPr="00884476">
        <w:rPr>
          <w:rFonts w:ascii="Arial" w:hAnsi="Arial" w:cs="Arial"/>
          <w:noProof/>
          <w:sz w:val="22"/>
          <w:szCs w:val="22"/>
          <w:lang w:val="en-US"/>
        </w:rPr>
        <w:t>A</w:t>
      </w:r>
      <w:r w:rsidRPr="00884476">
        <w:rPr>
          <w:rFonts w:ascii="Arial" w:hAnsi="Arial" w:cs="Arial"/>
          <w:sz w:val="22"/>
          <w:szCs w:val="22"/>
          <w:lang w:val="en-US"/>
        </w:rPr>
        <w:fldChar w:fldCharType="end"/>
      </w:r>
      <w:r w:rsidRPr="00884476">
        <w:rPr>
          <w:rFonts w:ascii="Arial" w:hAnsi="Arial" w:cs="Arial"/>
          <w:sz w:val="22"/>
          <w:szCs w:val="22"/>
          <w:lang w:val="en-US"/>
        </w:rPr>
        <w:t>.</w:t>
      </w:r>
      <w:r w:rsidRPr="00884476">
        <w:rPr>
          <w:rFonts w:ascii="Arial" w:hAnsi="Arial" w:cs="Arial"/>
          <w:sz w:val="22"/>
          <w:szCs w:val="22"/>
          <w:lang w:val="en-US"/>
        </w:rPr>
        <w:tab/>
      </w:r>
      <w:r w:rsidRPr="00884476" w:rsidR="00CA50E2">
        <w:rPr>
          <w:rFonts w:ascii="Arial" w:hAnsi="Arial" w:cs="Arial"/>
          <w:sz w:val="22"/>
          <w:szCs w:val="22"/>
          <w:lang w:val="en-US"/>
        </w:rPr>
        <w:t>General Aspects</w:t>
      </w:r>
      <w:bookmarkEnd w:id="2"/>
    </w:p>
    <w:p w:rsidRPr="00884476" w:rsidR="00447358" w:rsidP="00CA50E2" w:rsidRDefault="00A7740C" w14:paraId="2F8149C5" w14:textId="1D8F5766">
      <w:pPr>
        <w:pStyle w:val="Paragraph"/>
        <w:rPr>
          <w:rFonts w:ascii="Arial" w:hAnsi="Arial" w:cs="Arial"/>
          <w:sz w:val="22"/>
          <w:szCs w:val="22"/>
          <w:lang w:val="en-US"/>
        </w:rPr>
      </w:pPr>
      <w:bookmarkStart w:name="_Hlk491267773" w:id="3"/>
      <w:r w:rsidRPr="00884476">
        <w:rPr>
          <w:rFonts w:ascii="Arial" w:hAnsi="Arial" w:cs="Arial"/>
          <w:b/>
          <w:sz w:val="22"/>
          <w:szCs w:val="22"/>
          <w:lang w:val="en-US"/>
        </w:rPr>
        <w:t xml:space="preserve">Program. </w:t>
      </w:r>
      <w:r w:rsidRPr="00884476" w:rsidR="00CA50E2">
        <w:rPr>
          <w:rFonts w:ascii="Arial" w:hAnsi="Arial" w:cs="Arial"/>
          <w:sz w:val="22"/>
          <w:szCs w:val="22"/>
          <w:lang w:val="en-US"/>
        </w:rPr>
        <w:t>The present economic analysis correspond</w:t>
      </w:r>
      <w:r w:rsidRPr="00884476" w:rsidR="00F60CDC">
        <w:rPr>
          <w:rFonts w:ascii="Arial" w:hAnsi="Arial" w:cs="Arial"/>
          <w:sz w:val="22"/>
          <w:szCs w:val="22"/>
          <w:lang w:val="en-US"/>
        </w:rPr>
        <w:t>s</w:t>
      </w:r>
      <w:r w:rsidRPr="00884476" w:rsidR="00CA50E2">
        <w:rPr>
          <w:rFonts w:ascii="Arial" w:hAnsi="Arial" w:cs="Arial"/>
          <w:sz w:val="22"/>
          <w:szCs w:val="22"/>
          <w:lang w:val="en-US"/>
        </w:rPr>
        <w:t xml:space="preserve"> to the </w:t>
      </w:r>
      <w:bookmarkEnd w:id="3"/>
      <w:r w:rsidRPr="00884476" w:rsidR="00CA50E2">
        <w:rPr>
          <w:rFonts w:ascii="Arial" w:hAnsi="Arial" w:cs="Arial"/>
          <w:sz w:val="22"/>
          <w:szCs w:val="22"/>
          <w:lang w:val="en-US"/>
        </w:rPr>
        <w:t>Credit Enhancement Program for micro, small and medium enterprises.</w:t>
      </w:r>
      <w:r w:rsidRPr="00884476" w:rsidR="00F60CDC">
        <w:rPr>
          <w:rFonts w:ascii="Arial" w:hAnsi="Arial" w:cs="Arial"/>
          <w:sz w:val="22"/>
          <w:szCs w:val="22"/>
          <w:lang w:val="en-US"/>
        </w:rPr>
        <w:t xml:space="preserve"> The total amount of the program is US$ 25 million. </w:t>
      </w:r>
    </w:p>
    <w:p w:rsidRPr="00F6592B" w:rsidR="00F60CDC" w:rsidP="00F60CDC" w:rsidRDefault="00F60CDC" w14:paraId="51AC640B" w14:textId="7FE2F7F7">
      <w:pPr>
        <w:pStyle w:val="Paragraph"/>
        <w:rPr>
          <w:rFonts w:ascii="Arial" w:hAnsi="Arial" w:cs="Arial"/>
          <w:sz w:val="22"/>
          <w:szCs w:val="22"/>
          <w:lang w:val="en-US"/>
        </w:rPr>
      </w:pPr>
      <w:r w:rsidRPr="00F6592B">
        <w:rPr>
          <w:rFonts w:ascii="Arial" w:hAnsi="Arial" w:cs="Arial"/>
          <w:b/>
          <w:sz w:val="22"/>
          <w:szCs w:val="22"/>
          <w:lang w:val="en-US"/>
        </w:rPr>
        <w:t>Macroeconomic context</w:t>
      </w:r>
      <w:r w:rsidRPr="00F6592B">
        <w:rPr>
          <w:rFonts w:ascii="Arial" w:hAnsi="Arial" w:cs="Arial"/>
          <w:sz w:val="22"/>
          <w:szCs w:val="22"/>
          <w:lang w:val="en-US"/>
        </w:rPr>
        <w:t>. After a recessionary period that ended in 2015, economic growth has gradually picked up and is estimated at 2.5% for 2018 and 2.25% in 2019, with projections of 1.5% over the medium term</w:t>
      </w:r>
      <w:r w:rsidR="0048553C">
        <w:rPr>
          <w:rStyle w:val="FootnoteReference"/>
          <w:sz w:val="22"/>
          <w:szCs w:val="22"/>
        </w:rPr>
        <w:footnoteReference w:id="1"/>
      </w:r>
      <w:r w:rsidRPr="00F6592B">
        <w:rPr>
          <w:rFonts w:ascii="Arial" w:hAnsi="Arial" w:cs="Arial"/>
          <w:sz w:val="22"/>
          <w:szCs w:val="22"/>
          <w:lang w:val="en-US"/>
        </w:rPr>
        <w:t xml:space="preserve">. The recovery reflects firm economic expansion in the US, the main source of tourists to the Bahamas and the country's main trading partner. On fiscal matters, public debt has steadily increased to levels of around 57%, although the government has recently implemented measures to decrease the fiscal deficit through lower spending. The Bahamas has reactivated the World Trade Organization accession process with a view to secure membership by 2019, helping to remove barriers to trade, foreign investment and protection of property rights. </w:t>
      </w:r>
    </w:p>
    <w:p w:rsidR="00B30311" w:rsidP="00B30311" w:rsidRDefault="00B30311" w14:paraId="3859BCB9" w14:textId="67D469B3">
      <w:pPr>
        <w:pStyle w:val="Paragraph"/>
        <w:rPr>
          <w:rFonts w:ascii="Arial" w:hAnsi="Arial" w:cs="Arial"/>
          <w:sz w:val="22"/>
          <w:szCs w:val="22"/>
          <w:lang w:val="en-US"/>
        </w:rPr>
      </w:pPr>
      <w:r w:rsidRPr="00F6592B">
        <w:rPr>
          <w:rFonts w:ascii="Arial" w:hAnsi="Arial" w:cs="Arial"/>
          <w:b/>
          <w:sz w:val="22"/>
          <w:szCs w:val="22"/>
          <w:lang w:val="en-US"/>
        </w:rPr>
        <w:t>The problem of access to finance</w:t>
      </w:r>
      <w:r w:rsidRPr="00F6592B">
        <w:rPr>
          <w:rFonts w:ascii="Arial" w:hAnsi="Arial" w:cs="Arial"/>
          <w:sz w:val="22"/>
          <w:szCs w:val="22"/>
          <w:lang w:val="en-US"/>
        </w:rPr>
        <w:t xml:space="preserve">. </w:t>
      </w:r>
      <w:r w:rsidRPr="0048553C" w:rsidR="0048553C">
        <w:rPr>
          <w:rFonts w:ascii="Arial" w:hAnsi="Arial" w:cs="Arial"/>
          <w:sz w:val="22"/>
          <w:szCs w:val="22"/>
          <w:lang w:val="en-US"/>
        </w:rPr>
        <w:t>One of the principal constraints to private sector growth is access to finance. A survey to MSME in The Bahamas</w:t>
      </w:r>
      <w:r w:rsidRPr="0048553C" w:rsidR="0048553C">
        <w:rPr>
          <w:rFonts w:ascii="Arial" w:hAnsi="Arial" w:cs="Arial"/>
          <w:sz w:val="22"/>
          <w:szCs w:val="22"/>
          <w:vertAlign w:val="superscript"/>
          <w:lang w:val="en-US"/>
        </w:rPr>
        <w:t xml:space="preserve"> </w:t>
      </w:r>
      <w:r w:rsidRPr="0048553C" w:rsidR="0048553C">
        <w:rPr>
          <w:rFonts w:ascii="Arial" w:hAnsi="Arial" w:cs="Arial"/>
          <w:sz w:val="22"/>
          <w:szCs w:val="22"/>
          <w:lang w:val="en-US"/>
        </w:rPr>
        <w:t>indicates that access to finance was the second most important obstacle for business growth, after an inadequately educated workforce</w:t>
      </w:r>
      <w:r w:rsidRPr="0048553C" w:rsidR="0048553C">
        <w:rPr>
          <w:rFonts w:ascii="Arial" w:hAnsi="Arial" w:cs="Arial"/>
          <w:sz w:val="22"/>
          <w:szCs w:val="22"/>
          <w:vertAlign w:val="superscript"/>
          <w:lang w:val="en-US"/>
        </w:rPr>
        <w:footnoteReference w:id="2"/>
      </w:r>
      <w:r w:rsidRPr="0048553C" w:rsidR="0048553C">
        <w:rPr>
          <w:rFonts w:ascii="Arial" w:hAnsi="Arial" w:cs="Arial"/>
          <w:sz w:val="22"/>
          <w:szCs w:val="22"/>
          <w:lang w:val="en-US"/>
        </w:rPr>
        <w:t>. Only 30% of surveyed firms have a line of credit or loan from a financial institution and less than one-fourth of companies undertaking investment projects in The Bahamas have been funded by private banks</w:t>
      </w:r>
      <w:r w:rsidRPr="0048553C" w:rsidR="0048553C">
        <w:rPr>
          <w:rFonts w:ascii="Arial" w:hAnsi="Arial" w:cs="Arial"/>
          <w:sz w:val="22"/>
          <w:szCs w:val="22"/>
          <w:vertAlign w:val="superscript"/>
          <w:lang w:val="en-US"/>
        </w:rPr>
        <w:footnoteReference w:id="3"/>
      </w:r>
      <w:r w:rsidRPr="0048553C" w:rsidR="0048553C">
        <w:rPr>
          <w:rFonts w:ascii="Arial" w:hAnsi="Arial" w:cs="Arial"/>
          <w:sz w:val="22"/>
          <w:szCs w:val="22"/>
          <w:lang w:val="en-US"/>
        </w:rPr>
        <w:t>. The latest Enterprise Survey of The Bahamas</w:t>
      </w:r>
      <w:r w:rsidRPr="0048553C" w:rsidR="0048553C">
        <w:rPr>
          <w:rFonts w:ascii="Arial" w:hAnsi="Arial" w:cs="Arial"/>
          <w:sz w:val="22"/>
          <w:szCs w:val="22"/>
          <w:vertAlign w:val="superscript"/>
          <w:lang w:val="en-US"/>
        </w:rPr>
        <w:footnoteReference w:id="4"/>
      </w:r>
      <w:r w:rsidRPr="0048553C" w:rsidR="0048553C">
        <w:rPr>
          <w:rFonts w:ascii="Arial" w:hAnsi="Arial" w:cs="Arial"/>
          <w:sz w:val="22"/>
          <w:szCs w:val="22"/>
          <w:lang w:val="en-US"/>
        </w:rPr>
        <w:t xml:space="preserve"> substantiates these findings by indicating that only 14.6% of firms used banks to finance investments (versus 38% for Latin America and Caribbean (LAC), at the time) and 78.3% of firms used supplier or customer credit to finance working capital (versus 58.8% in LAC). The need for finance is reflected in another survey</w:t>
      </w:r>
      <w:r w:rsidRPr="0048553C" w:rsidR="0048553C">
        <w:rPr>
          <w:rFonts w:ascii="Arial" w:hAnsi="Arial" w:cs="Arial"/>
          <w:sz w:val="22"/>
          <w:szCs w:val="22"/>
          <w:vertAlign w:val="superscript"/>
          <w:lang w:val="en-US"/>
        </w:rPr>
        <w:footnoteReference w:id="5"/>
      </w:r>
      <w:r w:rsidRPr="0048553C" w:rsidR="0048553C">
        <w:rPr>
          <w:rFonts w:ascii="Arial" w:hAnsi="Arial" w:cs="Arial"/>
          <w:sz w:val="22"/>
          <w:szCs w:val="22"/>
          <w:lang w:val="en-US"/>
        </w:rPr>
        <w:t xml:space="preserve"> which indicates that, while only </w:t>
      </w:r>
      <w:bookmarkStart w:name="_Hlk1116009" w:id="4"/>
      <w:r w:rsidRPr="0048553C" w:rsidR="0048553C">
        <w:rPr>
          <w:rFonts w:ascii="Arial" w:hAnsi="Arial" w:cs="Arial"/>
          <w:sz w:val="22"/>
          <w:szCs w:val="22"/>
          <w:lang w:val="en-US"/>
        </w:rPr>
        <w:t>11% of MSME obtained financing from a bank to start a business, 50% of respondents revealed they required financing to expand their operations</w:t>
      </w:r>
      <w:bookmarkEnd w:id="4"/>
      <w:r w:rsidRPr="0048553C" w:rsidR="0048553C">
        <w:rPr>
          <w:rFonts w:ascii="Arial" w:hAnsi="Arial" w:cs="Arial"/>
          <w:sz w:val="22"/>
          <w:szCs w:val="22"/>
          <w:lang w:val="en-US"/>
        </w:rPr>
        <w:t>. It should be mentioned that these firms also indicated a need for non-financial assistance, with customer care, technical training and accounting and finance being the most required</w:t>
      </w:r>
      <w:r w:rsidRPr="00F6592B">
        <w:rPr>
          <w:rFonts w:ascii="Arial" w:hAnsi="Arial" w:cs="Arial"/>
          <w:sz w:val="22"/>
          <w:szCs w:val="22"/>
          <w:lang w:val="en-US"/>
        </w:rPr>
        <w:t>.</w:t>
      </w:r>
    </w:p>
    <w:p w:rsidRPr="00F6592B" w:rsidR="0048553C" w:rsidP="00B30311" w:rsidRDefault="0048553C" w14:paraId="5AE7E1C0" w14:textId="1BDEB230">
      <w:pPr>
        <w:pStyle w:val="Paragraph"/>
        <w:rPr>
          <w:rFonts w:ascii="Arial" w:hAnsi="Arial" w:cs="Arial"/>
          <w:sz w:val="22"/>
          <w:szCs w:val="22"/>
          <w:lang w:val="en-US"/>
        </w:rPr>
      </w:pPr>
      <w:r w:rsidRPr="0048553C">
        <w:rPr>
          <w:rFonts w:ascii="Arial" w:hAnsi="Arial" w:cs="Arial"/>
          <w:sz w:val="22"/>
          <w:szCs w:val="22"/>
          <w:lang w:val="en-US"/>
        </w:rPr>
        <w:t>The Bahamas ranks 144th out of 190 countries and 22nd among IDB borrowing countries on an “Ease of Getting Credit” indicator</w:t>
      </w:r>
      <w:r w:rsidRPr="0048553C">
        <w:rPr>
          <w:rFonts w:ascii="Arial" w:hAnsi="Arial" w:cs="Arial"/>
          <w:sz w:val="22"/>
          <w:szCs w:val="22"/>
          <w:vertAlign w:val="superscript"/>
          <w:lang w:val="en-US"/>
        </w:rPr>
        <w:footnoteReference w:id="6"/>
      </w:r>
      <w:r w:rsidRPr="0048553C">
        <w:rPr>
          <w:rFonts w:ascii="Arial" w:hAnsi="Arial" w:cs="Arial"/>
          <w:sz w:val="22"/>
          <w:szCs w:val="22"/>
          <w:lang w:val="en-US"/>
        </w:rPr>
        <w:t>, which is based on the absence of an established credit bureau and weak legal rights.</w:t>
      </w:r>
    </w:p>
    <w:p w:rsidRPr="00F6592B" w:rsidR="00B30311" w:rsidP="00B30311" w:rsidRDefault="0048553C" w14:paraId="7519504E" w14:textId="64340A05">
      <w:pPr>
        <w:pStyle w:val="Paragraph"/>
        <w:rPr>
          <w:rFonts w:ascii="Arial" w:hAnsi="Arial" w:cs="Arial"/>
          <w:sz w:val="22"/>
          <w:szCs w:val="22"/>
          <w:lang w:val="en-US"/>
        </w:rPr>
      </w:pPr>
      <w:r w:rsidRPr="0048553C">
        <w:rPr>
          <w:rFonts w:ascii="Arial" w:hAnsi="Arial" w:cs="Arial"/>
          <w:sz w:val="22"/>
          <w:szCs w:val="22"/>
          <w:lang w:val="en-US"/>
        </w:rPr>
        <w:t>Loan application rejection rates are very high in the Bahamas – nearly 85%, comparable to Trinidad and Tobago, but much higher than Barbados (35%), Belize (42%), Jamaica (55%) or Suriname (27%)</w:t>
      </w:r>
      <w:r w:rsidRPr="0048553C">
        <w:rPr>
          <w:rFonts w:ascii="Arial" w:hAnsi="Arial" w:cs="Arial"/>
          <w:sz w:val="22"/>
          <w:szCs w:val="22"/>
          <w:vertAlign w:val="superscript"/>
          <w:lang w:val="en-US"/>
        </w:rPr>
        <w:footnoteReference w:id="7"/>
      </w:r>
      <w:r w:rsidRPr="0048553C">
        <w:rPr>
          <w:rFonts w:ascii="Arial" w:hAnsi="Arial" w:cs="Arial"/>
          <w:sz w:val="22"/>
          <w:szCs w:val="22"/>
          <w:lang w:val="en-US"/>
        </w:rPr>
        <w:t xml:space="preserve">. MSME who do not apply for a loan have varied reasons, the most cited being that the firm has </w:t>
      </w:r>
      <w:proofErr w:type="gramStart"/>
      <w:r w:rsidRPr="0048553C">
        <w:rPr>
          <w:rFonts w:ascii="Arial" w:hAnsi="Arial" w:cs="Arial"/>
          <w:sz w:val="22"/>
          <w:szCs w:val="22"/>
          <w:lang w:val="en-US"/>
        </w:rPr>
        <w:t>sufficient</w:t>
      </w:r>
      <w:proofErr w:type="gramEnd"/>
      <w:r w:rsidRPr="0048553C">
        <w:rPr>
          <w:rFonts w:ascii="Arial" w:hAnsi="Arial" w:cs="Arial"/>
          <w:sz w:val="22"/>
          <w:szCs w:val="22"/>
          <w:lang w:val="en-US"/>
        </w:rPr>
        <w:t xml:space="preserve"> capital and that the size of the loan (28%) and maturity are insufficient (21%).</w:t>
      </w:r>
      <w:r>
        <w:rPr>
          <w:rFonts w:ascii="Arial" w:hAnsi="Arial" w:cs="Arial"/>
          <w:sz w:val="22"/>
          <w:szCs w:val="22"/>
          <w:lang w:val="en-US"/>
        </w:rPr>
        <w:t xml:space="preserve"> </w:t>
      </w:r>
      <w:r w:rsidRPr="0048553C">
        <w:rPr>
          <w:rFonts w:ascii="Arial" w:hAnsi="Arial" w:cs="Arial"/>
          <w:sz w:val="22"/>
          <w:szCs w:val="22"/>
          <w:lang w:val="en-US"/>
        </w:rPr>
        <w:t xml:space="preserve">While only 38% </w:t>
      </w:r>
      <w:r w:rsidRPr="0048553C">
        <w:rPr>
          <w:rFonts w:ascii="Arial" w:hAnsi="Arial" w:cs="Arial"/>
          <w:sz w:val="22"/>
          <w:szCs w:val="22"/>
          <w:lang w:val="en-US"/>
        </w:rPr>
        <w:lastRenderedPageBreak/>
        <w:t>of firms had invested in fixed assets, 74% of these investments were financed from internal funds and 18% from commercial banks.</w:t>
      </w:r>
    </w:p>
    <w:p w:rsidRPr="00F6592B" w:rsidR="00FB7E42" w:rsidP="00FB7E42" w:rsidRDefault="00FB7E42" w14:paraId="127E9757" w14:textId="16FF61A9">
      <w:pPr>
        <w:pStyle w:val="Paragraph"/>
        <w:rPr>
          <w:rFonts w:ascii="Arial" w:hAnsi="Arial" w:cs="Arial"/>
          <w:sz w:val="22"/>
          <w:szCs w:val="22"/>
          <w:lang w:val="en-US"/>
        </w:rPr>
      </w:pPr>
      <w:r w:rsidRPr="00F6592B">
        <w:rPr>
          <w:rFonts w:ascii="Arial" w:hAnsi="Arial" w:cs="Arial"/>
          <w:b/>
          <w:sz w:val="22"/>
          <w:szCs w:val="22"/>
          <w:lang w:val="en-US"/>
        </w:rPr>
        <w:t>Obstacles for access to finance.</w:t>
      </w:r>
      <w:r w:rsidRPr="00F6592B">
        <w:rPr>
          <w:rFonts w:ascii="Arial" w:hAnsi="Arial" w:cs="Arial"/>
          <w:sz w:val="22"/>
          <w:szCs w:val="22"/>
          <w:lang w:val="en-US"/>
        </w:rPr>
        <w:t xml:space="preserve"> </w:t>
      </w:r>
      <w:r w:rsidR="0048553C">
        <w:rPr>
          <w:rFonts w:ascii="Arial" w:hAnsi="Arial" w:cs="Arial"/>
          <w:sz w:val="22"/>
          <w:szCs w:val="22"/>
          <w:lang w:val="en-US"/>
        </w:rPr>
        <w:t>D</w:t>
      </w:r>
      <w:r w:rsidRPr="00F6592B">
        <w:rPr>
          <w:rFonts w:ascii="Arial" w:hAnsi="Arial" w:cs="Arial"/>
          <w:sz w:val="22"/>
          <w:szCs w:val="22"/>
          <w:lang w:val="en-US"/>
        </w:rPr>
        <w:t xml:space="preserve">espite ample balance sheet space, commercial banks are cautious in making new loans and typically do not prioritize MSME, preferring mortgages (that </w:t>
      </w:r>
      <w:proofErr w:type="gramStart"/>
      <w:r w:rsidRPr="00F6592B">
        <w:rPr>
          <w:rFonts w:ascii="Arial" w:hAnsi="Arial" w:cs="Arial"/>
          <w:sz w:val="22"/>
          <w:szCs w:val="22"/>
          <w:lang w:val="en-US"/>
        </w:rPr>
        <w:t>by definition have</w:t>
      </w:r>
      <w:proofErr w:type="gramEnd"/>
      <w:r w:rsidRPr="00F6592B">
        <w:rPr>
          <w:rFonts w:ascii="Arial" w:hAnsi="Arial" w:cs="Arial"/>
          <w:sz w:val="22"/>
          <w:szCs w:val="22"/>
          <w:lang w:val="en-US"/>
        </w:rPr>
        <w:t xml:space="preserve"> the collateral required), consumer loans (more tolerant to higher interest rates) or government financing (lower risk and hence less provisions). Observing the sectoral distribution of credit in the banking system, 77% is categorized under personal loans (albeit some of these may include those destined for small business purposes). </w:t>
      </w:r>
    </w:p>
    <w:p w:rsidRPr="00F6592B" w:rsidR="00FB7E42" w:rsidP="00FB7E42" w:rsidRDefault="0048553C" w14:paraId="1D80966F" w14:textId="2FE812C2">
      <w:pPr>
        <w:pStyle w:val="Paragraph"/>
        <w:rPr>
          <w:rFonts w:ascii="Arial" w:hAnsi="Arial" w:cs="Arial"/>
          <w:sz w:val="22"/>
          <w:szCs w:val="22"/>
          <w:lang w:val="en-US"/>
        </w:rPr>
      </w:pPr>
      <w:r w:rsidRPr="0048553C">
        <w:rPr>
          <w:rFonts w:ascii="Arial" w:hAnsi="Arial" w:cs="Arial"/>
          <w:sz w:val="22"/>
          <w:szCs w:val="22"/>
          <w:lang w:val="en-US"/>
        </w:rPr>
        <w:t>The Bahamas financial sector’s restraint from lending to MSME stems from two main problems, which substantiate the low risk appetite from the banks and affect the risk premium in the interest rates: (i) the lack of sufficient collateral to provide coverage for a loan; and (ii) lack of information and financial statements of the firms, as well as of business plans that allow a proper assessment of investment projects</w:t>
      </w:r>
      <w:r w:rsidRPr="0048553C">
        <w:rPr>
          <w:rFonts w:ascii="Arial" w:hAnsi="Arial" w:cs="Arial"/>
          <w:sz w:val="22"/>
          <w:szCs w:val="22"/>
          <w:vertAlign w:val="superscript"/>
          <w:lang w:val="en-US"/>
        </w:rPr>
        <w:footnoteReference w:id="8"/>
      </w:r>
      <w:r w:rsidRPr="0048553C">
        <w:rPr>
          <w:rFonts w:ascii="Arial" w:hAnsi="Arial" w:cs="Arial"/>
          <w:sz w:val="22"/>
          <w:szCs w:val="22"/>
          <w:lang w:val="en-US"/>
        </w:rPr>
        <w:t>. The credit constraint was reinforced by the legacy of the prolonged recession and the NPL it produced, however the economic environment has gradually improved</w:t>
      </w:r>
      <w:r w:rsidRPr="0048553C">
        <w:rPr>
          <w:rFonts w:ascii="Arial" w:hAnsi="Arial" w:cs="Arial"/>
          <w:sz w:val="22"/>
          <w:szCs w:val="22"/>
          <w:vertAlign w:val="superscript"/>
          <w:lang w:val="en-US"/>
        </w:rPr>
        <w:footnoteReference w:id="9"/>
      </w:r>
      <w:r w:rsidRPr="00F6592B" w:rsidR="00FB7E42">
        <w:rPr>
          <w:rFonts w:ascii="Arial" w:hAnsi="Arial" w:cs="Arial"/>
          <w:sz w:val="22"/>
          <w:szCs w:val="22"/>
          <w:lang w:val="en-US"/>
        </w:rPr>
        <w:t>.</w:t>
      </w:r>
    </w:p>
    <w:p w:rsidRPr="00DB76FA" w:rsidR="00B67BFA" w:rsidP="608EF1FE" w:rsidRDefault="006811EC" w14:paraId="43B88564" w14:textId="597CA3E4">
      <w:pPr>
        <w:pStyle w:val="Paragraph"/>
        <w:rPr>
          <w:rFonts w:ascii="Arial" w:hAnsi="Arial" w:cs="Arial"/>
          <w:sz w:val="22"/>
          <w:szCs w:val="22"/>
          <w:lang w:val="en-US"/>
        </w:rPr>
      </w:pPr>
      <w:r w:rsidRPr="608EF1FE" w:rsidR="608EF1FE">
        <w:rPr>
          <w:rFonts w:ascii="Arial" w:hAnsi="Arial" w:cs="Arial"/>
          <w:b w:val="1"/>
          <w:bCs w:val="1"/>
          <w:sz w:val="22"/>
          <w:szCs w:val="22"/>
          <w:lang w:val="en-US"/>
        </w:rPr>
        <w:t>Program objective.</w:t>
      </w:r>
      <w:r w:rsidRPr="608EF1FE" w:rsidR="608EF1FE">
        <w:rPr>
          <w:rFonts w:ascii="Arial" w:hAnsi="Arial" w:cs="Arial"/>
          <w:sz w:val="22"/>
          <w:szCs w:val="22"/>
          <w:lang w:val="en-US"/>
        </w:rPr>
        <w:t xml:space="preserve"> The general objective of the program is to improve economic activity in The Bahamas. The specific objective is to enhance access to finance of MSME by providing a credit enhancement facility. There would be two components. In the first and largest component, resources from the program will be used to finance the CEF administered by the SBDC, in order to facilitate access to finance for MSME. This instrument is the primary source of financial support for Bahamian MSME promoted by the government. In the second component, the SBDC’s program for advisory and technical assistance to MSME will be supported, as well as the institutional strengthening of the SBDC itself.</w:t>
      </w:r>
    </w:p>
    <w:p w:rsidRPr="00F6592B" w:rsidR="00F60CDC" w:rsidP="00A902D6" w:rsidRDefault="00B3379B" w14:paraId="1F18A6D1" w14:textId="3EC06CED">
      <w:pPr>
        <w:pStyle w:val="Chapter"/>
        <w:tabs>
          <w:tab w:val="clear" w:pos="1800"/>
          <w:tab w:val="num" w:pos="648"/>
        </w:tabs>
        <w:ind w:left="0"/>
        <w:rPr>
          <w:rFonts w:ascii="Arial" w:hAnsi="Arial" w:cs="Arial"/>
          <w:sz w:val="22"/>
          <w:szCs w:val="22"/>
          <w:lang w:val="en-US"/>
        </w:rPr>
      </w:pPr>
      <w:bookmarkStart w:name="_Toc6043643" w:id="5"/>
      <w:r w:rsidRPr="00F6592B">
        <w:rPr>
          <w:rFonts w:ascii="Arial" w:hAnsi="Arial" w:cs="Arial"/>
          <w:sz w:val="22"/>
          <w:szCs w:val="22"/>
          <w:lang w:val="en-US"/>
        </w:rPr>
        <w:t>Methodology and Assumptions</w:t>
      </w:r>
      <w:bookmarkEnd w:id="5"/>
      <w:r w:rsidRPr="00F6592B">
        <w:rPr>
          <w:rFonts w:ascii="Arial" w:hAnsi="Arial" w:cs="Arial"/>
          <w:sz w:val="22"/>
          <w:szCs w:val="22"/>
          <w:lang w:val="en-US"/>
        </w:rPr>
        <w:t xml:space="preserve"> </w:t>
      </w:r>
    </w:p>
    <w:p w:rsidRPr="00F6592B" w:rsidR="00A902D6" w:rsidP="00A902D6" w:rsidRDefault="00B3379B" w14:paraId="5C5E346C" w14:textId="67E7F8DF">
      <w:pPr>
        <w:pStyle w:val="Paragraph"/>
        <w:rPr>
          <w:rFonts w:ascii="Arial" w:hAnsi="Arial" w:cs="Arial"/>
          <w:sz w:val="22"/>
          <w:szCs w:val="22"/>
          <w:lang w:val="en-US"/>
        </w:rPr>
      </w:pPr>
      <w:r w:rsidRPr="00F6592B">
        <w:rPr>
          <w:rFonts w:ascii="Arial" w:hAnsi="Arial" w:cs="Arial"/>
          <w:sz w:val="22"/>
          <w:szCs w:val="22"/>
          <w:lang w:val="en-US"/>
        </w:rPr>
        <w:t>The financial system</w:t>
      </w:r>
      <w:r w:rsidRPr="00F6592B" w:rsidR="00744604">
        <w:rPr>
          <w:rFonts w:ascii="Arial" w:hAnsi="Arial" w:cs="Arial"/>
          <w:sz w:val="22"/>
          <w:szCs w:val="22"/>
          <w:lang w:val="en-US"/>
        </w:rPr>
        <w:t xml:space="preserve"> cannot provide credit to all enterprises (that present viable projects, with attractive risk and returns profiles) only by the sole acting of private agents. </w:t>
      </w:r>
      <w:r w:rsidRPr="00F6592B" w:rsidR="0089280E">
        <w:rPr>
          <w:rFonts w:ascii="Arial" w:hAnsi="Arial" w:cs="Arial"/>
          <w:sz w:val="22"/>
          <w:szCs w:val="22"/>
          <w:lang w:val="en-US"/>
        </w:rPr>
        <w:t xml:space="preserve">This situation makes necessary public intervention in order to moderate the level of financial restrictions for enterprises that, although being credit constrained, have </w:t>
      </w:r>
      <w:r w:rsidRPr="00F6592B" w:rsidR="00EF5538">
        <w:rPr>
          <w:rFonts w:ascii="Arial" w:hAnsi="Arial" w:cs="Arial"/>
          <w:sz w:val="22"/>
          <w:szCs w:val="22"/>
          <w:lang w:val="en-US"/>
        </w:rPr>
        <w:t xml:space="preserve">projects profiles with good expected returns. </w:t>
      </w:r>
      <w:r w:rsidRPr="00F6592B" w:rsidR="00A902D6">
        <w:rPr>
          <w:rFonts w:ascii="Arial" w:hAnsi="Arial" w:cs="Arial"/>
          <w:sz w:val="22"/>
          <w:szCs w:val="22"/>
          <w:lang w:val="en-US"/>
        </w:rPr>
        <w:t>These credit</w:t>
      </w:r>
      <w:r w:rsidRPr="00F6592B" w:rsidR="00EF5538">
        <w:rPr>
          <w:rFonts w:ascii="Arial" w:hAnsi="Arial" w:cs="Arial"/>
          <w:sz w:val="22"/>
          <w:szCs w:val="22"/>
          <w:lang w:val="en-US"/>
        </w:rPr>
        <w:t xml:space="preserve"> constrain</w:t>
      </w:r>
      <w:r w:rsidRPr="00F6592B" w:rsidR="00A902D6">
        <w:rPr>
          <w:rFonts w:ascii="Arial" w:hAnsi="Arial" w:cs="Arial"/>
          <w:sz w:val="22"/>
          <w:szCs w:val="22"/>
          <w:lang w:val="en-US"/>
        </w:rPr>
        <w:t>t</w:t>
      </w:r>
      <w:r w:rsidRPr="00F6592B" w:rsidR="00EF5538">
        <w:rPr>
          <w:rFonts w:ascii="Arial" w:hAnsi="Arial" w:cs="Arial"/>
          <w:sz w:val="22"/>
          <w:szCs w:val="22"/>
          <w:lang w:val="en-US"/>
        </w:rPr>
        <w:t xml:space="preserve">s are not evenly </w:t>
      </w:r>
      <w:r w:rsidRPr="00F6592B" w:rsidR="00A902D6">
        <w:rPr>
          <w:rFonts w:ascii="Arial" w:hAnsi="Arial" w:cs="Arial"/>
          <w:sz w:val="22"/>
          <w:szCs w:val="22"/>
          <w:lang w:val="en-US"/>
        </w:rPr>
        <w:t>distributed but</w:t>
      </w:r>
      <w:r w:rsidRPr="00F6592B" w:rsidR="00EF5538">
        <w:rPr>
          <w:rFonts w:ascii="Arial" w:hAnsi="Arial" w:cs="Arial"/>
          <w:sz w:val="22"/>
          <w:szCs w:val="22"/>
          <w:lang w:val="en-US"/>
        </w:rPr>
        <w:t xml:space="preserve"> tend to affect more severely small and younger firms. Public intervention allows to ease these financial restrictions, providing the opportunity to finance</w:t>
      </w:r>
      <w:r w:rsidRPr="00F6592B" w:rsidR="00A902D6">
        <w:rPr>
          <w:rFonts w:ascii="Arial" w:hAnsi="Arial" w:cs="Arial"/>
          <w:sz w:val="22"/>
          <w:szCs w:val="22"/>
          <w:lang w:val="en-US"/>
        </w:rPr>
        <w:t xml:space="preserve"> productive</w:t>
      </w:r>
      <w:r w:rsidRPr="00F6592B" w:rsidR="00EF5538">
        <w:rPr>
          <w:rFonts w:ascii="Arial" w:hAnsi="Arial" w:cs="Arial"/>
          <w:sz w:val="22"/>
          <w:szCs w:val="22"/>
          <w:lang w:val="en-US"/>
        </w:rPr>
        <w:t xml:space="preserve"> investments </w:t>
      </w:r>
      <w:r w:rsidRPr="00F6592B" w:rsidR="00A902D6">
        <w:rPr>
          <w:rFonts w:ascii="Arial" w:hAnsi="Arial" w:cs="Arial"/>
          <w:sz w:val="22"/>
          <w:szCs w:val="22"/>
          <w:lang w:val="en-US"/>
        </w:rPr>
        <w:t>that yield increases in production, sales, employment, value added and productivity. In other words, public intervention allows the expansion of economic activity with positive social returns.</w:t>
      </w:r>
    </w:p>
    <w:p w:rsidRPr="00F6592B" w:rsidR="00A902D6" w:rsidP="00B3379B" w:rsidRDefault="00A902D6" w14:paraId="23349005" w14:textId="7941D849">
      <w:pPr>
        <w:pStyle w:val="Paragraph"/>
        <w:rPr>
          <w:rFonts w:ascii="Arial" w:hAnsi="Arial" w:cs="Arial"/>
          <w:sz w:val="22"/>
          <w:szCs w:val="22"/>
          <w:lang w:val="en-US"/>
        </w:rPr>
      </w:pPr>
      <w:r w:rsidRPr="00F6592B">
        <w:rPr>
          <w:rFonts w:ascii="Arial" w:hAnsi="Arial" w:cs="Arial"/>
          <w:sz w:val="22"/>
          <w:szCs w:val="22"/>
          <w:lang w:val="en-US"/>
        </w:rPr>
        <w:t xml:space="preserve">The benefits generated by the program will be approximated by the benefit (in net present value) perceived by the final beneficiaries, which consist of </w:t>
      </w:r>
      <w:r w:rsidRPr="00F6592B" w:rsidR="001E0EB1">
        <w:rPr>
          <w:rFonts w:ascii="Arial" w:hAnsi="Arial" w:cs="Arial"/>
          <w:sz w:val="22"/>
          <w:szCs w:val="22"/>
          <w:lang w:val="en-US"/>
        </w:rPr>
        <w:t xml:space="preserve">firms that received training by the SBDC and later were granted credit by banks, with the guarantee provided by the CEF. Hence, both components of the program (the </w:t>
      </w:r>
      <w:r w:rsidRPr="00F6592B" w:rsidR="001E0EB1">
        <w:rPr>
          <w:rFonts w:ascii="Arial" w:hAnsi="Arial" w:cs="Arial"/>
          <w:sz w:val="22"/>
          <w:szCs w:val="22"/>
          <w:lang w:val="en-US"/>
        </w:rPr>
        <w:lastRenderedPageBreak/>
        <w:t>guarantee component, and the institutional and technical support one) support the same main economic benefit of the program.</w:t>
      </w:r>
    </w:p>
    <w:p w:rsidRPr="00F6592B" w:rsidR="001E0EB1" w:rsidP="00B3379B" w:rsidRDefault="000C44C0" w14:paraId="3A307A47" w14:textId="1EF79B02">
      <w:pPr>
        <w:pStyle w:val="Paragraph"/>
        <w:rPr>
          <w:rFonts w:ascii="Arial" w:hAnsi="Arial" w:cs="Arial"/>
          <w:sz w:val="22"/>
          <w:szCs w:val="22"/>
          <w:lang w:val="en-US"/>
        </w:rPr>
      </w:pPr>
      <w:r w:rsidRPr="00F6592B">
        <w:rPr>
          <w:rFonts w:ascii="Arial" w:hAnsi="Arial" w:cs="Arial"/>
          <w:sz w:val="22"/>
          <w:szCs w:val="22"/>
          <w:lang w:val="en-US"/>
        </w:rPr>
        <w:t xml:space="preserve">The rationale of this analysis is that once the </w:t>
      </w:r>
      <w:r w:rsidRPr="00F6592B" w:rsidR="00595720">
        <w:rPr>
          <w:rFonts w:ascii="Arial" w:hAnsi="Arial" w:cs="Arial"/>
          <w:sz w:val="22"/>
          <w:szCs w:val="22"/>
          <w:lang w:val="en-US"/>
        </w:rPr>
        <w:t xml:space="preserve">beneficiary’s firms cease to be credit constrained, they </w:t>
      </w:r>
      <w:proofErr w:type="gramStart"/>
      <w:r w:rsidRPr="00F6592B" w:rsidR="00595720">
        <w:rPr>
          <w:rFonts w:ascii="Arial" w:hAnsi="Arial" w:cs="Arial"/>
          <w:sz w:val="22"/>
          <w:szCs w:val="22"/>
          <w:lang w:val="en-US"/>
        </w:rPr>
        <w:t>are able to</w:t>
      </w:r>
      <w:proofErr w:type="gramEnd"/>
      <w:r w:rsidRPr="00F6592B" w:rsidR="00595720">
        <w:rPr>
          <w:rFonts w:ascii="Arial" w:hAnsi="Arial" w:cs="Arial"/>
          <w:sz w:val="22"/>
          <w:szCs w:val="22"/>
          <w:lang w:val="en-US"/>
        </w:rPr>
        <w:t xml:space="preserve"> invest in the necessary capital and/or technology that will allow them to increase their production, sales and in the long run productivity. This scenario contrast with the counterfactual in which they are unable to access credit with the adequate term and rate conditions that would allow them to undertake </w:t>
      </w:r>
      <w:r w:rsidRPr="00F6592B" w:rsidR="006675DC">
        <w:rPr>
          <w:rFonts w:ascii="Arial" w:hAnsi="Arial" w:cs="Arial"/>
          <w:sz w:val="22"/>
          <w:szCs w:val="22"/>
          <w:lang w:val="en-US"/>
        </w:rPr>
        <w:t>these investments</w:t>
      </w:r>
      <w:r w:rsidRPr="00F6592B" w:rsidR="00595720">
        <w:rPr>
          <w:rFonts w:ascii="Arial" w:hAnsi="Arial" w:cs="Arial"/>
          <w:sz w:val="22"/>
          <w:szCs w:val="22"/>
          <w:lang w:val="en-US"/>
        </w:rPr>
        <w:t>.</w:t>
      </w:r>
    </w:p>
    <w:p w:rsidRPr="00F6592B" w:rsidR="009C2B38" w:rsidP="00B2527E" w:rsidRDefault="00B2527E" w14:paraId="200CCAE9" w14:textId="40592267">
      <w:pPr>
        <w:pStyle w:val="Paragraph"/>
        <w:rPr>
          <w:rFonts w:ascii="Arial" w:hAnsi="Arial" w:cs="Arial"/>
          <w:sz w:val="22"/>
          <w:szCs w:val="22"/>
          <w:lang w:val="en-US"/>
        </w:rPr>
      </w:pPr>
      <w:r w:rsidRPr="00F6592B">
        <w:rPr>
          <w:rFonts w:ascii="Arial" w:hAnsi="Arial" w:cs="Arial"/>
          <w:sz w:val="22"/>
          <w:szCs w:val="22"/>
          <w:lang w:val="en-US"/>
        </w:rPr>
        <w:t>Hence, the net present value of the program (NPV) will be calculated as the differential value attributable to the access to financing. This value will come from an additional increase in sales in comparison with comparable firms that do not secure financing and hence continue their current trend in sales growth.</w:t>
      </w:r>
    </w:p>
    <w:p w:rsidRPr="00F6592B" w:rsidR="009C2B38" w:rsidP="00DB76FA" w:rsidRDefault="00EE655C" w14:paraId="1C0251E7" w14:textId="2D4FB3D5">
      <w:pPr>
        <w:pStyle w:val="FirstHeading"/>
        <w:numPr>
          <w:ilvl w:val="0"/>
          <w:numId w:val="0"/>
        </w:numPr>
        <w:rPr>
          <w:rFonts w:ascii="Arial" w:hAnsi="Arial" w:cs="Arial"/>
          <w:noProof/>
          <w:sz w:val="22"/>
          <w:szCs w:val="22"/>
          <w:lang w:val="en-US"/>
        </w:rPr>
      </w:pPr>
      <w:bookmarkStart w:name="_Toc6043644" w:id="6"/>
      <w:r w:rsidRPr="00F6592B">
        <w:rPr>
          <w:rFonts w:ascii="Arial" w:hAnsi="Arial" w:cs="Arial"/>
          <w:noProof/>
          <w:sz w:val="22"/>
          <w:szCs w:val="22"/>
          <w:lang w:val="en-US"/>
        </w:rPr>
        <w:t>B</w:t>
      </w:r>
      <w:r w:rsidRPr="00F6592B" w:rsidR="00007380">
        <w:rPr>
          <w:rFonts w:ascii="Arial" w:hAnsi="Arial" w:cs="Arial"/>
          <w:noProof/>
          <w:sz w:val="22"/>
          <w:szCs w:val="22"/>
          <w:lang w:val="en-US"/>
        </w:rPr>
        <w:t>.</w:t>
      </w:r>
      <w:r w:rsidRPr="00F6592B" w:rsidR="00007380">
        <w:rPr>
          <w:rFonts w:ascii="Arial" w:hAnsi="Arial" w:cs="Arial"/>
          <w:noProof/>
          <w:sz w:val="22"/>
          <w:szCs w:val="22"/>
          <w:lang w:val="en-US"/>
        </w:rPr>
        <w:tab/>
      </w:r>
      <w:r w:rsidRPr="00F6592B">
        <w:rPr>
          <w:rFonts w:ascii="Arial" w:hAnsi="Arial" w:cs="Arial"/>
          <w:noProof/>
          <w:sz w:val="22"/>
          <w:szCs w:val="22"/>
          <w:lang w:val="en-US"/>
        </w:rPr>
        <w:t>Information and Asumptions</w:t>
      </w:r>
      <w:bookmarkEnd w:id="6"/>
    </w:p>
    <w:p w:rsidRPr="00F6592B" w:rsidR="00CB6F90" w:rsidP="00B3379B" w:rsidRDefault="00C202C0" w14:paraId="33192A90" w14:textId="0B473CA8">
      <w:pPr>
        <w:pStyle w:val="Paragraph"/>
        <w:rPr>
          <w:rFonts w:ascii="Arial" w:hAnsi="Arial" w:cs="Arial"/>
          <w:sz w:val="22"/>
          <w:szCs w:val="22"/>
          <w:lang w:val="en-US"/>
        </w:rPr>
      </w:pPr>
      <w:r w:rsidRPr="00F6592B">
        <w:rPr>
          <w:rFonts w:ascii="Arial" w:hAnsi="Arial" w:cs="Arial"/>
          <w:b/>
          <w:sz w:val="22"/>
          <w:szCs w:val="22"/>
          <w:lang w:val="en-US"/>
        </w:rPr>
        <w:t>Target population.</w:t>
      </w:r>
      <w:r w:rsidRPr="00F6592B" w:rsidR="00815176">
        <w:rPr>
          <w:rFonts w:ascii="Arial" w:hAnsi="Arial" w:cs="Arial"/>
          <w:b/>
          <w:sz w:val="22"/>
          <w:szCs w:val="22"/>
          <w:lang w:val="en-US"/>
        </w:rPr>
        <w:t xml:space="preserve"> </w:t>
      </w:r>
      <w:r w:rsidRPr="00F6592B" w:rsidR="00815176">
        <w:rPr>
          <w:rFonts w:ascii="Arial" w:hAnsi="Arial" w:cs="Arial"/>
          <w:sz w:val="22"/>
          <w:szCs w:val="22"/>
          <w:lang w:val="en-US"/>
        </w:rPr>
        <w:t xml:space="preserve">The target population consists of MSME </w:t>
      </w:r>
      <w:r w:rsidRPr="00F6592B" w:rsidR="006F4A04">
        <w:rPr>
          <w:rFonts w:ascii="Arial" w:hAnsi="Arial" w:cs="Arial"/>
          <w:sz w:val="22"/>
          <w:szCs w:val="22"/>
          <w:lang w:val="en-US"/>
        </w:rPr>
        <w:t>(under SBDC definition</w:t>
      </w:r>
      <w:r w:rsidRPr="00F6592B" w:rsidR="009D7D0C">
        <w:rPr>
          <w:rStyle w:val="FootnoteReference"/>
          <w:rFonts w:ascii="Arial" w:hAnsi="Arial" w:cs="Arial"/>
          <w:sz w:val="22"/>
          <w:szCs w:val="22"/>
          <w:lang w:val="en-US"/>
        </w:rPr>
        <w:footnoteReference w:id="10"/>
      </w:r>
      <w:r w:rsidRPr="00F6592B" w:rsidR="006F4A04">
        <w:rPr>
          <w:rFonts w:ascii="Arial" w:hAnsi="Arial" w:cs="Arial"/>
          <w:sz w:val="22"/>
          <w:szCs w:val="22"/>
          <w:lang w:val="en-US"/>
        </w:rPr>
        <w:t>) that are registered at SBDC</w:t>
      </w:r>
      <w:r w:rsidRPr="00F6592B" w:rsidR="00AB6F83">
        <w:rPr>
          <w:rFonts w:ascii="Arial" w:hAnsi="Arial" w:cs="Arial"/>
          <w:sz w:val="22"/>
          <w:szCs w:val="22"/>
          <w:lang w:val="en-US"/>
        </w:rPr>
        <w:t>,</w:t>
      </w:r>
      <w:r w:rsidRPr="00F6592B" w:rsidR="006F4A04">
        <w:rPr>
          <w:rFonts w:ascii="Arial" w:hAnsi="Arial" w:cs="Arial"/>
          <w:sz w:val="22"/>
          <w:szCs w:val="22"/>
          <w:lang w:val="en-US"/>
        </w:rPr>
        <w:t xml:space="preserve"> receive technical assistance from them</w:t>
      </w:r>
      <w:r w:rsidRPr="00F6592B" w:rsidR="00AB6F83">
        <w:rPr>
          <w:rFonts w:ascii="Arial" w:hAnsi="Arial" w:cs="Arial"/>
          <w:sz w:val="22"/>
          <w:szCs w:val="22"/>
          <w:lang w:val="en-US"/>
        </w:rPr>
        <w:t>, and have viable projects that require additional financing.</w:t>
      </w:r>
      <w:r w:rsidRPr="00F6592B" w:rsidR="00721E1B">
        <w:rPr>
          <w:rFonts w:ascii="Arial" w:hAnsi="Arial" w:cs="Arial"/>
          <w:sz w:val="22"/>
          <w:szCs w:val="22"/>
          <w:lang w:val="en-US"/>
        </w:rPr>
        <w:t xml:space="preserve"> The specific characteristics o</w:t>
      </w:r>
      <w:r w:rsidRPr="00F6592B" w:rsidR="003F258B">
        <w:rPr>
          <w:rFonts w:ascii="Arial" w:hAnsi="Arial" w:cs="Arial"/>
          <w:sz w:val="22"/>
          <w:szCs w:val="22"/>
          <w:lang w:val="en-US"/>
        </w:rPr>
        <w:t xml:space="preserve">f these enterprises, such as sales, costs, profits, </w:t>
      </w:r>
      <w:proofErr w:type="spellStart"/>
      <w:r w:rsidRPr="00F6592B" w:rsidR="003F258B">
        <w:rPr>
          <w:rFonts w:ascii="Arial" w:hAnsi="Arial" w:cs="Arial"/>
          <w:sz w:val="22"/>
          <w:szCs w:val="22"/>
          <w:lang w:val="en-US"/>
        </w:rPr>
        <w:t>etc</w:t>
      </w:r>
      <w:proofErr w:type="spellEnd"/>
      <w:r w:rsidRPr="00F6592B" w:rsidR="003F258B">
        <w:rPr>
          <w:rFonts w:ascii="Arial" w:hAnsi="Arial" w:cs="Arial"/>
          <w:sz w:val="22"/>
          <w:szCs w:val="22"/>
          <w:lang w:val="en-US"/>
        </w:rPr>
        <w:t xml:space="preserve"> have been obtained through the database of registered MSME at SBDC.</w:t>
      </w:r>
    </w:p>
    <w:p w:rsidRPr="00F6592B" w:rsidR="003F258B" w:rsidP="00B3379B" w:rsidRDefault="003F258B" w14:paraId="49CB90EE" w14:textId="354B5A9F">
      <w:pPr>
        <w:pStyle w:val="Paragraph"/>
        <w:rPr>
          <w:rFonts w:ascii="Arial" w:hAnsi="Arial" w:cs="Arial"/>
          <w:sz w:val="22"/>
          <w:szCs w:val="22"/>
          <w:lang w:val="en-US"/>
        </w:rPr>
      </w:pPr>
      <w:r w:rsidRPr="00F6592B">
        <w:rPr>
          <w:rFonts w:ascii="Arial" w:hAnsi="Arial" w:cs="Arial"/>
          <w:b/>
          <w:sz w:val="22"/>
          <w:szCs w:val="22"/>
          <w:lang w:val="en-US"/>
        </w:rPr>
        <w:t>Firm c</w:t>
      </w:r>
      <w:r w:rsidRPr="00F6592B" w:rsidR="00C202C0">
        <w:rPr>
          <w:rFonts w:ascii="Arial" w:hAnsi="Arial" w:cs="Arial"/>
          <w:b/>
          <w:sz w:val="22"/>
          <w:szCs w:val="22"/>
          <w:lang w:val="en-US"/>
        </w:rPr>
        <w:t>haracteristics</w:t>
      </w:r>
      <w:r w:rsidRPr="00F6592B">
        <w:rPr>
          <w:rFonts w:ascii="Arial" w:hAnsi="Arial" w:cs="Arial"/>
          <w:b/>
          <w:sz w:val="22"/>
          <w:szCs w:val="22"/>
          <w:lang w:val="en-US"/>
        </w:rPr>
        <w:t xml:space="preserve">. </w:t>
      </w:r>
      <w:r w:rsidRPr="00F6592B">
        <w:rPr>
          <w:rFonts w:ascii="Arial" w:hAnsi="Arial" w:cs="Arial"/>
          <w:sz w:val="22"/>
          <w:szCs w:val="22"/>
          <w:lang w:val="en-US"/>
        </w:rPr>
        <w:t>SBDC maintains a record of administrative and economic information of MSME that are registered with them. The project’s team was able to access to this database in order to calculate the average of the following variables for a typical MSME in their database:</w:t>
      </w:r>
    </w:p>
    <w:p w:rsidRPr="006D17FB" w:rsidR="00C202C0" w:rsidP="003F258B" w:rsidRDefault="002F591F" w14:paraId="0F45A17A" w14:textId="65B2C553">
      <w:pPr>
        <w:pStyle w:val="SubSubPar"/>
        <w:rPr>
          <w:rFonts w:ascii="Arial" w:hAnsi="Arial" w:cs="Arial"/>
          <w:sz w:val="22"/>
          <w:szCs w:val="22"/>
          <w:lang w:val="en-US"/>
        </w:rPr>
      </w:pPr>
      <w:r w:rsidRPr="00F6592B">
        <w:rPr>
          <w:rFonts w:ascii="Arial" w:hAnsi="Arial" w:cs="Arial"/>
          <w:sz w:val="22"/>
          <w:szCs w:val="22"/>
          <w:lang w:val="en-US"/>
        </w:rPr>
        <w:t xml:space="preserve"> </w:t>
      </w:r>
      <w:r w:rsidRPr="00F6592B" w:rsidR="003F258B">
        <w:rPr>
          <w:rFonts w:ascii="Arial" w:hAnsi="Arial" w:cs="Arial"/>
          <w:sz w:val="22"/>
          <w:szCs w:val="22"/>
          <w:lang w:val="en-US"/>
        </w:rPr>
        <w:t xml:space="preserve">The average total annual sales (which include </w:t>
      </w:r>
      <w:r w:rsidRPr="006D17FB" w:rsidR="003F258B">
        <w:rPr>
          <w:rFonts w:ascii="Arial" w:hAnsi="Arial" w:cs="Arial"/>
          <w:sz w:val="22"/>
          <w:szCs w:val="22"/>
          <w:lang w:val="en-US"/>
        </w:rPr>
        <w:t>domestic sales plus export sales) is equal to US$1</w:t>
      </w:r>
      <w:r w:rsidRPr="006D17FB" w:rsidR="006D17FB">
        <w:rPr>
          <w:rFonts w:ascii="Arial" w:hAnsi="Arial" w:cs="Arial"/>
          <w:sz w:val="22"/>
          <w:szCs w:val="22"/>
          <w:lang w:val="en-US"/>
        </w:rPr>
        <w:t>30,312</w:t>
      </w:r>
      <w:r w:rsidRPr="006D17FB" w:rsidR="003F258B">
        <w:rPr>
          <w:rFonts w:ascii="Arial" w:hAnsi="Arial" w:cs="Arial"/>
          <w:sz w:val="22"/>
          <w:szCs w:val="22"/>
          <w:lang w:val="en-US"/>
        </w:rPr>
        <w:t>.</w:t>
      </w:r>
    </w:p>
    <w:p w:rsidRPr="00F6592B" w:rsidR="003F258B" w:rsidP="003F258B" w:rsidRDefault="003F258B" w14:paraId="167842A9" w14:textId="1648DDEB">
      <w:pPr>
        <w:pStyle w:val="SubSubPar"/>
        <w:rPr>
          <w:rFonts w:ascii="Arial" w:hAnsi="Arial" w:cs="Arial"/>
          <w:sz w:val="22"/>
          <w:szCs w:val="22"/>
          <w:lang w:val="en-US"/>
        </w:rPr>
      </w:pPr>
      <w:r w:rsidRPr="006D17FB">
        <w:rPr>
          <w:rFonts w:ascii="Arial" w:hAnsi="Arial" w:cs="Arial"/>
          <w:sz w:val="22"/>
          <w:szCs w:val="22"/>
          <w:lang w:val="en-US"/>
        </w:rPr>
        <w:t>The average operating margin is equal to 18%</w:t>
      </w:r>
      <w:r w:rsidRPr="006D17FB" w:rsidR="00421BC7">
        <w:rPr>
          <w:rFonts w:ascii="Arial" w:hAnsi="Arial" w:cs="Arial"/>
          <w:sz w:val="22"/>
          <w:szCs w:val="22"/>
          <w:lang w:val="en-US"/>
        </w:rPr>
        <w:t>, which implies an average annual operating cost of US$</w:t>
      </w:r>
      <w:r w:rsidRPr="006D17FB" w:rsidR="006D17FB">
        <w:rPr>
          <w:rFonts w:ascii="Arial" w:hAnsi="Arial" w:cs="Arial"/>
          <w:sz w:val="22"/>
          <w:szCs w:val="22"/>
          <w:lang w:val="en-US"/>
        </w:rPr>
        <w:t>106,855</w:t>
      </w:r>
      <w:r w:rsidRPr="00F6592B" w:rsidR="00421BC7">
        <w:rPr>
          <w:rFonts w:ascii="Arial" w:hAnsi="Arial" w:cs="Arial"/>
          <w:sz w:val="22"/>
          <w:szCs w:val="22"/>
          <w:lang w:val="en-US"/>
        </w:rPr>
        <w:t>.</w:t>
      </w:r>
    </w:p>
    <w:p w:rsidRPr="00F6592B" w:rsidR="00421BC7" w:rsidP="00B3379B" w:rsidRDefault="00421BC7" w14:paraId="719A9233" w14:textId="4F40527A">
      <w:pPr>
        <w:pStyle w:val="Paragraph"/>
        <w:rPr>
          <w:rFonts w:ascii="Arial" w:hAnsi="Arial" w:cs="Arial"/>
          <w:sz w:val="22"/>
          <w:szCs w:val="22"/>
          <w:lang w:val="en-US"/>
        </w:rPr>
      </w:pPr>
      <w:r w:rsidRPr="00F6592B">
        <w:rPr>
          <w:rFonts w:ascii="Arial" w:hAnsi="Arial" w:cs="Arial"/>
          <w:b/>
          <w:sz w:val="22"/>
          <w:szCs w:val="22"/>
          <w:lang w:val="en-US"/>
        </w:rPr>
        <w:t>Loan tenor</w:t>
      </w:r>
      <w:r w:rsidRPr="00F6592B">
        <w:rPr>
          <w:rFonts w:ascii="Arial" w:hAnsi="Arial" w:cs="Arial"/>
          <w:sz w:val="22"/>
          <w:szCs w:val="22"/>
          <w:lang w:val="en-US"/>
        </w:rPr>
        <w:t>. We will assume a loan tenor of seven years for projects beneficiaries, which corresponds to the projected tenor used by SBDC in the financial modeling of the CEF.</w:t>
      </w:r>
    </w:p>
    <w:p w:rsidRPr="00F6592B" w:rsidR="005A727F" w:rsidP="00B3379B" w:rsidRDefault="005A727F" w14:paraId="71A90422" w14:textId="04762EE8">
      <w:pPr>
        <w:pStyle w:val="Paragraph"/>
        <w:rPr>
          <w:rFonts w:ascii="Arial" w:hAnsi="Arial" w:cs="Arial"/>
          <w:sz w:val="22"/>
          <w:szCs w:val="22"/>
          <w:lang w:val="en-US"/>
        </w:rPr>
      </w:pPr>
      <w:r w:rsidRPr="00F6592B">
        <w:rPr>
          <w:rFonts w:ascii="Arial" w:hAnsi="Arial" w:cs="Arial"/>
          <w:b/>
          <w:sz w:val="22"/>
          <w:szCs w:val="22"/>
          <w:lang w:val="en-US"/>
        </w:rPr>
        <w:t>Average loan amount</w:t>
      </w:r>
      <w:r w:rsidRPr="00F6592B">
        <w:rPr>
          <w:rFonts w:ascii="Arial" w:hAnsi="Arial" w:cs="Arial"/>
          <w:sz w:val="22"/>
          <w:szCs w:val="22"/>
          <w:lang w:val="en-US"/>
        </w:rPr>
        <w:t xml:space="preserve">. </w:t>
      </w:r>
      <w:r w:rsidRPr="00F6592B" w:rsidR="00C95322">
        <w:rPr>
          <w:rFonts w:ascii="Arial" w:hAnsi="Arial" w:cs="Arial"/>
          <w:sz w:val="22"/>
          <w:szCs w:val="22"/>
          <w:lang w:val="en-US"/>
        </w:rPr>
        <w:t xml:space="preserve">Based on surveys to clients, </w:t>
      </w:r>
      <w:r w:rsidRPr="00F6592B">
        <w:rPr>
          <w:rFonts w:ascii="Arial" w:hAnsi="Arial" w:cs="Arial"/>
          <w:sz w:val="22"/>
          <w:szCs w:val="22"/>
          <w:lang w:val="en-US"/>
        </w:rPr>
        <w:t>SBDC projects that the average loan amount</w:t>
      </w:r>
      <w:r w:rsidRPr="00F6592B" w:rsidR="000E25EE">
        <w:rPr>
          <w:rFonts w:ascii="Arial" w:hAnsi="Arial" w:cs="Arial"/>
          <w:sz w:val="22"/>
          <w:szCs w:val="22"/>
          <w:lang w:val="en-US"/>
        </w:rPr>
        <w:t xml:space="preserve"> will be US$62,680.</w:t>
      </w:r>
    </w:p>
    <w:p w:rsidRPr="00F6592B" w:rsidR="00C95322" w:rsidP="00B3379B" w:rsidRDefault="00C95322" w14:paraId="1D4F04CB" w14:textId="5ED8CFE0">
      <w:pPr>
        <w:pStyle w:val="Paragraph"/>
        <w:rPr>
          <w:rFonts w:ascii="Arial" w:hAnsi="Arial" w:cs="Arial"/>
          <w:sz w:val="22"/>
          <w:szCs w:val="22"/>
          <w:lang w:val="en-US"/>
        </w:rPr>
      </w:pPr>
      <w:r w:rsidRPr="00F6592B">
        <w:rPr>
          <w:rFonts w:ascii="Arial" w:hAnsi="Arial" w:cs="Arial"/>
          <w:b/>
          <w:sz w:val="22"/>
          <w:szCs w:val="22"/>
          <w:lang w:val="en-US"/>
        </w:rPr>
        <w:t>Leverage</w:t>
      </w:r>
      <w:r w:rsidRPr="00F6592B">
        <w:rPr>
          <w:rFonts w:ascii="Arial" w:hAnsi="Arial" w:cs="Arial"/>
          <w:sz w:val="22"/>
          <w:szCs w:val="22"/>
          <w:lang w:val="en-US"/>
        </w:rPr>
        <w:t xml:space="preserve">. It is expected that each guarantee will cover 75% of the loan amount. During the first three years each dollar of the CEF will cover one dollar of the guaranteed amount per each loan. However, it is projected that between years 4 and 7, each 0.95 dollars of CEF will cover one dollar guaranteed, between years 8 and 15 the corresponding amount will be 0.85 dollars, and between years 16 and 25 the amount will be 0.75 dollars of CEF per each dollar guaranteed. </w:t>
      </w:r>
    </w:p>
    <w:p w:rsidRPr="00F6592B" w:rsidR="00C202C0" w:rsidP="00B3379B" w:rsidRDefault="00C202C0" w14:paraId="58A49342" w14:textId="35B85B04">
      <w:pPr>
        <w:pStyle w:val="Paragraph"/>
        <w:rPr>
          <w:rFonts w:ascii="Arial" w:hAnsi="Arial" w:cs="Arial"/>
          <w:sz w:val="22"/>
          <w:szCs w:val="22"/>
          <w:lang w:val="en-US"/>
        </w:rPr>
      </w:pPr>
      <w:r w:rsidRPr="00F6592B">
        <w:rPr>
          <w:rFonts w:ascii="Arial" w:hAnsi="Arial" w:cs="Arial"/>
          <w:b/>
          <w:sz w:val="22"/>
          <w:szCs w:val="22"/>
          <w:lang w:val="en-US"/>
        </w:rPr>
        <w:t>Timeline</w:t>
      </w:r>
      <w:r w:rsidRPr="00F6592B" w:rsidR="00421BC7">
        <w:rPr>
          <w:rFonts w:ascii="Arial" w:hAnsi="Arial" w:cs="Arial"/>
          <w:b/>
          <w:sz w:val="22"/>
          <w:szCs w:val="22"/>
          <w:lang w:val="en-US"/>
        </w:rPr>
        <w:t xml:space="preserve">. </w:t>
      </w:r>
      <w:r w:rsidRPr="00F6592B" w:rsidR="00BC5047">
        <w:rPr>
          <w:rFonts w:ascii="Arial" w:hAnsi="Arial" w:cs="Arial"/>
          <w:sz w:val="22"/>
          <w:szCs w:val="22"/>
          <w:lang w:val="en-US"/>
        </w:rPr>
        <w:t xml:space="preserve">To keep consistency with the financial planning of the CEF, for this analysis we will use the same timeline of 21 years that SBDC considers in the financial modelling CEF. </w:t>
      </w:r>
      <w:r w:rsidR="00884476">
        <w:rPr>
          <w:rFonts w:ascii="Arial" w:hAnsi="Arial" w:cs="Arial"/>
          <w:sz w:val="22"/>
          <w:szCs w:val="22"/>
          <w:lang w:val="en-US"/>
        </w:rPr>
        <w:fldChar w:fldCharType="begin"/>
      </w:r>
      <w:r w:rsidR="00884476">
        <w:rPr>
          <w:rFonts w:ascii="Arial" w:hAnsi="Arial" w:cs="Arial"/>
          <w:sz w:val="22"/>
          <w:szCs w:val="22"/>
          <w:lang w:val="en-US"/>
        </w:rPr>
        <w:instrText xml:space="preserve"> REF _Ref6136100 \h  \* MERGEFORMAT </w:instrText>
      </w:r>
      <w:r w:rsidR="00884476">
        <w:rPr>
          <w:rFonts w:ascii="Arial" w:hAnsi="Arial" w:cs="Arial"/>
          <w:sz w:val="22"/>
          <w:szCs w:val="22"/>
          <w:lang w:val="en-US"/>
        </w:rPr>
      </w:r>
      <w:r w:rsidR="00884476">
        <w:rPr>
          <w:rFonts w:ascii="Arial" w:hAnsi="Arial" w:cs="Arial"/>
          <w:sz w:val="22"/>
          <w:szCs w:val="22"/>
          <w:lang w:val="en-US"/>
        </w:rPr>
        <w:fldChar w:fldCharType="separate"/>
      </w:r>
      <w:r w:rsidRPr="00884476" w:rsidR="00884476">
        <w:rPr>
          <w:rFonts w:ascii="Arial" w:hAnsi="Arial" w:cs="Arial"/>
          <w:sz w:val="22"/>
          <w:szCs w:val="22"/>
          <w:lang w:val="en-US"/>
        </w:rPr>
        <w:t>Table 2</w:t>
      </w:r>
      <w:r w:rsidR="00884476">
        <w:rPr>
          <w:rFonts w:ascii="Arial" w:hAnsi="Arial" w:cs="Arial"/>
          <w:sz w:val="22"/>
          <w:szCs w:val="22"/>
          <w:lang w:val="en-US"/>
        </w:rPr>
        <w:fldChar w:fldCharType="end"/>
      </w:r>
      <w:r w:rsidR="00884476">
        <w:rPr>
          <w:rFonts w:ascii="Arial" w:hAnsi="Arial" w:cs="Arial"/>
          <w:sz w:val="22"/>
          <w:szCs w:val="22"/>
          <w:lang w:val="en-US"/>
        </w:rPr>
        <w:t xml:space="preserve"> </w:t>
      </w:r>
      <w:r w:rsidRPr="00F6592B" w:rsidR="00BC5047">
        <w:rPr>
          <w:rFonts w:ascii="Arial" w:hAnsi="Arial" w:cs="Arial"/>
          <w:sz w:val="22"/>
          <w:szCs w:val="22"/>
          <w:lang w:val="en-US"/>
        </w:rPr>
        <w:t>shows us this model in which the fund finances new enterprises each year for seven years each. The yearly repayment amounts of th</w:t>
      </w:r>
      <w:r w:rsidRPr="00F6592B" w:rsidR="005A727F">
        <w:rPr>
          <w:rFonts w:ascii="Arial" w:hAnsi="Arial" w:cs="Arial"/>
          <w:sz w:val="22"/>
          <w:szCs w:val="22"/>
          <w:lang w:val="en-US"/>
        </w:rPr>
        <w:t>e</w:t>
      </w:r>
      <w:r w:rsidRPr="00F6592B" w:rsidR="00BC5047">
        <w:rPr>
          <w:rFonts w:ascii="Arial" w:hAnsi="Arial" w:cs="Arial"/>
          <w:sz w:val="22"/>
          <w:szCs w:val="22"/>
          <w:lang w:val="en-US"/>
        </w:rPr>
        <w:t>s</w:t>
      </w:r>
      <w:r w:rsidRPr="00F6592B" w:rsidR="005A727F">
        <w:rPr>
          <w:rFonts w:ascii="Arial" w:hAnsi="Arial" w:cs="Arial"/>
          <w:sz w:val="22"/>
          <w:szCs w:val="22"/>
          <w:lang w:val="en-US"/>
        </w:rPr>
        <w:t>e</w:t>
      </w:r>
      <w:r w:rsidRPr="00F6592B" w:rsidR="00BC5047">
        <w:rPr>
          <w:rFonts w:ascii="Arial" w:hAnsi="Arial" w:cs="Arial"/>
          <w:sz w:val="22"/>
          <w:szCs w:val="22"/>
          <w:lang w:val="en-US"/>
        </w:rPr>
        <w:t xml:space="preserve"> loans allows the fund to growth beyond its initial value, thus allowing it to further finance new MSME beyond the </w:t>
      </w:r>
      <w:r w:rsidRPr="00F6592B" w:rsidR="00884476">
        <w:rPr>
          <w:rFonts w:ascii="Arial" w:hAnsi="Arial" w:cs="Arial"/>
          <w:sz w:val="22"/>
          <w:szCs w:val="22"/>
          <w:lang w:val="en-US"/>
        </w:rPr>
        <w:t>4-year</w:t>
      </w:r>
      <w:r w:rsidRPr="00F6592B" w:rsidR="00BC5047">
        <w:rPr>
          <w:rFonts w:ascii="Arial" w:hAnsi="Arial" w:cs="Arial"/>
          <w:sz w:val="22"/>
          <w:szCs w:val="22"/>
          <w:lang w:val="en-US"/>
        </w:rPr>
        <w:t xml:space="preserve"> execution period of the program.</w:t>
      </w:r>
      <w:r w:rsidRPr="00F6592B" w:rsidR="005A727F">
        <w:rPr>
          <w:rFonts w:ascii="Arial" w:hAnsi="Arial" w:cs="Arial"/>
          <w:sz w:val="22"/>
          <w:szCs w:val="22"/>
          <w:lang w:val="en-US"/>
        </w:rPr>
        <w:t xml:space="preserve"> It </w:t>
      </w:r>
      <w:r w:rsidRPr="00F6592B" w:rsidR="005A727F">
        <w:rPr>
          <w:rFonts w:ascii="Arial" w:hAnsi="Arial" w:cs="Arial"/>
          <w:sz w:val="22"/>
          <w:szCs w:val="22"/>
          <w:lang w:val="en-US"/>
        </w:rPr>
        <w:lastRenderedPageBreak/>
        <w:t xml:space="preserve">is worth mentioning that the high discount rate of 12% used for the Net Present Value (NPV) estimation will render the furthermost values very insignificant. </w:t>
      </w:r>
    </w:p>
    <w:p w:rsidRPr="00F6592B" w:rsidR="005A727F" w:rsidP="00B3379B" w:rsidRDefault="005A727F" w14:paraId="539F1B1A" w14:textId="23990F17">
      <w:pPr>
        <w:pStyle w:val="Paragraph"/>
        <w:rPr>
          <w:rFonts w:ascii="Arial" w:hAnsi="Arial" w:cs="Arial"/>
          <w:sz w:val="22"/>
          <w:szCs w:val="22"/>
          <w:lang w:val="en-US"/>
        </w:rPr>
      </w:pPr>
      <w:r w:rsidRPr="00F6592B">
        <w:rPr>
          <w:rFonts w:ascii="Arial" w:hAnsi="Arial" w:cs="Arial"/>
          <w:b/>
          <w:sz w:val="22"/>
          <w:szCs w:val="22"/>
          <w:lang w:val="en-US"/>
        </w:rPr>
        <w:t>Number of beneficiaries.</w:t>
      </w:r>
      <w:r w:rsidRPr="00F6592B">
        <w:rPr>
          <w:rFonts w:ascii="Arial" w:hAnsi="Arial" w:cs="Arial"/>
          <w:sz w:val="22"/>
          <w:szCs w:val="22"/>
          <w:lang w:val="en-US"/>
        </w:rPr>
        <w:t xml:space="preserve"> The annual number of new beneficiaries </w:t>
      </w:r>
      <w:r w:rsidRPr="00F6592B" w:rsidR="000E25EE">
        <w:rPr>
          <w:rFonts w:ascii="Arial" w:hAnsi="Arial" w:cs="Arial"/>
          <w:sz w:val="22"/>
          <w:szCs w:val="22"/>
          <w:lang w:val="en-US"/>
        </w:rPr>
        <w:t xml:space="preserve">is shown on </w:t>
      </w:r>
      <w:r w:rsidR="00884476">
        <w:rPr>
          <w:rFonts w:ascii="Arial" w:hAnsi="Arial" w:cs="Arial"/>
          <w:sz w:val="22"/>
          <w:szCs w:val="22"/>
          <w:lang w:val="en-US"/>
        </w:rPr>
        <w:fldChar w:fldCharType="begin"/>
      </w:r>
      <w:r w:rsidR="00884476">
        <w:rPr>
          <w:rFonts w:ascii="Arial" w:hAnsi="Arial" w:cs="Arial"/>
          <w:sz w:val="22"/>
          <w:szCs w:val="22"/>
          <w:lang w:val="en-US"/>
        </w:rPr>
        <w:instrText xml:space="preserve"> REF _Ref6136100 \h  \* MERGEFORMAT </w:instrText>
      </w:r>
      <w:r w:rsidR="00884476">
        <w:rPr>
          <w:rFonts w:ascii="Arial" w:hAnsi="Arial" w:cs="Arial"/>
          <w:sz w:val="22"/>
          <w:szCs w:val="22"/>
          <w:lang w:val="en-US"/>
        </w:rPr>
      </w:r>
      <w:r w:rsidR="00884476">
        <w:rPr>
          <w:rFonts w:ascii="Arial" w:hAnsi="Arial" w:cs="Arial"/>
          <w:sz w:val="22"/>
          <w:szCs w:val="22"/>
          <w:lang w:val="en-US"/>
        </w:rPr>
        <w:fldChar w:fldCharType="separate"/>
      </w:r>
      <w:r w:rsidRPr="00884476" w:rsidR="00884476">
        <w:rPr>
          <w:rFonts w:ascii="Arial" w:hAnsi="Arial" w:cs="Arial"/>
          <w:sz w:val="22"/>
          <w:szCs w:val="22"/>
          <w:lang w:val="en-US"/>
        </w:rPr>
        <w:t>Table 2</w:t>
      </w:r>
      <w:r w:rsidR="00884476">
        <w:rPr>
          <w:rFonts w:ascii="Arial" w:hAnsi="Arial" w:cs="Arial"/>
          <w:sz w:val="22"/>
          <w:szCs w:val="22"/>
          <w:lang w:val="en-US"/>
        </w:rPr>
        <w:fldChar w:fldCharType="end"/>
      </w:r>
      <w:r w:rsidRPr="00F6592B" w:rsidR="000E25EE">
        <w:rPr>
          <w:rFonts w:ascii="Arial" w:hAnsi="Arial" w:cs="Arial"/>
          <w:sz w:val="22"/>
          <w:szCs w:val="22"/>
          <w:lang w:val="en-US"/>
        </w:rPr>
        <w:t>. It is calculated by dividing the total available funds in CEF by the average loan amount. The total available funds in CEF is equal to the annual drawdown (coming from the US$2</w:t>
      </w:r>
      <w:r w:rsidR="0024725B">
        <w:rPr>
          <w:rFonts w:ascii="Arial" w:hAnsi="Arial" w:cs="Arial"/>
          <w:sz w:val="22"/>
          <w:szCs w:val="22"/>
          <w:lang w:val="en-US"/>
        </w:rPr>
        <w:t>2</w:t>
      </w:r>
      <w:r w:rsidRPr="00F6592B" w:rsidR="000E25EE">
        <w:rPr>
          <w:rFonts w:ascii="Arial" w:hAnsi="Arial" w:cs="Arial"/>
          <w:sz w:val="22"/>
          <w:szCs w:val="22"/>
          <w:lang w:val="en-US"/>
        </w:rPr>
        <w:t xml:space="preserve"> million destined to this component) plus the amount repaid in each year by current beneficiaries. </w:t>
      </w:r>
      <w:r w:rsidRPr="00F6592B" w:rsidR="00BF3C87">
        <w:rPr>
          <w:rFonts w:ascii="Arial" w:hAnsi="Arial" w:cs="Arial"/>
          <w:sz w:val="22"/>
          <w:szCs w:val="22"/>
          <w:lang w:val="en-US"/>
        </w:rPr>
        <w:t xml:space="preserve">The repayment of the loans will allow the CEF to continue guaranteeing new loans after the fourth year of execution. </w:t>
      </w:r>
      <w:r w:rsidRPr="00F6592B" w:rsidR="00DB76FA">
        <w:rPr>
          <w:rFonts w:ascii="Arial" w:hAnsi="Arial" w:cs="Arial"/>
          <w:sz w:val="22"/>
          <w:szCs w:val="22"/>
          <w:lang w:val="en-US"/>
        </w:rPr>
        <w:t>However,</w:t>
      </w:r>
      <w:r w:rsidRPr="00F6592B" w:rsidR="00BF3C87">
        <w:rPr>
          <w:rFonts w:ascii="Arial" w:hAnsi="Arial" w:cs="Arial"/>
          <w:sz w:val="22"/>
          <w:szCs w:val="22"/>
          <w:lang w:val="en-US"/>
        </w:rPr>
        <w:t xml:space="preserve"> the annual number of new beneficiaries will decrease after the fourth year given the assumption (for this analysis) that the CEF will not have another </w:t>
      </w:r>
      <w:r w:rsidRPr="00F6592B" w:rsidR="00202FC9">
        <w:rPr>
          <w:rFonts w:ascii="Arial" w:hAnsi="Arial" w:cs="Arial"/>
          <w:sz w:val="22"/>
          <w:szCs w:val="22"/>
          <w:lang w:val="en-US"/>
        </w:rPr>
        <w:t>replenishment and</w:t>
      </w:r>
      <w:r w:rsidRPr="00F6592B" w:rsidR="00BF3C87">
        <w:rPr>
          <w:rFonts w:ascii="Arial" w:hAnsi="Arial" w:cs="Arial"/>
          <w:sz w:val="22"/>
          <w:szCs w:val="22"/>
          <w:lang w:val="en-US"/>
        </w:rPr>
        <w:t xml:space="preserve"> </w:t>
      </w:r>
      <w:bookmarkStart w:name="_GoBack" w:id="7"/>
      <w:bookmarkEnd w:id="7"/>
      <w:r w:rsidRPr="00F6592B" w:rsidR="00BF3C87">
        <w:rPr>
          <w:rFonts w:ascii="Arial" w:hAnsi="Arial" w:cs="Arial"/>
          <w:sz w:val="22"/>
          <w:szCs w:val="22"/>
          <w:lang w:val="en-US"/>
        </w:rPr>
        <w:t xml:space="preserve">given the fact that loan repayments are spread across seven years for each </w:t>
      </w:r>
      <w:r w:rsidRPr="00F6592B" w:rsidR="003A3538">
        <w:rPr>
          <w:rFonts w:ascii="Arial" w:hAnsi="Arial" w:cs="Arial"/>
          <w:sz w:val="22"/>
          <w:szCs w:val="22"/>
          <w:lang w:val="en-US"/>
        </w:rPr>
        <w:t>beneficiary</w:t>
      </w:r>
      <w:r w:rsidRPr="00F6592B" w:rsidR="00BF3C87">
        <w:rPr>
          <w:rFonts w:ascii="Arial" w:hAnsi="Arial" w:cs="Arial"/>
          <w:sz w:val="22"/>
          <w:szCs w:val="22"/>
          <w:lang w:val="en-US"/>
        </w:rPr>
        <w:t>.</w:t>
      </w:r>
    </w:p>
    <w:p w:rsidRPr="00F6592B" w:rsidR="00C202C0" w:rsidP="00B3379B" w:rsidRDefault="00AE694F" w14:paraId="0E83C2E1" w14:textId="0ACCD3ED">
      <w:pPr>
        <w:pStyle w:val="Paragraph"/>
        <w:rPr>
          <w:rFonts w:ascii="Arial" w:hAnsi="Arial" w:cs="Arial"/>
          <w:sz w:val="22"/>
          <w:szCs w:val="22"/>
          <w:lang w:val="en-US"/>
        </w:rPr>
      </w:pPr>
      <w:r w:rsidRPr="00F6592B">
        <w:rPr>
          <w:rFonts w:ascii="Arial" w:hAnsi="Arial" w:cs="Arial"/>
          <w:b/>
          <w:sz w:val="22"/>
          <w:szCs w:val="22"/>
          <w:lang w:val="en-US"/>
        </w:rPr>
        <w:t xml:space="preserve">Impact on sales. </w:t>
      </w:r>
      <w:r w:rsidRPr="00F6592B">
        <w:rPr>
          <w:rFonts w:ascii="Arial" w:hAnsi="Arial" w:cs="Arial"/>
          <w:sz w:val="22"/>
          <w:szCs w:val="22"/>
          <w:lang w:val="en-US"/>
        </w:rPr>
        <w:t xml:space="preserve">Impact evaluation literature for credit guarantee programs similar to this one </w:t>
      </w:r>
      <w:r w:rsidRPr="00F6592B" w:rsidR="00D25995">
        <w:rPr>
          <w:rFonts w:ascii="Arial" w:hAnsi="Arial" w:cs="Arial"/>
          <w:sz w:val="22"/>
          <w:szCs w:val="22"/>
          <w:lang w:val="en-US"/>
        </w:rPr>
        <w:t>has</w:t>
      </w:r>
      <w:r w:rsidRPr="00F6592B">
        <w:rPr>
          <w:rFonts w:ascii="Arial" w:hAnsi="Arial" w:cs="Arial"/>
          <w:sz w:val="22"/>
          <w:szCs w:val="22"/>
          <w:lang w:val="en-US"/>
        </w:rPr>
        <w:t xml:space="preserve"> shown positive effects of this type of intervention on </w:t>
      </w:r>
      <w:proofErr w:type="gramStart"/>
      <w:r w:rsidRPr="00F6592B">
        <w:rPr>
          <w:rFonts w:ascii="Arial" w:hAnsi="Arial" w:cs="Arial"/>
          <w:sz w:val="22"/>
          <w:szCs w:val="22"/>
          <w:lang w:val="en-US"/>
        </w:rPr>
        <w:t>firms</w:t>
      </w:r>
      <w:proofErr w:type="gramEnd"/>
      <w:r w:rsidRPr="00F6592B">
        <w:rPr>
          <w:rFonts w:ascii="Arial" w:hAnsi="Arial" w:cs="Arial"/>
          <w:sz w:val="22"/>
          <w:szCs w:val="22"/>
          <w:lang w:val="en-US"/>
        </w:rPr>
        <w:t xml:space="preserve"> sales, profits, employment, among others. For example, the impact evaluation carried for Chile’s </w:t>
      </w:r>
      <w:proofErr w:type="spellStart"/>
      <w:r w:rsidRPr="00F6592B">
        <w:rPr>
          <w:rFonts w:ascii="Arial" w:hAnsi="Arial" w:cs="Arial"/>
          <w:sz w:val="22"/>
          <w:szCs w:val="22"/>
          <w:lang w:val="en-US"/>
        </w:rPr>
        <w:t>Fondo</w:t>
      </w:r>
      <w:proofErr w:type="spellEnd"/>
      <w:r w:rsidRPr="00F6592B">
        <w:rPr>
          <w:rFonts w:ascii="Arial" w:hAnsi="Arial" w:cs="Arial"/>
          <w:sz w:val="22"/>
          <w:szCs w:val="22"/>
          <w:lang w:val="en-US"/>
        </w:rPr>
        <w:t xml:space="preserve"> de </w:t>
      </w:r>
      <w:proofErr w:type="spellStart"/>
      <w:r w:rsidRPr="00F6592B">
        <w:rPr>
          <w:rFonts w:ascii="Arial" w:hAnsi="Arial" w:cs="Arial"/>
          <w:sz w:val="22"/>
          <w:szCs w:val="22"/>
          <w:lang w:val="en-US"/>
        </w:rPr>
        <w:t>Garantía</w:t>
      </w:r>
      <w:proofErr w:type="spellEnd"/>
      <w:r w:rsidRPr="00F6592B">
        <w:rPr>
          <w:rFonts w:ascii="Arial" w:hAnsi="Arial" w:cs="Arial"/>
          <w:sz w:val="22"/>
          <w:szCs w:val="22"/>
          <w:lang w:val="en-US"/>
        </w:rPr>
        <w:t xml:space="preserve"> para </w:t>
      </w:r>
      <w:proofErr w:type="spellStart"/>
      <w:r w:rsidRPr="00F6592B">
        <w:rPr>
          <w:rFonts w:ascii="Arial" w:hAnsi="Arial" w:cs="Arial"/>
          <w:sz w:val="22"/>
          <w:szCs w:val="22"/>
          <w:lang w:val="en-US"/>
        </w:rPr>
        <w:t>Pequeños</w:t>
      </w:r>
      <w:proofErr w:type="spellEnd"/>
      <w:r w:rsidRPr="00F6592B">
        <w:rPr>
          <w:rFonts w:ascii="Arial" w:hAnsi="Arial" w:cs="Arial"/>
          <w:sz w:val="22"/>
          <w:szCs w:val="22"/>
          <w:lang w:val="en-US"/>
        </w:rPr>
        <w:t xml:space="preserve"> Empresarios (FOGAPE) found that beneficiaries from these guarantees had, on average, 6% higher sales and a higher 4% profit</w:t>
      </w:r>
      <w:r w:rsidRPr="00F6592B">
        <w:rPr>
          <w:rStyle w:val="FootnoteReference"/>
          <w:rFonts w:ascii="Arial" w:hAnsi="Arial" w:cs="Arial"/>
          <w:sz w:val="22"/>
          <w:szCs w:val="22"/>
          <w:lang w:val="en-US"/>
        </w:rPr>
        <w:footnoteReference w:id="11"/>
      </w:r>
      <w:r w:rsidRPr="00F6592B">
        <w:rPr>
          <w:rFonts w:ascii="Arial" w:hAnsi="Arial" w:cs="Arial"/>
          <w:sz w:val="22"/>
          <w:szCs w:val="22"/>
          <w:lang w:val="en-US"/>
        </w:rPr>
        <w:t>.</w:t>
      </w:r>
      <w:r w:rsidRPr="00F6592B" w:rsidR="000121C2">
        <w:rPr>
          <w:rFonts w:ascii="Arial" w:hAnsi="Arial" w:cs="Arial"/>
          <w:sz w:val="22"/>
          <w:szCs w:val="22"/>
          <w:lang w:val="en-US"/>
        </w:rPr>
        <w:t xml:space="preserve"> Similarly, the impact evaluation for Colombia’s </w:t>
      </w:r>
      <w:proofErr w:type="spellStart"/>
      <w:r w:rsidRPr="00F6592B" w:rsidR="000121C2">
        <w:rPr>
          <w:rFonts w:ascii="Arial" w:hAnsi="Arial" w:cs="Arial"/>
          <w:sz w:val="22"/>
          <w:szCs w:val="22"/>
          <w:lang w:val="en-US"/>
        </w:rPr>
        <w:t>Fondo</w:t>
      </w:r>
      <w:proofErr w:type="spellEnd"/>
      <w:r w:rsidRPr="00F6592B" w:rsidR="000121C2">
        <w:rPr>
          <w:rFonts w:ascii="Arial" w:hAnsi="Arial" w:cs="Arial"/>
          <w:sz w:val="22"/>
          <w:szCs w:val="22"/>
          <w:lang w:val="en-US"/>
        </w:rPr>
        <w:t xml:space="preserve"> Nacional de </w:t>
      </w:r>
      <w:proofErr w:type="spellStart"/>
      <w:r w:rsidRPr="00F6592B" w:rsidR="000121C2">
        <w:rPr>
          <w:rFonts w:ascii="Arial" w:hAnsi="Arial" w:cs="Arial"/>
          <w:sz w:val="22"/>
          <w:szCs w:val="22"/>
          <w:lang w:val="en-US"/>
        </w:rPr>
        <w:t>Garantías</w:t>
      </w:r>
      <w:proofErr w:type="spellEnd"/>
      <w:r w:rsidRPr="00F6592B" w:rsidR="000121C2">
        <w:rPr>
          <w:rFonts w:ascii="Arial" w:hAnsi="Arial" w:cs="Arial"/>
          <w:sz w:val="22"/>
          <w:szCs w:val="22"/>
          <w:lang w:val="en-US"/>
        </w:rPr>
        <w:t xml:space="preserve"> (FNG) found that the sales of beneficiaries grew 8% more on average that their counterfactual</w:t>
      </w:r>
      <w:r w:rsidRPr="00F6592B" w:rsidR="000121C2">
        <w:rPr>
          <w:rStyle w:val="FootnoteReference"/>
          <w:rFonts w:ascii="Arial" w:hAnsi="Arial" w:cs="Arial"/>
          <w:sz w:val="22"/>
          <w:szCs w:val="22"/>
          <w:lang w:val="en-US"/>
        </w:rPr>
        <w:footnoteReference w:id="12"/>
      </w:r>
      <w:r w:rsidRPr="00F6592B" w:rsidR="000121C2">
        <w:rPr>
          <w:rFonts w:ascii="Arial" w:hAnsi="Arial" w:cs="Arial"/>
          <w:sz w:val="22"/>
          <w:szCs w:val="22"/>
          <w:lang w:val="en-US"/>
        </w:rPr>
        <w:t>.</w:t>
      </w:r>
      <w:r w:rsidRPr="00F6592B" w:rsidR="00D25995">
        <w:rPr>
          <w:rFonts w:ascii="Arial" w:hAnsi="Arial" w:cs="Arial"/>
          <w:sz w:val="22"/>
          <w:szCs w:val="22"/>
          <w:lang w:val="en-US"/>
        </w:rPr>
        <w:t xml:space="preserve"> A more recent impact evaluation for credit guarantees programs for SME in Europe found that, after two years of treatment, the sales of the beneficiaries rose by 14,8 percentage points above the control group</w:t>
      </w:r>
      <w:r w:rsidRPr="00F6592B" w:rsidR="00F41BD3">
        <w:rPr>
          <w:rStyle w:val="FootnoteReference"/>
          <w:rFonts w:ascii="Arial" w:hAnsi="Arial" w:cs="Arial"/>
          <w:sz w:val="22"/>
          <w:szCs w:val="22"/>
          <w:lang w:val="en-US"/>
        </w:rPr>
        <w:footnoteReference w:id="13"/>
      </w:r>
      <w:r w:rsidRPr="00F6592B" w:rsidR="00D25995">
        <w:rPr>
          <w:rFonts w:ascii="Arial" w:hAnsi="Arial" w:cs="Arial"/>
          <w:sz w:val="22"/>
          <w:szCs w:val="22"/>
          <w:lang w:val="en-US"/>
        </w:rPr>
        <w:t xml:space="preserve">. Given this evidence, and the range </w:t>
      </w:r>
      <w:r w:rsidRPr="00F6592B" w:rsidR="00F641CA">
        <w:rPr>
          <w:rFonts w:ascii="Arial" w:hAnsi="Arial" w:cs="Arial"/>
          <w:sz w:val="22"/>
          <w:szCs w:val="22"/>
          <w:lang w:val="en-US"/>
        </w:rPr>
        <w:t>of estimated</w:t>
      </w:r>
      <w:r w:rsidRPr="00F6592B" w:rsidR="00D25995">
        <w:rPr>
          <w:rFonts w:ascii="Arial" w:hAnsi="Arial" w:cs="Arial"/>
          <w:sz w:val="22"/>
          <w:szCs w:val="22"/>
          <w:lang w:val="en-US"/>
        </w:rPr>
        <w:t xml:space="preserve"> impacts on sales, we will assume the middle value </w:t>
      </w:r>
      <w:r w:rsidRPr="00F6592B" w:rsidR="008F0F95">
        <w:rPr>
          <w:rFonts w:ascii="Arial" w:hAnsi="Arial" w:cs="Arial"/>
          <w:sz w:val="22"/>
          <w:szCs w:val="22"/>
          <w:lang w:val="en-US"/>
        </w:rPr>
        <w:t xml:space="preserve">of an 8% impact. However, we will assume that this impact fully materializes after the second year of the loan because we expect the investments to present a delay in yielding results. Hence, during the first year of the loan, we will only assume a half effect of 4%. </w:t>
      </w:r>
      <w:r w:rsidRPr="00F6592B" w:rsidR="00F641CA">
        <w:rPr>
          <w:rFonts w:ascii="Arial" w:hAnsi="Arial" w:cs="Arial"/>
          <w:sz w:val="22"/>
          <w:szCs w:val="22"/>
          <w:lang w:val="en-US"/>
        </w:rPr>
        <w:t>Additionally,</w:t>
      </w:r>
      <w:r w:rsidRPr="00F6592B" w:rsidR="008F0F95">
        <w:rPr>
          <w:rFonts w:ascii="Arial" w:hAnsi="Arial" w:cs="Arial"/>
          <w:sz w:val="22"/>
          <w:szCs w:val="22"/>
          <w:lang w:val="en-US"/>
        </w:rPr>
        <w:t xml:space="preserve"> we will consider a medium-to-long run effect on profits, based on the findings reported above. Hence, we will assume that the costs of beneficiary firms </w:t>
      </w:r>
      <w:r w:rsidRPr="00F6592B" w:rsidR="00F641CA">
        <w:rPr>
          <w:rFonts w:ascii="Arial" w:hAnsi="Arial" w:cs="Arial"/>
          <w:sz w:val="22"/>
          <w:szCs w:val="22"/>
          <w:lang w:val="en-US"/>
        </w:rPr>
        <w:t>reduce</w:t>
      </w:r>
      <w:r w:rsidRPr="00F6592B" w:rsidR="008F0F95">
        <w:rPr>
          <w:rFonts w:ascii="Arial" w:hAnsi="Arial" w:cs="Arial"/>
          <w:sz w:val="22"/>
          <w:szCs w:val="22"/>
          <w:lang w:val="en-US"/>
        </w:rPr>
        <w:t xml:space="preserve"> in 4% only after the fourth year of execution. With this, we want to reflect that efficiency gains from this kind of intervention take time to materialize but yield economic benefits in the long run.</w:t>
      </w:r>
    </w:p>
    <w:p w:rsidRPr="00F6592B" w:rsidR="002E66FA" w:rsidP="00B3379B" w:rsidRDefault="002E66FA" w14:paraId="6EEAD069" w14:textId="697BD5EB">
      <w:pPr>
        <w:pStyle w:val="Paragraph"/>
        <w:rPr>
          <w:rFonts w:ascii="Arial" w:hAnsi="Arial" w:cs="Arial"/>
          <w:sz w:val="22"/>
          <w:szCs w:val="22"/>
          <w:lang w:val="en-US"/>
        </w:rPr>
      </w:pPr>
      <w:r w:rsidRPr="00F6592B">
        <w:rPr>
          <w:rFonts w:ascii="Arial" w:hAnsi="Arial" w:cs="Arial"/>
          <w:b/>
          <w:sz w:val="22"/>
          <w:szCs w:val="22"/>
          <w:lang w:val="en-US"/>
        </w:rPr>
        <w:t xml:space="preserve">Investment Costs. </w:t>
      </w:r>
      <w:r w:rsidRPr="00F6592B">
        <w:rPr>
          <w:rFonts w:ascii="Arial" w:hAnsi="Arial" w:cs="Arial"/>
          <w:sz w:val="22"/>
          <w:lang w:val="en-US"/>
        </w:rPr>
        <w:t xml:space="preserve">The total amount of the operation destined to the credit guarantee component is US$ 22 million. However, given that the guarantees will cover for 75% of total loan value, this implies that the </w:t>
      </w:r>
      <w:r w:rsidR="0024725B">
        <w:rPr>
          <w:rFonts w:ascii="Arial" w:hAnsi="Arial" w:cs="Arial"/>
          <w:sz w:val="22"/>
          <w:lang w:val="en-US"/>
        </w:rPr>
        <w:t>$</w:t>
      </w:r>
      <w:r w:rsidRPr="00F6592B">
        <w:rPr>
          <w:rFonts w:ascii="Arial" w:hAnsi="Arial" w:cs="Arial"/>
          <w:sz w:val="22"/>
          <w:lang w:val="en-US"/>
        </w:rPr>
        <w:t xml:space="preserve">22 million will guarantee US$29.3 million in loans. We will use this latest value as the program cost that we assume will be disbursed in equal quantities of US$7.3 million during the four years of execution. </w:t>
      </w:r>
      <w:proofErr w:type="gramStart"/>
      <w:r w:rsidRPr="00F6592B">
        <w:rPr>
          <w:rFonts w:ascii="Arial" w:hAnsi="Arial" w:cs="Arial"/>
          <w:sz w:val="22"/>
          <w:lang w:val="en-US"/>
        </w:rPr>
        <w:t>Later on</w:t>
      </w:r>
      <w:proofErr w:type="gramEnd"/>
      <w:r w:rsidRPr="00F6592B">
        <w:rPr>
          <w:rFonts w:ascii="Arial" w:hAnsi="Arial" w:cs="Arial"/>
          <w:sz w:val="22"/>
          <w:lang w:val="en-US"/>
        </w:rPr>
        <w:t>, the repaid amounts of the loans will free guarantee funds that will enable to re-use them to guarantee new operations in the timeline of the analysis.</w:t>
      </w:r>
    </w:p>
    <w:p w:rsidRPr="00F6592B" w:rsidR="002E66FA" w:rsidP="00B3379B" w:rsidRDefault="002E66FA" w14:paraId="36D10BBB" w14:textId="50A53479">
      <w:pPr>
        <w:pStyle w:val="Paragraph"/>
        <w:rPr>
          <w:rFonts w:ascii="Arial" w:hAnsi="Arial" w:cs="Arial"/>
          <w:sz w:val="22"/>
          <w:szCs w:val="22"/>
          <w:lang w:val="en-US"/>
        </w:rPr>
      </w:pPr>
      <w:r w:rsidRPr="00F6592B">
        <w:rPr>
          <w:rFonts w:ascii="Arial" w:hAnsi="Arial" w:cs="Arial"/>
          <w:b/>
          <w:sz w:val="22"/>
          <w:szCs w:val="22"/>
          <w:lang w:val="en-US"/>
        </w:rPr>
        <w:lastRenderedPageBreak/>
        <w:t xml:space="preserve">Inflation rate. </w:t>
      </w:r>
      <w:r w:rsidRPr="00F6592B">
        <w:rPr>
          <w:rFonts w:ascii="Arial" w:hAnsi="Arial" w:cs="Arial"/>
          <w:sz w:val="22"/>
          <w:szCs w:val="22"/>
          <w:lang w:val="en-US"/>
        </w:rPr>
        <w:t>We will consider an annual inflation rate of 2.2% which corresponds to the projected annual inflation rate from 2019 to 2023 by the IMF (World Economic Outlook 2019).</w:t>
      </w:r>
    </w:p>
    <w:p w:rsidRPr="00DB76FA" w:rsidR="005D1A49" w:rsidP="00DB76FA" w:rsidRDefault="0067649B" w14:paraId="076D78A9" w14:textId="55F7CAB6">
      <w:pPr>
        <w:pStyle w:val="Paragraph"/>
        <w:rPr>
          <w:rFonts w:ascii="Arial" w:hAnsi="Arial" w:cs="Arial"/>
          <w:sz w:val="22"/>
          <w:szCs w:val="22"/>
          <w:lang w:val="en-US"/>
        </w:rPr>
      </w:pPr>
      <w:r w:rsidRPr="00F6592B">
        <w:rPr>
          <w:rFonts w:ascii="Arial" w:hAnsi="Arial" w:cs="Arial"/>
          <w:b/>
          <w:sz w:val="22"/>
          <w:szCs w:val="22"/>
          <w:lang w:val="en-US"/>
        </w:rPr>
        <w:t>Counterfactual scenario.</w:t>
      </w:r>
      <w:r w:rsidRPr="00F6592B">
        <w:rPr>
          <w:rFonts w:ascii="Arial" w:hAnsi="Arial" w:cs="Arial"/>
          <w:sz w:val="22"/>
          <w:szCs w:val="22"/>
          <w:lang w:val="en-US"/>
        </w:rPr>
        <w:t xml:space="preserve"> The scenario without project consist of one in which the MSME don’t have access to the necessary credit to finance their investments. Hence, in this situation, their sales and costs will continue to grow at a constant rate (given in this case by inflation</w:t>
      </w:r>
      <w:r w:rsidRPr="00F6592B">
        <w:rPr>
          <w:rStyle w:val="FootnoteReference"/>
          <w:rFonts w:ascii="Arial" w:hAnsi="Arial" w:cs="Arial"/>
          <w:sz w:val="22"/>
          <w:szCs w:val="22"/>
          <w:lang w:val="en-US"/>
        </w:rPr>
        <w:footnoteReference w:id="14"/>
      </w:r>
      <w:r w:rsidRPr="00F6592B">
        <w:rPr>
          <w:rFonts w:ascii="Arial" w:hAnsi="Arial" w:cs="Arial"/>
          <w:sz w:val="22"/>
          <w:szCs w:val="22"/>
          <w:lang w:val="en-US"/>
        </w:rPr>
        <w:t xml:space="preserve">). </w:t>
      </w:r>
    </w:p>
    <w:p w:rsidRPr="00DB76FA" w:rsidR="005D1A49" w:rsidP="00DB76FA" w:rsidRDefault="00260390" w14:paraId="123CEA3A" w14:textId="62141EE3">
      <w:pPr>
        <w:pStyle w:val="Chapter"/>
        <w:tabs>
          <w:tab w:val="clear" w:pos="1800"/>
          <w:tab w:val="num" w:pos="648"/>
        </w:tabs>
        <w:ind w:left="0"/>
        <w:rPr>
          <w:rFonts w:ascii="Arial" w:hAnsi="Arial" w:cs="Arial"/>
          <w:sz w:val="22"/>
          <w:szCs w:val="22"/>
          <w:lang w:val="en-US"/>
        </w:rPr>
      </w:pPr>
      <w:bookmarkStart w:name="_Toc6043645" w:id="8"/>
      <w:r w:rsidRPr="00F6592B">
        <w:rPr>
          <w:rFonts w:ascii="Arial" w:hAnsi="Arial" w:cs="Arial"/>
          <w:sz w:val="22"/>
          <w:szCs w:val="22"/>
          <w:lang w:val="en-US"/>
        </w:rPr>
        <w:t>Economic Benefit Assessment</w:t>
      </w:r>
      <w:bookmarkEnd w:id="8"/>
      <w:r w:rsidRPr="00F6592B" w:rsidR="005D1A49">
        <w:rPr>
          <w:rFonts w:ascii="Arial" w:hAnsi="Arial" w:cs="Arial"/>
          <w:sz w:val="22"/>
          <w:szCs w:val="22"/>
          <w:lang w:val="en-US"/>
        </w:rPr>
        <w:t xml:space="preserve"> </w:t>
      </w:r>
    </w:p>
    <w:p w:rsidRPr="00F6592B" w:rsidR="00B3379B" w:rsidP="0067649B" w:rsidRDefault="0067649B" w14:paraId="771F882D" w14:textId="045FBBC6">
      <w:pPr>
        <w:pStyle w:val="Paragraph"/>
        <w:rPr>
          <w:rFonts w:ascii="Arial" w:hAnsi="Arial" w:cs="Arial"/>
          <w:sz w:val="22"/>
          <w:szCs w:val="22"/>
          <w:lang w:val="en-US"/>
        </w:rPr>
      </w:pPr>
      <w:r w:rsidRPr="00F6592B">
        <w:rPr>
          <w:rFonts w:ascii="Arial" w:hAnsi="Arial" w:cs="Arial"/>
          <w:b/>
          <w:sz w:val="22"/>
          <w:szCs w:val="22"/>
          <w:lang w:val="en-US"/>
        </w:rPr>
        <w:t xml:space="preserve">Economic benefits. </w:t>
      </w:r>
      <w:r w:rsidRPr="00F6592B">
        <w:rPr>
          <w:rFonts w:ascii="Arial" w:hAnsi="Arial" w:cs="Arial"/>
          <w:sz w:val="22"/>
          <w:szCs w:val="22"/>
          <w:lang w:val="en-US"/>
        </w:rPr>
        <w:t xml:space="preserve">The economic benefits of the project are calculated as the expected increase in beneficiaries’ revenue. For </w:t>
      </w:r>
      <w:r w:rsidRPr="00F6592B" w:rsidR="008C7130">
        <w:rPr>
          <w:rFonts w:ascii="Arial" w:hAnsi="Arial" w:cs="Arial"/>
          <w:sz w:val="22"/>
          <w:szCs w:val="22"/>
          <w:lang w:val="en-US"/>
        </w:rPr>
        <w:t>each beneficiary, first year benefits are calculated by applying the assumed 4% increase in sales to the corresponding sales in a scenario with no project. From year two onwards, the benefit is calculated using the 8% increase in sales take from empirical literature (se previous section). As mentioned before, the no-project sales growth at the assumed inflation rate of 2.2%.</w:t>
      </w:r>
      <w:r w:rsidRPr="00F6592B" w:rsidR="00F6592B">
        <w:rPr>
          <w:rFonts w:ascii="Arial" w:hAnsi="Arial" w:cs="Arial"/>
          <w:sz w:val="22"/>
          <w:szCs w:val="22"/>
          <w:lang w:val="en-US"/>
        </w:rPr>
        <w:t xml:space="preserve"> Se</w:t>
      </w:r>
      <w:r w:rsidR="00095FB6">
        <w:rPr>
          <w:rFonts w:ascii="Arial" w:hAnsi="Arial" w:cs="Arial"/>
          <w:sz w:val="22"/>
          <w:szCs w:val="22"/>
          <w:lang w:val="en-US"/>
        </w:rPr>
        <w:t>e</w:t>
      </w:r>
      <w:r w:rsidRPr="00F6592B" w:rsidR="00F6592B">
        <w:rPr>
          <w:rFonts w:ascii="Arial" w:hAnsi="Arial" w:cs="Arial"/>
          <w:sz w:val="22"/>
          <w:szCs w:val="22"/>
          <w:lang w:val="en-US"/>
        </w:rPr>
        <w:t xml:space="preserve"> </w:t>
      </w:r>
      <w:r w:rsidRPr="00095FB6" w:rsidR="00095FB6">
        <w:rPr>
          <w:rFonts w:ascii="Arial" w:hAnsi="Arial" w:cs="Arial"/>
          <w:sz w:val="22"/>
          <w:szCs w:val="22"/>
          <w:lang w:val="en-US"/>
        </w:rPr>
        <w:fldChar w:fldCharType="begin"/>
      </w:r>
      <w:r w:rsidRPr="00095FB6" w:rsidR="00095FB6">
        <w:rPr>
          <w:rFonts w:ascii="Arial" w:hAnsi="Arial" w:cs="Arial"/>
          <w:sz w:val="22"/>
          <w:szCs w:val="22"/>
          <w:lang w:val="en-US"/>
        </w:rPr>
        <w:instrText xml:space="preserve"> REF _Ref6136058 \h  \* MERGEFORMAT </w:instrText>
      </w:r>
      <w:r w:rsidRPr="00095FB6" w:rsidR="00095FB6">
        <w:rPr>
          <w:rFonts w:ascii="Arial" w:hAnsi="Arial" w:cs="Arial"/>
          <w:sz w:val="22"/>
          <w:szCs w:val="22"/>
          <w:lang w:val="en-US"/>
        </w:rPr>
      </w:r>
      <w:r w:rsidRPr="00095FB6" w:rsidR="00095FB6">
        <w:rPr>
          <w:rFonts w:ascii="Arial" w:hAnsi="Arial" w:cs="Arial"/>
          <w:sz w:val="22"/>
          <w:szCs w:val="22"/>
          <w:lang w:val="en-US"/>
        </w:rPr>
        <w:fldChar w:fldCharType="separate"/>
      </w:r>
      <w:r w:rsidRPr="00095FB6" w:rsidR="00095FB6">
        <w:rPr>
          <w:rFonts w:ascii="Arial" w:hAnsi="Arial" w:cs="Arial"/>
          <w:sz w:val="22"/>
          <w:szCs w:val="22"/>
          <w:lang w:val="en-US"/>
        </w:rPr>
        <w:t>Table 3</w:t>
      </w:r>
      <w:r w:rsidRPr="00095FB6" w:rsidR="00095FB6">
        <w:rPr>
          <w:rFonts w:ascii="Arial" w:hAnsi="Arial" w:cs="Arial"/>
          <w:sz w:val="22"/>
          <w:szCs w:val="22"/>
          <w:lang w:val="en-US"/>
        </w:rPr>
        <w:fldChar w:fldCharType="end"/>
      </w:r>
      <w:r w:rsidRPr="00F6592B" w:rsidR="00F6592B">
        <w:rPr>
          <w:rFonts w:ascii="Arial" w:hAnsi="Arial" w:cs="Arial"/>
          <w:sz w:val="22"/>
          <w:szCs w:val="22"/>
          <w:lang w:val="en-US"/>
        </w:rPr>
        <w:t xml:space="preserve"> for further details.</w:t>
      </w:r>
    </w:p>
    <w:p w:rsidRPr="00F6592B" w:rsidR="006327A9" w:rsidP="0067649B" w:rsidRDefault="008C7130" w14:paraId="311CF896" w14:textId="299E8701">
      <w:pPr>
        <w:pStyle w:val="Paragraph"/>
        <w:rPr>
          <w:rFonts w:ascii="Arial" w:hAnsi="Arial" w:cs="Arial"/>
          <w:sz w:val="22"/>
          <w:szCs w:val="22"/>
          <w:lang w:val="en-US"/>
        </w:rPr>
      </w:pPr>
      <w:r w:rsidRPr="00F6592B">
        <w:rPr>
          <w:rFonts w:ascii="Arial" w:hAnsi="Arial" w:cs="Arial"/>
          <w:b/>
          <w:sz w:val="22"/>
          <w:szCs w:val="22"/>
          <w:lang w:val="en-US"/>
        </w:rPr>
        <w:t>Economic costs.</w:t>
      </w:r>
      <w:r w:rsidRPr="00F6592B">
        <w:rPr>
          <w:rFonts w:ascii="Arial" w:hAnsi="Arial" w:cs="Arial"/>
          <w:sz w:val="22"/>
          <w:szCs w:val="22"/>
          <w:lang w:val="en-US"/>
        </w:rPr>
        <w:t xml:space="preserve"> The economic costs considered in this analysis consist on</w:t>
      </w:r>
      <w:r w:rsidRPr="00F6592B" w:rsidR="006327A9">
        <w:rPr>
          <w:rFonts w:ascii="Arial" w:hAnsi="Arial" w:cs="Arial"/>
          <w:sz w:val="22"/>
          <w:szCs w:val="22"/>
          <w:lang w:val="en-US"/>
        </w:rPr>
        <w:t>:</w:t>
      </w:r>
    </w:p>
    <w:p w:rsidRPr="00F6592B" w:rsidR="00245CB4" w:rsidP="00245CB4" w:rsidRDefault="00245CB4" w14:paraId="69A462EB" w14:textId="77777777">
      <w:pPr>
        <w:pStyle w:val="SubSubPar"/>
        <w:rPr>
          <w:rFonts w:ascii="Arial" w:hAnsi="Arial" w:cs="Arial"/>
          <w:sz w:val="22"/>
          <w:szCs w:val="22"/>
          <w:lang w:val="en-US"/>
        </w:rPr>
      </w:pPr>
      <w:r w:rsidRPr="00F6592B">
        <w:rPr>
          <w:rFonts w:ascii="Arial" w:hAnsi="Arial" w:cs="Arial"/>
          <w:sz w:val="22"/>
          <w:szCs w:val="22"/>
          <w:lang w:val="en-US"/>
        </w:rPr>
        <w:t>The total loan value, which has a 75% covered by the guarantee fund. At the aggregate level, it is expected that the funds will be disbursed in equal parts during the four years of execution. Hence, there will be an investment cost each of the first four years of the analysis.</w:t>
      </w:r>
    </w:p>
    <w:p w:rsidRPr="00F6592B" w:rsidR="00245CB4" w:rsidP="00245CB4" w:rsidRDefault="00245CB4" w14:paraId="6273C030" w14:textId="77777777">
      <w:pPr>
        <w:pStyle w:val="SubSubPar"/>
        <w:rPr>
          <w:rFonts w:ascii="Arial" w:hAnsi="Arial" w:cs="Arial"/>
          <w:sz w:val="22"/>
          <w:szCs w:val="22"/>
          <w:lang w:val="en-US"/>
        </w:rPr>
      </w:pPr>
      <w:r w:rsidRPr="00F6592B">
        <w:rPr>
          <w:rFonts w:ascii="Arial" w:hAnsi="Arial" w:cs="Arial"/>
          <w:sz w:val="22"/>
          <w:szCs w:val="22"/>
          <w:lang w:val="en-US"/>
        </w:rPr>
        <w:t>Operating costs. These are calculated using the information on sales and operating margin for the beneficiaries. It is assumed that there are no short run effects on this variable (during the first four years that coincide with the execution period). However, as mentioned before, we will assume that there is a cost improvement of 4% starting in the fifth year, hence increasing the operating profit, as previous literature has found.</w:t>
      </w:r>
    </w:p>
    <w:p w:rsidRPr="00DB76FA" w:rsidR="00245CB4" w:rsidP="00DB76FA" w:rsidRDefault="00245CB4" w14:paraId="41AE07D5" w14:textId="64E88D5C">
      <w:pPr>
        <w:pStyle w:val="SubSubPar"/>
        <w:rPr>
          <w:rFonts w:ascii="Arial" w:hAnsi="Arial" w:cs="Arial"/>
          <w:sz w:val="22"/>
          <w:szCs w:val="22"/>
          <w:lang w:val="en-US"/>
        </w:rPr>
      </w:pPr>
      <w:r w:rsidRPr="00F6592B">
        <w:rPr>
          <w:rFonts w:ascii="Arial" w:hAnsi="Arial" w:cs="Arial"/>
          <w:sz w:val="22"/>
          <w:szCs w:val="22"/>
          <w:lang w:val="en-US"/>
        </w:rPr>
        <w:t xml:space="preserve">At the aggregate level we will include during the execution years of the project the disbursements associated with the second component of the operation. Although it is expected that the technical assistance provided to MSME will improve not only their chances of getting credit, but also their ability to perform better, and hence positively affect revenue growth, we opt not to have an explicit modelling of their associated benefit for simplicity. However, we include the associated cost in order to account for the total program investment. </w:t>
      </w:r>
    </w:p>
    <w:p w:rsidRPr="00F6592B" w:rsidR="00F6592B" w:rsidP="00245CB4" w:rsidRDefault="00F6592B" w14:paraId="502D2080" w14:textId="189512BB">
      <w:pPr>
        <w:pStyle w:val="Paragraph"/>
        <w:rPr>
          <w:rFonts w:ascii="Arial" w:hAnsi="Arial" w:cs="Arial"/>
          <w:sz w:val="22"/>
          <w:lang w:val="en-US"/>
        </w:rPr>
      </w:pPr>
      <w:r w:rsidRPr="00F6592B">
        <w:rPr>
          <w:rFonts w:ascii="Arial" w:hAnsi="Arial" w:cs="Arial"/>
          <w:b/>
          <w:sz w:val="22"/>
          <w:lang w:val="en-US"/>
        </w:rPr>
        <w:t xml:space="preserve">Aggregation. </w:t>
      </w:r>
      <w:r w:rsidRPr="00F6592B">
        <w:rPr>
          <w:rFonts w:ascii="Arial" w:hAnsi="Arial" w:cs="Arial"/>
          <w:sz w:val="22"/>
          <w:lang w:val="en-US"/>
        </w:rPr>
        <w:t>To aggregate the flows from the individual level to the program level</w:t>
      </w:r>
      <w:r>
        <w:rPr>
          <w:rFonts w:ascii="Arial" w:hAnsi="Arial" w:cs="Arial"/>
          <w:sz w:val="22"/>
          <w:lang w:val="en-US"/>
        </w:rPr>
        <w:t xml:space="preserve"> we multiply individual level-variables by the number of total beneficiaries per year. For this </w:t>
      </w:r>
      <w:r w:rsidR="00095FB6">
        <w:rPr>
          <w:rFonts w:ascii="Arial" w:hAnsi="Arial" w:cs="Arial"/>
          <w:sz w:val="22"/>
          <w:lang w:val="en-US"/>
        </w:rPr>
        <w:t>purpose,</w:t>
      </w:r>
      <w:r>
        <w:rPr>
          <w:rFonts w:ascii="Arial" w:hAnsi="Arial" w:cs="Arial"/>
          <w:sz w:val="22"/>
          <w:lang w:val="en-US"/>
        </w:rPr>
        <w:t xml:space="preserve"> we utilize the assumed distribution of project beneficiaries for the CEF timeline (see </w:t>
      </w:r>
      <w:r w:rsidRPr="00095FB6" w:rsidR="00095FB6">
        <w:rPr>
          <w:rFonts w:ascii="Arial" w:hAnsi="Arial" w:cs="Arial"/>
          <w:sz w:val="22"/>
          <w:lang w:val="en-US"/>
        </w:rPr>
        <w:fldChar w:fldCharType="begin"/>
      </w:r>
      <w:r w:rsidR="00095FB6">
        <w:rPr>
          <w:rFonts w:ascii="Arial" w:hAnsi="Arial" w:cs="Arial"/>
          <w:sz w:val="22"/>
          <w:lang w:val="en-US"/>
        </w:rPr>
        <w:instrText xml:space="preserve"> REF _Ref6136100 \h  \* MERGEFORMAT </w:instrText>
      </w:r>
      <w:r w:rsidRPr="00095FB6" w:rsidR="00095FB6">
        <w:rPr>
          <w:rFonts w:ascii="Arial" w:hAnsi="Arial" w:cs="Arial"/>
          <w:sz w:val="22"/>
          <w:lang w:val="en-US"/>
        </w:rPr>
      </w:r>
      <w:r w:rsidRPr="00095FB6" w:rsidR="00095FB6">
        <w:rPr>
          <w:rFonts w:ascii="Arial" w:hAnsi="Arial" w:cs="Arial"/>
          <w:sz w:val="22"/>
          <w:lang w:val="en-US"/>
        </w:rPr>
        <w:fldChar w:fldCharType="separate"/>
      </w:r>
      <w:r w:rsidRPr="00095FB6" w:rsidR="00095FB6">
        <w:rPr>
          <w:rFonts w:ascii="Arial" w:hAnsi="Arial" w:cs="Arial"/>
          <w:sz w:val="22"/>
          <w:lang w:val="en-US"/>
        </w:rPr>
        <w:t>Table 2</w:t>
      </w:r>
      <w:r w:rsidRPr="00095FB6" w:rsidR="00095FB6">
        <w:rPr>
          <w:rFonts w:ascii="Arial" w:hAnsi="Arial" w:cs="Arial"/>
          <w:sz w:val="22"/>
          <w:lang w:val="en-US"/>
        </w:rPr>
        <w:fldChar w:fldCharType="end"/>
      </w:r>
      <w:r>
        <w:rPr>
          <w:rFonts w:ascii="Arial" w:hAnsi="Arial" w:cs="Arial"/>
          <w:sz w:val="22"/>
          <w:lang w:val="en-US"/>
        </w:rPr>
        <w:t xml:space="preserve">) provided by SBDC. Each year the total number of </w:t>
      </w:r>
      <w:r>
        <w:rPr>
          <w:rFonts w:ascii="Arial" w:hAnsi="Arial" w:cs="Arial"/>
          <w:sz w:val="22"/>
          <w:lang w:val="en-US"/>
        </w:rPr>
        <w:lastRenderedPageBreak/>
        <w:t>beneficiaries consist of new beneficiaries (thanks to original CEF funds allocation for the first four years, plus available funds due to loan repayments) and previous years beneficiaries (since we are assuming that the effects on production are long-lasting).</w:t>
      </w:r>
    </w:p>
    <w:p w:rsidRPr="00F6592B" w:rsidR="00245CB4" w:rsidP="00245CB4" w:rsidRDefault="00245CB4" w14:paraId="268584DB" w14:textId="717750E6">
      <w:pPr>
        <w:pStyle w:val="Paragraph"/>
        <w:rPr>
          <w:rFonts w:ascii="Arial" w:hAnsi="Arial" w:cs="Arial"/>
          <w:sz w:val="22"/>
          <w:szCs w:val="22"/>
          <w:lang w:val="en-US"/>
        </w:rPr>
      </w:pPr>
      <w:r w:rsidRPr="00F6592B">
        <w:rPr>
          <w:rFonts w:ascii="Arial" w:hAnsi="Arial" w:cs="Arial"/>
          <w:b/>
          <w:sz w:val="22"/>
          <w:szCs w:val="22"/>
          <w:lang w:val="en-US"/>
        </w:rPr>
        <w:t>Net benefits.</w:t>
      </w:r>
      <w:r w:rsidRPr="00F6592B">
        <w:rPr>
          <w:rFonts w:ascii="Arial" w:hAnsi="Arial" w:cs="Arial"/>
          <w:sz w:val="22"/>
          <w:szCs w:val="22"/>
          <w:lang w:val="en-US"/>
        </w:rPr>
        <w:t xml:space="preserve"> The flow of net benefits is calculated as the difference between the net flows in the </w:t>
      </w:r>
      <w:r w:rsidR="00F6592B">
        <w:rPr>
          <w:rFonts w:ascii="Arial" w:hAnsi="Arial" w:cs="Arial"/>
          <w:sz w:val="22"/>
          <w:szCs w:val="22"/>
          <w:lang w:val="en-US"/>
        </w:rPr>
        <w:t>with-</w:t>
      </w:r>
      <w:r w:rsidRPr="00F6592B" w:rsidR="00F6592B">
        <w:rPr>
          <w:rFonts w:ascii="Arial" w:hAnsi="Arial" w:cs="Arial"/>
          <w:sz w:val="22"/>
          <w:szCs w:val="22"/>
          <w:lang w:val="en-US"/>
        </w:rPr>
        <w:t>program</w:t>
      </w:r>
      <w:r w:rsidRPr="00F6592B">
        <w:rPr>
          <w:rFonts w:ascii="Arial" w:hAnsi="Arial" w:cs="Arial"/>
          <w:sz w:val="22"/>
          <w:szCs w:val="22"/>
          <w:lang w:val="en-US"/>
        </w:rPr>
        <w:t xml:space="preserve"> scenario (which equals total sales minus operating costs, investment cost and </w:t>
      </w:r>
      <w:r w:rsidR="005A082B">
        <w:rPr>
          <w:rFonts w:ascii="Arial" w:hAnsi="Arial" w:cs="Arial"/>
          <w:sz w:val="22"/>
          <w:szCs w:val="22"/>
          <w:lang w:val="en-US"/>
        </w:rPr>
        <w:t>C</w:t>
      </w:r>
      <w:r w:rsidRPr="00F6592B">
        <w:rPr>
          <w:rFonts w:ascii="Arial" w:hAnsi="Arial" w:cs="Arial"/>
          <w:sz w:val="22"/>
          <w:szCs w:val="22"/>
          <w:lang w:val="en-US"/>
        </w:rPr>
        <w:t xml:space="preserve">omponent </w:t>
      </w:r>
      <w:r w:rsidR="005A082B">
        <w:rPr>
          <w:rFonts w:ascii="Arial" w:hAnsi="Arial" w:cs="Arial"/>
          <w:sz w:val="22"/>
          <w:szCs w:val="22"/>
          <w:lang w:val="en-US"/>
        </w:rPr>
        <w:t xml:space="preserve">2 </w:t>
      </w:r>
      <w:r w:rsidRPr="00F6592B">
        <w:rPr>
          <w:rFonts w:ascii="Arial" w:hAnsi="Arial" w:cs="Arial"/>
          <w:sz w:val="22"/>
          <w:szCs w:val="22"/>
          <w:lang w:val="en-US"/>
        </w:rPr>
        <w:t>costs)</w:t>
      </w:r>
      <w:r w:rsidRPr="00F6592B" w:rsidR="00F6592B">
        <w:rPr>
          <w:rFonts w:ascii="Arial" w:hAnsi="Arial" w:cs="Arial"/>
          <w:sz w:val="22"/>
          <w:szCs w:val="22"/>
          <w:lang w:val="en-US"/>
        </w:rPr>
        <w:t xml:space="preserve"> and the net flows in the scenario with no program (sales minus operating costs).</w:t>
      </w:r>
    </w:p>
    <w:p w:rsidR="00F6592B" w:rsidP="00245CB4" w:rsidRDefault="00F6592B" w14:paraId="42DCC8C5" w14:textId="57F5B98A">
      <w:pPr>
        <w:pStyle w:val="Paragraph"/>
        <w:rPr>
          <w:rFonts w:ascii="Arial" w:hAnsi="Arial" w:cs="Arial"/>
          <w:sz w:val="22"/>
          <w:szCs w:val="22"/>
          <w:lang w:val="en-US"/>
        </w:rPr>
      </w:pPr>
      <w:r w:rsidRPr="00F6592B">
        <w:rPr>
          <w:rFonts w:ascii="Arial" w:hAnsi="Arial" w:cs="Arial"/>
          <w:b/>
          <w:sz w:val="22"/>
          <w:szCs w:val="22"/>
          <w:lang w:val="en-US"/>
        </w:rPr>
        <w:t>Net present value (NPV).</w:t>
      </w:r>
      <w:r w:rsidRPr="00F6592B">
        <w:rPr>
          <w:rFonts w:ascii="Arial" w:hAnsi="Arial" w:cs="Arial"/>
          <w:sz w:val="22"/>
          <w:szCs w:val="22"/>
          <w:lang w:val="en-US"/>
        </w:rPr>
        <w:t xml:space="preserve"> The estimated NVP for the program is US$ </w:t>
      </w:r>
      <w:r w:rsidR="00322D37">
        <w:rPr>
          <w:rFonts w:ascii="Arial" w:hAnsi="Arial" w:cs="Arial"/>
          <w:sz w:val="22"/>
          <w:szCs w:val="22"/>
          <w:lang w:val="en-US"/>
        </w:rPr>
        <w:t>25.6</w:t>
      </w:r>
      <w:r w:rsidRPr="00F6592B">
        <w:rPr>
          <w:rFonts w:ascii="Arial" w:hAnsi="Arial" w:cs="Arial"/>
          <w:sz w:val="22"/>
          <w:szCs w:val="22"/>
          <w:lang w:val="en-US"/>
        </w:rPr>
        <w:t xml:space="preserve"> million with a</w:t>
      </w:r>
      <w:r w:rsidR="001A4A65">
        <w:rPr>
          <w:rFonts w:ascii="Arial" w:hAnsi="Arial" w:cs="Arial"/>
          <w:sz w:val="22"/>
          <w:szCs w:val="22"/>
          <w:lang w:val="en-US"/>
        </w:rPr>
        <w:t>n</w:t>
      </w:r>
      <w:r w:rsidRPr="00F6592B">
        <w:rPr>
          <w:rFonts w:ascii="Arial" w:hAnsi="Arial" w:cs="Arial"/>
          <w:sz w:val="22"/>
          <w:szCs w:val="22"/>
          <w:lang w:val="en-US"/>
        </w:rPr>
        <w:t xml:space="preserve"> internal rate of return (IRR) of </w:t>
      </w:r>
      <w:r w:rsidR="00322D37">
        <w:rPr>
          <w:rFonts w:ascii="Arial" w:hAnsi="Arial" w:cs="Arial"/>
          <w:sz w:val="22"/>
          <w:szCs w:val="22"/>
          <w:lang w:val="en-US"/>
        </w:rPr>
        <w:t>20</w:t>
      </w:r>
      <w:r w:rsidRPr="00F6592B">
        <w:rPr>
          <w:rFonts w:ascii="Arial" w:hAnsi="Arial" w:cs="Arial"/>
          <w:sz w:val="22"/>
          <w:szCs w:val="22"/>
          <w:lang w:val="en-US"/>
        </w:rPr>
        <w:t>%.</w:t>
      </w:r>
    </w:p>
    <w:p w:rsidR="00021801" w:rsidP="00021801" w:rsidRDefault="00021801" w14:paraId="6D08FBF9" w14:textId="2E068688">
      <w:pPr>
        <w:pStyle w:val="Paragraph"/>
        <w:rPr>
          <w:rFonts w:ascii="Arial" w:hAnsi="Arial" w:cs="Arial"/>
          <w:sz w:val="22"/>
          <w:szCs w:val="22"/>
          <w:lang w:val="en-US"/>
        </w:rPr>
      </w:pPr>
      <w:r w:rsidRPr="004F31B6">
        <w:rPr>
          <w:rFonts w:ascii="Arial" w:hAnsi="Arial" w:cs="Arial"/>
          <w:b/>
          <w:sz w:val="22"/>
          <w:szCs w:val="22"/>
          <w:lang w:val="en-US"/>
        </w:rPr>
        <w:t>Sensitivity analysis.</w:t>
      </w:r>
      <w:r w:rsidRPr="004F31B6">
        <w:rPr>
          <w:rFonts w:ascii="Arial" w:hAnsi="Arial" w:cs="Arial"/>
          <w:sz w:val="22"/>
          <w:szCs w:val="22"/>
          <w:lang w:val="en-US"/>
        </w:rPr>
        <w:t xml:space="preserve"> </w:t>
      </w:r>
      <w:r w:rsidRPr="004F31B6" w:rsidR="00EA66FC">
        <w:rPr>
          <w:rFonts w:ascii="Arial" w:hAnsi="Arial" w:cs="Arial"/>
          <w:sz w:val="22"/>
          <w:szCs w:val="22"/>
          <w:lang w:val="en-US"/>
        </w:rPr>
        <w:t>A sensitivity analysis was carried out in which we stressed some key parameters of the model in order to determine their impact in the program</w:t>
      </w:r>
      <w:r w:rsidRPr="004F31B6" w:rsidR="00F66CA0">
        <w:rPr>
          <w:rFonts w:ascii="Arial" w:hAnsi="Arial" w:cs="Arial"/>
          <w:sz w:val="22"/>
          <w:szCs w:val="22"/>
          <w:lang w:val="en-US"/>
        </w:rPr>
        <w:t>’s</w:t>
      </w:r>
      <w:r w:rsidRPr="004F31B6" w:rsidR="00EA66FC">
        <w:rPr>
          <w:rFonts w:ascii="Arial" w:hAnsi="Arial" w:cs="Arial"/>
          <w:sz w:val="22"/>
          <w:szCs w:val="22"/>
          <w:lang w:val="en-US"/>
        </w:rPr>
        <w:t xml:space="preserve"> NPV. Thus, we observ</w:t>
      </w:r>
      <w:r w:rsidRPr="004F31B6" w:rsidR="00F66CA0">
        <w:rPr>
          <w:rFonts w:ascii="Arial" w:hAnsi="Arial" w:cs="Arial"/>
          <w:sz w:val="22"/>
          <w:szCs w:val="22"/>
          <w:lang w:val="en-US"/>
        </w:rPr>
        <w:t>e</w:t>
      </w:r>
      <w:r w:rsidRPr="004F31B6" w:rsidR="00EA66FC">
        <w:rPr>
          <w:rFonts w:ascii="Arial" w:hAnsi="Arial" w:cs="Arial"/>
          <w:sz w:val="22"/>
          <w:szCs w:val="22"/>
          <w:lang w:val="en-US"/>
        </w:rPr>
        <w:t xml:space="preserve"> that </w:t>
      </w:r>
      <w:r w:rsidRPr="004F31B6" w:rsidR="0016306F">
        <w:rPr>
          <w:rFonts w:ascii="Arial" w:hAnsi="Arial" w:cs="Arial"/>
          <w:sz w:val="22"/>
          <w:szCs w:val="22"/>
          <w:lang w:val="en-US"/>
        </w:rPr>
        <w:t xml:space="preserve">if the return rate of investment </w:t>
      </w:r>
      <w:r w:rsidR="000E0DB4">
        <w:rPr>
          <w:rFonts w:ascii="Arial" w:hAnsi="Arial" w:cs="Arial"/>
          <w:sz w:val="22"/>
          <w:szCs w:val="22"/>
          <w:lang w:val="en-US"/>
        </w:rPr>
        <w:t xml:space="preserve">(effect on additional sales) </w:t>
      </w:r>
      <w:r w:rsidRPr="004F31B6" w:rsidR="0016306F">
        <w:rPr>
          <w:rFonts w:ascii="Arial" w:hAnsi="Arial" w:cs="Arial"/>
          <w:sz w:val="22"/>
          <w:szCs w:val="22"/>
          <w:lang w:val="en-US"/>
        </w:rPr>
        <w:t xml:space="preserve">is zero, the NPV is still positive </w:t>
      </w:r>
      <w:proofErr w:type="gramStart"/>
      <w:r w:rsidRPr="004F31B6" w:rsidR="0016306F">
        <w:rPr>
          <w:rFonts w:ascii="Arial" w:hAnsi="Arial" w:cs="Arial"/>
          <w:sz w:val="22"/>
          <w:szCs w:val="22"/>
          <w:lang w:val="en-US"/>
        </w:rPr>
        <w:t>as long as</w:t>
      </w:r>
      <w:proofErr w:type="gramEnd"/>
      <w:r w:rsidRPr="004F31B6" w:rsidR="0016306F">
        <w:rPr>
          <w:rFonts w:ascii="Arial" w:hAnsi="Arial" w:cs="Arial"/>
          <w:sz w:val="22"/>
          <w:szCs w:val="22"/>
          <w:lang w:val="en-US"/>
        </w:rPr>
        <w:t xml:space="preserve"> there is some improvement in operating costs in the long run</w:t>
      </w:r>
      <w:r w:rsidRPr="004F31B6" w:rsidR="00EA66FC">
        <w:rPr>
          <w:rFonts w:ascii="Arial" w:hAnsi="Arial" w:cs="Arial"/>
          <w:sz w:val="22"/>
          <w:szCs w:val="22"/>
          <w:lang w:val="en-US"/>
        </w:rPr>
        <w:t xml:space="preserve">. </w:t>
      </w:r>
      <w:r w:rsidRPr="004F31B6" w:rsidR="0016306F">
        <w:rPr>
          <w:rFonts w:ascii="Arial" w:hAnsi="Arial" w:cs="Arial"/>
          <w:sz w:val="22"/>
          <w:szCs w:val="22"/>
          <w:lang w:val="en-US"/>
        </w:rPr>
        <w:t>On the other hand</w:t>
      </w:r>
      <w:r w:rsidRPr="004F31B6" w:rsidR="00EA66FC">
        <w:rPr>
          <w:rFonts w:ascii="Arial" w:hAnsi="Arial" w:cs="Arial"/>
          <w:sz w:val="22"/>
          <w:szCs w:val="22"/>
          <w:lang w:val="en-US"/>
        </w:rPr>
        <w:t>, when we stressed the cost</w:t>
      </w:r>
      <w:r w:rsidRPr="004F31B6" w:rsidR="0016306F">
        <w:rPr>
          <w:rFonts w:ascii="Arial" w:hAnsi="Arial" w:cs="Arial"/>
          <w:sz w:val="22"/>
          <w:szCs w:val="22"/>
          <w:lang w:val="en-US"/>
        </w:rPr>
        <w:t xml:space="preserve">-improvement </w:t>
      </w:r>
      <w:r w:rsidRPr="004F31B6" w:rsidR="00EA66FC">
        <w:rPr>
          <w:rFonts w:ascii="Arial" w:hAnsi="Arial" w:cs="Arial"/>
          <w:sz w:val="22"/>
          <w:szCs w:val="22"/>
          <w:lang w:val="en-US"/>
        </w:rPr>
        <w:t xml:space="preserve">parameter to </w:t>
      </w:r>
      <w:r w:rsidRPr="004F31B6" w:rsidR="0016306F">
        <w:rPr>
          <w:rFonts w:ascii="Arial" w:hAnsi="Arial" w:cs="Arial"/>
          <w:sz w:val="22"/>
          <w:szCs w:val="22"/>
          <w:lang w:val="en-US"/>
        </w:rPr>
        <w:t>1.</w:t>
      </w:r>
      <w:r w:rsidR="00322D37">
        <w:rPr>
          <w:rFonts w:ascii="Arial" w:hAnsi="Arial" w:cs="Arial"/>
          <w:sz w:val="22"/>
          <w:szCs w:val="22"/>
          <w:lang w:val="en-US"/>
        </w:rPr>
        <w:t>07</w:t>
      </w:r>
      <w:r w:rsidRPr="004F31B6" w:rsidR="00EA66FC">
        <w:rPr>
          <w:rFonts w:ascii="Arial" w:hAnsi="Arial" w:cs="Arial"/>
          <w:sz w:val="22"/>
          <w:szCs w:val="22"/>
          <w:lang w:val="en-US"/>
        </w:rPr>
        <w:t>%</w:t>
      </w:r>
      <w:r w:rsidRPr="004F31B6" w:rsidR="0016306F">
        <w:rPr>
          <w:rFonts w:ascii="Arial" w:hAnsi="Arial" w:cs="Arial"/>
          <w:sz w:val="22"/>
          <w:szCs w:val="22"/>
          <w:lang w:val="en-US"/>
        </w:rPr>
        <w:t xml:space="preserve">, the NPV get closer to zero. This shows the importance of the effects on profits in the long run of our 25 years analysis. However, given the length of this period, we consider </w:t>
      </w:r>
      <w:r w:rsidRPr="004F31B6" w:rsidR="004F31B6">
        <w:rPr>
          <w:rFonts w:ascii="Arial" w:hAnsi="Arial" w:cs="Arial"/>
          <w:sz w:val="22"/>
          <w:szCs w:val="22"/>
          <w:lang w:val="en-US"/>
        </w:rPr>
        <w:t>implausible</w:t>
      </w:r>
      <w:r w:rsidRPr="004F31B6" w:rsidR="0016306F">
        <w:rPr>
          <w:rFonts w:ascii="Arial" w:hAnsi="Arial" w:cs="Arial"/>
          <w:sz w:val="22"/>
          <w:szCs w:val="22"/>
          <w:lang w:val="en-US"/>
        </w:rPr>
        <w:t xml:space="preserve"> that the cost will not improve more tha</w:t>
      </w:r>
      <w:r w:rsidRPr="004F31B6" w:rsidR="004F31B6">
        <w:rPr>
          <w:rFonts w:ascii="Arial" w:hAnsi="Arial" w:cs="Arial"/>
          <w:sz w:val="22"/>
          <w:szCs w:val="22"/>
          <w:lang w:val="en-US"/>
        </w:rPr>
        <w:t xml:space="preserve">n 1% on average. </w:t>
      </w:r>
      <w:r w:rsidRPr="004F31B6" w:rsidR="00DB030B">
        <w:rPr>
          <w:rFonts w:ascii="Arial" w:hAnsi="Arial" w:cs="Arial"/>
          <w:sz w:val="22"/>
          <w:szCs w:val="22"/>
          <w:lang w:val="en-US"/>
        </w:rPr>
        <w:t>Additionally,</w:t>
      </w:r>
      <w:r w:rsidRPr="004F31B6" w:rsidR="004F31B6">
        <w:rPr>
          <w:rFonts w:ascii="Arial" w:hAnsi="Arial" w:cs="Arial"/>
          <w:sz w:val="22"/>
          <w:szCs w:val="22"/>
          <w:lang w:val="en-US"/>
        </w:rPr>
        <w:t xml:space="preserve"> if </w:t>
      </w:r>
      <w:r w:rsidR="004F31B6">
        <w:rPr>
          <w:rFonts w:ascii="Arial" w:hAnsi="Arial" w:cs="Arial"/>
          <w:sz w:val="22"/>
          <w:szCs w:val="22"/>
          <w:lang w:val="en-US"/>
        </w:rPr>
        <w:t xml:space="preserve">we </w:t>
      </w:r>
      <w:r w:rsidRPr="004F31B6" w:rsidR="00EA66FC">
        <w:rPr>
          <w:rFonts w:ascii="Arial" w:hAnsi="Arial" w:cs="Arial"/>
          <w:sz w:val="22"/>
          <w:szCs w:val="22"/>
          <w:lang w:val="en-US"/>
        </w:rPr>
        <w:t xml:space="preserve">the </w:t>
      </w:r>
      <w:proofErr w:type="gramStart"/>
      <w:r w:rsidRPr="004F31B6" w:rsidR="00EA66FC">
        <w:rPr>
          <w:rFonts w:ascii="Arial" w:hAnsi="Arial" w:cs="Arial"/>
          <w:sz w:val="22"/>
          <w:szCs w:val="22"/>
          <w:lang w:val="en-US"/>
        </w:rPr>
        <w:t>first year</w:t>
      </w:r>
      <w:proofErr w:type="gramEnd"/>
      <w:r w:rsidRPr="004F31B6" w:rsidR="00EA66FC">
        <w:rPr>
          <w:rFonts w:ascii="Arial" w:hAnsi="Arial" w:cs="Arial"/>
          <w:sz w:val="22"/>
          <w:szCs w:val="22"/>
          <w:lang w:val="en-US"/>
        </w:rPr>
        <w:t xml:space="preserve"> efficiency </w:t>
      </w:r>
      <w:r w:rsidR="004F31B6">
        <w:rPr>
          <w:rFonts w:ascii="Arial" w:hAnsi="Arial" w:cs="Arial"/>
          <w:sz w:val="22"/>
          <w:szCs w:val="22"/>
          <w:lang w:val="en-US"/>
        </w:rPr>
        <w:t xml:space="preserve">is equal to 0%, meaning that there is no effect on sales during the first year, </w:t>
      </w:r>
      <w:r w:rsidRPr="004F31B6" w:rsidR="00EA66FC">
        <w:rPr>
          <w:rFonts w:ascii="Arial" w:hAnsi="Arial" w:cs="Arial"/>
          <w:sz w:val="22"/>
          <w:szCs w:val="22"/>
          <w:lang w:val="en-US"/>
        </w:rPr>
        <w:t xml:space="preserve">the NPV </w:t>
      </w:r>
      <w:r w:rsidR="004F31B6">
        <w:rPr>
          <w:rFonts w:ascii="Arial" w:hAnsi="Arial" w:cs="Arial"/>
          <w:sz w:val="22"/>
          <w:szCs w:val="22"/>
          <w:lang w:val="en-US"/>
        </w:rPr>
        <w:t>still remains positive, signaling the importance of the long run effects at the time of determining the economic benefits of this type of programs.</w:t>
      </w:r>
      <w:r w:rsidRPr="004F31B6" w:rsidR="00EA66FC">
        <w:rPr>
          <w:rFonts w:ascii="Arial" w:hAnsi="Arial" w:cs="Arial"/>
          <w:sz w:val="22"/>
          <w:szCs w:val="22"/>
          <w:lang w:val="en-US"/>
        </w:rPr>
        <w:t xml:space="preserve"> </w:t>
      </w:r>
      <w:r w:rsidR="000E0DB4">
        <w:rPr>
          <w:rFonts w:ascii="Arial" w:hAnsi="Arial" w:cs="Arial"/>
          <w:sz w:val="22"/>
          <w:szCs w:val="22"/>
          <w:lang w:val="en-US"/>
        </w:rPr>
        <w:t>Finally, we consider a scenario in which we simultaneously stress the rate of return of investment and the cost-improvement parameter. We find that if we reduce both parameters to a value of 2.</w:t>
      </w:r>
      <w:r w:rsidR="00322D37">
        <w:rPr>
          <w:rFonts w:ascii="Arial" w:hAnsi="Arial" w:cs="Arial"/>
          <w:sz w:val="22"/>
          <w:szCs w:val="22"/>
          <w:lang w:val="en-US"/>
        </w:rPr>
        <w:t>41%</w:t>
      </w:r>
      <w:r w:rsidRPr="004F31B6" w:rsidR="00322D37">
        <w:rPr>
          <w:rFonts w:ascii="Arial" w:hAnsi="Arial" w:cs="Arial"/>
          <w:sz w:val="22"/>
          <w:szCs w:val="22"/>
          <w:lang w:val="en-US"/>
        </w:rPr>
        <w:t xml:space="preserve"> </w:t>
      </w:r>
      <w:r w:rsidR="00322D37">
        <w:rPr>
          <w:rFonts w:ascii="Arial" w:hAnsi="Arial" w:cs="Arial"/>
          <w:sz w:val="22"/>
          <w:szCs w:val="22"/>
          <w:lang w:val="en-US"/>
        </w:rPr>
        <w:t>the</w:t>
      </w:r>
      <w:r w:rsidR="000E0DB4">
        <w:rPr>
          <w:rFonts w:ascii="Arial" w:hAnsi="Arial" w:cs="Arial"/>
          <w:sz w:val="22"/>
          <w:szCs w:val="22"/>
          <w:lang w:val="en-US"/>
        </w:rPr>
        <w:t xml:space="preserve"> NPV of the project nears zero.</w:t>
      </w:r>
      <w:r w:rsidR="00D07F5B">
        <w:rPr>
          <w:rFonts w:ascii="Arial" w:hAnsi="Arial" w:cs="Arial"/>
          <w:sz w:val="22"/>
          <w:szCs w:val="22"/>
          <w:lang w:val="en-US"/>
        </w:rPr>
        <w:t xml:space="preserve"> This shows that, together, </w:t>
      </w:r>
      <w:r w:rsidR="00E06C53">
        <w:rPr>
          <w:rFonts w:ascii="Arial" w:hAnsi="Arial" w:cs="Arial"/>
          <w:sz w:val="22"/>
          <w:szCs w:val="22"/>
          <w:lang w:val="en-US"/>
        </w:rPr>
        <w:t>these parameters</w:t>
      </w:r>
      <w:r w:rsidR="00D07F5B">
        <w:rPr>
          <w:rFonts w:ascii="Arial" w:hAnsi="Arial" w:cs="Arial"/>
          <w:sz w:val="22"/>
          <w:szCs w:val="22"/>
          <w:lang w:val="en-US"/>
        </w:rPr>
        <w:t xml:space="preserve"> are crucial for the long run benefits of the program. However, as was mentioned before, we consider unlikely to both parameter</w:t>
      </w:r>
      <w:r w:rsidR="005D6A6A">
        <w:rPr>
          <w:rFonts w:ascii="Arial" w:hAnsi="Arial" w:cs="Arial"/>
          <w:sz w:val="22"/>
          <w:szCs w:val="22"/>
          <w:lang w:val="en-US"/>
        </w:rPr>
        <w:t>s</w:t>
      </w:r>
      <w:r w:rsidR="00D07F5B">
        <w:rPr>
          <w:rFonts w:ascii="Arial" w:hAnsi="Arial" w:cs="Arial"/>
          <w:sz w:val="22"/>
          <w:szCs w:val="22"/>
          <w:lang w:val="en-US"/>
        </w:rPr>
        <w:t xml:space="preserve"> would maintain these low values during the long run considered for our analysis.</w:t>
      </w:r>
    </w:p>
    <w:p w:rsidR="00DB030B" w:rsidP="00DB030B" w:rsidRDefault="00DB030B" w14:paraId="2D568EEB" w14:textId="17BE64AE">
      <w:pPr>
        <w:pStyle w:val="Paragraph"/>
        <w:numPr>
          <w:ilvl w:val="0"/>
          <w:numId w:val="0"/>
        </w:numPr>
        <w:ind w:left="720"/>
        <w:rPr>
          <w:rFonts w:ascii="Arial" w:hAnsi="Arial" w:cs="Arial"/>
          <w:b/>
          <w:sz w:val="22"/>
          <w:szCs w:val="22"/>
          <w:lang w:val="en-US"/>
        </w:rPr>
      </w:pPr>
    </w:p>
    <w:p w:rsidRPr="00DB030B" w:rsidR="00DB030B" w:rsidP="00DB030B" w:rsidRDefault="00DB030B" w14:paraId="7E292267" w14:textId="15D13D4E">
      <w:pPr>
        <w:pStyle w:val="Caption"/>
        <w:jc w:val="center"/>
        <w:rPr>
          <w:rFonts w:ascii="Arial" w:hAnsi="Arial" w:cs="Arial"/>
          <w:b/>
          <w:i w:val="0"/>
          <w:color w:val="auto"/>
          <w:sz w:val="24"/>
          <w:szCs w:val="22"/>
          <w:lang w:val="en-US"/>
        </w:rPr>
      </w:pPr>
      <w:r w:rsidRPr="00DB030B">
        <w:rPr>
          <w:rFonts w:ascii="Arial" w:hAnsi="Arial" w:cs="Arial"/>
          <w:b/>
          <w:i w:val="0"/>
          <w:color w:val="auto"/>
          <w:sz w:val="20"/>
          <w:lang w:val="en-US"/>
        </w:rPr>
        <w:t xml:space="preserve">Table </w:t>
      </w:r>
      <w:r w:rsidRPr="00DB030B">
        <w:rPr>
          <w:rFonts w:ascii="Arial" w:hAnsi="Arial" w:cs="Arial"/>
          <w:b/>
          <w:i w:val="0"/>
          <w:color w:val="auto"/>
          <w:sz w:val="20"/>
          <w:lang w:val="en-US"/>
        </w:rPr>
        <w:fldChar w:fldCharType="begin"/>
      </w:r>
      <w:r w:rsidRPr="00DB030B">
        <w:rPr>
          <w:rFonts w:ascii="Arial" w:hAnsi="Arial" w:cs="Arial"/>
          <w:b/>
          <w:i w:val="0"/>
          <w:color w:val="auto"/>
          <w:sz w:val="20"/>
          <w:lang w:val="en-US"/>
        </w:rPr>
        <w:instrText xml:space="preserve"> SEQ Table \* ARABIC </w:instrText>
      </w:r>
      <w:r w:rsidRPr="00DB030B">
        <w:rPr>
          <w:rFonts w:ascii="Arial" w:hAnsi="Arial" w:cs="Arial"/>
          <w:b/>
          <w:i w:val="0"/>
          <w:color w:val="auto"/>
          <w:sz w:val="20"/>
          <w:lang w:val="en-US"/>
        </w:rPr>
        <w:fldChar w:fldCharType="separate"/>
      </w:r>
      <w:r w:rsidR="00C42994">
        <w:rPr>
          <w:rFonts w:ascii="Arial" w:hAnsi="Arial" w:cs="Arial"/>
          <w:b/>
          <w:i w:val="0"/>
          <w:noProof/>
          <w:color w:val="auto"/>
          <w:sz w:val="20"/>
          <w:lang w:val="en-US"/>
        </w:rPr>
        <w:t>1</w:t>
      </w:r>
      <w:r w:rsidRPr="00DB030B">
        <w:rPr>
          <w:rFonts w:ascii="Arial" w:hAnsi="Arial" w:cs="Arial"/>
          <w:b/>
          <w:i w:val="0"/>
          <w:color w:val="auto"/>
          <w:sz w:val="20"/>
          <w:lang w:val="en-US"/>
        </w:rPr>
        <w:fldChar w:fldCharType="end"/>
      </w:r>
      <w:r w:rsidRPr="00DB030B">
        <w:rPr>
          <w:rFonts w:ascii="Arial" w:hAnsi="Arial" w:cs="Arial"/>
          <w:b/>
          <w:i w:val="0"/>
          <w:color w:val="auto"/>
          <w:sz w:val="20"/>
          <w:lang w:val="en-US"/>
        </w:rPr>
        <w:t>. Sensitivity analysis</w:t>
      </w:r>
    </w:p>
    <w:p w:rsidR="00DB030B" w:rsidP="00DB030B" w:rsidRDefault="00322D37" w14:paraId="7A216484" w14:textId="50359769">
      <w:pPr>
        <w:pStyle w:val="Paragraph"/>
        <w:numPr>
          <w:ilvl w:val="0"/>
          <w:numId w:val="0"/>
        </w:numPr>
        <w:ind w:left="720"/>
        <w:jc w:val="center"/>
        <w:rPr>
          <w:rFonts w:ascii="Arial" w:hAnsi="Arial" w:cs="Arial"/>
          <w:sz w:val="22"/>
          <w:szCs w:val="22"/>
          <w:lang w:val="en-US"/>
        </w:rPr>
      </w:pPr>
      <w:r w:rsidRPr="00322D37">
        <w:rPr>
          <w:noProof/>
        </w:rPr>
        <w:drawing>
          <wp:inline distT="0" distB="0" distL="0" distR="0" wp14:anchorId="75733A33" wp14:editId="4958FCEC">
            <wp:extent cx="5015640" cy="1496369"/>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5054" cy="1499178"/>
                    </a:xfrm>
                    <a:prstGeom prst="rect">
                      <a:avLst/>
                    </a:prstGeom>
                    <a:noFill/>
                    <a:ln>
                      <a:noFill/>
                    </a:ln>
                  </pic:spPr>
                </pic:pic>
              </a:graphicData>
            </a:graphic>
          </wp:inline>
        </w:drawing>
      </w:r>
    </w:p>
    <w:p w:rsidR="00DB030B" w:rsidP="00DB030B" w:rsidRDefault="00DB030B" w14:paraId="194790E7" w14:textId="08A380C6">
      <w:pPr>
        <w:pStyle w:val="Chapter"/>
        <w:numPr>
          <w:ilvl w:val="0"/>
          <w:numId w:val="0"/>
        </w:numPr>
        <w:ind w:left="1440"/>
        <w:jc w:val="left"/>
      </w:pPr>
    </w:p>
    <w:p w:rsidR="00DB030B" w:rsidP="00DB030B" w:rsidRDefault="00DB030B" w14:paraId="038FF464" w14:textId="2F1B925C">
      <w:pPr>
        <w:rPr>
          <w:lang w:val="es-ES"/>
        </w:rPr>
      </w:pPr>
    </w:p>
    <w:p w:rsidR="00F049C8" w:rsidP="00DB030B" w:rsidRDefault="00F049C8" w14:paraId="4FCAA4DE" w14:textId="77777777">
      <w:pPr>
        <w:rPr>
          <w:lang w:val="es-ES"/>
        </w:rPr>
      </w:pPr>
    </w:p>
    <w:p w:rsidRPr="00DB030B" w:rsidR="00884476" w:rsidP="00DB030B" w:rsidRDefault="00884476" w14:paraId="23E7000E" w14:textId="77777777">
      <w:pPr>
        <w:rPr>
          <w:lang w:val="es-ES"/>
        </w:rPr>
      </w:pPr>
    </w:p>
    <w:p w:rsidRPr="00DB76FA" w:rsidR="00021801" w:rsidP="00DB76FA" w:rsidRDefault="00021801" w14:paraId="7E692FC5" w14:textId="37DD27E8">
      <w:pPr>
        <w:pStyle w:val="Chapter"/>
        <w:tabs>
          <w:tab w:val="clear" w:pos="1800"/>
          <w:tab w:val="num" w:pos="648"/>
        </w:tabs>
        <w:ind w:left="0"/>
        <w:rPr>
          <w:rFonts w:ascii="Arial" w:hAnsi="Arial" w:cs="Arial"/>
          <w:sz w:val="22"/>
          <w:szCs w:val="22"/>
          <w:lang w:val="en-US"/>
        </w:rPr>
      </w:pPr>
      <w:bookmarkStart w:name="_Toc6043646" w:id="9"/>
      <w:r>
        <w:rPr>
          <w:rFonts w:ascii="Arial" w:hAnsi="Arial" w:cs="Arial"/>
          <w:sz w:val="22"/>
          <w:szCs w:val="22"/>
          <w:lang w:val="en-US"/>
        </w:rPr>
        <w:lastRenderedPageBreak/>
        <w:t>Conclusions</w:t>
      </w:r>
      <w:bookmarkEnd w:id="9"/>
    </w:p>
    <w:p w:rsidR="00021801" w:rsidP="00021801" w:rsidRDefault="0095551E" w14:paraId="0864B2EF" w14:textId="46844A7D">
      <w:pPr>
        <w:pStyle w:val="Paragraph"/>
        <w:rPr>
          <w:rFonts w:ascii="Arial" w:hAnsi="Arial" w:cs="Arial"/>
          <w:sz w:val="22"/>
          <w:szCs w:val="22"/>
          <w:lang w:val="en-US"/>
        </w:rPr>
      </w:pPr>
      <w:r>
        <w:rPr>
          <w:rFonts w:ascii="Arial" w:hAnsi="Arial" w:cs="Arial"/>
          <w:sz w:val="22"/>
          <w:szCs w:val="22"/>
          <w:lang w:val="en-US"/>
        </w:rPr>
        <w:t>The present economic analysis calculates the flows of economic benefits and costs associated to the beneficiaries of the credit guarantee program. We relied on data and estimations provided by SBDC in order to account for the expected number of beneficiaries and the projected evolution of the guarantee fund. Additionally, we have relied on assumptions derived from empirical literate on credit guarantees programs in Latina America and the Caribbean, as well as from other regions. The analysis was based on a timeline consistent with SBDC projections and with the long run nature of programs effects. The analysis yielded an estimated NP</w:t>
      </w:r>
      <w:r w:rsidR="00BE37BA">
        <w:rPr>
          <w:rFonts w:ascii="Arial" w:hAnsi="Arial" w:cs="Arial"/>
          <w:sz w:val="22"/>
          <w:szCs w:val="22"/>
          <w:lang w:val="en-US"/>
        </w:rPr>
        <w:t>V</w:t>
      </w:r>
      <w:r>
        <w:rPr>
          <w:rFonts w:ascii="Arial" w:hAnsi="Arial" w:cs="Arial"/>
          <w:sz w:val="22"/>
          <w:szCs w:val="22"/>
          <w:lang w:val="en-US"/>
        </w:rPr>
        <w:t xml:space="preserve"> value of US$ </w:t>
      </w:r>
      <w:r w:rsidR="00322D37">
        <w:rPr>
          <w:rFonts w:ascii="Arial" w:hAnsi="Arial" w:cs="Arial"/>
          <w:sz w:val="22"/>
          <w:szCs w:val="22"/>
          <w:lang w:val="en-US"/>
        </w:rPr>
        <w:t>25.6</w:t>
      </w:r>
      <w:r>
        <w:rPr>
          <w:rFonts w:ascii="Arial" w:hAnsi="Arial" w:cs="Arial"/>
          <w:sz w:val="22"/>
          <w:szCs w:val="22"/>
          <w:lang w:val="en-US"/>
        </w:rPr>
        <w:t xml:space="preserve"> million and an IRR of </w:t>
      </w:r>
      <w:r w:rsidR="00322D37">
        <w:rPr>
          <w:rFonts w:ascii="Arial" w:hAnsi="Arial" w:cs="Arial"/>
          <w:sz w:val="22"/>
          <w:szCs w:val="22"/>
          <w:lang w:val="en-US"/>
        </w:rPr>
        <w:t>20</w:t>
      </w:r>
      <w:r>
        <w:rPr>
          <w:rFonts w:ascii="Arial" w:hAnsi="Arial" w:cs="Arial"/>
          <w:sz w:val="22"/>
          <w:szCs w:val="22"/>
          <w:lang w:val="en-US"/>
        </w:rPr>
        <w:t xml:space="preserve">%. The sensitivity analysis showed that the NPV remains positive under extreme parameter </w:t>
      </w:r>
      <w:r w:rsidR="00DB030B">
        <w:rPr>
          <w:rFonts w:ascii="Arial" w:hAnsi="Arial" w:cs="Arial"/>
          <w:sz w:val="22"/>
          <w:szCs w:val="22"/>
          <w:lang w:val="en-US"/>
        </w:rPr>
        <w:t>changes or</w:t>
      </w:r>
      <w:r w:rsidR="00C67018">
        <w:rPr>
          <w:rFonts w:ascii="Arial" w:hAnsi="Arial" w:cs="Arial"/>
          <w:sz w:val="22"/>
          <w:szCs w:val="22"/>
          <w:lang w:val="en-US"/>
        </w:rPr>
        <w:t xml:space="preserve"> equals zero under scenarios with low likelihood in the long-run. Hence, the project’s team recommends the approval of the operation.</w:t>
      </w:r>
    </w:p>
    <w:p w:rsidRPr="00C42994" w:rsidR="00C42994" w:rsidP="00C42994" w:rsidRDefault="00C42994" w14:paraId="054C4C58" w14:textId="5B197BFF">
      <w:pPr>
        <w:rPr>
          <w:lang w:val="en-US"/>
        </w:rPr>
      </w:pPr>
    </w:p>
    <w:p w:rsidRPr="00C42994" w:rsidR="00C42994" w:rsidP="00C42994" w:rsidRDefault="00C42994" w14:paraId="7BB6D008" w14:textId="2F57C06A">
      <w:pPr>
        <w:rPr>
          <w:lang w:val="en-US"/>
        </w:rPr>
      </w:pPr>
    </w:p>
    <w:p w:rsidRPr="00C42994" w:rsidR="00C42994" w:rsidP="00C42994" w:rsidRDefault="00C42994" w14:paraId="547D5F93" w14:textId="68C865AA">
      <w:pPr>
        <w:rPr>
          <w:lang w:val="en-US"/>
        </w:rPr>
      </w:pPr>
    </w:p>
    <w:p w:rsidRPr="00C42994" w:rsidR="00C42994" w:rsidP="00C42994" w:rsidRDefault="00C42994" w14:paraId="6AF10DBC" w14:textId="3CA8E37A">
      <w:pPr>
        <w:rPr>
          <w:lang w:val="en-US"/>
        </w:rPr>
      </w:pPr>
    </w:p>
    <w:p w:rsidRPr="00C42994" w:rsidR="00C42994" w:rsidP="00C42994" w:rsidRDefault="00C42994" w14:paraId="362B94AA" w14:textId="40F31354">
      <w:pPr>
        <w:rPr>
          <w:lang w:val="en-US"/>
        </w:rPr>
      </w:pPr>
    </w:p>
    <w:p w:rsidRPr="00C42994" w:rsidR="00C42994" w:rsidP="00C42994" w:rsidRDefault="00C42994" w14:paraId="483941A0" w14:textId="5797753C">
      <w:pPr>
        <w:rPr>
          <w:lang w:val="en-US"/>
        </w:rPr>
      </w:pPr>
    </w:p>
    <w:p w:rsidRPr="00C42994" w:rsidR="00C42994" w:rsidP="00C42994" w:rsidRDefault="00C42994" w14:paraId="68795E07" w14:textId="13192D94">
      <w:pPr>
        <w:rPr>
          <w:lang w:val="en-US"/>
        </w:rPr>
      </w:pPr>
    </w:p>
    <w:p w:rsidRPr="00C42994" w:rsidR="00C42994" w:rsidP="00C42994" w:rsidRDefault="00C42994" w14:paraId="47F643FB" w14:textId="4D9ADD62">
      <w:pPr>
        <w:rPr>
          <w:lang w:val="en-US"/>
        </w:rPr>
      </w:pPr>
    </w:p>
    <w:p w:rsidRPr="00C42994" w:rsidR="00C42994" w:rsidP="00C42994" w:rsidRDefault="00C42994" w14:paraId="492BD357" w14:textId="3157892C">
      <w:pPr>
        <w:rPr>
          <w:lang w:val="en-US"/>
        </w:rPr>
      </w:pPr>
    </w:p>
    <w:p w:rsidRPr="00C42994" w:rsidR="00C42994" w:rsidP="00C42994" w:rsidRDefault="00C42994" w14:paraId="06362B4A" w14:textId="6727623D">
      <w:pPr>
        <w:rPr>
          <w:lang w:val="en-US"/>
        </w:rPr>
      </w:pPr>
    </w:p>
    <w:p w:rsidRPr="00C42994" w:rsidR="00C42994" w:rsidP="00C42994" w:rsidRDefault="00C42994" w14:paraId="6CF0AC61" w14:textId="6811E67E">
      <w:pPr>
        <w:rPr>
          <w:lang w:val="en-US"/>
        </w:rPr>
      </w:pPr>
    </w:p>
    <w:p w:rsidRPr="00C42994" w:rsidR="00C42994" w:rsidP="00C42994" w:rsidRDefault="00C42994" w14:paraId="11C4674A" w14:textId="36BB2A7F">
      <w:pPr>
        <w:rPr>
          <w:lang w:val="en-US"/>
        </w:rPr>
      </w:pPr>
    </w:p>
    <w:p w:rsidRPr="00C42994" w:rsidR="00C42994" w:rsidP="00C42994" w:rsidRDefault="00C42994" w14:paraId="455A0ED9" w14:textId="2AF863F7">
      <w:pPr>
        <w:rPr>
          <w:lang w:val="en-US"/>
        </w:rPr>
      </w:pPr>
    </w:p>
    <w:p w:rsidRPr="00C42994" w:rsidR="00C42994" w:rsidP="00C42994" w:rsidRDefault="00C42994" w14:paraId="161FB900" w14:textId="5A08E64D">
      <w:pPr>
        <w:rPr>
          <w:lang w:val="en-US"/>
        </w:rPr>
      </w:pPr>
    </w:p>
    <w:p w:rsidRPr="00C42994" w:rsidR="00C42994" w:rsidP="00C42994" w:rsidRDefault="00C42994" w14:paraId="227805BF" w14:textId="718127D5">
      <w:pPr>
        <w:rPr>
          <w:lang w:val="en-US"/>
        </w:rPr>
      </w:pPr>
    </w:p>
    <w:p w:rsidRPr="00C42994" w:rsidR="00C42994" w:rsidP="00C42994" w:rsidRDefault="00C42994" w14:paraId="02E2001B" w14:textId="332ACAAD">
      <w:pPr>
        <w:rPr>
          <w:lang w:val="en-US"/>
        </w:rPr>
      </w:pPr>
    </w:p>
    <w:p w:rsidRPr="00C42994" w:rsidR="00C42994" w:rsidP="00C42994" w:rsidRDefault="00C42994" w14:paraId="0BAE118A" w14:textId="2FE39893">
      <w:pPr>
        <w:rPr>
          <w:lang w:val="en-US"/>
        </w:rPr>
      </w:pPr>
    </w:p>
    <w:p w:rsidRPr="00C42994" w:rsidR="00C42994" w:rsidP="00C42994" w:rsidRDefault="00C42994" w14:paraId="49611725" w14:textId="2CC1B4D1">
      <w:pPr>
        <w:rPr>
          <w:lang w:val="en-US"/>
        </w:rPr>
      </w:pPr>
    </w:p>
    <w:p w:rsidRPr="00C42994" w:rsidR="00C42994" w:rsidP="00C42994" w:rsidRDefault="00C42994" w14:paraId="1E428F9E" w14:textId="7A8C6421">
      <w:pPr>
        <w:rPr>
          <w:lang w:val="en-US"/>
        </w:rPr>
      </w:pPr>
    </w:p>
    <w:p w:rsidRPr="00C42994" w:rsidR="00C42994" w:rsidP="00C42994" w:rsidRDefault="00C42994" w14:paraId="76EA4DFB" w14:textId="15BE8A1A">
      <w:pPr>
        <w:rPr>
          <w:lang w:val="en-US"/>
        </w:rPr>
      </w:pPr>
    </w:p>
    <w:p w:rsidRPr="00C42994" w:rsidR="00C42994" w:rsidP="00C42994" w:rsidRDefault="00C42994" w14:paraId="49C4BAEC" w14:textId="1B43C169">
      <w:pPr>
        <w:rPr>
          <w:lang w:val="en-US"/>
        </w:rPr>
      </w:pPr>
    </w:p>
    <w:p w:rsidRPr="00C42994" w:rsidR="00C42994" w:rsidP="00C42994" w:rsidRDefault="00C42994" w14:paraId="115F8C2D" w14:textId="19914236">
      <w:pPr>
        <w:rPr>
          <w:lang w:val="en-US"/>
        </w:rPr>
      </w:pPr>
    </w:p>
    <w:p w:rsidR="00DB76FA" w:rsidP="00C42994" w:rsidRDefault="00DB76FA" w14:paraId="238A09CB" w14:textId="77777777">
      <w:pPr>
        <w:rPr>
          <w:lang w:val="en-US"/>
        </w:rPr>
        <w:sectPr w:rsidR="00DB76FA" w:rsidSect="0006112F">
          <w:headerReference w:type="even" r:id="rId12"/>
          <w:headerReference w:type="default" r:id="rId13"/>
          <w:headerReference w:type="first" r:id="rId14"/>
          <w:type w:val="continuous"/>
          <w:pgSz w:w="12240" w:h="15840" w:orient="portrait" w:code="1"/>
          <w:pgMar w:top="1440" w:right="1800" w:bottom="1440" w:left="1800" w:header="706" w:footer="706" w:gutter="0"/>
          <w:cols w:space="720"/>
          <w:formProt w:val="0"/>
          <w:titlePg/>
        </w:sectPr>
      </w:pPr>
    </w:p>
    <w:p w:rsidRPr="00C42994" w:rsidR="00C42994" w:rsidP="00C42994" w:rsidRDefault="00C42994" w14:paraId="49CD446F" w14:textId="4DAF25A4">
      <w:pPr>
        <w:jc w:val="center"/>
        <w:rPr>
          <w:rFonts w:ascii="Arial" w:hAnsi="Arial" w:cs="Arial"/>
          <w:b/>
          <w:sz w:val="20"/>
          <w:lang w:val="en-US"/>
        </w:rPr>
      </w:pPr>
      <w:bookmarkStart w:name="_Ref6136100" w:id="10"/>
      <w:r w:rsidRPr="00C42994">
        <w:rPr>
          <w:rFonts w:ascii="Arial" w:hAnsi="Arial" w:cs="Arial"/>
          <w:b/>
          <w:sz w:val="20"/>
          <w:lang w:val="en-US"/>
        </w:rPr>
        <w:lastRenderedPageBreak/>
        <w:t xml:space="preserve">Table </w:t>
      </w:r>
      <w:r w:rsidRPr="00C42994">
        <w:rPr>
          <w:rFonts w:ascii="Arial" w:hAnsi="Arial" w:cs="Arial"/>
          <w:b/>
          <w:sz w:val="20"/>
          <w:lang w:val="en-US"/>
        </w:rPr>
        <w:fldChar w:fldCharType="begin"/>
      </w:r>
      <w:r w:rsidRPr="00C42994">
        <w:rPr>
          <w:rFonts w:ascii="Arial" w:hAnsi="Arial" w:cs="Arial"/>
          <w:b/>
          <w:sz w:val="20"/>
          <w:lang w:val="en-US"/>
        </w:rPr>
        <w:instrText xml:space="preserve"> SEQ Table \* ARABIC </w:instrText>
      </w:r>
      <w:r w:rsidRPr="00C42994">
        <w:rPr>
          <w:rFonts w:ascii="Arial" w:hAnsi="Arial" w:cs="Arial"/>
          <w:b/>
          <w:sz w:val="20"/>
          <w:lang w:val="en-US"/>
        </w:rPr>
        <w:fldChar w:fldCharType="separate"/>
      </w:r>
      <w:r>
        <w:rPr>
          <w:rFonts w:ascii="Arial" w:hAnsi="Arial" w:cs="Arial"/>
          <w:b/>
          <w:noProof/>
          <w:sz w:val="20"/>
          <w:lang w:val="en-US"/>
        </w:rPr>
        <w:t>2</w:t>
      </w:r>
      <w:r w:rsidRPr="00C42994">
        <w:rPr>
          <w:rFonts w:ascii="Arial" w:hAnsi="Arial" w:cs="Arial"/>
          <w:b/>
          <w:sz w:val="20"/>
          <w:lang w:val="en-US"/>
        </w:rPr>
        <w:fldChar w:fldCharType="end"/>
      </w:r>
      <w:bookmarkEnd w:id="10"/>
      <w:r w:rsidRPr="00C42994">
        <w:rPr>
          <w:rFonts w:ascii="Arial" w:hAnsi="Arial" w:cs="Arial"/>
          <w:b/>
          <w:sz w:val="20"/>
          <w:lang w:val="en-US"/>
        </w:rPr>
        <w:t>. Projected timeline of CEF funds and project's beneficiaries</w:t>
      </w:r>
    </w:p>
    <w:p w:rsidR="00C42994" w:rsidP="00C42994" w:rsidRDefault="00C42994" w14:paraId="57554CDE" w14:textId="4C6BD861">
      <w:r w:rsidRPr="00C42994">
        <w:rPr>
          <w:noProof/>
        </w:rPr>
        <w:drawing>
          <wp:inline distT="0" distB="0" distL="0" distR="0" wp14:anchorId="03927CC9" wp14:editId="74C53414">
            <wp:extent cx="8229600" cy="25793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229600" cy="2579370"/>
                    </a:xfrm>
                    <a:prstGeom prst="rect">
                      <a:avLst/>
                    </a:prstGeom>
                    <a:noFill/>
                    <a:ln>
                      <a:noFill/>
                    </a:ln>
                  </pic:spPr>
                </pic:pic>
              </a:graphicData>
            </a:graphic>
          </wp:inline>
        </w:drawing>
      </w:r>
    </w:p>
    <w:p w:rsidR="00C42994" w:rsidP="00C42994" w:rsidRDefault="00C42994" w14:paraId="6058D77B" w14:textId="175BD451"/>
    <w:p w:rsidRPr="00095FB6" w:rsidR="00C42994" w:rsidP="00095FB6" w:rsidRDefault="00C42994" w14:paraId="38ECEB03" w14:textId="52A360A0">
      <w:pPr>
        <w:pStyle w:val="Caption"/>
        <w:jc w:val="center"/>
        <w:rPr>
          <w:rFonts w:ascii="Arial" w:hAnsi="Arial" w:cs="Arial"/>
          <w:b/>
          <w:i w:val="0"/>
          <w:lang w:val="en-US"/>
        </w:rPr>
      </w:pPr>
      <w:bookmarkStart w:name="_Ref6136058" w:id="11"/>
      <w:r w:rsidRPr="00095FB6">
        <w:rPr>
          <w:rFonts w:ascii="Arial" w:hAnsi="Arial" w:cs="Arial"/>
          <w:b/>
          <w:i w:val="0"/>
          <w:lang w:val="en-US"/>
        </w:rPr>
        <w:t xml:space="preserve">Table </w:t>
      </w:r>
      <w:r w:rsidRPr="00095FB6">
        <w:rPr>
          <w:rFonts w:ascii="Arial" w:hAnsi="Arial" w:cs="Arial"/>
          <w:b/>
          <w:i w:val="0"/>
          <w:lang w:val="en-US"/>
        </w:rPr>
        <w:fldChar w:fldCharType="begin"/>
      </w:r>
      <w:r w:rsidRPr="00095FB6">
        <w:rPr>
          <w:rFonts w:ascii="Arial" w:hAnsi="Arial" w:cs="Arial"/>
          <w:b/>
          <w:i w:val="0"/>
          <w:lang w:val="en-US"/>
        </w:rPr>
        <w:instrText xml:space="preserve"> SEQ Table \* ARABIC </w:instrText>
      </w:r>
      <w:r w:rsidRPr="00095FB6">
        <w:rPr>
          <w:rFonts w:ascii="Arial" w:hAnsi="Arial" w:cs="Arial"/>
          <w:b/>
          <w:i w:val="0"/>
          <w:lang w:val="en-US"/>
        </w:rPr>
        <w:fldChar w:fldCharType="separate"/>
      </w:r>
      <w:r w:rsidRPr="00095FB6">
        <w:rPr>
          <w:rFonts w:ascii="Arial" w:hAnsi="Arial" w:cs="Arial"/>
          <w:b/>
          <w:i w:val="0"/>
          <w:noProof/>
          <w:lang w:val="en-US"/>
        </w:rPr>
        <w:t>3</w:t>
      </w:r>
      <w:r w:rsidRPr="00095FB6">
        <w:rPr>
          <w:rFonts w:ascii="Arial" w:hAnsi="Arial" w:cs="Arial"/>
          <w:b/>
          <w:i w:val="0"/>
          <w:lang w:val="en-US"/>
        </w:rPr>
        <w:fldChar w:fldCharType="end"/>
      </w:r>
      <w:bookmarkEnd w:id="11"/>
      <w:r w:rsidRPr="00095FB6">
        <w:rPr>
          <w:rFonts w:ascii="Arial" w:hAnsi="Arial" w:cs="Arial"/>
          <w:b/>
          <w:i w:val="0"/>
          <w:lang w:val="en-US"/>
        </w:rPr>
        <w:t>. Program's Net Present Value Calculation</w:t>
      </w:r>
    </w:p>
    <w:p w:rsidRPr="00C42994" w:rsidR="00C42994" w:rsidP="00C42994" w:rsidRDefault="00322D37" w14:paraId="3697905E" w14:textId="39557295">
      <w:pPr>
        <w:jc w:val="center"/>
        <w:rPr>
          <w:lang w:val="en-US"/>
        </w:rPr>
      </w:pPr>
      <w:r w:rsidRPr="00322D37">
        <w:rPr>
          <w:noProof/>
        </w:rPr>
        <w:drawing>
          <wp:inline distT="0" distB="0" distL="0" distR="0" wp14:anchorId="6AA8E5F0" wp14:editId="36DFDCD7">
            <wp:extent cx="8602770" cy="1675416"/>
            <wp:effectExtent l="0" t="0" r="825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635838" cy="1681856"/>
                    </a:xfrm>
                    <a:prstGeom prst="rect">
                      <a:avLst/>
                    </a:prstGeom>
                    <a:noFill/>
                    <a:ln>
                      <a:noFill/>
                    </a:ln>
                  </pic:spPr>
                </pic:pic>
              </a:graphicData>
            </a:graphic>
          </wp:inline>
        </w:drawing>
      </w:r>
    </w:p>
    <w:sectPr w:rsidRPr="00C42994" w:rsidR="00C42994" w:rsidSect="00C42994">
      <w:pgSz w:w="15840" w:h="12240" w:orient="landscape" w:code="1"/>
      <w:pgMar w:top="1800" w:right="1440" w:bottom="1800" w:left="1440" w:header="706" w:footer="706"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0D75" w:rsidP="00A7740C" w:rsidRDefault="002C0D75" w14:paraId="64E3FC2F" w14:textId="77777777">
      <w:r>
        <w:separator/>
      </w:r>
    </w:p>
  </w:endnote>
  <w:endnote w:type="continuationSeparator" w:id="0">
    <w:p w:rsidR="002C0D75" w:rsidP="00A7740C" w:rsidRDefault="002C0D75" w14:paraId="742B91B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40C" w:rsidRDefault="00A7740C" w14:paraId="63D8442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0D75" w:rsidP="00A7740C" w:rsidRDefault="002C0D75" w14:paraId="738D5992" w14:textId="77777777">
      <w:r>
        <w:separator/>
      </w:r>
    </w:p>
  </w:footnote>
  <w:footnote w:type="continuationSeparator" w:id="0">
    <w:p w:rsidR="002C0D75" w:rsidP="00A7740C" w:rsidRDefault="002C0D75" w14:paraId="1F5EFFB4" w14:textId="77777777">
      <w:r>
        <w:continuationSeparator/>
      </w:r>
    </w:p>
  </w:footnote>
  <w:footnote w:id="1">
    <w:p w:rsidRPr="00DB76FA" w:rsidR="0048553C" w:rsidP="0048553C" w:rsidRDefault="0048553C" w14:paraId="414FABAD" w14:textId="77777777">
      <w:pPr>
        <w:pStyle w:val="FootnoteText"/>
        <w:spacing w:after="0"/>
        <w:rPr>
          <w:rFonts w:ascii="Arial" w:hAnsi="Arial" w:cs="Arial"/>
          <w:sz w:val="18"/>
          <w:szCs w:val="18"/>
          <w:lang w:val="en-US"/>
        </w:rPr>
      </w:pPr>
      <w:r w:rsidRPr="00DB76FA">
        <w:rPr>
          <w:rStyle w:val="FootnoteReference"/>
          <w:rFonts w:ascii="Arial" w:hAnsi="Arial" w:cs="Arial"/>
          <w:sz w:val="18"/>
          <w:szCs w:val="18"/>
        </w:rPr>
        <w:footnoteRef/>
      </w:r>
      <w:r w:rsidRPr="00DB76FA">
        <w:rPr>
          <w:rFonts w:ascii="Arial" w:hAnsi="Arial" w:cs="Arial"/>
          <w:sz w:val="18"/>
          <w:szCs w:val="18"/>
          <w:lang w:val="en-US"/>
        </w:rPr>
        <w:t xml:space="preserve"> </w:t>
      </w:r>
      <w:r w:rsidRPr="00DB76FA">
        <w:rPr>
          <w:rFonts w:ascii="Arial" w:hAnsi="Arial" w:cs="Arial"/>
          <w:sz w:val="18"/>
          <w:szCs w:val="18"/>
          <w:lang w:val="en-US"/>
        </w:rPr>
        <w:tab/>
      </w:r>
      <w:r w:rsidRPr="00DB76FA">
        <w:rPr>
          <w:rFonts w:ascii="Arial" w:hAnsi="Arial" w:cs="Arial"/>
          <w:sz w:val="18"/>
          <w:szCs w:val="18"/>
          <w:lang w:val="en-US"/>
        </w:rPr>
        <w:t>IMF 2018 Art IV Consultation.</w:t>
      </w:r>
    </w:p>
  </w:footnote>
  <w:footnote w:id="2">
    <w:p w:rsidRPr="00DB76FA" w:rsidR="0048553C" w:rsidP="0048553C" w:rsidRDefault="0048553C" w14:paraId="2101AFDE" w14:textId="77777777">
      <w:pPr>
        <w:pStyle w:val="FootnoteText"/>
        <w:spacing w:after="0"/>
        <w:rPr>
          <w:rFonts w:ascii="Arial" w:hAnsi="Arial" w:cs="Arial"/>
          <w:sz w:val="18"/>
          <w:szCs w:val="18"/>
          <w:lang w:val="en-US"/>
        </w:rPr>
      </w:pPr>
      <w:r w:rsidRPr="00DB76FA">
        <w:rPr>
          <w:rFonts w:ascii="Arial" w:hAnsi="Arial" w:cs="Arial"/>
          <w:sz w:val="18"/>
          <w:szCs w:val="18"/>
          <w:vertAlign w:val="superscript"/>
        </w:rPr>
        <w:footnoteRef/>
      </w:r>
      <w:r w:rsidRPr="00DB76FA">
        <w:rPr>
          <w:rFonts w:ascii="Arial" w:hAnsi="Arial" w:cs="Arial"/>
          <w:sz w:val="18"/>
          <w:szCs w:val="18"/>
          <w:lang w:val="en-US"/>
        </w:rPr>
        <w:t xml:space="preserve"> </w:t>
      </w:r>
      <w:r w:rsidRPr="00DB76FA">
        <w:rPr>
          <w:rFonts w:ascii="Arial" w:hAnsi="Arial" w:cs="Arial"/>
          <w:sz w:val="18"/>
          <w:szCs w:val="18"/>
          <w:lang w:val="en-US"/>
        </w:rPr>
        <w:tab/>
      </w:r>
      <w:r w:rsidRPr="00DB76FA">
        <w:rPr>
          <w:rFonts w:ascii="Arial" w:hAnsi="Arial" w:cs="Arial"/>
          <w:sz w:val="18"/>
          <w:szCs w:val="18"/>
          <w:lang w:val="en-US"/>
        </w:rPr>
        <w:t>Productivity, Technology and Innovation in the Caribbean 2014 Survey (</w:t>
      </w:r>
      <w:proofErr w:type="spellStart"/>
      <w:r w:rsidRPr="00DB76FA">
        <w:rPr>
          <w:rFonts w:ascii="Arial" w:hAnsi="Arial" w:cs="Arial"/>
          <w:sz w:val="18"/>
          <w:szCs w:val="18"/>
          <w:lang w:val="en-US"/>
        </w:rPr>
        <w:t>PROTEqIN</w:t>
      </w:r>
      <w:proofErr w:type="spellEnd"/>
      <w:r w:rsidRPr="00DB76FA">
        <w:rPr>
          <w:rFonts w:ascii="Arial" w:hAnsi="Arial" w:cs="Arial"/>
          <w:sz w:val="18"/>
          <w:szCs w:val="18"/>
          <w:lang w:val="en-US"/>
        </w:rPr>
        <w:t>).</w:t>
      </w:r>
    </w:p>
  </w:footnote>
  <w:footnote w:id="3">
    <w:p w:rsidRPr="00DB76FA" w:rsidR="0048553C" w:rsidP="0048553C" w:rsidRDefault="0048553C" w14:paraId="58C4AC04" w14:textId="77777777">
      <w:pPr>
        <w:pStyle w:val="FootnoteText"/>
        <w:spacing w:after="0"/>
        <w:rPr>
          <w:rFonts w:ascii="Arial" w:hAnsi="Arial" w:cs="Arial"/>
          <w:sz w:val="18"/>
          <w:szCs w:val="18"/>
          <w:lang w:val="en-US"/>
        </w:rPr>
      </w:pPr>
      <w:r w:rsidRPr="00DB76FA">
        <w:rPr>
          <w:rStyle w:val="FootnoteReference"/>
          <w:rFonts w:ascii="Arial" w:hAnsi="Arial" w:cs="Arial"/>
          <w:sz w:val="18"/>
          <w:szCs w:val="18"/>
        </w:rPr>
        <w:footnoteRef/>
      </w:r>
      <w:r w:rsidRPr="00DB76FA">
        <w:rPr>
          <w:rFonts w:ascii="Arial" w:hAnsi="Arial" w:cs="Arial"/>
          <w:sz w:val="18"/>
          <w:szCs w:val="18"/>
          <w:lang w:val="en-US"/>
        </w:rPr>
        <w:t xml:space="preserve"> </w:t>
      </w:r>
      <w:r w:rsidRPr="00DB76FA">
        <w:rPr>
          <w:rFonts w:ascii="Arial" w:hAnsi="Arial" w:cs="Arial"/>
          <w:sz w:val="18"/>
          <w:szCs w:val="18"/>
          <w:lang w:val="en-US"/>
        </w:rPr>
        <w:tab/>
      </w:r>
      <w:r w:rsidRPr="00DB76FA">
        <w:rPr>
          <w:rFonts w:ascii="Arial" w:hAnsi="Arial" w:cs="Arial"/>
          <w:sz w:val="18"/>
          <w:szCs w:val="18"/>
          <w:lang w:val="en-US"/>
        </w:rPr>
        <w:t xml:space="preserve">IDB Group Country Strategy with The Commonwealth of The Bahamas (2018-2022), based on the 2014 </w:t>
      </w:r>
      <w:proofErr w:type="spellStart"/>
      <w:r w:rsidRPr="00DB76FA">
        <w:rPr>
          <w:rFonts w:ascii="Arial" w:hAnsi="Arial" w:cs="Arial"/>
          <w:sz w:val="18"/>
          <w:szCs w:val="18"/>
          <w:lang w:val="en-US"/>
        </w:rPr>
        <w:t>PROTEqIN</w:t>
      </w:r>
      <w:proofErr w:type="spellEnd"/>
      <w:r w:rsidRPr="00DB76FA">
        <w:rPr>
          <w:rFonts w:ascii="Arial" w:hAnsi="Arial" w:cs="Arial"/>
          <w:sz w:val="18"/>
          <w:szCs w:val="18"/>
          <w:lang w:val="en-US"/>
        </w:rPr>
        <w:t xml:space="preserve">. </w:t>
      </w:r>
    </w:p>
  </w:footnote>
  <w:footnote w:id="4">
    <w:p w:rsidRPr="00DB76FA" w:rsidR="0048553C" w:rsidP="0048553C" w:rsidRDefault="0048553C" w14:paraId="0C080387" w14:textId="77777777">
      <w:pPr>
        <w:pStyle w:val="FootnoteText"/>
        <w:spacing w:after="0"/>
        <w:rPr>
          <w:rFonts w:ascii="Arial" w:hAnsi="Arial" w:cs="Arial"/>
          <w:sz w:val="18"/>
          <w:szCs w:val="18"/>
          <w:lang w:val="en-US"/>
        </w:rPr>
      </w:pPr>
      <w:r w:rsidRPr="00DB76FA">
        <w:rPr>
          <w:rStyle w:val="FootnoteReference"/>
          <w:rFonts w:ascii="Arial" w:hAnsi="Arial" w:cs="Arial"/>
          <w:sz w:val="18"/>
          <w:szCs w:val="18"/>
        </w:rPr>
        <w:footnoteRef/>
      </w:r>
      <w:r w:rsidRPr="00DB76FA">
        <w:rPr>
          <w:rFonts w:ascii="Arial" w:hAnsi="Arial" w:cs="Arial"/>
          <w:sz w:val="18"/>
          <w:szCs w:val="18"/>
          <w:lang w:val="en-US"/>
        </w:rPr>
        <w:t xml:space="preserve"> </w:t>
      </w:r>
      <w:r w:rsidRPr="00DB76FA">
        <w:rPr>
          <w:rFonts w:ascii="Arial" w:hAnsi="Arial" w:cs="Arial"/>
          <w:sz w:val="18"/>
          <w:szCs w:val="18"/>
          <w:lang w:val="en-US"/>
        </w:rPr>
        <w:tab/>
      </w:r>
      <w:hyperlink w:history="1" r:id="rId1">
        <w:r w:rsidRPr="00DB76FA">
          <w:rPr>
            <w:rStyle w:val="Hyperlink"/>
            <w:rFonts w:ascii="Arial" w:hAnsi="Arial" w:cs="Arial"/>
            <w:sz w:val="18"/>
            <w:szCs w:val="18"/>
            <w:lang w:val="en-US"/>
          </w:rPr>
          <w:t>http://www.enterprisesurveys.org/data/exploreeconomies/2010/bahamas</w:t>
        </w:r>
      </w:hyperlink>
      <w:r w:rsidRPr="00DB76FA">
        <w:rPr>
          <w:rFonts w:ascii="Arial" w:hAnsi="Arial" w:cs="Arial"/>
          <w:sz w:val="18"/>
          <w:szCs w:val="18"/>
          <w:lang w:val="en-US"/>
        </w:rPr>
        <w:t>.</w:t>
      </w:r>
    </w:p>
  </w:footnote>
  <w:footnote w:id="5">
    <w:p w:rsidRPr="00DB76FA" w:rsidR="0048553C" w:rsidP="0048553C" w:rsidRDefault="0048553C" w14:paraId="2A7BFF00" w14:textId="77777777">
      <w:pPr>
        <w:pStyle w:val="FootnoteText"/>
        <w:spacing w:after="0"/>
        <w:rPr>
          <w:rFonts w:ascii="Arial" w:hAnsi="Arial" w:cs="Arial"/>
          <w:sz w:val="18"/>
          <w:szCs w:val="18"/>
          <w:lang w:val="en-US"/>
        </w:rPr>
      </w:pPr>
      <w:r w:rsidRPr="00DB76FA">
        <w:rPr>
          <w:rStyle w:val="FootnoteReference"/>
          <w:rFonts w:ascii="Arial" w:hAnsi="Arial" w:cs="Arial"/>
          <w:sz w:val="18"/>
          <w:szCs w:val="18"/>
        </w:rPr>
        <w:footnoteRef/>
      </w:r>
      <w:r w:rsidRPr="00DB76FA">
        <w:rPr>
          <w:rFonts w:ascii="Arial" w:hAnsi="Arial" w:cs="Arial"/>
          <w:sz w:val="18"/>
          <w:szCs w:val="18"/>
          <w:lang w:val="en-US"/>
        </w:rPr>
        <w:t xml:space="preserve"> </w:t>
      </w:r>
      <w:r w:rsidRPr="00DB76FA">
        <w:rPr>
          <w:rFonts w:ascii="Arial" w:hAnsi="Arial" w:cs="Arial"/>
          <w:sz w:val="18"/>
          <w:szCs w:val="18"/>
          <w:lang w:val="en-US"/>
        </w:rPr>
        <w:tab/>
      </w:r>
      <w:r w:rsidRPr="00DB76FA">
        <w:rPr>
          <w:rFonts w:ascii="Arial" w:hAnsi="Arial" w:cs="Arial"/>
          <w:sz w:val="18"/>
          <w:szCs w:val="18"/>
          <w:lang w:val="en-US"/>
        </w:rPr>
        <w:t>Bahamas Small and Medium Sized Enterprises Needs Assessment Survey, IDB, 2013.</w:t>
      </w:r>
    </w:p>
  </w:footnote>
  <w:footnote w:id="6">
    <w:p w:rsidRPr="00DB76FA" w:rsidR="0048553C" w:rsidP="0048553C" w:rsidRDefault="0048553C" w14:paraId="4966AEE8" w14:textId="77777777">
      <w:pPr>
        <w:pStyle w:val="FootnoteText"/>
        <w:spacing w:after="0"/>
        <w:rPr>
          <w:rFonts w:ascii="Arial" w:hAnsi="Arial" w:cs="Arial"/>
          <w:sz w:val="18"/>
          <w:szCs w:val="18"/>
          <w:lang w:val="en-US"/>
        </w:rPr>
      </w:pPr>
      <w:r w:rsidRPr="00DB76FA">
        <w:rPr>
          <w:rStyle w:val="FootnoteReference"/>
          <w:rFonts w:ascii="Arial" w:hAnsi="Arial" w:cs="Arial"/>
          <w:sz w:val="18"/>
          <w:szCs w:val="18"/>
        </w:rPr>
        <w:footnoteRef/>
      </w:r>
      <w:r w:rsidRPr="00DB76FA">
        <w:rPr>
          <w:rFonts w:ascii="Arial" w:hAnsi="Arial" w:cs="Arial"/>
          <w:sz w:val="18"/>
          <w:szCs w:val="18"/>
          <w:lang w:val="en-US"/>
        </w:rPr>
        <w:t xml:space="preserve"> </w:t>
      </w:r>
      <w:r w:rsidRPr="00DB76FA">
        <w:rPr>
          <w:rFonts w:ascii="Arial" w:hAnsi="Arial" w:cs="Arial"/>
          <w:sz w:val="18"/>
          <w:szCs w:val="18"/>
          <w:lang w:val="en-US"/>
        </w:rPr>
        <w:tab/>
      </w:r>
      <w:r w:rsidRPr="00DB76FA">
        <w:rPr>
          <w:rFonts w:ascii="Arial" w:hAnsi="Arial" w:cs="Arial"/>
          <w:sz w:val="18"/>
          <w:szCs w:val="18"/>
          <w:lang w:val="en-US"/>
        </w:rPr>
        <w:t>World Bank, 2019.</w:t>
      </w:r>
    </w:p>
  </w:footnote>
  <w:footnote w:id="7">
    <w:p w:rsidRPr="0048553C" w:rsidR="0048553C" w:rsidP="0048553C" w:rsidRDefault="0048553C" w14:paraId="6F25945F" w14:textId="77777777">
      <w:pPr>
        <w:pStyle w:val="FootnoteText"/>
        <w:spacing w:after="0"/>
        <w:rPr>
          <w:lang w:val="en-US"/>
        </w:rPr>
      </w:pPr>
      <w:r w:rsidRPr="00DB76FA">
        <w:rPr>
          <w:rStyle w:val="FootnoteReference"/>
          <w:rFonts w:ascii="Arial" w:hAnsi="Arial" w:cs="Arial"/>
          <w:sz w:val="18"/>
          <w:szCs w:val="18"/>
        </w:rPr>
        <w:footnoteRef/>
      </w:r>
      <w:r w:rsidRPr="00DB76FA">
        <w:rPr>
          <w:rFonts w:ascii="Arial" w:hAnsi="Arial" w:cs="Arial"/>
          <w:sz w:val="18"/>
          <w:szCs w:val="18"/>
          <w:lang w:val="en-US"/>
        </w:rPr>
        <w:t xml:space="preserve"> </w:t>
      </w:r>
      <w:r w:rsidRPr="00DB76FA">
        <w:rPr>
          <w:rFonts w:ascii="Arial" w:hAnsi="Arial" w:cs="Arial"/>
          <w:sz w:val="18"/>
          <w:szCs w:val="18"/>
          <w:lang w:val="en-US"/>
        </w:rPr>
        <w:tab/>
      </w:r>
      <w:proofErr w:type="spellStart"/>
      <w:r w:rsidRPr="00DB76FA">
        <w:rPr>
          <w:rFonts w:ascii="Arial" w:hAnsi="Arial" w:cs="Arial"/>
          <w:sz w:val="18"/>
          <w:szCs w:val="18"/>
          <w:lang w:val="en-US"/>
        </w:rPr>
        <w:t>PROTEqIN</w:t>
      </w:r>
      <w:proofErr w:type="spellEnd"/>
    </w:p>
  </w:footnote>
  <w:footnote w:id="8">
    <w:p w:rsidRPr="00DB76FA" w:rsidR="0048553C" w:rsidP="0048553C" w:rsidRDefault="0048553C" w14:paraId="75245AF7" w14:textId="77777777">
      <w:pPr>
        <w:pStyle w:val="FootnoteText"/>
        <w:spacing w:after="0"/>
        <w:rPr>
          <w:rFonts w:ascii="Arial" w:hAnsi="Arial" w:cs="Arial"/>
          <w:sz w:val="18"/>
          <w:szCs w:val="18"/>
          <w:lang w:val="en-US"/>
        </w:rPr>
      </w:pPr>
      <w:r w:rsidRPr="00DB76FA">
        <w:rPr>
          <w:rStyle w:val="FootnoteReference"/>
          <w:rFonts w:ascii="Arial" w:hAnsi="Arial" w:cs="Arial"/>
          <w:sz w:val="18"/>
          <w:szCs w:val="18"/>
        </w:rPr>
        <w:footnoteRef/>
      </w:r>
      <w:r w:rsidRPr="00DB76FA">
        <w:rPr>
          <w:rFonts w:ascii="Arial" w:hAnsi="Arial" w:cs="Arial"/>
          <w:sz w:val="18"/>
          <w:szCs w:val="18"/>
          <w:lang w:val="en-US"/>
        </w:rPr>
        <w:t xml:space="preserve"> </w:t>
      </w:r>
      <w:r w:rsidRPr="00DB76FA">
        <w:rPr>
          <w:rFonts w:ascii="Arial" w:hAnsi="Arial" w:cs="Arial"/>
          <w:sz w:val="18"/>
          <w:szCs w:val="18"/>
          <w:lang w:val="en-US"/>
        </w:rPr>
        <w:tab/>
      </w:r>
      <w:r w:rsidRPr="00DB76FA">
        <w:rPr>
          <w:rFonts w:ascii="Arial" w:hAnsi="Arial" w:cs="Arial"/>
          <w:sz w:val="18"/>
          <w:szCs w:val="18"/>
          <w:lang w:val="en-US"/>
        </w:rPr>
        <w:t xml:space="preserve">These were the reasons cited by banks through interviews by the program team. </w:t>
      </w:r>
    </w:p>
  </w:footnote>
  <w:footnote w:id="9">
    <w:p w:rsidRPr="0048553C" w:rsidR="0048553C" w:rsidP="0048553C" w:rsidRDefault="0048553C" w14:paraId="0EC2A24E" w14:textId="77777777">
      <w:pPr>
        <w:pStyle w:val="FootnoteText"/>
        <w:spacing w:after="0"/>
        <w:rPr>
          <w:sz w:val="18"/>
          <w:szCs w:val="18"/>
          <w:lang w:val="en-US"/>
        </w:rPr>
      </w:pPr>
      <w:r w:rsidRPr="00DB76FA">
        <w:rPr>
          <w:rStyle w:val="FootnoteReference"/>
          <w:rFonts w:ascii="Arial" w:hAnsi="Arial" w:cs="Arial"/>
          <w:sz w:val="18"/>
          <w:szCs w:val="18"/>
        </w:rPr>
        <w:footnoteRef/>
      </w:r>
      <w:r w:rsidRPr="00DB76FA">
        <w:rPr>
          <w:rFonts w:ascii="Arial" w:hAnsi="Arial" w:cs="Arial"/>
          <w:sz w:val="18"/>
          <w:szCs w:val="18"/>
          <w:lang w:val="en-US"/>
        </w:rPr>
        <w:t xml:space="preserve"> </w:t>
      </w:r>
      <w:r w:rsidRPr="00DB76FA">
        <w:rPr>
          <w:rFonts w:ascii="Arial" w:hAnsi="Arial" w:cs="Arial"/>
          <w:sz w:val="18"/>
          <w:szCs w:val="18"/>
          <w:lang w:val="en-US"/>
        </w:rPr>
        <w:tab/>
      </w:r>
      <w:r w:rsidRPr="00DB76FA">
        <w:rPr>
          <w:rFonts w:ascii="Arial" w:hAnsi="Arial" w:cs="Arial"/>
          <w:sz w:val="18"/>
          <w:szCs w:val="18"/>
          <w:lang w:val="en-US"/>
        </w:rPr>
        <w:t>IMF 2018, op cit.</w:t>
      </w:r>
    </w:p>
  </w:footnote>
  <w:footnote w:id="10">
    <w:p w:rsidRPr="00DB76FA" w:rsidR="009D7D0C" w:rsidRDefault="009D7D0C" w14:paraId="129AD924" w14:textId="284D3026">
      <w:pPr>
        <w:pStyle w:val="FootnoteText"/>
        <w:rPr>
          <w:rFonts w:ascii="Arial" w:hAnsi="Arial" w:cs="Arial"/>
          <w:sz w:val="18"/>
          <w:szCs w:val="18"/>
          <w:lang w:val="en-US"/>
        </w:rPr>
      </w:pPr>
      <w:r w:rsidRPr="00DB76FA">
        <w:rPr>
          <w:rStyle w:val="FootnoteReference"/>
          <w:rFonts w:ascii="Arial" w:hAnsi="Arial" w:cs="Arial"/>
          <w:sz w:val="18"/>
          <w:szCs w:val="18"/>
        </w:rPr>
        <w:footnoteRef/>
      </w:r>
      <w:r w:rsidRPr="00DB76FA">
        <w:rPr>
          <w:rFonts w:ascii="Arial" w:hAnsi="Arial" w:cs="Arial"/>
          <w:sz w:val="18"/>
          <w:szCs w:val="18"/>
          <w:lang w:val="en-US"/>
        </w:rPr>
        <w:t xml:space="preserve"> </w:t>
      </w:r>
      <w:r w:rsidR="00DB76FA">
        <w:rPr>
          <w:rFonts w:ascii="Arial" w:hAnsi="Arial" w:cs="Arial"/>
          <w:sz w:val="18"/>
          <w:szCs w:val="18"/>
          <w:lang w:val="en-US"/>
        </w:rPr>
        <w:tab/>
      </w:r>
      <w:r w:rsidRPr="00DB76FA">
        <w:rPr>
          <w:rFonts w:ascii="Arial" w:hAnsi="Arial" w:cs="Arial"/>
          <w:sz w:val="18"/>
          <w:szCs w:val="18"/>
          <w:lang w:val="en-US"/>
        </w:rPr>
        <w:t>Less than US$ 5 million in annual revenue and less than 50 employees.</w:t>
      </w:r>
    </w:p>
  </w:footnote>
  <w:footnote w:id="11">
    <w:p w:rsidRPr="00DB76FA" w:rsidR="00AE694F" w:rsidP="00DB76FA" w:rsidRDefault="00AE694F" w14:paraId="0D3574DF" w14:textId="232624D7">
      <w:pPr>
        <w:pStyle w:val="FootnoteText"/>
        <w:spacing w:after="0"/>
        <w:ind w:left="270" w:hanging="284"/>
        <w:rPr>
          <w:rFonts w:ascii="Arial" w:hAnsi="Arial" w:cs="Arial"/>
          <w:sz w:val="18"/>
          <w:szCs w:val="18"/>
          <w:lang w:val="en-US"/>
        </w:rPr>
      </w:pPr>
      <w:r w:rsidRPr="00DB76FA">
        <w:rPr>
          <w:rStyle w:val="FootnoteReference"/>
          <w:rFonts w:ascii="Arial" w:hAnsi="Arial" w:cs="Arial"/>
          <w:sz w:val="18"/>
          <w:szCs w:val="18"/>
        </w:rPr>
        <w:footnoteRef/>
      </w:r>
      <w:r w:rsidRPr="00DB76FA">
        <w:rPr>
          <w:rFonts w:ascii="Arial" w:hAnsi="Arial" w:cs="Arial"/>
          <w:sz w:val="18"/>
          <w:szCs w:val="18"/>
          <w:lang w:val="en-US"/>
        </w:rPr>
        <w:t xml:space="preserve"> </w:t>
      </w:r>
      <w:r w:rsidR="00DB76FA">
        <w:rPr>
          <w:rFonts w:ascii="Arial" w:hAnsi="Arial" w:cs="Arial"/>
          <w:sz w:val="18"/>
          <w:szCs w:val="18"/>
          <w:lang w:val="en-US"/>
        </w:rPr>
        <w:tab/>
      </w:r>
      <w:r w:rsidRPr="00DB76FA">
        <w:rPr>
          <w:rFonts w:ascii="Arial" w:hAnsi="Arial" w:cs="Arial"/>
          <w:sz w:val="18"/>
          <w:szCs w:val="18"/>
          <w:lang w:val="en-US"/>
        </w:rPr>
        <w:t xml:space="preserve">Drexler, A., K. Cowan, and A. </w:t>
      </w:r>
      <w:proofErr w:type="spellStart"/>
      <w:r w:rsidRPr="00DB76FA">
        <w:rPr>
          <w:rFonts w:ascii="Arial" w:hAnsi="Arial" w:cs="Arial"/>
          <w:sz w:val="18"/>
          <w:szCs w:val="18"/>
          <w:lang w:val="en-US"/>
        </w:rPr>
        <w:t>Yáñez</w:t>
      </w:r>
      <w:proofErr w:type="spellEnd"/>
      <w:r w:rsidRPr="00DB76FA">
        <w:rPr>
          <w:rFonts w:ascii="Arial" w:hAnsi="Arial" w:cs="Arial"/>
          <w:sz w:val="18"/>
          <w:szCs w:val="18"/>
          <w:lang w:val="en-US"/>
        </w:rPr>
        <w:t xml:space="preserve">. </w:t>
      </w:r>
      <w:r w:rsidRPr="00DB76FA" w:rsidR="00F41BD3">
        <w:rPr>
          <w:rFonts w:ascii="Arial" w:hAnsi="Arial" w:cs="Arial"/>
          <w:sz w:val="18"/>
          <w:szCs w:val="18"/>
          <w:lang w:val="en-US"/>
        </w:rPr>
        <w:t>(</w:t>
      </w:r>
      <w:r w:rsidRPr="00DB76FA">
        <w:rPr>
          <w:rFonts w:ascii="Arial" w:hAnsi="Arial" w:cs="Arial"/>
          <w:sz w:val="18"/>
          <w:szCs w:val="18"/>
          <w:lang w:val="en-US"/>
        </w:rPr>
        <w:t>2008</w:t>
      </w:r>
      <w:r w:rsidRPr="00DB76FA" w:rsidR="00F41BD3">
        <w:rPr>
          <w:rFonts w:ascii="Arial" w:hAnsi="Arial" w:cs="Arial"/>
          <w:sz w:val="18"/>
          <w:szCs w:val="18"/>
          <w:lang w:val="en-US"/>
        </w:rPr>
        <w:t>)</w:t>
      </w:r>
      <w:r w:rsidRPr="00DB76FA">
        <w:rPr>
          <w:rFonts w:ascii="Arial" w:hAnsi="Arial" w:cs="Arial"/>
          <w:sz w:val="18"/>
          <w:szCs w:val="18"/>
          <w:lang w:val="en-US"/>
        </w:rPr>
        <w:t>. “The Effect of Partial Credit Guarantees on the Credit Market for</w:t>
      </w:r>
      <w:r w:rsidRPr="00DB76FA" w:rsidR="000121C2">
        <w:rPr>
          <w:rFonts w:ascii="Arial" w:hAnsi="Arial" w:cs="Arial"/>
          <w:sz w:val="18"/>
          <w:szCs w:val="18"/>
          <w:lang w:val="en-US"/>
        </w:rPr>
        <w:t xml:space="preserve"> </w:t>
      </w:r>
      <w:r w:rsidRPr="00DB76FA">
        <w:rPr>
          <w:rFonts w:ascii="Arial" w:hAnsi="Arial" w:cs="Arial"/>
          <w:sz w:val="18"/>
          <w:szCs w:val="18"/>
          <w:lang w:val="en-US"/>
        </w:rPr>
        <w:t xml:space="preserve">Small Businesses: The Case of FOGAPE (Small Businesses Credit Guarantee Fund of Chile).” Paper read at the conference on “Partial Credit Guarantee Schemes Experiences and Lessons.” Washington </w:t>
      </w:r>
      <w:proofErr w:type="spellStart"/>
      <w:proofErr w:type="gramStart"/>
      <w:r w:rsidRPr="00DB76FA">
        <w:rPr>
          <w:rFonts w:ascii="Arial" w:hAnsi="Arial" w:cs="Arial"/>
          <w:sz w:val="18"/>
          <w:szCs w:val="18"/>
          <w:lang w:val="en-US"/>
        </w:rPr>
        <w:t>DC:The</w:t>
      </w:r>
      <w:proofErr w:type="spellEnd"/>
      <w:proofErr w:type="gramEnd"/>
      <w:r w:rsidRPr="00DB76FA">
        <w:rPr>
          <w:rFonts w:ascii="Arial" w:hAnsi="Arial" w:cs="Arial"/>
          <w:sz w:val="18"/>
          <w:szCs w:val="18"/>
          <w:lang w:val="en-US"/>
        </w:rPr>
        <w:t xml:space="preserve"> World Bank.</w:t>
      </w:r>
    </w:p>
  </w:footnote>
  <w:footnote w:id="12">
    <w:p w:rsidRPr="00DB76FA" w:rsidR="000121C2" w:rsidP="00DB76FA" w:rsidRDefault="000121C2" w14:paraId="5F4AFEF4" w14:textId="3492AE2F">
      <w:pPr>
        <w:pStyle w:val="FootnoteText"/>
        <w:spacing w:after="0"/>
        <w:ind w:left="270" w:hanging="284"/>
        <w:rPr>
          <w:rFonts w:ascii="Arial" w:hAnsi="Arial" w:cs="Arial"/>
          <w:sz w:val="18"/>
          <w:szCs w:val="18"/>
          <w:lang w:val="en-US"/>
        </w:rPr>
      </w:pPr>
      <w:r w:rsidRPr="00DB76FA">
        <w:rPr>
          <w:rStyle w:val="FootnoteReference"/>
          <w:rFonts w:ascii="Arial" w:hAnsi="Arial" w:cs="Arial"/>
          <w:sz w:val="18"/>
          <w:szCs w:val="18"/>
        </w:rPr>
        <w:footnoteRef/>
      </w:r>
      <w:r w:rsidRPr="00DB76FA">
        <w:rPr>
          <w:rFonts w:ascii="Arial" w:hAnsi="Arial" w:cs="Arial"/>
          <w:sz w:val="18"/>
          <w:szCs w:val="18"/>
          <w:lang w:val="en-US"/>
        </w:rPr>
        <w:t xml:space="preserve"> </w:t>
      </w:r>
      <w:r w:rsidR="00DB76FA">
        <w:rPr>
          <w:rFonts w:ascii="Arial" w:hAnsi="Arial" w:cs="Arial"/>
          <w:sz w:val="18"/>
          <w:szCs w:val="18"/>
          <w:lang w:val="en-US"/>
        </w:rPr>
        <w:tab/>
      </w:r>
      <w:r w:rsidRPr="00DB76FA">
        <w:rPr>
          <w:rFonts w:ascii="Arial" w:hAnsi="Arial" w:cs="Arial"/>
          <w:sz w:val="18"/>
          <w:szCs w:val="18"/>
          <w:lang w:val="en-US"/>
        </w:rPr>
        <w:t xml:space="preserve">Irani </w:t>
      </w:r>
      <w:proofErr w:type="spellStart"/>
      <w:r w:rsidRPr="00DB76FA">
        <w:rPr>
          <w:rFonts w:ascii="Arial" w:hAnsi="Arial" w:cs="Arial"/>
          <w:sz w:val="18"/>
          <w:szCs w:val="18"/>
          <w:lang w:val="en-US"/>
        </w:rPr>
        <w:t>Arraíz</w:t>
      </w:r>
      <w:proofErr w:type="spellEnd"/>
      <w:r w:rsidRPr="00DB76FA">
        <w:rPr>
          <w:rFonts w:ascii="Arial" w:hAnsi="Arial" w:cs="Arial"/>
          <w:sz w:val="18"/>
          <w:szCs w:val="18"/>
          <w:lang w:val="en-US"/>
        </w:rPr>
        <w:t>, Marcela Meléndez and Rodolfo Stucchi, Office of the Evaluation and Oversight, IDB</w:t>
      </w:r>
      <w:r w:rsidRPr="00DB76FA" w:rsidR="00F41BD3">
        <w:rPr>
          <w:rFonts w:ascii="Arial" w:hAnsi="Arial" w:cs="Arial"/>
          <w:sz w:val="18"/>
          <w:szCs w:val="18"/>
          <w:lang w:val="en-US"/>
        </w:rPr>
        <w:t xml:space="preserve"> (2012)</w:t>
      </w:r>
      <w:r w:rsidRPr="00DB76FA">
        <w:rPr>
          <w:rFonts w:ascii="Arial" w:hAnsi="Arial" w:cs="Arial"/>
          <w:sz w:val="18"/>
          <w:szCs w:val="18"/>
          <w:lang w:val="en-US"/>
        </w:rPr>
        <w:t>, “Partial credit guarantee and firm performance: evidence from the Colombian National Guarantee Fund”.</w:t>
      </w:r>
    </w:p>
  </w:footnote>
  <w:footnote w:id="13">
    <w:p w:rsidRPr="00F41BD3" w:rsidR="00F41BD3" w:rsidP="00DB76FA" w:rsidRDefault="00F41BD3" w14:paraId="7A0683B0" w14:textId="7F1A092D">
      <w:pPr>
        <w:pStyle w:val="FootnoteText"/>
        <w:spacing w:after="0"/>
        <w:ind w:left="270" w:hanging="284"/>
        <w:rPr>
          <w:lang w:val="en-US"/>
        </w:rPr>
      </w:pPr>
      <w:r w:rsidRPr="00DB76FA">
        <w:rPr>
          <w:rStyle w:val="FootnoteReference"/>
          <w:rFonts w:ascii="Arial" w:hAnsi="Arial" w:cs="Arial"/>
          <w:sz w:val="18"/>
          <w:szCs w:val="18"/>
        </w:rPr>
        <w:footnoteRef/>
      </w:r>
      <w:r w:rsidRPr="00DB76FA">
        <w:rPr>
          <w:rFonts w:ascii="Arial" w:hAnsi="Arial" w:cs="Arial"/>
          <w:sz w:val="18"/>
          <w:szCs w:val="18"/>
          <w:lang w:val="en-US"/>
        </w:rPr>
        <w:t xml:space="preserve"> </w:t>
      </w:r>
      <w:r w:rsidR="00DB76FA">
        <w:rPr>
          <w:rFonts w:ascii="Arial" w:hAnsi="Arial" w:cs="Arial"/>
          <w:sz w:val="18"/>
          <w:szCs w:val="18"/>
          <w:lang w:val="en-US"/>
        </w:rPr>
        <w:tab/>
      </w:r>
      <w:proofErr w:type="spellStart"/>
      <w:r w:rsidRPr="00DB76FA">
        <w:rPr>
          <w:rFonts w:ascii="Arial" w:hAnsi="Arial" w:cs="Arial"/>
          <w:sz w:val="18"/>
          <w:szCs w:val="18"/>
          <w:lang w:val="en-US"/>
        </w:rPr>
        <w:t>Bertoni</w:t>
      </w:r>
      <w:proofErr w:type="spellEnd"/>
      <w:r w:rsidRPr="00DB76FA">
        <w:rPr>
          <w:rFonts w:ascii="Arial" w:hAnsi="Arial" w:cs="Arial"/>
          <w:sz w:val="18"/>
          <w:szCs w:val="18"/>
          <w:lang w:val="en-US"/>
        </w:rPr>
        <w:t xml:space="preserve">, F., Brault, J., </w:t>
      </w:r>
      <w:proofErr w:type="spellStart"/>
      <w:r w:rsidRPr="00DB76FA">
        <w:rPr>
          <w:rFonts w:ascii="Arial" w:hAnsi="Arial" w:cs="Arial"/>
          <w:sz w:val="18"/>
          <w:szCs w:val="18"/>
          <w:lang w:val="en-US"/>
        </w:rPr>
        <w:t>Colombp</w:t>
      </w:r>
      <w:proofErr w:type="spellEnd"/>
      <w:r w:rsidRPr="00DB76FA">
        <w:rPr>
          <w:rFonts w:ascii="Arial" w:hAnsi="Arial" w:cs="Arial"/>
          <w:sz w:val="18"/>
          <w:szCs w:val="18"/>
          <w:lang w:val="en-US"/>
        </w:rPr>
        <w:t xml:space="preserve">, M., </w:t>
      </w:r>
      <w:proofErr w:type="spellStart"/>
      <w:r w:rsidRPr="00DB76FA">
        <w:rPr>
          <w:rFonts w:ascii="Arial" w:hAnsi="Arial" w:cs="Arial"/>
          <w:sz w:val="18"/>
          <w:szCs w:val="18"/>
          <w:lang w:val="en-US"/>
        </w:rPr>
        <w:t>Quas</w:t>
      </w:r>
      <w:proofErr w:type="spellEnd"/>
      <w:r w:rsidRPr="00DB76FA">
        <w:rPr>
          <w:rFonts w:ascii="Arial" w:hAnsi="Arial" w:cs="Arial"/>
          <w:sz w:val="18"/>
          <w:szCs w:val="18"/>
          <w:lang w:val="en-US"/>
        </w:rPr>
        <w:t>, A., Signore, S. (2019), “Econometric study on the impact of EU loan guarantee financial instruments on growth and jobs of SMEs”, European Investment Fund, Working Paper 2019/54.</w:t>
      </w:r>
    </w:p>
  </w:footnote>
  <w:footnote w:id="14">
    <w:p w:rsidRPr="00DB76FA" w:rsidR="0067649B" w:rsidRDefault="0067649B" w14:paraId="3B73F4D2" w14:textId="0A400363">
      <w:pPr>
        <w:pStyle w:val="FootnoteText"/>
        <w:rPr>
          <w:rFonts w:ascii="Arial" w:hAnsi="Arial" w:cs="Arial"/>
          <w:sz w:val="18"/>
          <w:szCs w:val="18"/>
          <w:lang w:val="en-US"/>
        </w:rPr>
      </w:pPr>
      <w:r w:rsidRPr="00DB76FA">
        <w:rPr>
          <w:rStyle w:val="FootnoteReference"/>
          <w:rFonts w:ascii="Arial" w:hAnsi="Arial" w:cs="Arial"/>
          <w:sz w:val="18"/>
          <w:szCs w:val="18"/>
        </w:rPr>
        <w:footnoteRef/>
      </w:r>
      <w:r w:rsidRPr="00DB76FA">
        <w:rPr>
          <w:rFonts w:ascii="Arial" w:hAnsi="Arial" w:cs="Arial"/>
          <w:sz w:val="18"/>
          <w:szCs w:val="18"/>
          <w:lang w:val="en-US"/>
        </w:rPr>
        <w:t xml:space="preserve"> </w:t>
      </w:r>
      <w:r w:rsidR="00DB76FA">
        <w:rPr>
          <w:rFonts w:ascii="Arial" w:hAnsi="Arial" w:cs="Arial"/>
          <w:sz w:val="18"/>
          <w:szCs w:val="18"/>
          <w:lang w:val="en-US"/>
        </w:rPr>
        <w:tab/>
      </w:r>
      <w:r w:rsidRPr="00DB76FA">
        <w:rPr>
          <w:rFonts w:ascii="Arial" w:hAnsi="Arial" w:cs="Arial"/>
          <w:sz w:val="18"/>
          <w:szCs w:val="18"/>
          <w:lang w:val="en-US"/>
        </w:rPr>
        <w:t>An additional growth rate associated to the GDP growth could be assumed, but since this would apply to both scenarios (with and without project) it would make no major difference in our estimates. For simplicity we omitted this additional growth rate.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40C" w:rsidRDefault="00A7740C" w14:paraId="0159147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8175A8" w:rsidR="00A7740C" w:rsidP="008175A8" w:rsidRDefault="00A7740C" w14:paraId="62533C5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350" w:rsidRDefault="002C0D75" w14:paraId="2E016DFD" w14:textId="77777777">
    <w:pPr>
      <w:pStyle w:val="Header"/>
      <w:ind w:right="360"/>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EB0154" w:rsidR="00AA3350" w:rsidP="00EB0154" w:rsidRDefault="00B67BFA" w14:paraId="05BF3C71" w14:textId="77777777">
    <w:pPr>
      <w:pStyle w:val="Header"/>
      <w:tabs>
        <w:tab w:val="left" w:pos="3840"/>
        <w:tab w:val="center" w:pos="4140"/>
      </w:tabs>
      <w:ind w:right="360"/>
      <w:rPr>
        <w:rFonts w:ascii="Arial" w:hAnsi="Arial" w:cs="Arial"/>
        <w:snapToGrid w:val="0"/>
      </w:rPr>
    </w:pPr>
    <w:r>
      <w:rPr>
        <w:snapToGrid w:val="0"/>
      </w:rPr>
      <w:tab/>
    </w:r>
    <w:r w:rsidRPr="00706FA8">
      <w:rPr>
        <w:rFonts w:ascii="Arial" w:hAnsi="Arial" w:cs="Arial"/>
        <w:snapToGrid w:val="0"/>
        <w:sz w:val="18"/>
      </w:rPr>
      <w:tab/>
    </w: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13</w:t>
    </w:r>
    <w:r w:rsidRPr="00706FA8">
      <w:rPr>
        <w:rFonts w:ascii="Arial" w:hAnsi="Arial" w:cs="Arial"/>
        <w:snapToGrid w:val="0"/>
        <w:sz w:val="18"/>
      </w:rPr>
      <w:fldChar w:fldCharType="end"/>
    </w:r>
    <w:r w:rsidRPr="00706FA8">
      <w:rPr>
        <w:rFonts w:ascii="Arial" w:hAnsi="Arial" w:cs="Arial"/>
        <w:snapToGrid w:val="0"/>
        <w:sz w:val="18"/>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350" w:rsidRDefault="002C0D75" w14:paraId="5276F64C" w14:textId="777777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 w15:restartNumberingAfterBreak="0">
    <w:nsid w:val="1D79533A"/>
    <w:multiLevelType w:val="multilevel"/>
    <w:tmpl w:val="C212D20A"/>
    <w:lvl w:ilvl="0">
      <w:start w:val="1"/>
      <w:numFmt w:val="upperRoman"/>
      <w:lvlText w:val="Article %1."/>
      <w:lvlJc w:val="left"/>
      <w:pPr>
        <w:ind w:left="4104" w:firstLine="0"/>
      </w:pPr>
    </w:lvl>
    <w:lvl w:ilvl="1">
      <w:start w:val="1"/>
      <w:numFmt w:val="decimalZero"/>
      <w:isLgl/>
      <w:lvlText w:val="Section %1.%2"/>
      <w:lvlJc w:val="left"/>
      <w:pPr>
        <w:ind w:left="4104" w:firstLine="0"/>
      </w:pPr>
    </w:lvl>
    <w:lvl w:ilvl="2">
      <w:start w:val="1"/>
      <w:numFmt w:val="lowerLetter"/>
      <w:lvlText w:val="(%3)"/>
      <w:lvlJc w:val="left"/>
      <w:pPr>
        <w:ind w:left="4824" w:hanging="432"/>
      </w:pPr>
    </w:lvl>
    <w:lvl w:ilvl="3">
      <w:start w:val="1"/>
      <w:numFmt w:val="lowerRoman"/>
      <w:lvlText w:val="(%4)"/>
      <w:lvlJc w:val="right"/>
      <w:pPr>
        <w:ind w:left="4968" w:hanging="144"/>
      </w:p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15:restartNumberingAfterBreak="0">
    <w:nsid w:val="359B4991"/>
    <w:multiLevelType w:val="multilevel"/>
    <w:tmpl w:val="CF8CEC3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3E15763A"/>
    <w:multiLevelType w:val="hybridMultilevel"/>
    <w:tmpl w:val="16D89CE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75073A"/>
    <w:multiLevelType w:val="multilevel"/>
    <w:tmpl w:val="FC807EA4"/>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6" w15:restartNumberingAfterBreak="0">
    <w:nsid w:val="7E456E6E"/>
    <w:multiLevelType w:val="hybridMultilevel"/>
    <w:tmpl w:val="49408B9A"/>
    <w:lvl w:ilvl="0" w:tplc="E81E7170">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6"/>
  </w:num>
  <w:num w:numId="4">
    <w:abstractNumId w:val="4"/>
  </w:num>
  <w:num w:numId="5">
    <w:abstractNumId w:val="2"/>
  </w:num>
  <w:num w:numId="6">
    <w:abstractNumId w:val="1"/>
  </w:num>
  <w:num w:numId="7">
    <w:abstractNumId w:val="5"/>
  </w:num>
  <w:num w:numId="8">
    <w:abstractNumId w:val="2"/>
  </w:num>
  <w:num w:numId="9">
    <w:abstractNumId w:val="0"/>
  </w:num>
  <w:num w:numId="10">
    <w:abstractNumId w:val="3"/>
  </w:num>
  <w:num w:numId="11">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40C"/>
    <w:rsid w:val="00007380"/>
    <w:rsid w:val="000121C2"/>
    <w:rsid w:val="00021801"/>
    <w:rsid w:val="000547F0"/>
    <w:rsid w:val="00076692"/>
    <w:rsid w:val="00095FB6"/>
    <w:rsid w:val="000C44C0"/>
    <w:rsid w:val="000E0DB4"/>
    <w:rsid w:val="000E25EE"/>
    <w:rsid w:val="00125CC7"/>
    <w:rsid w:val="001411A5"/>
    <w:rsid w:val="001439EB"/>
    <w:rsid w:val="0016306F"/>
    <w:rsid w:val="00192355"/>
    <w:rsid w:val="001A4A65"/>
    <w:rsid w:val="001C31FB"/>
    <w:rsid w:val="001D5AE4"/>
    <w:rsid w:val="001E0EB1"/>
    <w:rsid w:val="00202FC9"/>
    <w:rsid w:val="00213B6B"/>
    <w:rsid w:val="0024365F"/>
    <w:rsid w:val="00245CB4"/>
    <w:rsid w:val="0024725B"/>
    <w:rsid w:val="00260390"/>
    <w:rsid w:val="002C0D75"/>
    <w:rsid w:val="002E66FA"/>
    <w:rsid w:val="002F591F"/>
    <w:rsid w:val="00307046"/>
    <w:rsid w:val="00322D37"/>
    <w:rsid w:val="003A3538"/>
    <w:rsid w:val="003F258B"/>
    <w:rsid w:val="00410706"/>
    <w:rsid w:val="00421BC7"/>
    <w:rsid w:val="00447358"/>
    <w:rsid w:val="0048553C"/>
    <w:rsid w:val="00497B88"/>
    <w:rsid w:val="004E342A"/>
    <w:rsid w:val="004F31B6"/>
    <w:rsid w:val="00511DDA"/>
    <w:rsid w:val="00595720"/>
    <w:rsid w:val="005A082B"/>
    <w:rsid w:val="005A727F"/>
    <w:rsid w:val="005B645B"/>
    <w:rsid w:val="005D1A49"/>
    <w:rsid w:val="005D6A6A"/>
    <w:rsid w:val="006327A9"/>
    <w:rsid w:val="006675DC"/>
    <w:rsid w:val="0067649B"/>
    <w:rsid w:val="006811EC"/>
    <w:rsid w:val="006D17FB"/>
    <w:rsid w:val="006F4A04"/>
    <w:rsid w:val="00721E1B"/>
    <w:rsid w:val="007365BE"/>
    <w:rsid w:val="00744604"/>
    <w:rsid w:val="007D54E1"/>
    <w:rsid w:val="00815176"/>
    <w:rsid w:val="00884476"/>
    <w:rsid w:val="0089280E"/>
    <w:rsid w:val="008C7130"/>
    <w:rsid w:val="008F0F95"/>
    <w:rsid w:val="0095551E"/>
    <w:rsid w:val="009A14DD"/>
    <w:rsid w:val="009C2B38"/>
    <w:rsid w:val="009D7D0C"/>
    <w:rsid w:val="00A7740C"/>
    <w:rsid w:val="00A902D6"/>
    <w:rsid w:val="00AA6795"/>
    <w:rsid w:val="00AB6F83"/>
    <w:rsid w:val="00AD0DE0"/>
    <w:rsid w:val="00AE694F"/>
    <w:rsid w:val="00B2527E"/>
    <w:rsid w:val="00B30311"/>
    <w:rsid w:val="00B3379B"/>
    <w:rsid w:val="00B67BFA"/>
    <w:rsid w:val="00BC5047"/>
    <w:rsid w:val="00BE37BA"/>
    <w:rsid w:val="00BF3C87"/>
    <w:rsid w:val="00C202C0"/>
    <w:rsid w:val="00C30612"/>
    <w:rsid w:val="00C42994"/>
    <w:rsid w:val="00C67018"/>
    <w:rsid w:val="00C72079"/>
    <w:rsid w:val="00C95322"/>
    <w:rsid w:val="00CA50E2"/>
    <w:rsid w:val="00CB6F90"/>
    <w:rsid w:val="00D07F5B"/>
    <w:rsid w:val="00D25995"/>
    <w:rsid w:val="00D30CF4"/>
    <w:rsid w:val="00D8368E"/>
    <w:rsid w:val="00D929FF"/>
    <w:rsid w:val="00DB030B"/>
    <w:rsid w:val="00DB76FA"/>
    <w:rsid w:val="00DC696C"/>
    <w:rsid w:val="00E06C53"/>
    <w:rsid w:val="00E63D93"/>
    <w:rsid w:val="00EA66FC"/>
    <w:rsid w:val="00EE655C"/>
    <w:rsid w:val="00EF5538"/>
    <w:rsid w:val="00F049C8"/>
    <w:rsid w:val="00F41BD3"/>
    <w:rsid w:val="00F5416A"/>
    <w:rsid w:val="00F60CDC"/>
    <w:rsid w:val="00F641CA"/>
    <w:rsid w:val="00F6592B"/>
    <w:rsid w:val="00F66CA0"/>
    <w:rsid w:val="00FB7E42"/>
    <w:rsid w:val="00FC516A"/>
    <w:rsid w:val="00FE73DA"/>
    <w:rsid w:val="608EF1FE"/>
  </w:rsids>
  <m:mathPr>
    <m:mathFont m:val="Cambria Math"/>
    <m:brkBin m:val="before"/>
    <m:brkBinSub m:val="--"/>
    <m:smallFrac m:val="0"/>
    <m:dispDef/>
    <m:lMargin m:val="0"/>
    <m:rMargin m:val="0"/>
    <m:defJc m:val="centerGroup"/>
    <m:wrapIndent m:val="1440"/>
    <m:intLim m:val="subSup"/>
    <m:naryLim m:val="undOvr"/>
  </m:mathPr>
  <w:themeFontLang w:val="en-US" w:eastAsia="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C66E7"/>
  <w15:chartTrackingRefBased/>
  <w15:docId w15:val="{130B06B6-1FF1-4D66-976A-B4535DAD963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0"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7740C"/>
    <w:pPr>
      <w:spacing w:after="0" w:line="240" w:lineRule="auto"/>
    </w:pPr>
    <w:rPr>
      <w:rFonts w:ascii="Times New Roman" w:hAnsi="Times New Roman" w:eastAsia="Times New Roman" w:cs="Times New Roman"/>
      <w:sz w:val="24"/>
      <w:szCs w:val="20"/>
      <w:lang w:val="es-ES_tradnl"/>
    </w:rPr>
  </w:style>
  <w:style w:type="paragraph" w:styleId="Heading5">
    <w:name w:val="heading 5"/>
    <w:basedOn w:val="Normal"/>
    <w:next w:val="Normal"/>
    <w:link w:val="Heading5Char"/>
    <w:uiPriority w:val="9"/>
    <w:unhideWhenUsed/>
    <w:qFormat/>
    <w:rsid w:val="00A7740C"/>
    <w:pPr>
      <w:keepNext/>
      <w:keepLines/>
      <w:numPr>
        <w:ilvl w:val="4"/>
        <w:numId w:val="1"/>
      </w:numPr>
      <w:spacing w:before="200"/>
      <w:outlineLvl w:val="4"/>
    </w:pPr>
    <w:rPr>
      <w:rFonts w:asciiTheme="majorHAnsi" w:hAnsiTheme="majorHAnsi" w:eastAsiaTheme="majorEastAsia" w:cstheme="majorBidi"/>
      <w:color w:val="1F3763" w:themeColor="accent1" w:themeShade="7F"/>
    </w:rPr>
  </w:style>
  <w:style w:type="paragraph" w:styleId="Heading6">
    <w:name w:val="heading 6"/>
    <w:basedOn w:val="Normal"/>
    <w:next w:val="Normal"/>
    <w:link w:val="Heading6Char"/>
    <w:uiPriority w:val="9"/>
    <w:unhideWhenUsed/>
    <w:qFormat/>
    <w:rsid w:val="00A7740C"/>
    <w:pPr>
      <w:keepNext/>
      <w:keepLines/>
      <w:numPr>
        <w:ilvl w:val="5"/>
        <w:numId w:val="1"/>
      </w:numPr>
      <w:spacing w:before="200"/>
      <w:outlineLvl w:val="5"/>
    </w:pPr>
    <w:rPr>
      <w:rFonts w:asciiTheme="majorHAnsi" w:hAnsiTheme="majorHAnsi" w:eastAsiaTheme="majorEastAsia" w:cstheme="majorBidi"/>
      <w:i/>
      <w:iCs/>
      <w:color w:val="1F3763" w:themeColor="accent1" w:themeShade="7F"/>
    </w:rPr>
  </w:style>
  <w:style w:type="paragraph" w:styleId="Heading7">
    <w:name w:val="heading 7"/>
    <w:basedOn w:val="Normal"/>
    <w:next w:val="Normal"/>
    <w:link w:val="Heading7Char"/>
    <w:uiPriority w:val="9"/>
    <w:unhideWhenUsed/>
    <w:qFormat/>
    <w:rsid w:val="00A7740C"/>
    <w:pPr>
      <w:keepNext/>
      <w:keepLines/>
      <w:numPr>
        <w:ilvl w:val="6"/>
        <w:numId w:val="1"/>
      </w:numPr>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A7740C"/>
    <w:pPr>
      <w:keepNext/>
      <w:keepLines/>
      <w:numPr>
        <w:ilvl w:val="7"/>
        <w:numId w:val="1"/>
      </w:numPr>
      <w:spacing w:before="200"/>
      <w:outlineLvl w:val="7"/>
    </w:pPr>
    <w:rPr>
      <w:rFonts w:asciiTheme="majorHAnsi" w:hAnsiTheme="majorHAnsi" w:eastAsiaTheme="majorEastAsia" w:cstheme="majorBidi"/>
      <w:color w:val="404040" w:themeColor="text1" w:themeTint="BF"/>
      <w:sz w:val="20"/>
    </w:rPr>
  </w:style>
  <w:style w:type="paragraph" w:styleId="Heading9">
    <w:name w:val="heading 9"/>
    <w:basedOn w:val="Normal"/>
    <w:next w:val="Normal"/>
    <w:link w:val="Heading9Char"/>
    <w:uiPriority w:val="9"/>
    <w:unhideWhenUsed/>
    <w:qFormat/>
    <w:rsid w:val="00A7740C"/>
    <w:pPr>
      <w:keepNext/>
      <w:keepLines/>
      <w:numPr>
        <w:ilvl w:val="8"/>
        <w:numId w:val="1"/>
      </w:numPr>
      <w:spacing w:before="200"/>
      <w:outlineLvl w:val="8"/>
    </w:pPr>
    <w:rPr>
      <w:rFonts w:asciiTheme="majorHAnsi" w:hAnsiTheme="majorHAnsi" w:eastAsiaTheme="majorEastAsia" w:cstheme="majorBidi"/>
      <w:i/>
      <w:iCs/>
      <w:color w:val="404040" w:themeColor="text1" w:themeTint="BF"/>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rsid w:val="00A7740C"/>
    <w:rPr>
      <w:rFonts w:asciiTheme="majorHAnsi" w:hAnsiTheme="majorHAnsi" w:eastAsiaTheme="majorEastAsia" w:cstheme="majorBidi"/>
      <w:color w:val="1F3763" w:themeColor="accent1" w:themeShade="7F"/>
      <w:sz w:val="24"/>
      <w:szCs w:val="20"/>
      <w:lang w:val="es-ES_tradnl"/>
    </w:rPr>
  </w:style>
  <w:style w:type="character" w:styleId="Heading6Char" w:customStyle="1">
    <w:name w:val="Heading 6 Char"/>
    <w:basedOn w:val="DefaultParagraphFont"/>
    <w:link w:val="Heading6"/>
    <w:rsid w:val="00A7740C"/>
    <w:rPr>
      <w:rFonts w:asciiTheme="majorHAnsi" w:hAnsiTheme="majorHAnsi" w:eastAsiaTheme="majorEastAsia" w:cstheme="majorBidi"/>
      <w:i/>
      <w:iCs/>
      <w:color w:val="1F3763" w:themeColor="accent1" w:themeShade="7F"/>
      <w:sz w:val="24"/>
      <w:szCs w:val="20"/>
      <w:lang w:val="es-ES_tradnl"/>
    </w:rPr>
  </w:style>
  <w:style w:type="character" w:styleId="Heading7Char" w:customStyle="1">
    <w:name w:val="Heading 7 Char"/>
    <w:basedOn w:val="DefaultParagraphFont"/>
    <w:link w:val="Heading7"/>
    <w:rsid w:val="00A7740C"/>
    <w:rPr>
      <w:rFonts w:asciiTheme="majorHAnsi" w:hAnsiTheme="majorHAnsi" w:eastAsiaTheme="majorEastAsia" w:cstheme="majorBidi"/>
      <w:i/>
      <w:iCs/>
      <w:color w:val="404040" w:themeColor="text1" w:themeTint="BF"/>
      <w:sz w:val="24"/>
      <w:szCs w:val="20"/>
      <w:lang w:val="es-ES_tradnl"/>
    </w:rPr>
  </w:style>
  <w:style w:type="character" w:styleId="Heading8Char" w:customStyle="1">
    <w:name w:val="Heading 8 Char"/>
    <w:basedOn w:val="DefaultParagraphFont"/>
    <w:link w:val="Heading8"/>
    <w:rsid w:val="00A7740C"/>
    <w:rPr>
      <w:rFonts w:asciiTheme="majorHAnsi" w:hAnsiTheme="majorHAnsi" w:eastAsiaTheme="majorEastAsia" w:cstheme="majorBidi"/>
      <w:color w:val="404040" w:themeColor="text1" w:themeTint="BF"/>
      <w:sz w:val="20"/>
      <w:szCs w:val="20"/>
      <w:lang w:val="es-ES_tradnl"/>
    </w:rPr>
  </w:style>
  <w:style w:type="character" w:styleId="Heading9Char" w:customStyle="1">
    <w:name w:val="Heading 9 Char"/>
    <w:basedOn w:val="DefaultParagraphFont"/>
    <w:link w:val="Heading9"/>
    <w:rsid w:val="00A7740C"/>
    <w:rPr>
      <w:rFonts w:asciiTheme="majorHAnsi" w:hAnsiTheme="majorHAnsi" w:eastAsiaTheme="majorEastAsia" w:cstheme="majorBidi"/>
      <w:i/>
      <w:iCs/>
      <w:color w:val="404040" w:themeColor="text1" w:themeTint="BF"/>
      <w:sz w:val="20"/>
      <w:szCs w:val="20"/>
      <w:lang w:val="es-ES_tradnl"/>
    </w:rPr>
  </w:style>
  <w:style w:type="paragraph" w:styleId="AbbrDesc" w:customStyle="1">
    <w:name w:val="AbbrDesc"/>
    <w:basedOn w:val="Normal"/>
    <w:rsid w:val="00A7740C"/>
    <w:pPr>
      <w:tabs>
        <w:tab w:val="left" w:pos="3060"/>
      </w:tabs>
      <w:jc w:val="both"/>
    </w:pPr>
  </w:style>
  <w:style w:type="paragraph" w:styleId="BodyText">
    <w:name w:val="Body Text"/>
    <w:basedOn w:val="Normal"/>
    <w:link w:val="BodyTextChar"/>
    <w:rsid w:val="00A7740C"/>
    <w:pPr>
      <w:tabs>
        <w:tab w:val="left" w:pos="3060"/>
      </w:tabs>
      <w:jc w:val="center"/>
    </w:pPr>
  </w:style>
  <w:style w:type="character" w:styleId="BodyTextChar" w:customStyle="1">
    <w:name w:val="Body Text Char"/>
    <w:basedOn w:val="DefaultParagraphFont"/>
    <w:link w:val="BodyText"/>
    <w:rsid w:val="00A7740C"/>
    <w:rPr>
      <w:rFonts w:ascii="Times New Roman" w:hAnsi="Times New Roman" w:eastAsia="Times New Roman" w:cs="Times New Roman"/>
      <w:sz w:val="24"/>
      <w:szCs w:val="20"/>
      <w:lang w:val="es-ES_tradnl"/>
    </w:rPr>
  </w:style>
  <w:style w:type="paragraph" w:styleId="Chapter" w:customStyle="1">
    <w:name w:val="Chapter"/>
    <w:basedOn w:val="Normal"/>
    <w:next w:val="Normal"/>
    <w:rsid w:val="00A7740C"/>
    <w:pPr>
      <w:keepNext/>
      <w:numPr>
        <w:numId w:val="2"/>
      </w:numPr>
      <w:tabs>
        <w:tab w:val="left" w:pos="1440"/>
      </w:tabs>
      <w:spacing w:before="240" w:after="240"/>
      <w:jc w:val="center"/>
    </w:pPr>
    <w:rPr>
      <w:b/>
      <w:smallCaps/>
      <w:lang w:val="es-ES"/>
    </w:rPr>
  </w:style>
  <w:style w:type="paragraph" w:styleId="FirstHeading" w:customStyle="1">
    <w:name w:val="FirstHeading"/>
    <w:basedOn w:val="Normal"/>
    <w:next w:val="Normal"/>
    <w:link w:val="FirstHeadingChar"/>
    <w:rsid w:val="00A7740C"/>
    <w:pPr>
      <w:keepNext/>
      <w:numPr>
        <w:numId w:val="1"/>
      </w:numPr>
      <w:tabs>
        <w:tab w:val="left" w:pos="0"/>
        <w:tab w:val="left" w:pos="86"/>
      </w:tabs>
      <w:spacing w:before="120" w:after="120"/>
    </w:pPr>
    <w:rPr>
      <w:b/>
      <w:lang w:val="es-ES"/>
    </w:rPr>
  </w:style>
  <w:style w:type="paragraph" w:styleId="Footer">
    <w:name w:val="footer"/>
    <w:basedOn w:val="Normal"/>
    <w:link w:val="FooterChar"/>
    <w:rsid w:val="00A7740C"/>
    <w:pPr>
      <w:tabs>
        <w:tab w:val="center" w:pos="4320"/>
        <w:tab w:val="right" w:pos="8640"/>
      </w:tabs>
    </w:pPr>
  </w:style>
  <w:style w:type="character" w:styleId="FooterChar" w:customStyle="1">
    <w:name w:val="Footer Char"/>
    <w:basedOn w:val="DefaultParagraphFont"/>
    <w:link w:val="Footer"/>
    <w:rsid w:val="00A7740C"/>
    <w:rPr>
      <w:rFonts w:ascii="Times New Roman" w:hAnsi="Times New Roman" w:eastAsia="Times New Roman" w:cs="Times New Roman"/>
      <w:sz w:val="24"/>
      <w:szCs w:val="20"/>
      <w:lang w:val="es-ES_tradnl"/>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rsid w:val="00A7740C"/>
    <w:pPr>
      <w:keepNext/>
      <w:keepLines/>
      <w:spacing w:after="120"/>
      <w:ind w:left="288" w:hanging="288"/>
      <w:jc w:val="both"/>
    </w:pPr>
    <w:rPr>
      <w:spacing w:val="-3"/>
      <w:sz w:val="20"/>
    </w:rPr>
  </w:style>
  <w:style w:type="character" w:styleId="FootnoteTextChar" w:customStyle="1">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rsid w:val="00A7740C"/>
    <w:rPr>
      <w:rFonts w:ascii="Times New Roman" w:hAnsi="Times New Roman" w:eastAsia="Times New Roman" w:cs="Times New Roman"/>
      <w:spacing w:val="-3"/>
      <w:sz w:val="20"/>
      <w:szCs w:val="20"/>
      <w:lang w:val="es-ES_tradnl"/>
    </w:rPr>
  </w:style>
  <w:style w:type="paragraph" w:styleId="Header">
    <w:name w:val="header"/>
    <w:basedOn w:val="Normal"/>
    <w:link w:val="HeaderChar"/>
    <w:rsid w:val="00A7740C"/>
    <w:pPr>
      <w:tabs>
        <w:tab w:val="center" w:pos="4320"/>
        <w:tab w:val="right" w:pos="8640"/>
      </w:tabs>
    </w:pPr>
  </w:style>
  <w:style w:type="character" w:styleId="HeaderChar" w:customStyle="1">
    <w:name w:val="Header Char"/>
    <w:basedOn w:val="DefaultParagraphFont"/>
    <w:link w:val="Header"/>
    <w:rsid w:val="00A7740C"/>
    <w:rPr>
      <w:rFonts w:ascii="Times New Roman" w:hAnsi="Times New Roman" w:eastAsia="Times New Roman" w:cs="Times New Roman"/>
      <w:sz w:val="24"/>
      <w:szCs w:val="20"/>
      <w:lang w:val="es-ES_tradnl"/>
    </w:rPr>
  </w:style>
  <w:style w:type="paragraph" w:styleId="Newpage" w:customStyle="1">
    <w:name w:val="Newpage"/>
    <w:basedOn w:val="Chapter"/>
    <w:rsid w:val="00A7740C"/>
    <w:pPr>
      <w:numPr>
        <w:numId w:val="0"/>
      </w:numPr>
      <w:tabs>
        <w:tab w:val="clear" w:pos="1440"/>
        <w:tab w:val="left" w:pos="3060"/>
      </w:tabs>
      <w:spacing w:after="0"/>
    </w:pPr>
  </w:style>
  <w:style w:type="paragraph" w:styleId="Paragraph" w:customStyle="1">
    <w:name w:val="Paragraph"/>
    <w:aliases w:val="paragraph,p,PARAGRAPH,PG,pa,at"/>
    <w:basedOn w:val="BodyTextIndent"/>
    <w:link w:val="ParagraphChar"/>
    <w:qFormat/>
    <w:rsid w:val="00A7740C"/>
    <w:pPr>
      <w:numPr>
        <w:ilvl w:val="1"/>
        <w:numId w:val="2"/>
      </w:numPr>
      <w:tabs>
        <w:tab w:val="clear" w:pos="2448"/>
        <w:tab w:val="num" w:pos="720"/>
      </w:tabs>
      <w:spacing w:before="120"/>
      <w:ind w:left="720" w:hanging="720"/>
      <w:jc w:val="both"/>
      <w:outlineLvl w:val="1"/>
    </w:pPr>
    <w:rPr>
      <w:lang w:val="es-ES"/>
    </w:rPr>
  </w:style>
  <w:style w:type="paragraph" w:styleId="SecHeading" w:customStyle="1">
    <w:name w:val="SecHeading"/>
    <w:basedOn w:val="Normal"/>
    <w:next w:val="Paragraph"/>
    <w:rsid w:val="00A7740C"/>
    <w:pPr>
      <w:keepNext/>
      <w:numPr>
        <w:ilvl w:val="1"/>
        <w:numId w:val="1"/>
      </w:numPr>
      <w:tabs>
        <w:tab w:val="clear" w:pos="5400"/>
        <w:tab w:val="num" w:pos="1296"/>
      </w:tabs>
      <w:spacing w:before="120" w:after="120"/>
      <w:ind w:left="1296"/>
    </w:pPr>
    <w:rPr>
      <w:b/>
    </w:rPr>
  </w:style>
  <w:style w:type="paragraph" w:styleId="SubHeading1" w:customStyle="1">
    <w:name w:val="SubHeading1"/>
    <w:basedOn w:val="SecHeading"/>
    <w:rsid w:val="00A7740C"/>
    <w:pPr>
      <w:numPr>
        <w:ilvl w:val="2"/>
      </w:numPr>
      <w:tabs>
        <w:tab w:val="clear" w:pos="5976"/>
        <w:tab w:val="num" w:pos="1872"/>
      </w:tabs>
      <w:ind w:left="1872"/>
    </w:pPr>
  </w:style>
  <w:style w:type="paragraph" w:styleId="Subheading2" w:customStyle="1">
    <w:name w:val="Subheading2"/>
    <w:basedOn w:val="SecHeading"/>
    <w:rsid w:val="00A7740C"/>
    <w:pPr>
      <w:numPr>
        <w:ilvl w:val="3"/>
      </w:numPr>
      <w:tabs>
        <w:tab w:val="clear" w:pos="6480"/>
        <w:tab w:val="num" w:pos="2376"/>
      </w:tabs>
      <w:ind w:left="2376"/>
    </w:pPr>
  </w:style>
  <w:style w:type="paragraph" w:styleId="subpar" w:customStyle="1">
    <w:name w:val="subpar"/>
    <w:basedOn w:val="BodyTextIndent3"/>
    <w:rsid w:val="00A7740C"/>
    <w:pPr>
      <w:numPr>
        <w:ilvl w:val="2"/>
        <w:numId w:val="2"/>
      </w:numPr>
      <w:tabs>
        <w:tab w:val="clear" w:pos="2304"/>
        <w:tab w:val="num" w:pos="360"/>
      </w:tabs>
      <w:spacing w:before="120"/>
      <w:ind w:left="360" w:firstLine="0"/>
      <w:jc w:val="both"/>
      <w:outlineLvl w:val="2"/>
    </w:pPr>
    <w:rPr>
      <w:sz w:val="24"/>
      <w:szCs w:val="20"/>
    </w:rPr>
  </w:style>
  <w:style w:type="paragraph" w:styleId="SubSubPar" w:customStyle="1">
    <w:name w:val="SubSubPar"/>
    <w:basedOn w:val="subpar"/>
    <w:uiPriority w:val="99"/>
    <w:rsid w:val="00A7740C"/>
    <w:pPr>
      <w:numPr>
        <w:ilvl w:val="3"/>
      </w:numPr>
      <w:tabs>
        <w:tab w:val="clear" w:pos="2736"/>
        <w:tab w:val="left" w:pos="0"/>
        <w:tab w:val="num" w:pos="360"/>
      </w:tabs>
    </w:pPr>
  </w:style>
  <w:style w:type="paragraph" w:styleId="TOC1">
    <w:name w:val="toc 1"/>
    <w:basedOn w:val="Normal"/>
    <w:next w:val="Normal"/>
    <w:autoRedefine/>
    <w:uiPriority w:val="39"/>
    <w:rsid w:val="00A7740C"/>
    <w:pPr>
      <w:tabs>
        <w:tab w:val="left" w:pos="540"/>
        <w:tab w:val="right" w:leader="dot" w:pos="8741"/>
      </w:tabs>
      <w:spacing w:before="240" w:after="240"/>
      <w:ind w:left="547" w:hanging="547"/>
    </w:pPr>
    <w:rPr>
      <w:rFonts w:ascii="Gotham Book" w:hAnsi="Gotham Book"/>
      <w:b/>
      <w:smallCaps/>
      <w:noProof/>
      <w:sz w:val="22"/>
      <w:szCs w:val="22"/>
    </w:rPr>
  </w:style>
  <w:style w:type="paragraph" w:styleId="TOC2">
    <w:name w:val="toc 2"/>
    <w:basedOn w:val="Normal"/>
    <w:next w:val="Normal"/>
    <w:autoRedefine/>
    <w:uiPriority w:val="39"/>
    <w:rsid w:val="00A7740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40C"/>
    <w:pPr>
      <w:tabs>
        <w:tab w:val="left" w:pos="1728"/>
      </w:tabs>
      <w:ind w:left="1714" w:hanging="562"/>
    </w:pPr>
    <w:rPr>
      <w:lang w:val="es-ES"/>
    </w:rPr>
  </w:style>
  <w:style w:type="character" w:styleId="FootnoteReference">
    <w:name w:val="footnote reference"/>
    <w:aliases w:val="ftref,Fußnotenzeichen DISS,16 Point,Superscript 6 Point,BVI fnr, BVI fnr,Знак сноски 1,referencia nota al pie,titulo 2,FC,Footnote Referencefra,Ref. de nota al pie.,Footnote Reference.SES,Ref. de nota al pie EDEP,pie pddes,fr,SUPERS"/>
    <w:basedOn w:val="DefaultParagraphFont"/>
    <w:qFormat/>
    <w:rsid w:val="00A7740C"/>
    <w:rPr>
      <w:vertAlign w:val="superscript"/>
    </w:rPr>
  </w:style>
  <w:style w:type="character" w:styleId="ParagraphChar" w:customStyle="1">
    <w:name w:val="Paragraph Char"/>
    <w:link w:val="Paragraph"/>
    <w:rsid w:val="00A7740C"/>
    <w:rPr>
      <w:rFonts w:ascii="Times New Roman" w:hAnsi="Times New Roman" w:eastAsia="Times New Roman" w:cs="Times New Roman"/>
      <w:sz w:val="24"/>
      <w:szCs w:val="20"/>
      <w:lang w:val="es-ES"/>
    </w:rPr>
  </w:style>
  <w:style w:type="paragraph" w:styleId="BodyTextIndent">
    <w:name w:val="Body Text Indent"/>
    <w:basedOn w:val="Normal"/>
    <w:link w:val="BodyTextIndentChar"/>
    <w:uiPriority w:val="99"/>
    <w:semiHidden/>
    <w:unhideWhenUsed/>
    <w:rsid w:val="00A7740C"/>
    <w:pPr>
      <w:spacing w:after="120"/>
      <w:ind w:left="360"/>
    </w:pPr>
  </w:style>
  <w:style w:type="character" w:styleId="BodyTextIndentChar" w:customStyle="1">
    <w:name w:val="Body Text Indent Char"/>
    <w:basedOn w:val="DefaultParagraphFont"/>
    <w:link w:val="BodyTextIndent"/>
    <w:uiPriority w:val="99"/>
    <w:semiHidden/>
    <w:rsid w:val="00A7740C"/>
    <w:rPr>
      <w:rFonts w:ascii="Times New Roman" w:hAnsi="Times New Roman" w:eastAsia="Times New Roman" w:cs="Times New Roman"/>
      <w:sz w:val="24"/>
      <w:szCs w:val="20"/>
      <w:lang w:val="es-ES_tradnl"/>
    </w:rPr>
  </w:style>
  <w:style w:type="paragraph" w:styleId="BodyTextIndent3">
    <w:name w:val="Body Text Indent 3"/>
    <w:basedOn w:val="Normal"/>
    <w:link w:val="BodyTextIndent3Char"/>
    <w:uiPriority w:val="99"/>
    <w:semiHidden/>
    <w:unhideWhenUsed/>
    <w:rsid w:val="00A7740C"/>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A7740C"/>
    <w:rPr>
      <w:rFonts w:ascii="Times New Roman" w:hAnsi="Times New Roman" w:eastAsia="Times New Roman" w:cs="Times New Roman"/>
      <w:sz w:val="16"/>
      <w:szCs w:val="16"/>
      <w:lang w:val="es-ES_tradnl"/>
    </w:rPr>
  </w:style>
  <w:style w:type="character" w:styleId="FirstHeadingChar" w:customStyle="1">
    <w:name w:val="FirstHeading Char"/>
    <w:basedOn w:val="DefaultParagraphFont"/>
    <w:link w:val="FirstHeading"/>
    <w:rsid w:val="00FB7E42"/>
    <w:rPr>
      <w:rFonts w:ascii="Times New Roman" w:hAnsi="Times New Roman" w:eastAsia="Times New Roman" w:cs="Times New Roman"/>
      <w:b/>
      <w:sz w:val="24"/>
      <w:szCs w:val="20"/>
      <w:lang w:val="es-ES"/>
    </w:rPr>
  </w:style>
  <w:style w:type="paragraph" w:styleId="BalloonText">
    <w:name w:val="Balloon Text"/>
    <w:basedOn w:val="Normal"/>
    <w:link w:val="BalloonTextChar"/>
    <w:uiPriority w:val="99"/>
    <w:semiHidden/>
    <w:unhideWhenUsed/>
    <w:rsid w:val="00007380"/>
    <w:rPr>
      <w:rFonts w:ascii="Segoe UI" w:hAnsi="Segoe UI" w:cs="Segoe UI"/>
      <w:sz w:val="18"/>
      <w:szCs w:val="18"/>
    </w:rPr>
  </w:style>
  <w:style w:type="character" w:styleId="BalloonTextChar" w:customStyle="1">
    <w:name w:val="Balloon Text Char"/>
    <w:basedOn w:val="DefaultParagraphFont"/>
    <w:link w:val="BalloonText"/>
    <w:uiPriority w:val="99"/>
    <w:semiHidden/>
    <w:rsid w:val="00007380"/>
    <w:rPr>
      <w:rFonts w:ascii="Segoe UI" w:hAnsi="Segoe UI" w:eastAsia="Times New Roman" w:cs="Segoe UI"/>
      <w:sz w:val="18"/>
      <w:szCs w:val="18"/>
      <w:lang w:val="es-ES_tradnl"/>
    </w:rPr>
  </w:style>
  <w:style w:type="paragraph" w:styleId="Caption">
    <w:name w:val="caption"/>
    <w:basedOn w:val="Normal"/>
    <w:next w:val="Normal"/>
    <w:uiPriority w:val="35"/>
    <w:unhideWhenUsed/>
    <w:qFormat/>
    <w:rsid w:val="00DB030B"/>
    <w:pPr>
      <w:spacing w:after="200"/>
    </w:pPr>
    <w:rPr>
      <w:i/>
      <w:iCs/>
      <w:color w:val="44546A" w:themeColor="text2"/>
      <w:sz w:val="18"/>
      <w:szCs w:val="18"/>
    </w:rPr>
  </w:style>
  <w:style w:type="character" w:styleId="Hyperlink">
    <w:name w:val="Hyperlink"/>
    <w:rsid w:val="004855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466436">
      <w:bodyDiv w:val="1"/>
      <w:marLeft w:val="0"/>
      <w:marRight w:val="0"/>
      <w:marTop w:val="0"/>
      <w:marBottom w:val="0"/>
      <w:divBdr>
        <w:top w:val="none" w:sz="0" w:space="0" w:color="auto"/>
        <w:left w:val="none" w:sz="0" w:space="0" w:color="auto"/>
        <w:bottom w:val="none" w:sz="0" w:space="0" w:color="auto"/>
        <w:right w:val="none" w:sz="0" w:space="0" w:color="auto"/>
      </w:divBdr>
    </w:div>
    <w:div w:id="324550599">
      <w:bodyDiv w:val="1"/>
      <w:marLeft w:val="0"/>
      <w:marRight w:val="0"/>
      <w:marTop w:val="0"/>
      <w:marBottom w:val="0"/>
      <w:divBdr>
        <w:top w:val="none" w:sz="0" w:space="0" w:color="auto"/>
        <w:left w:val="none" w:sz="0" w:space="0" w:color="auto"/>
        <w:bottom w:val="none" w:sz="0" w:space="0" w:color="auto"/>
        <w:right w:val="none" w:sz="0" w:space="0" w:color="auto"/>
      </w:divBdr>
    </w:div>
    <w:div w:id="1045521521">
      <w:bodyDiv w:val="1"/>
      <w:marLeft w:val="0"/>
      <w:marRight w:val="0"/>
      <w:marTop w:val="0"/>
      <w:marBottom w:val="0"/>
      <w:divBdr>
        <w:top w:val="none" w:sz="0" w:space="0" w:color="auto"/>
        <w:left w:val="none" w:sz="0" w:space="0" w:color="auto"/>
        <w:bottom w:val="none" w:sz="0" w:space="0" w:color="auto"/>
        <w:right w:val="none" w:sz="0" w:space="0" w:color="auto"/>
      </w:divBdr>
    </w:div>
    <w:div w:id="1192887344">
      <w:bodyDiv w:val="1"/>
      <w:marLeft w:val="0"/>
      <w:marRight w:val="0"/>
      <w:marTop w:val="0"/>
      <w:marBottom w:val="0"/>
      <w:divBdr>
        <w:top w:val="none" w:sz="0" w:space="0" w:color="auto"/>
        <w:left w:val="none" w:sz="0" w:space="0" w:color="auto"/>
        <w:bottom w:val="none" w:sz="0" w:space="0" w:color="auto"/>
        <w:right w:val="none" w:sz="0" w:space="0" w:color="auto"/>
      </w:divBdr>
    </w:div>
    <w:div w:id="1513494297">
      <w:bodyDiv w:val="1"/>
      <w:marLeft w:val="0"/>
      <w:marRight w:val="0"/>
      <w:marTop w:val="0"/>
      <w:marBottom w:val="0"/>
      <w:divBdr>
        <w:top w:val="none" w:sz="0" w:space="0" w:color="auto"/>
        <w:left w:val="none" w:sz="0" w:space="0" w:color="auto"/>
        <w:bottom w:val="none" w:sz="0" w:space="0" w:color="auto"/>
        <w:right w:val="none" w:sz="0" w:space="0" w:color="auto"/>
      </w:divBdr>
    </w:div>
    <w:div w:id="187002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5"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www.enterprisesurveys.org/data/exploreeconomies/2010/baham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58ABE155E5B18E4EB0D59C9F276E6115" ma:contentTypeVersion="1269" ma:contentTypeDescription="The base project type from which other project content types inherit their information." ma:contentTypeScope="" ma:versionID="5ed75b4ad4f523f406bcc7c4b41bff8b">
  <xsd:schema xmlns:xsd="http://www.w3.org/2001/XMLSchema" xmlns:xs="http://www.w3.org/2001/XMLSchema" xmlns:p="http://schemas.microsoft.com/office/2006/metadata/properties" xmlns:ns2="cdc7663a-08f0-4737-9e8c-148ce897a09c" targetNamespace="http://schemas.microsoft.com/office/2006/metadata/properties" ma:root="true" ma:fieldsID="bdcf96e1c1e9bf014de22bf6d6faed2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58ABE155E5B18E4EB0D59C9F276E6115" ma:contentTypeVersion="1269" ma:contentTypeDescription="The base project type from which other project content types inherit their information." ma:contentTypeScope="" ma:versionID="c39398bb53133c17566f3a68f9cbd4de">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IDBDocs_x0020_Number xmlns="cdc7663a-08f0-4737-9e8c-148ce897a09c" xsi:nil="true"/>
    <Document_x0020_Author xmlns="cdc7663a-08f0-4737-9e8c-148ce897a09c">Bernedo, Cecilia</Document_x0020_Author>
    <_dlc_DocId xmlns="cdc7663a-08f0-4737-9e8c-148ce897a09c">EZSHARE-1891893787-13</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Bahamas</TermName>
          <TermId xmlns="http://schemas.microsoft.com/office/infopath/2007/PartnerControls">7662ea91-358d-4300-9a3d-1bdfe066f698</TermId>
        </TermInfo>
      </Terms>
    </ic46d7e087fd4a108fb86518ca413cc6>
    <TaxCatchAll xmlns="cdc7663a-08f0-4737-9e8c-148ce897a09c">
      <Value>92</Value>
      <Value>26</Value>
      <Value>93</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BH-L1046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4846/OC-BH;</Approval_x0020_Number>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SMALL AND MEDIUM ENTERPRISE</TermName>
          <TermId xmlns="http://schemas.microsoft.com/office/infopath/2007/PartnerControls">dc60e909-07f3-41c5-be67-c26ad544a0ce</TermId>
        </TermInfo>
      </Terms>
    </b2ec7cfb18674cb8803df6b262e8b107>
    <Document_x0020_Language_x0020_IDB xmlns="cdc7663a-08f0-4737-9e8c-148ce897a09c">English</Document_x0020_Language_x0020_IDB>
    <_dlc_DocIdUrl xmlns="cdc7663a-08f0-4737-9e8c-148ce897a09c">
      <Url>https://idbg.sharepoint.com/teams/EZ-BH-LON/BH-L1046/_layouts/15/DocIdRedir.aspx?ID=EZSHARE-1891893787-13</Url>
      <Description>EZSHARE-1891893787-13</Description>
    </_dlc_DocIdUrl>
    <Phase xmlns="cdc7663a-08f0-4737-9e8c-148ce897a09c" xsi:nil="true"/>
    <Other_x0020_Author xmlns="cdc7663a-08f0-4737-9e8c-148ce897a09c">Fernando de Olloqui</Other_x0020_Autho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DB2EC8CACAF4E468EFC4DFF4A5914DD" ma:contentTypeVersion="1269" ma:contentTypeDescription="A content type to manage public (operations) IDB documents" ma:contentTypeScope="" ma:versionID="206ef5e3319b057b178e2ebbbb54dc61">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F12061-7760-4131-B3FF-7C5E66BD67BE}">
  <ds:schemaRefs>
    <ds:schemaRef ds:uri="http://schemas.openxmlformats.org/officeDocument/2006/bibliography"/>
  </ds:schemaRefs>
</ds:datastoreItem>
</file>

<file path=customXml/itemProps2.xml><?xml version="1.0" encoding="utf-8"?>
<ds:datastoreItem xmlns:ds="http://schemas.openxmlformats.org/officeDocument/2006/customXml" ds:itemID="{E9DB46B9-AA13-4906-8EDB-3D9F461A5BC4}"/>
</file>

<file path=customXml/itemProps3.xml><?xml version="1.0" encoding="utf-8"?>
<ds:datastoreItem xmlns:ds="http://schemas.openxmlformats.org/officeDocument/2006/customXml" ds:itemID="{7A44A8FB-958B-4F88-8678-955615ECFD29}"/>
</file>

<file path=customXml/itemProps4.xml><?xml version="1.0" encoding="utf-8"?>
<ds:datastoreItem xmlns:ds="http://schemas.openxmlformats.org/officeDocument/2006/customXml" ds:itemID="{A01F78B3-D818-452F-B7B9-EFAB8950FED5}"/>
</file>

<file path=customXml/itemProps5.xml><?xml version="1.0" encoding="utf-8"?>
<ds:datastoreItem xmlns:ds="http://schemas.openxmlformats.org/officeDocument/2006/customXml" ds:itemID="{16FE4A10-2278-4691-870D-62E2C8BB1D83}"/>
</file>

<file path=customXml/itemProps6.xml><?xml version="1.0" encoding="utf-8"?>
<ds:datastoreItem xmlns:ds="http://schemas.openxmlformats.org/officeDocument/2006/customXml" ds:itemID="{BC965243-AF33-417A-9E45-74F0ED35AF2A}"/>
</file>

<file path=customXml/itemProps7.xml><?xml version="1.0" encoding="utf-8"?>
<ds:datastoreItem xmlns:ds="http://schemas.openxmlformats.org/officeDocument/2006/customXml" ds:itemID="{E7D13579-54A7-4948-B059-3B02553D9F83}"/>
</file>

<file path=customXml/itemProps8.xml><?xml version="1.0" encoding="utf-8"?>
<ds:datastoreItem xmlns:ds="http://schemas.openxmlformats.org/officeDocument/2006/customXml" ds:itemID="{BCDE0B76-BA96-41E0-9DE9-1E95A1B9146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Vargas Macedo, Sebastian</dc:creator>
  <cp:keywords/>
  <dc:description/>
  <cp:lastModifiedBy>Arauz Herrera, Alison</cp:lastModifiedBy>
  <cp:revision>16</cp:revision>
  <dcterms:created xsi:type="dcterms:W3CDTF">2019-04-15T21:11:00Z</dcterms:created>
  <dcterms:modified xsi:type="dcterms:W3CDTF">2019-06-17T15:29:13Z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93;#SMALL AND MEDIUM ENTERPRISE|dc60e909-07f3-41c5-be67-c26ad544a0ce</vt:lpwstr>
  </property>
  <property fmtid="{D5CDD505-2E9C-101B-9397-08002B2CF9AE}" pid="7" name="Country">
    <vt:lpwstr>26;#Bahamas|7662ea91-358d-4300-9a3d-1bdfe066f698</vt:lpwstr>
  </property>
  <property fmtid="{D5CDD505-2E9C-101B-9397-08002B2CF9AE}" pid="8" name="Fund IDB">
    <vt:lpwstr/>
  </property>
  <property fmtid="{D5CDD505-2E9C-101B-9397-08002B2CF9AE}" pid="9" name="_dlc_DocIdItemGuid">
    <vt:lpwstr>b5ac7164-6bbf-404c-a52a-932cebc0836c</vt:lpwstr>
  </property>
  <property fmtid="{D5CDD505-2E9C-101B-9397-08002B2CF9AE}" pid="10" name="Sector IDB">
    <vt:lpwstr>92;#PRIVATE FIRMS AND SME DEVELOPMENT|c1e6207a-501c-43c6-a42a-7c1a019b2e26</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0x0101001A458A224826124E8B45B1D613300CFC00DDB2EC8CACAF4E468EFC4DFF4A5914DD</vt:lpwstr>
  </property>
</Properties>
</file>