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EC694F" w:rsidR="00232DCD" w:rsidP="00232DCD" w:rsidRDefault="00232DCD" w14:paraId="4371F208" w14:textId="77777777">
      <w:pPr>
        <w:jc w:val="center"/>
        <w:rPr>
          <w:rFonts w:ascii="Arial" w:hAnsi="Arial" w:cs="Arial"/>
          <w:sz w:val="20"/>
          <w:szCs w:val="20"/>
        </w:rPr>
      </w:pPr>
    </w:p>
    <w:p w:rsidRPr="00EC694F" w:rsidR="00232DCD" w:rsidP="00232DCD" w:rsidRDefault="00232DCD" w14:paraId="055EF121" w14:textId="77777777">
      <w:pPr>
        <w:jc w:val="center"/>
        <w:rPr>
          <w:rFonts w:ascii="Arial" w:hAnsi="Arial" w:cs="Arial"/>
          <w:b/>
          <w:smallCaps/>
          <w:sz w:val="20"/>
          <w:szCs w:val="20"/>
        </w:rPr>
      </w:pPr>
      <w:r w:rsidRPr="00EC694F">
        <w:rPr>
          <w:rFonts w:ascii="Arial" w:hAnsi="Arial" w:cs="Arial"/>
          <w:b/>
          <w:smallCaps/>
          <w:sz w:val="20"/>
          <w:szCs w:val="20"/>
        </w:rPr>
        <w:t>Document of the Inter-American Development Bank</w:t>
      </w:r>
    </w:p>
    <w:p w:rsidRPr="00EC694F" w:rsidR="00232DCD" w:rsidP="00232DCD" w:rsidRDefault="00232DCD" w14:paraId="265538C3" w14:textId="77777777">
      <w:pPr>
        <w:rPr>
          <w:rFonts w:ascii="Arial" w:hAnsi="Arial" w:cs="Arial"/>
          <w:smallCaps/>
          <w:sz w:val="20"/>
          <w:szCs w:val="20"/>
        </w:rPr>
      </w:pPr>
    </w:p>
    <w:p w:rsidRPr="00EC694F" w:rsidR="00232DCD" w:rsidP="00232DCD" w:rsidRDefault="00232DCD" w14:paraId="2E6F460A" w14:textId="77777777">
      <w:pPr>
        <w:rPr>
          <w:rFonts w:ascii="Arial" w:hAnsi="Arial" w:cs="Arial"/>
          <w:smallCaps/>
          <w:sz w:val="20"/>
          <w:szCs w:val="20"/>
        </w:rPr>
      </w:pPr>
    </w:p>
    <w:p w:rsidRPr="00EC694F" w:rsidR="00232DCD" w:rsidP="00232DCD" w:rsidRDefault="00232DCD" w14:paraId="7DDEC61F" w14:textId="77777777">
      <w:pPr>
        <w:rPr>
          <w:rFonts w:ascii="Arial" w:hAnsi="Arial" w:cs="Arial"/>
          <w:smallCaps/>
          <w:sz w:val="20"/>
          <w:szCs w:val="20"/>
        </w:rPr>
      </w:pPr>
    </w:p>
    <w:p w:rsidRPr="00EC694F" w:rsidR="00232DCD" w:rsidP="00232DCD" w:rsidRDefault="00232DCD" w14:paraId="666380F4" w14:textId="77777777">
      <w:pPr>
        <w:rPr>
          <w:rFonts w:ascii="Arial" w:hAnsi="Arial" w:cs="Arial"/>
          <w:smallCaps/>
          <w:sz w:val="20"/>
          <w:szCs w:val="20"/>
        </w:rPr>
      </w:pPr>
    </w:p>
    <w:p w:rsidRPr="00EC694F" w:rsidR="00232DCD" w:rsidP="00232DCD" w:rsidRDefault="00232DCD" w14:paraId="12570DD9" w14:textId="77777777">
      <w:pPr>
        <w:jc w:val="center"/>
        <w:rPr>
          <w:rFonts w:ascii="Arial" w:hAnsi="Arial" w:cs="Arial"/>
          <w:smallCaps/>
          <w:sz w:val="20"/>
          <w:szCs w:val="20"/>
        </w:rPr>
      </w:pPr>
      <w:r w:rsidRPr="00EC694F">
        <w:rPr>
          <w:rFonts w:ascii="Arial" w:hAnsi="Arial" w:cs="Arial"/>
          <w:noProof/>
          <w:sz w:val="20"/>
          <w:szCs w:val="20"/>
        </w:rPr>
        <w:drawing>
          <wp:inline distT="0" distB="0" distL="0" distR="0" wp14:anchorId="42E33870" wp14:editId="42E33871">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rsidRPr="00EC694F" w:rsidR="00232DCD" w:rsidP="00232DCD" w:rsidRDefault="00232DCD" w14:paraId="30BB0551" w14:textId="77777777">
      <w:pPr>
        <w:rPr>
          <w:rFonts w:ascii="Arial" w:hAnsi="Arial" w:cs="Arial"/>
          <w:smallCaps/>
          <w:sz w:val="20"/>
          <w:szCs w:val="20"/>
        </w:rPr>
      </w:pPr>
    </w:p>
    <w:p w:rsidRPr="00EC694F" w:rsidR="00232DCD" w:rsidP="00232DCD" w:rsidRDefault="00232DCD" w14:paraId="11C7B2D8" w14:textId="77777777">
      <w:pPr>
        <w:rPr>
          <w:rFonts w:ascii="Arial" w:hAnsi="Arial" w:cs="Arial"/>
          <w:smallCaps/>
          <w:sz w:val="20"/>
          <w:szCs w:val="20"/>
        </w:rPr>
      </w:pPr>
    </w:p>
    <w:p w:rsidRPr="00EC694F" w:rsidR="00232DCD" w:rsidP="00232DCD" w:rsidRDefault="0090744C" w14:paraId="3524C7B6" w14:textId="77777777">
      <w:pPr>
        <w:jc w:val="center"/>
        <w:rPr>
          <w:rFonts w:ascii="Arial" w:hAnsi="Arial" w:cs="Arial"/>
          <w:b/>
          <w:smallCaps/>
          <w:sz w:val="20"/>
          <w:szCs w:val="20"/>
        </w:rPr>
      </w:pPr>
      <w:r>
        <w:rPr>
          <w:rFonts w:ascii="Arial" w:hAnsi="Arial" w:cs="Arial"/>
          <w:b/>
          <w:smallCaps/>
          <w:sz w:val="20"/>
          <w:szCs w:val="20"/>
        </w:rPr>
        <w:t>BAHAMAS</w:t>
      </w:r>
    </w:p>
    <w:p w:rsidRPr="00EC694F" w:rsidR="00232DCD" w:rsidP="00232DCD" w:rsidRDefault="0090744C" w14:paraId="5F0E5048" w14:textId="77777777">
      <w:pPr>
        <w:jc w:val="center"/>
        <w:rPr>
          <w:rFonts w:ascii="Arial" w:hAnsi="Arial" w:cs="Arial"/>
          <w:b/>
          <w:smallCaps/>
          <w:sz w:val="20"/>
          <w:szCs w:val="20"/>
        </w:rPr>
      </w:pPr>
      <w:r w:rsidRPr="0090744C">
        <w:rPr>
          <w:rFonts w:ascii="Arial" w:hAnsi="Arial" w:cs="Arial"/>
          <w:b/>
          <w:smallCaps/>
          <w:sz w:val="20"/>
          <w:szCs w:val="20"/>
        </w:rPr>
        <w:t>CREDIT ENHANCEMENT PROGRAM FOR MICRO, SMALL AND MEDIUM ENTERPRISES</w:t>
      </w:r>
    </w:p>
    <w:p w:rsidRPr="00EC694F" w:rsidR="00232DCD" w:rsidP="00232DCD" w:rsidRDefault="0090744C" w14:paraId="432AB8B7" w14:textId="77777777">
      <w:pPr>
        <w:jc w:val="center"/>
        <w:rPr>
          <w:rFonts w:ascii="Arial" w:hAnsi="Arial" w:cs="Arial"/>
          <w:b/>
          <w:smallCaps/>
          <w:sz w:val="20"/>
          <w:szCs w:val="20"/>
        </w:rPr>
      </w:pPr>
      <w:r>
        <w:rPr>
          <w:rFonts w:ascii="Arial" w:hAnsi="Arial" w:cs="Arial"/>
          <w:b/>
          <w:smallCaps/>
          <w:sz w:val="20"/>
          <w:szCs w:val="20"/>
        </w:rPr>
        <w:t>BH-L1046</w:t>
      </w:r>
    </w:p>
    <w:p w:rsidRPr="00EC694F" w:rsidR="00232DCD" w:rsidP="00232DCD" w:rsidRDefault="00232DCD" w14:paraId="58FD2729" w14:textId="77777777">
      <w:pPr>
        <w:jc w:val="center"/>
        <w:rPr>
          <w:rFonts w:ascii="Arial" w:hAnsi="Arial" w:cs="Arial"/>
          <w:smallCaps/>
          <w:sz w:val="20"/>
          <w:szCs w:val="20"/>
        </w:rPr>
      </w:pPr>
    </w:p>
    <w:p w:rsidRPr="00EC694F" w:rsidR="00232DCD" w:rsidP="00232DCD" w:rsidRDefault="00232DCD" w14:paraId="02D43234" w14:textId="77777777">
      <w:pPr>
        <w:jc w:val="center"/>
        <w:rPr>
          <w:rFonts w:ascii="Arial" w:hAnsi="Arial" w:cs="Arial"/>
          <w:smallCaps/>
          <w:sz w:val="20"/>
          <w:szCs w:val="20"/>
        </w:rPr>
      </w:pPr>
    </w:p>
    <w:p w:rsidRPr="00EC694F" w:rsidR="00232DCD" w:rsidP="00232DCD" w:rsidRDefault="00232DCD" w14:paraId="2196B45B" w14:textId="77777777">
      <w:pPr>
        <w:jc w:val="center"/>
        <w:rPr>
          <w:rFonts w:ascii="Arial" w:hAnsi="Arial" w:cs="Arial"/>
          <w:smallCaps/>
          <w:sz w:val="20"/>
          <w:szCs w:val="20"/>
        </w:rPr>
      </w:pPr>
    </w:p>
    <w:p w:rsidRPr="00EC694F" w:rsidR="00232DCD" w:rsidP="00232DCD" w:rsidRDefault="00232DCD" w14:paraId="2D91DB22" w14:textId="77777777">
      <w:pPr>
        <w:jc w:val="center"/>
        <w:rPr>
          <w:rFonts w:ascii="Arial" w:hAnsi="Arial" w:cs="Arial"/>
          <w:smallCaps/>
          <w:sz w:val="20"/>
          <w:szCs w:val="20"/>
        </w:rPr>
      </w:pPr>
    </w:p>
    <w:p w:rsidRPr="00EC694F" w:rsidR="00232DCD" w:rsidP="00232DCD" w:rsidRDefault="00232DCD" w14:paraId="4F906A30" w14:textId="77777777">
      <w:pPr>
        <w:jc w:val="center"/>
        <w:rPr>
          <w:rFonts w:ascii="Arial" w:hAnsi="Arial" w:cs="Arial"/>
          <w:b/>
          <w:bCs/>
          <w:caps/>
          <w:sz w:val="20"/>
          <w:szCs w:val="20"/>
        </w:rPr>
      </w:pPr>
      <w:r w:rsidRPr="00EC694F">
        <w:rPr>
          <w:rFonts w:ascii="Arial" w:hAnsi="Arial" w:cs="Arial"/>
          <w:b/>
          <w:bCs/>
          <w:caps/>
          <w:sz w:val="20"/>
          <w:szCs w:val="20"/>
        </w:rPr>
        <w:t>Environmental and Social MANAGEMENT REPORT</w:t>
      </w:r>
    </w:p>
    <w:p w:rsidRPr="00EC694F" w:rsidR="00232DCD" w:rsidP="00232DCD" w:rsidRDefault="00232DCD" w14:paraId="72468E2C" w14:textId="77777777">
      <w:pPr>
        <w:jc w:val="center"/>
        <w:rPr>
          <w:rFonts w:ascii="Arial" w:hAnsi="Arial" w:cs="Arial"/>
          <w:b/>
          <w:smallCaps/>
          <w:sz w:val="20"/>
          <w:szCs w:val="20"/>
        </w:rPr>
      </w:pPr>
      <w:r w:rsidRPr="00EC694F">
        <w:rPr>
          <w:rFonts w:ascii="Arial" w:hAnsi="Arial" w:cs="Arial"/>
          <w:b/>
          <w:smallCaps/>
          <w:sz w:val="20"/>
          <w:szCs w:val="20"/>
        </w:rPr>
        <w:t>(ES</w:t>
      </w:r>
      <w:r w:rsidRPr="00EC694F" w:rsidR="00C53ABB">
        <w:rPr>
          <w:rFonts w:ascii="Arial" w:hAnsi="Arial" w:cs="Arial"/>
          <w:b/>
          <w:smallCaps/>
          <w:sz w:val="20"/>
          <w:szCs w:val="20"/>
        </w:rPr>
        <w:t>MR</w:t>
      </w:r>
      <w:r w:rsidRPr="00EC694F">
        <w:rPr>
          <w:rFonts w:ascii="Arial" w:hAnsi="Arial" w:cs="Arial"/>
          <w:b/>
          <w:smallCaps/>
          <w:sz w:val="20"/>
          <w:szCs w:val="20"/>
        </w:rPr>
        <w:t>)</w:t>
      </w:r>
    </w:p>
    <w:p w:rsidRPr="00EC694F" w:rsidR="00232DCD" w:rsidP="00232DCD" w:rsidRDefault="0090744C" w14:paraId="17C92CEA" w14:textId="77777777">
      <w:pPr>
        <w:jc w:val="center"/>
        <w:rPr>
          <w:rFonts w:ascii="Arial" w:hAnsi="Arial" w:cs="Arial"/>
          <w:smallCaps/>
          <w:sz w:val="20"/>
          <w:szCs w:val="20"/>
        </w:rPr>
      </w:pPr>
      <w:r>
        <w:rPr>
          <w:rFonts w:ascii="Arial" w:hAnsi="Arial" w:cs="Arial"/>
          <w:smallCaps/>
          <w:sz w:val="20"/>
          <w:szCs w:val="20"/>
        </w:rPr>
        <w:t>April 3, 2019</w:t>
      </w:r>
    </w:p>
    <w:p w:rsidRPr="00EC694F" w:rsidR="00232DCD" w:rsidP="00232DCD" w:rsidRDefault="00232DCD" w14:paraId="1BCCDB76" w14:textId="77777777">
      <w:pPr>
        <w:jc w:val="center"/>
        <w:rPr>
          <w:rFonts w:ascii="Arial" w:hAnsi="Arial" w:cs="Arial"/>
          <w:smallCaps/>
          <w:sz w:val="20"/>
          <w:szCs w:val="20"/>
        </w:rPr>
      </w:pPr>
    </w:p>
    <w:p w:rsidRPr="00EC694F" w:rsidR="00232DCD" w:rsidP="00232DCD" w:rsidRDefault="00232DCD" w14:paraId="1D0BF82A" w14:textId="77777777">
      <w:pPr>
        <w:jc w:val="center"/>
        <w:rPr>
          <w:rFonts w:ascii="Arial" w:hAnsi="Arial" w:cs="Arial"/>
          <w:smallCaps/>
          <w:sz w:val="20"/>
          <w:szCs w:val="20"/>
        </w:rPr>
      </w:pPr>
    </w:p>
    <w:p w:rsidRPr="00EC694F" w:rsidR="00232DCD" w:rsidP="00232DCD" w:rsidRDefault="00232DCD" w14:paraId="6F3C22DF" w14:textId="77777777">
      <w:pPr>
        <w:jc w:val="center"/>
        <w:rPr>
          <w:rFonts w:ascii="Arial" w:hAnsi="Arial" w:cs="Arial"/>
          <w:smallCaps/>
          <w:sz w:val="20"/>
          <w:szCs w:val="20"/>
        </w:rPr>
      </w:pPr>
    </w:p>
    <w:p w:rsidRPr="00EC694F" w:rsidR="00232DCD" w:rsidP="00232DCD" w:rsidRDefault="00232DCD" w14:paraId="7112A704" w14:textId="77777777">
      <w:pPr>
        <w:jc w:val="center"/>
        <w:rPr>
          <w:rFonts w:ascii="Arial" w:hAnsi="Arial" w:cs="Arial"/>
          <w:smallCaps/>
          <w:sz w:val="20"/>
          <w:szCs w:val="20"/>
        </w:rPr>
      </w:pPr>
    </w:p>
    <w:p w:rsidRPr="00EC694F" w:rsidR="00232DCD" w:rsidP="00232DCD" w:rsidRDefault="00232DCD" w14:paraId="739E34C5" w14:textId="77777777">
      <w:pPr>
        <w:jc w:val="center"/>
        <w:rPr>
          <w:rFonts w:ascii="Arial" w:hAnsi="Arial" w:cs="Arial"/>
          <w:smallCaps/>
          <w:sz w:val="20"/>
          <w:szCs w:val="20"/>
        </w:rPr>
      </w:pPr>
    </w:p>
    <w:p w:rsidRPr="00EC694F" w:rsidR="00232DCD" w:rsidP="00232DCD" w:rsidRDefault="00232DCD" w14:paraId="175B4E33" w14:textId="77777777">
      <w:pPr>
        <w:jc w:val="center"/>
        <w:rPr>
          <w:rFonts w:ascii="Arial" w:hAnsi="Arial" w:cs="Arial"/>
          <w:smallCaps/>
          <w:sz w:val="20"/>
          <w:szCs w:val="20"/>
        </w:rPr>
      </w:pPr>
    </w:p>
    <w:p w:rsidRPr="00EC694F" w:rsidR="00232DCD" w:rsidP="00232DCD" w:rsidRDefault="00232DCD" w14:paraId="24D3ABE8" w14:textId="77777777">
      <w:pPr>
        <w:jc w:val="center"/>
        <w:rPr>
          <w:rFonts w:ascii="Arial" w:hAnsi="Arial" w:cs="Arial"/>
          <w:smallCaps/>
          <w:sz w:val="20"/>
          <w:szCs w:val="20"/>
        </w:rPr>
      </w:pPr>
    </w:p>
    <w:p w:rsidRPr="00EC694F" w:rsidR="00C53ABB" w:rsidP="00C53ABB" w:rsidRDefault="00C53ABB" w14:paraId="6776B1A7" w14:textId="77777777">
      <w:pPr>
        <w:pBdr>
          <w:top w:val="single" w:color="auto" w:sz="4" w:space="1"/>
          <w:left w:val="single" w:color="auto" w:sz="4" w:space="4"/>
          <w:bottom w:val="single" w:color="auto" w:sz="4" w:space="1"/>
          <w:right w:val="single" w:color="auto" w:sz="4" w:space="4"/>
        </w:pBdr>
        <w:jc w:val="center"/>
        <w:rPr>
          <w:rFonts w:ascii="Arial" w:hAnsi="Arial" w:cs="Arial"/>
          <w:sz w:val="20"/>
          <w:szCs w:val="20"/>
        </w:rPr>
      </w:pPr>
      <w:r w:rsidRPr="00EC694F">
        <w:rPr>
          <w:rFonts w:ascii="Arial" w:hAnsi="Arial" w:cs="Arial"/>
          <w:sz w:val="20"/>
          <w:szCs w:val="20"/>
        </w:rPr>
        <w:t xml:space="preserve">This document was prepared by: </w:t>
      </w:r>
    </w:p>
    <w:p w:rsidRPr="00EC694F" w:rsidR="00C53ABB" w:rsidP="00C53ABB" w:rsidRDefault="007A5905" w14:paraId="4F8A53B8" w14:textId="77777777">
      <w:pPr>
        <w:pBdr>
          <w:top w:val="single" w:color="auto" w:sz="4" w:space="1"/>
          <w:left w:val="single" w:color="auto" w:sz="4" w:space="4"/>
          <w:bottom w:val="single" w:color="auto" w:sz="4" w:space="1"/>
          <w:right w:val="single" w:color="auto" w:sz="4" w:space="4"/>
        </w:pBdr>
        <w:jc w:val="center"/>
        <w:rPr>
          <w:rFonts w:ascii="Arial" w:hAnsi="Arial" w:cs="Arial"/>
          <w:sz w:val="20"/>
          <w:szCs w:val="20"/>
        </w:rPr>
      </w:pPr>
      <w:r w:rsidRPr="00EC694F">
        <w:rPr>
          <w:rFonts w:ascii="Arial" w:hAnsi="Arial" w:cs="Arial"/>
          <w:sz w:val="20"/>
          <w:szCs w:val="20"/>
        </w:rPr>
        <w:t>Isabelle Braly-Cartillier (IFD/CMF)</w:t>
      </w:r>
    </w:p>
    <w:p w:rsidRPr="00EC694F" w:rsidR="00232DCD" w:rsidRDefault="00232DCD" w14:paraId="08BAA3F2" w14:textId="77777777">
      <w:pPr>
        <w:rPr>
          <w:rFonts w:ascii="Arial" w:hAnsi="Arial" w:cs="Arial"/>
          <w:sz w:val="20"/>
          <w:szCs w:val="20"/>
        </w:rPr>
      </w:pPr>
    </w:p>
    <w:p w:rsidRPr="00EC694F" w:rsidR="00232DCD" w:rsidRDefault="00232DCD" w14:paraId="7B30362E" w14:textId="77777777">
      <w:pPr>
        <w:rPr>
          <w:rFonts w:ascii="Arial" w:hAnsi="Arial" w:cs="Arial"/>
          <w:sz w:val="20"/>
          <w:szCs w:val="20"/>
        </w:rPr>
      </w:pPr>
    </w:p>
    <w:p w:rsidRPr="00EC694F" w:rsidR="00232DCD" w:rsidRDefault="00232DCD" w14:paraId="039B768E" w14:textId="77777777">
      <w:pPr>
        <w:rPr>
          <w:rFonts w:ascii="Arial" w:hAnsi="Arial" w:cs="Arial"/>
          <w:sz w:val="20"/>
          <w:szCs w:val="20"/>
        </w:rPr>
      </w:pPr>
    </w:p>
    <w:p w:rsidRPr="00EC694F" w:rsidR="00C53ABB" w:rsidRDefault="00C53ABB" w14:paraId="7E1FD22A" w14:textId="77777777">
      <w:pPr>
        <w:rPr>
          <w:rFonts w:ascii="Arial" w:hAnsi="Arial" w:cs="Arial"/>
          <w:sz w:val="20"/>
          <w:szCs w:val="20"/>
        </w:rPr>
      </w:pPr>
      <w:r w:rsidRPr="00EC694F">
        <w:rPr>
          <w:rFonts w:ascii="Arial" w:hAnsi="Arial" w:cs="Arial"/>
          <w:sz w:val="20"/>
          <w:szCs w:val="20"/>
        </w:rPr>
        <w:br w:type="page"/>
      </w:r>
    </w:p>
    <w:tbl>
      <w:tblPr>
        <w:tblW w:w="9990" w:type="dxa"/>
        <w:tblInd w:w="105"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Pr="00EC694F" w:rsidR="00B01F04" w:rsidTr="105536DE" w14:paraId="01B8BCA6" w14:textId="77777777">
        <w:trPr>
          <w:trHeight w:val="420"/>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B01F04" w:rsidP="00232DCD" w:rsidRDefault="00232DCD" w14:paraId="25CE9862" w14:textId="77777777">
            <w:pPr>
              <w:jc w:val="center"/>
              <w:rPr>
                <w:rFonts w:ascii="Arial" w:hAnsi="Arial" w:eastAsia="Times New Roman" w:cs="Arial"/>
                <w:b/>
                <w:bCs/>
                <w:sz w:val="20"/>
                <w:szCs w:val="20"/>
              </w:rPr>
            </w:pPr>
            <w:r w:rsidRPr="00EC694F">
              <w:rPr>
                <w:rFonts w:ascii="Arial" w:hAnsi="Arial" w:eastAsia="Times New Roman" w:cs="Arial"/>
                <w:b/>
                <w:bCs/>
                <w:sz w:val="20"/>
                <w:szCs w:val="20"/>
              </w:rPr>
              <w:lastRenderedPageBreak/>
              <w:t>ENVIRONMENTAL AND SOCIAL MANAGEMENT REPORT (ESMR)</w:t>
            </w:r>
          </w:p>
        </w:tc>
      </w:tr>
      <w:tr w:rsidRPr="00EC694F" w:rsidR="00232DCD" w:rsidTr="105536DE" w14:paraId="1EF854D6"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232DCD" w:rsidP="00844A93" w:rsidRDefault="00232DCD" w14:paraId="2729E600" w14:textId="77777777">
            <w:pPr>
              <w:rPr>
                <w:rFonts w:ascii="Arial" w:hAnsi="Arial" w:eastAsia="Times New Roman" w:cs="Arial"/>
                <w:b/>
                <w:bCs/>
                <w:sz w:val="20"/>
                <w:szCs w:val="20"/>
              </w:rPr>
            </w:pPr>
            <w:r w:rsidRPr="00EC694F">
              <w:rPr>
                <w:rFonts w:ascii="Arial" w:hAnsi="Arial" w:eastAsia="Times New Roman" w:cs="Arial"/>
                <w:b/>
                <w:bCs/>
                <w:sz w:val="20"/>
                <w:szCs w:val="20"/>
              </w:rPr>
              <w:t>Operation Name:</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232DCD" w:rsidP="00844A93" w:rsidRDefault="0090744C" w14:paraId="0D69629A" w14:textId="77777777">
            <w:pPr>
              <w:rPr>
                <w:rFonts w:ascii="Arial" w:hAnsi="Arial" w:eastAsia="Times New Roman" w:cs="Arial"/>
                <w:sz w:val="20"/>
                <w:szCs w:val="20"/>
              </w:rPr>
            </w:pPr>
            <w:r w:rsidRPr="0090744C">
              <w:rPr>
                <w:rFonts w:ascii="Arial" w:hAnsi="Arial" w:eastAsia="Times New Roman" w:cs="Arial"/>
                <w:sz w:val="20"/>
                <w:szCs w:val="20"/>
              </w:rPr>
              <w:t>CREDIT ENHANCEMENT PROGRAM FOR MICRO, SMALL AND MEDIUM ENTERPRISES</w:t>
            </w:r>
          </w:p>
        </w:tc>
      </w:tr>
      <w:tr w:rsidRPr="00EC694F" w:rsidR="005354FC" w:rsidTr="105536DE" w14:paraId="2F12E0A5"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5354FC" w:rsidP="00844A93" w:rsidRDefault="005354FC" w14:paraId="37DB53A2" w14:textId="77777777">
            <w:pPr>
              <w:rPr>
                <w:rFonts w:ascii="Arial" w:hAnsi="Arial" w:eastAsia="Times New Roman" w:cs="Arial"/>
                <w:b/>
                <w:bCs/>
                <w:sz w:val="20"/>
                <w:szCs w:val="20"/>
              </w:rPr>
            </w:pPr>
            <w:r w:rsidRPr="00EC694F">
              <w:rPr>
                <w:rFonts w:ascii="Arial" w:hAnsi="Arial" w:eastAsia="Times New Roman" w:cs="Arial"/>
                <w:b/>
                <w:bCs/>
                <w:sz w:val="20"/>
                <w:szCs w:val="20"/>
              </w:rPr>
              <w:t>Operation Number:</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5354FC" w:rsidP="00844A93" w:rsidRDefault="0090744C" w14:paraId="74244909" w14:textId="77777777">
            <w:pPr>
              <w:rPr>
                <w:rFonts w:ascii="Arial" w:hAnsi="Arial" w:eastAsia="Times New Roman" w:cs="Arial"/>
                <w:sz w:val="20"/>
                <w:szCs w:val="20"/>
              </w:rPr>
            </w:pPr>
            <w:r>
              <w:rPr>
                <w:rFonts w:ascii="Arial" w:hAnsi="Arial" w:eastAsia="Times New Roman" w:cs="Arial"/>
                <w:sz w:val="20"/>
                <w:szCs w:val="20"/>
              </w:rPr>
              <w:t>BH-L1046</w:t>
            </w:r>
          </w:p>
        </w:tc>
      </w:tr>
      <w:tr w:rsidRPr="00EC694F" w:rsidR="00232DCD" w:rsidTr="105536DE" w14:paraId="11258DB6" w14:textId="77777777">
        <w:trPr>
          <w:trHeight w:val="357"/>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tcPr>
          <w:p w:rsidRPr="00EC694F" w:rsidR="00232DCD" w:rsidP="008969CF" w:rsidRDefault="005354FC" w14:paraId="0240F5E2" w14:textId="77777777">
            <w:pPr>
              <w:pStyle w:val="ListParagraph"/>
              <w:numPr>
                <w:ilvl w:val="0"/>
                <w:numId w:val="2"/>
              </w:numPr>
              <w:ind w:left="318" w:hanging="318"/>
              <w:rPr>
                <w:rFonts w:ascii="Arial" w:hAnsi="Arial" w:eastAsia="Times New Roman" w:cs="Arial"/>
                <w:sz w:val="20"/>
                <w:szCs w:val="20"/>
              </w:rPr>
            </w:pPr>
            <w:r w:rsidRPr="00EC694F">
              <w:rPr>
                <w:rFonts w:ascii="Arial" w:hAnsi="Arial" w:eastAsia="Times New Roman" w:cs="Arial"/>
                <w:b/>
                <w:bCs/>
                <w:sz w:val="20"/>
                <w:szCs w:val="20"/>
              </w:rPr>
              <w:t xml:space="preserve">Operation </w:t>
            </w:r>
            <w:r w:rsidRPr="00EC694F" w:rsidR="00232DCD">
              <w:rPr>
                <w:rFonts w:ascii="Arial" w:hAnsi="Arial" w:eastAsia="Times New Roman" w:cs="Arial"/>
                <w:b/>
                <w:bCs/>
                <w:sz w:val="20"/>
                <w:szCs w:val="20"/>
              </w:rPr>
              <w:t>Details</w:t>
            </w:r>
          </w:p>
        </w:tc>
      </w:tr>
      <w:tr w:rsidRPr="00EC694F" w:rsidR="00B01F04" w:rsidTr="105536DE" w14:paraId="737AD39B"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EC694F" w:rsidR="00B01F04" w:rsidP="00844A93" w:rsidRDefault="00B01F04" w14:paraId="68BA31D8" w14:textId="77777777">
            <w:pPr>
              <w:rPr>
                <w:rFonts w:ascii="Arial" w:hAnsi="Arial" w:eastAsia="Times New Roman" w:cs="Arial"/>
                <w:b/>
                <w:bCs/>
                <w:sz w:val="20"/>
                <w:szCs w:val="20"/>
              </w:rPr>
            </w:pPr>
            <w:r w:rsidRPr="00EC694F">
              <w:rPr>
                <w:rFonts w:ascii="Arial" w:hAnsi="Arial" w:eastAsia="Times New Roman" w:cs="Arial"/>
                <w:b/>
                <w:bCs/>
                <w:sz w:val="20"/>
                <w:szCs w:val="20"/>
              </w:rPr>
              <w:t>IDB Sector</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EC694F" w:rsidR="0065343D" w:rsidP="00844A93" w:rsidRDefault="007A5905" w14:paraId="4A171B30" w14:textId="77777777">
            <w:pPr>
              <w:rPr>
                <w:rFonts w:ascii="Arial" w:hAnsi="Arial" w:eastAsia="Times New Roman" w:cs="Arial"/>
                <w:sz w:val="20"/>
                <w:szCs w:val="20"/>
              </w:rPr>
            </w:pPr>
            <w:r w:rsidRPr="00EC694F">
              <w:rPr>
                <w:rFonts w:ascii="Arial" w:hAnsi="Arial" w:eastAsia="Times New Roman" w:cs="Arial"/>
                <w:sz w:val="20"/>
                <w:szCs w:val="20"/>
              </w:rPr>
              <w:t>IFD/CMF</w:t>
            </w:r>
          </w:p>
        </w:tc>
      </w:tr>
      <w:tr w:rsidRPr="00EC694F" w:rsidR="00B01F04" w:rsidTr="105536DE" w14:paraId="291AF4D0"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EC694F" w:rsidR="00B01F04" w:rsidP="00844A93" w:rsidRDefault="00B01F04" w14:paraId="4A14D2F9" w14:textId="77777777">
            <w:pPr>
              <w:rPr>
                <w:rFonts w:ascii="Arial" w:hAnsi="Arial" w:eastAsia="Times New Roman" w:cs="Arial"/>
                <w:b/>
                <w:bCs/>
                <w:sz w:val="20"/>
                <w:szCs w:val="20"/>
              </w:rPr>
            </w:pPr>
            <w:r w:rsidRPr="00EC694F">
              <w:rPr>
                <w:rFonts w:ascii="Arial" w:hAnsi="Arial" w:eastAsia="Times New Roman" w:cs="Arial"/>
                <w:b/>
                <w:bCs/>
                <w:sz w:val="20"/>
                <w:szCs w:val="20"/>
              </w:rPr>
              <w:t>Type of Operation</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hideMark/>
          </w:tcPr>
          <w:p w:rsidRPr="00EC694F" w:rsidR="00CA0933" w:rsidP="00CA0933" w:rsidRDefault="00CA14CC" w14:paraId="1BEE896E" w14:textId="77777777">
            <w:pPr>
              <w:rPr>
                <w:rFonts w:ascii="Arial" w:hAnsi="Arial" w:eastAsia="Times New Roman" w:cs="Arial"/>
                <w:sz w:val="20"/>
                <w:szCs w:val="20"/>
              </w:rPr>
            </w:pPr>
            <w:r w:rsidRPr="00EC694F">
              <w:rPr>
                <w:rFonts w:ascii="Arial" w:hAnsi="Arial" w:eastAsia="Times New Roman" w:cs="Arial"/>
                <w:sz w:val="20"/>
                <w:szCs w:val="20"/>
              </w:rPr>
              <w:t>Global Credit Loan</w:t>
            </w:r>
          </w:p>
        </w:tc>
      </w:tr>
      <w:tr w:rsidRPr="00EC694F" w:rsidR="00B01F04" w:rsidTr="105536DE" w14:paraId="7B7912CC"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B01F04" w:rsidP="005354FC" w:rsidRDefault="0023640D" w14:paraId="0A2E9DB7" w14:textId="77777777">
            <w:pPr>
              <w:rPr>
                <w:rFonts w:ascii="Arial" w:hAnsi="Arial" w:eastAsia="Times New Roman" w:cs="Arial"/>
                <w:b/>
                <w:bCs/>
                <w:sz w:val="20"/>
                <w:szCs w:val="20"/>
              </w:rPr>
            </w:pPr>
            <w:r w:rsidRPr="00EC694F">
              <w:rPr>
                <w:rFonts w:ascii="Arial" w:hAnsi="Arial" w:eastAsia="Times New Roman" w:cs="Arial"/>
                <w:b/>
                <w:bCs/>
                <w:sz w:val="20"/>
                <w:szCs w:val="20"/>
              </w:rPr>
              <w:t xml:space="preserve">Environmental and Social </w:t>
            </w:r>
            <w:r w:rsidRPr="00EC694F" w:rsidR="00B01F04">
              <w:rPr>
                <w:rFonts w:ascii="Arial" w:hAnsi="Arial" w:eastAsia="Times New Roman" w:cs="Arial"/>
                <w:b/>
                <w:bCs/>
                <w:sz w:val="20"/>
                <w:szCs w:val="20"/>
              </w:rPr>
              <w:t>Impact Categorization</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B01F04" w:rsidP="00844A93" w:rsidRDefault="007A5905" w14:paraId="39653A44" w14:textId="77777777">
            <w:pPr>
              <w:rPr>
                <w:rFonts w:ascii="Arial" w:hAnsi="Arial" w:eastAsia="Times New Roman" w:cs="Arial"/>
                <w:sz w:val="20"/>
                <w:szCs w:val="20"/>
              </w:rPr>
            </w:pPr>
            <w:r w:rsidRPr="00EC694F">
              <w:rPr>
                <w:rFonts w:ascii="Arial" w:hAnsi="Arial" w:eastAsia="Times New Roman" w:cs="Arial"/>
                <w:sz w:val="20"/>
                <w:szCs w:val="20"/>
              </w:rPr>
              <w:t>B13. FI-3</w:t>
            </w:r>
          </w:p>
        </w:tc>
      </w:tr>
      <w:tr w:rsidRPr="00EC694F" w:rsidR="00B01F04" w:rsidTr="105536DE" w14:paraId="3BA7A808"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B01F04" w:rsidDel="007813EB" w:rsidP="00844A93" w:rsidRDefault="00B01F04" w14:paraId="6ED322FA" w14:textId="77777777">
            <w:pPr>
              <w:rPr>
                <w:rFonts w:ascii="Arial" w:hAnsi="Arial" w:eastAsia="Times New Roman" w:cs="Arial"/>
                <w:b/>
                <w:bCs/>
                <w:sz w:val="20"/>
                <w:szCs w:val="20"/>
              </w:rPr>
            </w:pPr>
            <w:r w:rsidRPr="00EC694F">
              <w:rPr>
                <w:rFonts w:ascii="Arial" w:hAnsi="Arial" w:eastAsia="Times New Roman" w:cs="Arial"/>
                <w:b/>
                <w:bCs/>
                <w:sz w:val="20"/>
                <w:szCs w:val="20"/>
              </w:rPr>
              <w:t>Disaster Risk Rating</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B01F04" w:rsidP="00844A93" w:rsidRDefault="007A5905" w14:paraId="34F1CF3A" w14:textId="77777777">
            <w:pPr>
              <w:rPr>
                <w:rFonts w:ascii="Arial" w:hAnsi="Arial" w:eastAsia="Times New Roman" w:cs="Arial"/>
                <w:sz w:val="20"/>
                <w:szCs w:val="20"/>
              </w:rPr>
            </w:pPr>
            <w:r w:rsidRPr="00EC694F">
              <w:rPr>
                <w:rFonts w:ascii="Arial" w:hAnsi="Arial" w:eastAsia="Times New Roman" w:cs="Arial"/>
                <w:sz w:val="20"/>
                <w:szCs w:val="20"/>
              </w:rPr>
              <w:t>Low</w:t>
            </w:r>
          </w:p>
        </w:tc>
      </w:tr>
      <w:tr w:rsidRPr="00EC694F" w:rsidR="00B01F04" w:rsidTr="105536DE" w14:paraId="3CD17DF2"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B01F04" w:rsidP="00844A93" w:rsidRDefault="00B01F04" w14:paraId="29E60B15" w14:textId="77777777">
            <w:pPr>
              <w:rPr>
                <w:rFonts w:ascii="Arial" w:hAnsi="Arial" w:eastAsia="Times New Roman" w:cs="Arial"/>
                <w:b/>
                <w:bCs/>
                <w:sz w:val="20"/>
                <w:szCs w:val="20"/>
              </w:rPr>
            </w:pPr>
            <w:r w:rsidRPr="00EC694F">
              <w:rPr>
                <w:rFonts w:ascii="Arial" w:hAnsi="Arial" w:eastAsia="Times New Roman" w:cs="Arial"/>
                <w:b/>
                <w:bCs/>
                <w:sz w:val="20"/>
                <w:szCs w:val="20"/>
              </w:rPr>
              <w:t>Borrower</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B01F04" w:rsidP="00844A93" w:rsidRDefault="0090744C" w14:paraId="7943E5BD" w14:textId="77777777">
            <w:pPr>
              <w:rPr>
                <w:rFonts w:ascii="Arial" w:hAnsi="Arial" w:eastAsia="Times New Roman" w:cs="Arial"/>
                <w:sz w:val="20"/>
                <w:szCs w:val="20"/>
              </w:rPr>
            </w:pPr>
            <w:r w:rsidRPr="0090744C">
              <w:rPr>
                <w:rFonts w:ascii="Arial" w:hAnsi="Arial" w:cs="Arial"/>
                <w:sz w:val="20"/>
                <w:szCs w:val="20"/>
              </w:rPr>
              <w:t>The Commonwealth of the Bahamas</w:t>
            </w:r>
          </w:p>
        </w:tc>
      </w:tr>
      <w:tr w:rsidRPr="00EC694F" w:rsidR="008E7356" w:rsidTr="105536DE" w14:paraId="3BE3B6E6" w14:textId="77777777">
        <w:trPr>
          <w:trHeight w:val="21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8E7356" w:rsidP="00844A93" w:rsidRDefault="008E7356" w14:paraId="4BD9712C" w14:textId="77777777">
            <w:pPr>
              <w:rPr>
                <w:rFonts w:ascii="Arial" w:hAnsi="Arial" w:eastAsia="Times New Roman" w:cs="Arial"/>
                <w:b/>
                <w:bCs/>
                <w:sz w:val="20"/>
                <w:szCs w:val="20"/>
              </w:rPr>
            </w:pPr>
            <w:r w:rsidRPr="00EC694F">
              <w:rPr>
                <w:rFonts w:ascii="Arial" w:hAnsi="Arial" w:eastAsia="Times New Roman" w:cs="Arial"/>
                <w:b/>
                <w:bCs/>
                <w:sz w:val="20"/>
                <w:szCs w:val="20"/>
              </w:rPr>
              <w:t>Executing Agency</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8E7356" w:rsidP="00844A93" w:rsidRDefault="0090744C" w14:paraId="6FD79107" w14:textId="77777777">
            <w:pPr>
              <w:rPr>
                <w:rFonts w:ascii="Arial" w:hAnsi="Arial" w:eastAsia="Times New Roman" w:cs="Arial"/>
                <w:sz w:val="20"/>
                <w:szCs w:val="20"/>
              </w:rPr>
            </w:pPr>
            <w:r w:rsidRPr="0090744C">
              <w:rPr>
                <w:rFonts w:ascii="Arial" w:hAnsi="Arial" w:cs="Arial"/>
                <w:sz w:val="20"/>
                <w:szCs w:val="20"/>
              </w:rPr>
              <w:t>Small Business Development Centre Bahamas</w:t>
            </w:r>
            <w:r>
              <w:rPr>
                <w:rFonts w:ascii="Arial" w:hAnsi="Arial" w:cs="Arial"/>
                <w:sz w:val="20"/>
                <w:szCs w:val="20"/>
              </w:rPr>
              <w:t xml:space="preserve"> (SBDC)</w:t>
            </w:r>
          </w:p>
        </w:tc>
      </w:tr>
      <w:tr w:rsidRPr="00EC694F" w:rsidR="007A5905" w:rsidTr="105536DE" w14:paraId="2BC724E4"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7A5905" w:rsidP="007A5905" w:rsidRDefault="007A5905" w14:paraId="29EC6B0D" w14:textId="77777777">
            <w:pPr>
              <w:rPr>
                <w:rFonts w:ascii="Arial" w:hAnsi="Arial" w:eastAsia="Times New Roman" w:cs="Arial"/>
                <w:b/>
                <w:bCs/>
                <w:sz w:val="20"/>
                <w:szCs w:val="20"/>
              </w:rPr>
            </w:pPr>
            <w:r w:rsidRPr="00EC694F">
              <w:rPr>
                <w:rFonts w:ascii="Arial" w:hAnsi="Arial" w:eastAsia="Times New Roman" w:cs="Arial"/>
                <w:b/>
                <w:bCs/>
                <w:sz w:val="20"/>
                <w:szCs w:val="20"/>
              </w:rPr>
              <w:t>IDB Loan US$ (and total project cost)</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7A5905" w:rsidP="007A5905" w:rsidRDefault="007A5905" w14:paraId="6DD38EDD" w14:textId="77777777">
            <w:pPr>
              <w:rPr>
                <w:rFonts w:ascii="Arial" w:hAnsi="Arial" w:eastAsia="Times New Roman" w:cs="Arial"/>
                <w:sz w:val="20"/>
                <w:szCs w:val="20"/>
              </w:rPr>
            </w:pPr>
            <w:r w:rsidRPr="00EC694F">
              <w:rPr>
                <w:rFonts w:ascii="Arial" w:hAnsi="Arial" w:eastAsia="Times New Roman" w:cs="Arial"/>
                <w:sz w:val="20"/>
                <w:szCs w:val="20"/>
              </w:rPr>
              <w:t>IDB (Ordinary Capital) US$</w:t>
            </w:r>
            <w:r w:rsidR="0090744C">
              <w:rPr>
                <w:rFonts w:ascii="Arial" w:hAnsi="Arial" w:eastAsia="Times New Roman" w:cs="Arial"/>
                <w:sz w:val="20"/>
                <w:szCs w:val="20"/>
              </w:rPr>
              <w:t>2</w:t>
            </w:r>
            <w:r w:rsidRPr="00EC694F">
              <w:rPr>
                <w:rFonts w:ascii="Arial" w:hAnsi="Arial" w:eastAsia="Times New Roman" w:cs="Arial"/>
                <w:sz w:val="20"/>
                <w:szCs w:val="20"/>
              </w:rPr>
              <w:t>5,000,000</w:t>
            </w:r>
          </w:p>
          <w:p w:rsidRPr="00EC694F" w:rsidR="007A5905" w:rsidP="007A5905" w:rsidRDefault="007A5905" w14:paraId="681C9684" w14:textId="77777777">
            <w:pPr>
              <w:rPr>
                <w:rFonts w:ascii="Arial" w:hAnsi="Arial" w:eastAsia="Times New Roman" w:cs="Arial"/>
                <w:sz w:val="20"/>
                <w:szCs w:val="20"/>
              </w:rPr>
            </w:pPr>
            <w:r w:rsidRPr="00EC694F">
              <w:rPr>
                <w:rFonts w:ascii="Arial" w:hAnsi="Arial" w:eastAsia="Times New Roman" w:cs="Arial"/>
                <w:sz w:val="20"/>
                <w:szCs w:val="20"/>
              </w:rPr>
              <w:t>Total US$</w:t>
            </w:r>
            <w:r w:rsidR="0090744C">
              <w:rPr>
                <w:rFonts w:ascii="Arial" w:hAnsi="Arial" w:eastAsia="Times New Roman" w:cs="Arial"/>
                <w:sz w:val="20"/>
                <w:szCs w:val="20"/>
              </w:rPr>
              <w:t>2</w:t>
            </w:r>
            <w:r w:rsidRPr="00EC694F">
              <w:rPr>
                <w:rFonts w:ascii="Arial" w:hAnsi="Arial" w:eastAsia="Times New Roman" w:cs="Arial"/>
                <w:sz w:val="20"/>
                <w:szCs w:val="20"/>
              </w:rPr>
              <w:t>5,000,000</w:t>
            </w:r>
          </w:p>
        </w:tc>
      </w:tr>
      <w:tr w:rsidRPr="00EC694F" w:rsidR="007A5905" w:rsidTr="105536DE" w14:paraId="5A7DC05A" w14:textId="77777777">
        <w:trPr>
          <w:trHeight w:val="236"/>
        </w:trPr>
        <w:tc>
          <w:tcPr>
            <w:tcW w:w="42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EC694F" w:rsidR="007A5905" w:rsidP="007A5905" w:rsidRDefault="007A5905" w14:paraId="11DEF7A0" w14:textId="77777777">
            <w:pPr>
              <w:rPr>
                <w:rFonts w:ascii="Arial" w:hAnsi="Arial" w:eastAsia="Times New Roman" w:cs="Arial"/>
                <w:b/>
                <w:bCs/>
                <w:sz w:val="20"/>
                <w:szCs w:val="20"/>
              </w:rPr>
            </w:pPr>
            <w:r w:rsidRPr="00EC694F">
              <w:rPr>
                <w:rFonts w:ascii="Arial" w:hAnsi="Arial" w:eastAsia="Times New Roman" w:cs="Arial"/>
                <w:b/>
                <w:bCs/>
                <w:sz w:val="20"/>
                <w:szCs w:val="20"/>
              </w:rPr>
              <w:t xml:space="preserve">Applicable Policies/Directives </w:t>
            </w:r>
          </w:p>
        </w:tc>
        <w:tc>
          <w:tcPr>
            <w:tcW w:w="576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7A5905" w:rsidP="007A5905" w:rsidRDefault="007A5905" w14:paraId="31CE82D4" w14:textId="77777777">
            <w:pPr>
              <w:rPr>
                <w:rFonts w:ascii="Arial" w:hAnsi="Arial" w:eastAsia="Times New Roman" w:cs="Arial"/>
                <w:sz w:val="20"/>
                <w:szCs w:val="20"/>
              </w:rPr>
            </w:pPr>
            <w:r w:rsidRPr="00EC694F">
              <w:rPr>
                <w:rFonts w:ascii="Arial" w:hAnsi="Arial" w:eastAsia="Times New Roman" w:cs="Arial"/>
                <w:sz w:val="20"/>
                <w:szCs w:val="20"/>
              </w:rPr>
              <w:t>OP-102, OP-703 (B1, B2, B3, B7, B17)</w:t>
            </w:r>
          </w:p>
        </w:tc>
      </w:tr>
      <w:tr w:rsidRPr="00EC694F" w:rsidR="00B3466C" w:rsidTr="105536DE" w14:paraId="02313D95" w14:textId="77777777">
        <w:trPr>
          <w:trHeight w:val="429"/>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B3466C" w:rsidP="008969CF" w:rsidRDefault="00B3466C" w14:paraId="25492586" w14:textId="77777777">
            <w:pPr>
              <w:pStyle w:val="ListParagraph"/>
              <w:numPr>
                <w:ilvl w:val="0"/>
                <w:numId w:val="2"/>
              </w:numPr>
              <w:ind w:left="318" w:hanging="318"/>
              <w:rPr>
                <w:rFonts w:ascii="Arial" w:hAnsi="Arial" w:eastAsia="Times New Roman" w:cs="Arial"/>
                <w:b/>
                <w:bCs/>
                <w:sz w:val="20"/>
                <w:szCs w:val="20"/>
              </w:rPr>
            </w:pPr>
            <w:r w:rsidRPr="00EC694F">
              <w:rPr>
                <w:rFonts w:ascii="Arial" w:hAnsi="Arial" w:eastAsia="Times New Roman" w:cs="Arial"/>
                <w:b/>
                <w:bCs/>
                <w:sz w:val="20"/>
                <w:szCs w:val="20"/>
              </w:rPr>
              <w:t>Executive Summary</w:t>
            </w:r>
          </w:p>
        </w:tc>
      </w:tr>
      <w:tr w:rsidRPr="00EC694F" w:rsidR="00B3466C" w:rsidTr="105536DE" w14:paraId="13C8A705" w14:textId="77777777">
        <w:trPr>
          <w:trHeight w:val="780"/>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0090744C" w:rsidP="2013580E" w:rsidRDefault="0090744C" w14:paraId="3CBF5CD5" w14:textId="7CA967CE">
            <w:pPr>
              <w:rPr>
                <w:rFonts w:ascii="Arial" w:hAnsi="Arial" w:eastAsia="Times New Roman" w:cs="Arial"/>
                <w:sz w:val="20"/>
                <w:szCs w:val="20"/>
              </w:rPr>
            </w:pPr>
            <w:r w:rsidRPr="0090744C">
              <w:rPr>
                <w:rFonts w:ascii="Arial" w:hAnsi="Arial" w:eastAsia="Times New Roman" w:cs="Arial"/>
                <w:sz w:val="20"/>
                <w:szCs w:val="20"/>
                <w:shd w:val="clear" w:color="auto" w:fill="FFFFFF"/>
              </w:rPr>
              <w:t>The general objective of the program is to improve economic activity in The Bahamas. The specific objective is to enhance access to finance of M</w:t>
            </w:r>
            <w:r>
              <w:rPr>
                <w:rFonts w:ascii="Arial" w:hAnsi="Arial" w:eastAsia="Times New Roman" w:cs="Arial"/>
                <w:sz w:val="20"/>
                <w:szCs w:val="20"/>
                <w:shd w:val="clear" w:color="auto" w:fill="FFFFFF"/>
              </w:rPr>
              <w:t xml:space="preserve">icro, </w:t>
            </w:r>
            <w:r w:rsidRPr="0090744C">
              <w:rPr>
                <w:rFonts w:ascii="Arial" w:hAnsi="Arial" w:eastAsia="Times New Roman" w:cs="Arial"/>
                <w:sz w:val="20"/>
                <w:szCs w:val="20"/>
                <w:shd w:val="clear" w:color="auto" w:fill="FFFFFF"/>
              </w:rPr>
              <w:t>S</w:t>
            </w:r>
            <w:r>
              <w:rPr>
                <w:rFonts w:ascii="Arial" w:hAnsi="Arial" w:eastAsia="Times New Roman" w:cs="Arial"/>
                <w:sz w:val="20"/>
                <w:szCs w:val="20"/>
                <w:shd w:val="clear" w:color="auto" w:fill="FFFFFF"/>
              </w:rPr>
              <w:t xml:space="preserve">mall and </w:t>
            </w:r>
            <w:r w:rsidRPr="0090744C">
              <w:rPr>
                <w:rFonts w:ascii="Arial" w:hAnsi="Arial" w:eastAsia="Times New Roman" w:cs="Arial"/>
                <w:sz w:val="20"/>
                <w:szCs w:val="20"/>
                <w:shd w:val="clear" w:color="auto" w:fill="FFFFFF"/>
              </w:rPr>
              <w:t>M</w:t>
            </w:r>
            <w:r>
              <w:rPr>
                <w:rFonts w:ascii="Arial" w:hAnsi="Arial" w:eastAsia="Times New Roman" w:cs="Arial"/>
                <w:sz w:val="20"/>
                <w:szCs w:val="20"/>
                <w:shd w:val="clear" w:color="auto" w:fill="FFFFFF"/>
              </w:rPr>
              <w:t xml:space="preserve">edium </w:t>
            </w:r>
            <w:r w:rsidRPr="0090744C">
              <w:rPr>
                <w:rFonts w:ascii="Arial" w:hAnsi="Arial" w:eastAsia="Times New Roman" w:cs="Arial"/>
                <w:sz w:val="20"/>
                <w:szCs w:val="20"/>
                <w:shd w:val="clear" w:color="auto" w:fill="FFFFFF"/>
              </w:rPr>
              <w:t>E</w:t>
            </w:r>
            <w:r>
              <w:rPr>
                <w:rFonts w:ascii="Arial" w:hAnsi="Arial" w:eastAsia="Times New Roman" w:cs="Arial"/>
                <w:sz w:val="20"/>
                <w:szCs w:val="20"/>
                <w:shd w:val="clear" w:color="auto" w:fill="FFFFFF"/>
              </w:rPr>
              <w:t>nterprises (MSMEs)</w:t>
            </w:r>
            <w:r w:rsidRPr="0090744C">
              <w:rPr>
                <w:rFonts w:ascii="Arial" w:hAnsi="Arial" w:eastAsia="Times New Roman" w:cs="Arial"/>
                <w:sz w:val="20"/>
                <w:szCs w:val="20"/>
                <w:shd w:val="clear" w:color="auto" w:fill="FFFFFF"/>
              </w:rPr>
              <w:t xml:space="preserve"> by providing </w:t>
            </w:r>
            <w:r w:rsidRPr="0090744C">
              <w:rPr>
                <w:rFonts w:ascii="Arial" w:hAnsi="Arial" w:eastAsia="Times New Roman" w:cs="Arial"/>
                <w:sz w:val="20"/>
                <w:szCs w:val="20"/>
                <w:shd w:val="clear" w:color="auto" w:fill="FFFFFF"/>
              </w:rPr>
              <w:t xml:space="preserve">a credit enhancement facility. </w:t>
            </w:r>
            <w:r w:rsidR="00C05206">
              <w:rPr>
                <w:rFonts w:ascii="Arial" w:hAnsi="Arial" w:eastAsia="Times New Roman" w:cs="Arial"/>
                <w:sz w:val="20"/>
                <w:szCs w:val="20"/>
                <w:shd w:val="clear" w:color="auto" w:fill="FFFFFF"/>
              </w:rPr>
              <w:t xml:space="preserve">The Executing Agency (EA) will be </w:t>
            </w:r>
            <w:r w:rsidRPr="00C05206" w:rsidR="00C05206">
              <w:rPr>
                <w:rFonts w:ascii="Arial" w:hAnsi="Arial" w:eastAsia="Times New Roman" w:cs="Arial"/>
                <w:sz w:val="20"/>
                <w:szCs w:val="20"/>
                <w:shd w:val="clear" w:color="auto" w:fill="FFFFFF"/>
              </w:rPr>
              <w:t>the Small Business Development Centre Bahamas (SBDC), a non-profit company incorporated in May 2018 and launched in September of that year. Its Members include the Bahamas Chamber of Commerce (</w:t>
            </w:r>
            <w:proofErr w:type="spellStart"/>
            <w:r w:rsidRPr="00C05206" w:rsidR="00C05206">
              <w:rPr>
                <w:rFonts w:ascii="Arial" w:hAnsi="Arial" w:eastAsia="Times New Roman" w:cs="Arial"/>
                <w:sz w:val="20"/>
                <w:szCs w:val="20"/>
                <w:shd w:val="clear" w:color="auto" w:fill="FFFFFF"/>
              </w:rPr>
              <w:t>BCoC</w:t>
            </w:r>
            <w:proofErr w:type="spellEnd"/>
            <w:r w:rsidRPr="00C05206" w:rsidR="00C05206">
              <w:rPr>
                <w:rFonts w:ascii="Arial" w:hAnsi="Arial" w:eastAsia="Times New Roman" w:cs="Arial"/>
                <w:sz w:val="20"/>
                <w:szCs w:val="20"/>
                <w:shd w:val="clear" w:color="auto" w:fill="FFFFFF"/>
              </w:rPr>
              <w:t>), the Ministry of Finance (</w:t>
            </w:r>
            <w:proofErr w:type="spellStart"/>
            <w:r w:rsidRPr="00C05206" w:rsidR="00C05206">
              <w:rPr>
                <w:rFonts w:ascii="Arial" w:hAnsi="Arial" w:eastAsia="Times New Roman" w:cs="Arial"/>
                <w:sz w:val="20"/>
                <w:szCs w:val="20"/>
                <w:shd w:val="clear" w:color="auto" w:fill="FFFFFF"/>
              </w:rPr>
              <w:t>MoF</w:t>
            </w:r>
            <w:proofErr w:type="spellEnd"/>
            <w:r w:rsidRPr="00C05206" w:rsidR="00C05206">
              <w:rPr>
                <w:rFonts w:ascii="Arial" w:hAnsi="Arial" w:eastAsia="Times New Roman" w:cs="Arial"/>
                <w:sz w:val="20"/>
                <w:szCs w:val="20"/>
                <w:shd w:val="clear" w:color="auto" w:fill="FFFFFF"/>
              </w:rPr>
              <w:t>) and the University of the Bahamas</w:t>
            </w:r>
            <w:r w:rsidR="00C05206">
              <w:rPr>
                <w:rFonts w:ascii="Arial" w:hAnsi="Arial" w:eastAsia="Times New Roman" w:cs="Arial"/>
                <w:sz w:val="20"/>
                <w:szCs w:val="20"/>
                <w:shd w:val="clear" w:color="auto" w:fill="FFFFFF"/>
              </w:rPr>
              <w:t xml:space="preserve">. </w:t>
            </w:r>
            <w:r w:rsidRPr="00C05206" w:rsidR="00C05206">
              <w:rPr>
                <w:rFonts w:ascii="Arial" w:hAnsi="Arial" w:eastAsia="Times New Roman" w:cs="Arial"/>
                <w:sz w:val="20"/>
                <w:szCs w:val="20"/>
                <w:shd w:val="clear" w:color="auto" w:fill="FFFFFF"/>
              </w:rPr>
              <w:t>The government currently owns 100% of the capital.</w:t>
            </w:r>
          </w:p>
          <w:p w:rsidR="00C05206" w:rsidP="00844A93" w:rsidRDefault="00C05206" w14:paraId="14592C5A" w14:textId="77777777">
            <w:pPr>
              <w:rPr>
                <w:rFonts w:ascii="Arial" w:hAnsi="Arial" w:eastAsia="Times New Roman" w:cs="Arial"/>
                <w:sz w:val="20"/>
                <w:szCs w:val="20"/>
                <w:shd w:val="clear" w:color="auto" w:fill="FFFFFF"/>
              </w:rPr>
            </w:pPr>
          </w:p>
          <w:p w:rsidRPr="00EC694F" w:rsidR="00CA14CC" w:rsidP="003B61B6" w:rsidRDefault="00CA14CC" w14:paraId="3C072B6C" w14:textId="77777777">
            <w:pPr>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Based on Directive B.13 of the Environment and Safeguards Compliance Policy (OP-703), the Project is classified as a financial intermediary and as such is not categorized </w:t>
            </w:r>
            <w:r w:rsidRPr="00EC694F" w:rsidR="00E22AC3">
              <w:rPr>
                <w:rFonts w:ascii="Arial" w:hAnsi="Arial" w:eastAsia="Times New Roman" w:cs="Arial"/>
                <w:sz w:val="20"/>
                <w:szCs w:val="20"/>
                <w:shd w:val="clear" w:color="auto" w:fill="FFFFFF"/>
              </w:rPr>
              <w:t>ex-ante.</w:t>
            </w:r>
          </w:p>
          <w:p w:rsidRPr="00EC694F" w:rsidR="00E22AC3" w:rsidP="003B61B6" w:rsidRDefault="00E22AC3" w14:paraId="7A19A6F2" w14:textId="77777777">
            <w:pPr>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The project team, in compliance with Directive B.13, analyzed the potential environmental and social (E&amp;S) risks of the eligible </w:t>
            </w:r>
            <w:r w:rsidR="0090744C">
              <w:rPr>
                <w:rFonts w:ascii="Arial" w:hAnsi="Arial" w:eastAsia="Times New Roman" w:cs="Arial"/>
                <w:sz w:val="20"/>
                <w:szCs w:val="20"/>
                <w:shd w:val="clear" w:color="auto" w:fill="FFFFFF"/>
              </w:rPr>
              <w:t>projects to be granted a partial credit guarantee through the CEF</w:t>
            </w:r>
            <w:r w:rsidR="005E4DB9">
              <w:rPr>
                <w:rFonts w:ascii="Arial" w:hAnsi="Arial" w:eastAsia="Times New Roman" w:cs="Arial"/>
                <w:sz w:val="20"/>
                <w:szCs w:val="20"/>
                <w:shd w:val="clear" w:color="auto" w:fill="FFFFFF"/>
              </w:rPr>
              <w:t xml:space="preserve"> </w:t>
            </w:r>
            <w:r w:rsidRPr="00EC694F">
              <w:rPr>
                <w:rFonts w:ascii="Arial" w:hAnsi="Arial" w:eastAsia="Times New Roman" w:cs="Arial"/>
                <w:sz w:val="20"/>
                <w:szCs w:val="20"/>
                <w:shd w:val="clear" w:color="auto" w:fill="FFFFFF"/>
              </w:rPr>
              <w:t xml:space="preserve">and the institutional capacity of the Executing Agency to manage those risks. </w:t>
            </w:r>
          </w:p>
          <w:p w:rsidRPr="00EC694F" w:rsidR="00E22AC3" w:rsidP="003B61B6" w:rsidRDefault="00E22AC3" w14:paraId="45269484" w14:textId="77777777">
            <w:pPr>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It is expected that the portfolio financed by the Program will reflect the macroeconomic reality of the Country</w:t>
            </w:r>
            <w:r w:rsidR="00C05206">
              <w:rPr>
                <w:rFonts w:ascii="Arial" w:hAnsi="Arial" w:eastAsia="Times New Roman" w:cs="Arial"/>
                <w:sz w:val="20"/>
                <w:szCs w:val="20"/>
                <w:shd w:val="clear" w:color="auto" w:fill="FFFFFF"/>
              </w:rPr>
              <w:t xml:space="preserve"> (services representing 78.3% of GDP)</w:t>
            </w:r>
            <w:r w:rsidRPr="00EC694F">
              <w:rPr>
                <w:rFonts w:ascii="Arial" w:hAnsi="Arial" w:eastAsia="Times New Roman" w:cs="Arial"/>
                <w:sz w:val="20"/>
                <w:szCs w:val="20"/>
                <w:shd w:val="clear" w:color="auto" w:fill="FFFFFF"/>
              </w:rPr>
              <w:t xml:space="preserve">. Eligibility criteria will be put in place to ensure that only category C </w:t>
            </w:r>
            <w:r w:rsidR="005E4DB9">
              <w:rPr>
                <w:rFonts w:ascii="Arial" w:hAnsi="Arial" w:eastAsia="Times New Roman" w:cs="Arial"/>
                <w:sz w:val="20"/>
                <w:szCs w:val="20"/>
                <w:shd w:val="clear" w:color="auto" w:fill="FFFFFF"/>
              </w:rPr>
              <w:t xml:space="preserve">sub-loans </w:t>
            </w:r>
            <w:r w:rsidRPr="00EC694F">
              <w:rPr>
                <w:rFonts w:ascii="Arial" w:hAnsi="Arial" w:eastAsia="Times New Roman" w:cs="Arial"/>
                <w:sz w:val="20"/>
                <w:szCs w:val="20"/>
                <w:shd w:val="clear" w:color="auto" w:fill="FFFFFF"/>
              </w:rPr>
              <w:t xml:space="preserve">will be eligible for financing. </w:t>
            </w:r>
          </w:p>
          <w:p w:rsidRPr="00EC694F" w:rsidR="00CA14CC" w:rsidP="003B61B6" w:rsidRDefault="00E22AC3" w14:paraId="741C5681" w14:textId="77777777">
            <w:pPr>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Based on the E&amp;S due diligence conclusions as well as the intended use of proceeds as further described, this operation is classified as low risk (FI-3). Potential E&amp;S risks will be managed through the application of an extended exclusion list, the compliance with a set of eligibility criteria, the compliance with local legislation.  </w:t>
            </w:r>
          </w:p>
          <w:p w:rsidRPr="00EC694F" w:rsidR="000643AB" w:rsidP="003B61B6" w:rsidRDefault="000643AB" w14:paraId="7E2F88CC" w14:textId="77777777">
            <w:pPr>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Capacity building will be provided to the Executing Agency in the E&amp;S risks management field. </w:t>
            </w:r>
            <w:r w:rsidR="007B77F1">
              <w:rPr>
                <w:rFonts w:ascii="Arial" w:hAnsi="Arial" w:eastAsia="Times New Roman" w:cs="Arial"/>
                <w:sz w:val="20"/>
                <w:szCs w:val="20"/>
                <w:shd w:val="clear" w:color="auto" w:fill="FFFFFF"/>
              </w:rPr>
              <w:t xml:space="preserve">All those requirements – described in detail below in this document – will be integrated into the </w:t>
            </w:r>
            <w:r w:rsidRPr="007B77F1" w:rsidR="007B77F1">
              <w:rPr>
                <w:rFonts w:ascii="Arial" w:hAnsi="Arial" w:eastAsia="Times New Roman" w:cs="Arial"/>
                <w:sz w:val="20"/>
                <w:szCs w:val="20"/>
                <w:shd w:val="clear" w:color="auto" w:fill="FFFFFF"/>
              </w:rPr>
              <w:t xml:space="preserve">Program Operating </w:t>
            </w:r>
            <w:r w:rsidR="00C05206">
              <w:rPr>
                <w:rFonts w:ascii="Arial" w:hAnsi="Arial" w:eastAsia="Times New Roman" w:cs="Arial"/>
                <w:sz w:val="20"/>
                <w:szCs w:val="20"/>
                <w:shd w:val="clear" w:color="auto" w:fill="FFFFFF"/>
              </w:rPr>
              <w:t>Regulations</w:t>
            </w:r>
            <w:r w:rsidRPr="007B77F1" w:rsidR="007B77F1">
              <w:rPr>
                <w:rFonts w:ascii="Arial" w:hAnsi="Arial" w:eastAsia="Times New Roman" w:cs="Arial"/>
                <w:sz w:val="20"/>
                <w:szCs w:val="20"/>
                <w:shd w:val="clear" w:color="auto" w:fill="FFFFFF"/>
              </w:rPr>
              <w:t xml:space="preserve"> (</w:t>
            </w:r>
            <w:r w:rsidR="00C05206">
              <w:rPr>
                <w:rFonts w:ascii="Arial" w:hAnsi="Arial" w:eastAsia="Times New Roman" w:cs="Arial"/>
                <w:sz w:val="20"/>
                <w:szCs w:val="20"/>
                <w:shd w:val="clear" w:color="auto" w:fill="FFFFFF"/>
              </w:rPr>
              <w:t>OR</w:t>
            </w:r>
            <w:r w:rsidRPr="007B77F1" w:rsidR="007B77F1">
              <w:rPr>
                <w:rFonts w:ascii="Arial" w:hAnsi="Arial" w:eastAsia="Times New Roman" w:cs="Arial"/>
                <w:sz w:val="20"/>
                <w:szCs w:val="20"/>
                <w:shd w:val="clear" w:color="auto" w:fill="FFFFFF"/>
              </w:rPr>
              <w:t>)</w:t>
            </w:r>
            <w:r w:rsidR="007B77F1">
              <w:rPr>
                <w:rFonts w:ascii="Arial" w:hAnsi="Arial" w:eastAsia="Times New Roman" w:cs="Arial"/>
                <w:sz w:val="20"/>
                <w:szCs w:val="20"/>
                <w:shd w:val="clear" w:color="auto" w:fill="FFFFFF"/>
              </w:rPr>
              <w:t>.</w:t>
            </w:r>
          </w:p>
          <w:p w:rsidRPr="00EC694F" w:rsidR="00CA14CC" w:rsidP="00844A93" w:rsidRDefault="00CA14CC" w14:paraId="009FF6B8" w14:textId="77777777">
            <w:pPr>
              <w:rPr>
                <w:rFonts w:ascii="Arial" w:hAnsi="Arial" w:eastAsia="Times New Roman" w:cs="Arial"/>
                <w:sz w:val="20"/>
                <w:szCs w:val="20"/>
              </w:rPr>
            </w:pPr>
          </w:p>
        </w:tc>
      </w:tr>
      <w:tr w:rsidRPr="00EC694F" w:rsidR="00B3466C" w:rsidTr="105536DE" w14:paraId="34C30AD3" w14:textId="77777777">
        <w:trPr>
          <w:trHeight w:val="411"/>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B3466C" w:rsidP="008969CF" w:rsidRDefault="003D6C2F" w14:paraId="13BC2ACF" w14:textId="77777777">
            <w:pPr>
              <w:pStyle w:val="ListParagraph"/>
              <w:numPr>
                <w:ilvl w:val="0"/>
                <w:numId w:val="2"/>
              </w:numPr>
              <w:ind w:left="318" w:hanging="318"/>
              <w:rPr>
                <w:rFonts w:ascii="Arial" w:hAnsi="Arial" w:eastAsia="Times New Roman" w:cs="Arial"/>
                <w:b/>
                <w:bCs/>
                <w:sz w:val="20"/>
                <w:szCs w:val="20"/>
              </w:rPr>
            </w:pPr>
            <w:r w:rsidRPr="00EC694F">
              <w:rPr>
                <w:rFonts w:ascii="Arial" w:hAnsi="Arial" w:eastAsia="Times New Roman" w:cs="Arial"/>
                <w:b/>
                <w:bCs/>
                <w:sz w:val="20"/>
                <w:szCs w:val="20"/>
              </w:rPr>
              <w:t xml:space="preserve">Operation </w:t>
            </w:r>
            <w:r w:rsidRPr="00EC694F" w:rsidR="00B3466C">
              <w:rPr>
                <w:rFonts w:ascii="Arial" w:hAnsi="Arial" w:eastAsia="Times New Roman" w:cs="Arial"/>
                <w:b/>
                <w:bCs/>
                <w:sz w:val="20"/>
                <w:szCs w:val="20"/>
              </w:rPr>
              <w:t>Description</w:t>
            </w:r>
          </w:p>
        </w:tc>
      </w:tr>
      <w:tr w:rsidRPr="00EC694F" w:rsidR="00B3466C" w:rsidTr="105536DE" w14:paraId="360BF23A"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00C05206" w:rsidP="003B61B6" w:rsidRDefault="00C05206" w14:paraId="72563B24" w14:textId="77777777">
            <w:pPr>
              <w:jc w:val="both"/>
              <w:rPr>
                <w:rFonts w:ascii="Arial" w:hAnsi="Arial" w:eastAsia="Times New Roman" w:cs="Arial"/>
                <w:sz w:val="20"/>
                <w:szCs w:val="20"/>
                <w:shd w:val="clear" w:color="auto" w:fill="FFFFFF"/>
              </w:rPr>
            </w:pPr>
            <w:r w:rsidRPr="00C05206">
              <w:rPr>
                <w:rFonts w:ascii="Arial" w:hAnsi="Arial" w:eastAsia="Times New Roman" w:cs="Arial"/>
                <w:sz w:val="20"/>
                <w:szCs w:val="20"/>
                <w:shd w:val="clear" w:color="auto" w:fill="FFFFFF"/>
              </w:rPr>
              <w:t xml:space="preserve">The specific objective is to enhance access to finance of Micro, Small and Medium Enterprises (MSMEs) by providing them (i) training and technical support and (ii) partial credit guarantees (via the Credit Enhancement Facility – CEF – see below) so that they can present bankable projects to private banks in the Bahamas and be granted financing for those projects. </w:t>
            </w:r>
          </w:p>
          <w:p w:rsidR="00C05206" w:rsidP="0090744C" w:rsidRDefault="00C05206" w14:paraId="7127CCB6" w14:textId="77777777">
            <w:pPr>
              <w:rPr>
                <w:rFonts w:ascii="Arial" w:hAnsi="Arial" w:eastAsia="Times New Roman" w:cs="Arial"/>
                <w:sz w:val="20"/>
                <w:szCs w:val="20"/>
                <w:shd w:val="clear" w:color="auto" w:fill="FFFFFF"/>
              </w:rPr>
            </w:pPr>
          </w:p>
          <w:p w:rsidR="0090744C" w:rsidP="003B61B6" w:rsidRDefault="0090744C" w14:paraId="1EE54D0B" w14:textId="77777777">
            <w:pPr>
              <w:jc w:val="both"/>
              <w:rPr>
                <w:rFonts w:ascii="Arial" w:hAnsi="Arial" w:eastAsia="Times New Roman" w:cs="Arial"/>
                <w:sz w:val="20"/>
                <w:szCs w:val="20"/>
                <w:shd w:val="clear" w:color="auto" w:fill="FFFFFF"/>
              </w:rPr>
            </w:pPr>
            <w:r w:rsidRPr="0090744C">
              <w:rPr>
                <w:rFonts w:ascii="Arial" w:hAnsi="Arial" w:eastAsia="Times New Roman" w:cs="Arial"/>
                <w:sz w:val="20"/>
                <w:szCs w:val="20"/>
                <w:shd w:val="clear" w:color="auto" w:fill="FFFFFF"/>
              </w:rPr>
              <w:t xml:space="preserve">The end-beneficiaries of the program will be MSME, under the following definition: micro as up to US$250,000 in sales and 5 employees, small as up to US$1 million in sales and 20 employees, and medium up to US$5 million in sales and 50 employees. The program will benefit those MSME, either existing or start-up, with viable projects and who are supported with advisory services and vetted by the SBDC, thus making them eligible for the CEF. </w:t>
            </w:r>
            <w:r w:rsidRPr="00C05206" w:rsidR="00C05206">
              <w:rPr>
                <w:rFonts w:ascii="Arial" w:hAnsi="Arial" w:eastAsia="Times New Roman" w:cs="Arial"/>
                <w:sz w:val="20"/>
                <w:szCs w:val="20"/>
                <w:shd w:val="clear" w:color="auto" w:fill="FFFFFF"/>
              </w:rPr>
              <w:t xml:space="preserve">Specific MSME end-beneficiaries of the program will be deemed eligible based on </w:t>
            </w:r>
            <w:proofErr w:type="gramStart"/>
            <w:r w:rsidRPr="00C05206" w:rsidR="00C05206">
              <w:rPr>
                <w:rFonts w:ascii="Arial" w:hAnsi="Arial" w:eastAsia="Times New Roman" w:cs="Arial"/>
                <w:sz w:val="20"/>
                <w:szCs w:val="20"/>
                <w:shd w:val="clear" w:color="auto" w:fill="FFFFFF"/>
              </w:rPr>
              <w:t>a number of</w:t>
            </w:r>
            <w:proofErr w:type="gramEnd"/>
            <w:r w:rsidRPr="00C05206" w:rsidR="00C05206">
              <w:rPr>
                <w:rFonts w:ascii="Arial" w:hAnsi="Arial" w:eastAsia="Times New Roman" w:cs="Arial"/>
                <w:sz w:val="20"/>
                <w:szCs w:val="20"/>
                <w:shd w:val="clear" w:color="auto" w:fill="FFFFFF"/>
              </w:rPr>
              <w:t xml:space="preserve"> other </w:t>
            </w:r>
            <w:r w:rsidRPr="00C05206" w:rsidR="00C05206">
              <w:rPr>
                <w:rFonts w:ascii="Arial" w:hAnsi="Arial" w:eastAsia="Times New Roman" w:cs="Arial"/>
                <w:sz w:val="20"/>
                <w:szCs w:val="20"/>
                <w:shd w:val="clear" w:color="auto" w:fill="FFFFFF"/>
              </w:rPr>
              <w:lastRenderedPageBreak/>
              <w:t>conditions established in the OR, including being a registered entity to operate as a business in The Bahamas and having the necessary licenses and permits to operate under national law.</w:t>
            </w:r>
          </w:p>
          <w:p w:rsidR="0090744C" w:rsidP="00F921C7" w:rsidRDefault="0090744C" w14:paraId="5DC95A43" w14:textId="77777777">
            <w:pPr>
              <w:ind w:right="165"/>
              <w:jc w:val="both"/>
              <w:rPr>
                <w:rFonts w:ascii="Arial" w:hAnsi="Arial" w:eastAsia="Times New Roman" w:cs="Arial"/>
                <w:sz w:val="20"/>
                <w:szCs w:val="20"/>
                <w:shd w:val="clear" w:color="auto" w:fill="FFFFFF"/>
              </w:rPr>
            </w:pPr>
          </w:p>
          <w:p w:rsidR="0090744C" w:rsidP="003B61B6" w:rsidRDefault="00C05206" w14:paraId="1098B02F" w14:textId="77777777">
            <w:pPr>
              <w:ind w:right="13"/>
              <w:jc w:val="both"/>
              <w:rPr>
                <w:rFonts w:ascii="Arial" w:hAnsi="Arial" w:eastAsia="Times New Roman" w:cs="Arial"/>
                <w:sz w:val="20"/>
                <w:szCs w:val="20"/>
                <w:shd w:val="clear" w:color="auto" w:fill="FFFFFF"/>
              </w:rPr>
            </w:pPr>
            <w:r w:rsidRPr="00C05206">
              <w:rPr>
                <w:rFonts w:ascii="Arial" w:hAnsi="Arial" w:eastAsia="Times New Roman" w:cs="Arial"/>
                <w:sz w:val="20"/>
                <w:szCs w:val="20"/>
                <w:shd w:val="clear" w:color="auto" w:fill="FFFFFF"/>
              </w:rPr>
              <w:t xml:space="preserve">The executing Agency (EA) will be the Small Business Development Centre Bahamas (SBDC), a non-profit company incorporated in May 2018 and launched in September of that year. Its </w:t>
            </w:r>
            <w:r>
              <w:rPr>
                <w:rFonts w:ascii="Arial" w:hAnsi="Arial" w:eastAsia="Times New Roman" w:cs="Arial"/>
                <w:sz w:val="20"/>
                <w:szCs w:val="20"/>
                <w:shd w:val="clear" w:color="auto" w:fill="FFFFFF"/>
              </w:rPr>
              <w:t xml:space="preserve">Board </w:t>
            </w:r>
            <w:r w:rsidRPr="00C05206">
              <w:rPr>
                <w:rFonts w:ascii="Arial" w:hAnsi="Arial" w:eastAsia="Times New Roman" w:cs="Arial"/>
                <w:sz w:val="20"/>
                <w:szCs w:val="20"/>
                <w:shd w:val="clear" w:color="auto" w:fill="FFFFFF"/>
              </w:rPr>
              <w:t>Members include the Bahamas Chamber of Commerce (</w:t>
            </w:r>
            <w:proofErr w:type="spellStart"/>
            <w:r w:rsidRPr="00C05206">
              <w:rPr>
                <w:rFonts w:ascii="Arial" w:hAnsi="Arial" w:eastAsia="Times New Roman" w:cs="Arial"/>
                <w:sz w:val="20"/>
                <w:szCs w:val="20"/>
                <w:shd w:val="clear" w:color="auto" w:fill="FFFFFF"/>
              </w:rPr>
              <w:t>BCoC</w:t>
            </w:r>
            <w:proofErr w:type="spellEnd"/>
            <w:r w:rsidRPr="00C05206">
              <w:rPr>
                <w:rFonts w:ascii="Arial" w:hAnsi="Arial" w:eastAsia="Times New Roman" w:cs="Arial"/>
                <w:sz w:val="20"/>
                <w:szCs w:val="20"/>
                <w:shd w:val="clear" w:color="auto" w:fill="FFFFFF"/>
              </w:rPr>
              <w:t>), the Ministry of Finance (</w:t>
            </w:r>
            <w:proofErr w:type="spellStart"/>
            <w:r w:rsidRPr="00C05206">
              <w:rPr>
                <w:rFonts w:ascii="Arial" w:hAnsi="Arial" w:eastAsia="Times New Roman" w:cs="Arial"/>
                <w:sz w:val="20"/>
                <w:szCs w:val="20"/>
                <w:shd w:val="clear" w:color="auto" w:fill="FFFFFF"/>
              </w:rPr>
              <w:t>MoF</w:t>
            </w:r>
            <w:proofErr w:type="spellEnd"/>
            <w:r w:rsidRPr="00C05206">
              <w:rPr>
                <w:rFonts w:ascii="Arial" w:hAnsi="Arial" w:eastAsia="Times New Roman" w:cs="Arial"/>
                <w:sz w:val="20"/>
                <w:szCs w:val="20"/>
                <w:shd w:val="clear" w:color="auto" w:fill="FFFFFF"/>
              </w:rPr>
              <w:t>) and the University of the Bahamas</w:t>
            </w:r>
            <w:r w:rsidRPr="00C05206">
              <w:rPr>
                <w:rFonts w:ascii="Arial" w:hAnsi="Arial" w:eastAsia="Times New Roman" w:cs="Arial"/>
                <w:sz w:val="20"/>
                <w:szCs w:val="20"/>
                <w:shd w:val="clear" w:color="auto" w:fill="FFFFFF"/>
                <w:vertAlign w:val="superscript"/>
              </w:rPr>
              <w:footnoteReference w:id="1"/>
            </w:r>
            <w:r w:rsidRPr="00C05206">
              <w:rPr>
                <w:rFonts w:ascii="Arial" w:hAnsi="Arial" w:eastAsia="Times New Roman" w:cs="Arial"/>
                <w:sz w:val="20"/>
                <w:szCs w:val="20"/>
                <w:shd w:val="clear" w:color="auto" w:fill="FFFFFF"/>
              </w:rPr>
              <w:t>. The government currently owns 100% of the capital.</w:t>
            </w:r>
            <w:r>
              <w:t xml:space="preserve"> </w:t>
            </w:r>
            <w:r w:rsidRPr="00C05206">
              <w:rPr>
                <w:rFonts w:ascii="Arial" w:hAnsi="Arial" w:eastAsia="Times New Roman" w:cs="Arial"/>
                <w:sz w:val="20"/>
                <w:szCs w:val="20"/>
                <w:shd w:val="clear" w:color="auto" w:fill="FFFFFF"/>
              </w:rPr>
              <w:t>The SBDC has the mandate to support the development of MSME and maximize their economic impact by equipping and empowering them to provide employment, create wealth and drive development of a resilient economy. Its current priorities include improving the enabling environment of these firms, increasing their access to finance, and fostering a culture of entrepreneurship and innovation</w:t>
            </w:r>
            <w:r>
              <w:rPr>
                <w:rFonts w:ascii="Arial" w:hAnsi="Arial" w:eastAsia="Times New Roman" w:cs="Arial"/>
                <w:sz w:val="20"/>
                <w:szCs w:val="20"/>
                <w:shd w:val="clear" w:color="auto" w:fill="FFFFFF"/>
              </w:rPr>
              <w:t>.</w:t>
            </w:r>
            <w:r w:rsidRPr="00C05206">
              <w:rPr>
                <w:rFonts w:ascii="Arial" w:hAnsi="Arial" w:eastAsia="Times New Roman" w:cs="Arial"/>
                <w:sz w:val="20"/>
                <w:szCs w:val="20"/>
                <w:shd w:val="clear" w:color="auto" w:fill="FFFFFF"/>
              </w:rPr>
              <w:t xml:space="preserve"> The SBDC will offer the following services: Business Advisory Services; Training &amp; Entrepreneurial Programming; Mentorship &amp; Incubation; Advocacy; and Access to Capital.</w:t>
            </w:r>
          </w:p>
          <w:p w:rsidR="00C05206" w:rsidP="00F921C7" w:rsidRDefault="00C05206" w14:paraId="4CABA782" w14:textId="77777777">
            <w:pPr>
              <w:ind w:right="165"/>
              <w:jc w:val="both"/>
              <w:rPr>
                <w:rFonts w:ascii="Arial" w:hAnsi="Arial" w:eastAsia="Times New Roman" w:cs="Arial"/>
                <w:sz w:val="20"/>
                <w:szCs w:val="20"/>
                <w:shd w:val="clear" w:color="auto" w:fill="FFFFFF"/>
              </w:rPr>
            </w:pPr>
          </w:p>
          <w:p w:rsidRPr="00EC694F" w:rsidR="000643AB" w:rsidP="00F921C7" w:rsidRDefault="000643AB" w14:paraId="7045F50C"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The Program will include two components: </w:t>
            </w:r>
          </w:p>
          <w:p w:rsidRPr="00EC694F" w:rsidR="000643AB" w:rsidP="000643AB" w:rsidRDefault="000643AB" w14:paraId="46D6D0DC" w14:textId="77777777">
            <w:pPr>
              <w:jc w:val="both"/>
              <w:rPr>
                <w:rFonts w:ascii="Arial" w:hAnsi="Arial" w:eastAsia="Times New Roman" w:cs="Arial"/>
                <w:sz w:val="20"/>
                <w:szCs w:val="20"/>
                <w:shd w:val="clear" w:color="auto" w:fill="FFFFFF"/>
              </w:rPr>
            </w:pPr>
            <w:r w:rsidRPr="00EC694F">
              <w:rPr>
                <w:rFonts w:ascii="Arial" w:hAnsi="Arial" w:eastAsia="Times New Roman" w:cs="Arial"/>
                <w:b/>
                <w:sz w:val="20"/>
                <w:szCs w:val="20"/>
                <w:shd w:val="clear" w:color="auto" w:fill="FFFFFF"/>
              </w:rPr>
              <w:t>Component 1</w:t>
            </w:r>
            <w:r w:rsidR="00C05206">
              <w:rPr>
                <w:rFonts w:ascii="Arial" w:hAnsi="Arial" w:eastAsia="Times New Roman" w:cs="Arial"/>
                <w:b/>
                <w:sz w:val="20"/>
                <w:szCs w:val="20"/>
                <w:shd w:val="clear" w:color="auto" w:fill="FFFFFF"/>
              </w:rPr>
              <w:t xml:space="preserve">: Credit Enhancement Facility </w:t>
            </w:r>
            <w:r w:rsidRPr="00EC694F">
              <w:rPr>
                <w:rFonts w:ascii="Arial" w:hAnsi="Arial" w:eastAsia="Times New Roman" w:cs="Arial"/>
                <w:b/>
                <w:sz w:val="20"/>
                <w:szCs w:val="20"/>
                <w:shd w:val="clear" w:color="auto" w:fill="FFFFFF"/>
              </w:rPr>
              <w:t>(US$</w:t>
            </w:r>
            <w:r w:rsidR="00C05206">
              <w:rPr>
                <w:rFonts w:ascii="Arial" w:hAnsi="Arial" w:eastAsia="Times New Roman" w:cs="Arial"/>
                <w:b/>
                <w:sz w:val="20"/>
                <w:szCs w:val="20"/>
                <w:shd w:val="clear" w:color="auto" w:fill="FFFFFF"/>
              </w:rPr>
              <w:t>22</w:t>
            </w:r>
            <w:r w:rsidRPr="00EC694F">
              <w:rPr>
                <w:rFonts w:ascii="Arial" w:hAnsi="Arial" w:eastAsia="Times New Roman" w:cs="Arial"/>
                <w:b/>
                <w:sz w:val="20"/>
                <w:szCs w:val="20"/>
                <w:shd w:val="clear" w:color="auto" w:fill="FFFFFF"/>
              </w:rPr>
              <w:t xml:space="preserve"> million)</w:t>
            </w:r>
            <w:r w:rsidR="004711E3">
              <w:rPr>
                <w:rFonts w:ascii="Arial" w:hAnsi="Arial" w:eastAsia="Times New Roman" w:cs="Arial"/>
                <w:b/>
                <w:sz w:val="20"/>
                <w:szCs w:val="20"/>
                <w:shd w:val="clear" w:color="auto" w:fill="FFFFFF"/>
              </w:rPr>
              <w:t>.</w:t>
            </w:r>
            <w:r w:rsidRPr="00EC694F">
              <w:rPr>
                <w:rFonts w:ascii="Arial" w:hAnsi="Arial" w:eastAsia="Times New Roman" w:cs="Arial"/>
                <w:sz w:val="20"/>
                <w:szCs w:val="20"/>
                <w:shd w:val="clear" w:color="auto" w:fill="FFFFFF"/>
              </w:rPr>
              <w:t xml:space="preserve"> </w:t>
            </w:r>
            <w:r w:rsidRPr="009554A9" w:rsidR="009554A9">
              <w:rPr>
                <w:rFonts w:ascii="Arial" w:hAnsi="Arial" w:eastAsia="Times New Roman" w:cs="Arial"/>
                <w:sz w:val="20"/>
                <w:szCs w:val="20"/>
                <w:shd w:val="clear" w:color="auto" w:fill="FFFFFF"/>
              </w:rPr>
              <w:t xml:space="preserve">The CEF will provide partial loan guarantees to eligible Financial Institutions (FI) for loans granted to eligible MSME, mentored and vetted by the SBDC. The CEF acts as an incentive to FI to increase their MSME loan portfolio by providing additional security coverage on loans they issue for </w:t>
            </w:r>
            <w:r w:rsidR="00F93383">
              <w:rPr>
                <w:rFonts w:ascii="Arial" w:hAnsi="Arial" w:eastAsia="Times New Roman" w:cs="Arial"/>
                <w:sz w:val="20"/>
                <w:szCs w:val="20"/>
                <w:shd w:val="clear" w:color="auto" w:fill="FFFFFF"/>
              </w:rPr>
              <w:t>MSMEs</w:t>
            </w:r>
            <w:r w:rsidRPr="009554A9" w:rsidR="009554A9">
              <w:rPr>
                <w:rFonts w:ascii="Arial" w:hAnsi="Arial" w:eastAsia="Times New Roman" w:cs="Arial"/>
                <w:sz w:val="20"/>
                <w:szCs w:val="20"/>
                <w:shd w:val="clear" w:color="auto" w:fill="FFFFFF"/>
              </w:rPr>
              <w:t>’ investment projects</w:t>
            </w:r>
            <w:r w:rsidR="009554A9">
              <w:rPr>
                <w:rFonts w:ascii="Arial" w:hAnsi="Arial" w:eastAsia="Times New Roman" w:cs="Arial"/>
                <w:sz w:val="20"/>
                <w:szCs w:val="20"/>
                <w:shd w:val="clear" w:color="auto" w:fill="FFFFFF"/>
              </w:rPr>
              <w:t>.</w:t>
            </w:r>
            <w:r w:rsidR="00F93383">
              <w:t xml:space="preserve"> </w:t>
            </w:r>
            <w:r w:rsidRPr="00F93383" w:rsidR="00F93383">
              <w:rPr>
                <w:rFonts w:ascii="Arial" w:hAnsi="Arial" w:eastAsia="Times New Roman" w:cs="Arial"/>
                <w:sz w:val="20"/>
                <w:szCs w:val="20"/>
                <w:shd w:val="clear" w:color="auto" w:fill="FFFFFF"/>
              </w:rPr>
              <w:t>Eligibility conditions for FI to participate in the CEF will be established in the OR, including: be an incorporated entity registered to operate in the Bahamas; have the necessary licenses and permits to operate under national law; have signed the General Agreement with the SBDC to participate under the CEF, which delineates the guidelines and responsibilities of the parties; be regulated and supervised by a government entity. It is contemplated that the main participants will be banks</w:t>
            </w:r>
            <w:r w:rsidR="00F93383">
              <w:rPr>
                <w:rStyle w:val="FootnoteReference"/>
                <w:rFonts w:ascii="Arial" w:hAnsi="Arial" w:eastAsia="Times New Roman" w:cs="Arial"/>
                <w:sz w:val="20"/>
                <w:szCs w:val="20"/>
                <w:shd w:val="clear" w:color="auto" w:fill="FFFFFF"/>
              </w:rPr>
              <w:footnoteReference w:id="2"/>
            </w:r>
            <w:r w:rsidRPr="00F93383" w:rsidR="00F93383">
              <w:rPr>
                <w:rFonts w:ascii="Arial" w:hAnsi="Arial" w:eastAsia="Times New Roman" w:cs="Arial"/>
                <w:sz w:val="20"/>
                <w:szCs w:val="20"/>
                <w:shd w:val="clear" w:color="auto" w:fill="FFFFFF"/>
              </w:rPr>
              <w:t xml:space="preserve"> .</w:t>
            </w:r>
            <w:r w:rsidR="00F7215A">
              <w:t xml:space="preserve"> </w:t>
            </w:r>
            <w:r w:rsidRPr="00F7215A" w:rsidR="00F7215A">
              <w:rPr>
                <w:rFonts w:ascii="Arial" w:hAnsi="Arial" w:eastAsia="Times New Roman" w:cs="Arial"/>
                <w:sz w:val="20"/>
                <w:szCs w:val="20"/>
                <w:shd w:val="clear" w:color="auto" w:fill="FFFFFF"/>
              </w:rPr>
              <w:t>The specific procedures, conditions and requirements of the CEF operations are described in the OR. The partial guarantees will be issued to eligible FI to cover individual loans to be undertaken by eligible MSME. FI will review loan applications, which will be subject to normal lending criteria, and notify SBDC and the applicant within a certain time frame of its interest in providing financing under the CEF. Each partial guarantee will not exceed US$375,000 per individual loan and will provide coverage of up to 75% of the MSME loan amount for up to ten years. For certain projects, such as energy efficiency, the coverage may increase to 90%.</w:t>
            </w:r>
          </w:p>
          <w:p w:rsidRPr="004711E3" w:rsidR="004711E3" w:rsidP="105536DE" w:rsidRDefault="000643AB" w14:paraId="3A17595F" w14:textId="7E036DC2">
            <w:pPr>
              <w:jc w:val="both"/>
              <w:rPr>
                <w:rFonts w:ascii="Arial" w:hAnsi="Arial" w:eastAsia="Times New Roman" w:cs="Arial"/>
                <w:sz w:val="20"/>
                <w:szCs w:val="20"/>
              </w:rPr>
            </w:pPr>
            <w:r w:rsidRPr="105536DE">
              <w:rPr>
                <w:rFonts w:ascii="Arial" w:hAnsi="Arial" w:eastAsia="Times New Roman" w:cs="Arial"/>
                <w:b w:val="1"/>
                <w:bCs w:val="1"/>
                <w:sz w:val="20"/>
                <w:szCs w:val="20"/>
                <w:shd w:val="clear" w:color="auto" w:fill="FFFFFF"/>
              </w:rPr>
              <w:t>Component 2</w:t>
            </w:r>
            <w:r w:rsidRPr="105536DE" w:rsidR="004711E3">
              <w:rPr>
                <w:rFonts w:ascii="Arial" w:hAnsi="Arial" w:eastAsia="Times New Roman" w:cs="Arial"/>
                <w:b w:val="1"/>
                <w:bCs w:val="1"/>
                <w:sz w:val="20"/>
                <w:szCs w:val="20"/>
                <w:shd w:val="clear" w:color="auto" w:fill="FFFFFF"/>
              </w:rPr>
              <w:t xml:space="preserve">: </w:t>
            </w:r>
            <w:r w:rsidRPr="105536DE" w:rsidR="004711E3">
              <w:rPr>
                <w:rFonts w:ascii="Arial" w:hAnsi="Arial" w:eastAsia="Times New Roman" w:cs="Arial"/>
                <w:b w:val="1"/>
                <w:bCs w:val="1"/>
                <w:sz w:val="20"/>
                <w:szCs w:val="20"/>
                <w:shd w:val="clear" w:color="auto" w:fill="FFFFFF"/>
              </w:rPr>
              <w:t>Support to MSME in business advisory services and institutional strengthening of SBDC</w:t>
            </w:r>
            <w:r w:rsidRPr="105536DE">
              <w:rPr>
                <w:rFonts w:ascii="Arial" w:hAnsi="Arial" w:eastAsia="Times New Roman" w:cs="Arial"/>
                <w:b w:val="1"/>
                <w:bCs w:val="1"/>
                <w:sz w:val="20"/>
                <w:szCs w:val="20"/>
                <w:shd w:val="clear" w:color="auto" w:fill="FFFFFF"/>
              </w:rPr>
              <w:t xml:space="preserve"> (US$</w:t>
            </w:r>
            <w:r w:rsidRPr="105536DE">
              <w:rPr>
                <w:rFonts w:ascii="Arial" w:hAnsi="Arial" w:eastAsia="Times New Roman" w:cs="Arial"/>
                <w:b w:val="1"/>
                <w:bCs w:val="1"/>
                <w:sz w:val="20"/>
                <w:szCs w:val="20"/>
                <w:shd w:val="clear" w:color="auto" w:fill="FFFFFF"/>
              </w:rPr>
              <w:t xml:space="preserve">2,940 </w:t>
            </w:r>
            <w:r w:rsidRPr="105536DE">
              <w:rPr>
                <w:rFonts w:ascii="Arial" w:hAnsi="Arial" w:eastAsia="Times New Roman" w:cs="Arial"/>
                <w:b w:val="1"/>
                <w:bCs w:val="1"/>
                <w:sz w:val="20"/>
                <w:szCs w:val="20"/>
                <w:shd w:val="clear" w:color="auto" w:fill="FFFFFF"/>
              </w:rPr>
              <w:t xml:space="preserve">million)</w:t>
            </w:r>
            <w:r w:rsidRPr="105536DE" w:rsidR="004711E3">
              <w:rPr>
                <w:rFonts w:ascii="Arial" w:hAnsi="Arial" w:eastAsia="Times New Roman" w:cs="Arial"/>
                <w:b w:val="1"/>
                <w:bCs w:val="1"/>
                <w:sz w:val="20"/>
                <w:szCs w:val="20"/>
                <w:shd w:val="clear" w:color="auto" w:fill="FFFFFF"/>
              </w:rPr>
              <w:t>.</w:t>
            </w:r>
            <w:r w:rsidRPr="00EC694F">
              <w:rPr>
                <w:rFonts w:ascii="Arial" w:hAnsi="Arial" w:eastAsia="Times New Roman" w:cs="Arial"/>
                <w:sz w:val="20"/>
                <w:szCs w:val="20"/>
                <w:shd w:val="clear" w:color="auto" w:fill="FFFFFF"/>
              </w:rPr>
              <w:t xml:space="preserve"> </w:t>
            </w:r>
            <w:r w:rsidRPr="004711E3" w:rsidR="004711E3">
              <w:rPr>
                <w:rFonts w:ascii="Arial" w:hAnsi="Arial" w:eastAsia="Times New Roman" w:cs="Arial"/>
                <w:sz w:val="20"/>
                <w:szCs w:val="20"/>
                <w:shd w:val="clear" w:color="auto" w:fill="FFFFFF"/>
              </w:rPr>
              <w:t xml:space="preserve">The SBDC’s technical assistance instruments include business advisory services, training, mentorship, incubation, and advocacy of the sector. It has 1,868 firms already registered. The program will support the expansion of these instruments. Specifically, the loan would cover the following key aspects that confront one of the two main obstacles to MSME financing: </w:t>
            </w:r>
            <w:proofErr w:type="spellStart"/>
            <w:r w:rsidRPr="004711E3" w:rsidR="004711E3">
              <w:rPr>
                <w:rFonts w:ascii="Arial" w:hAnsi="Arial" w:eastAsia="Times New Roman" w:cs="Arial"/>
                <w:sz w:val="20"/>
                <w:szCs w:val="20"/>
                <w:shd w:val="clear" w:color="auto" w:fill="FFFFFF"/>
              </w:rPr>
              <w:t>i</w:t>
            </w:r>
            <w:proofErr w:type="spellEnd"/>
            <w:r w:rsidRPr="004711E3" w:rsidR="004711E3">
              <w:rPr>
                <w:rFonts w:ascii="Arial" w:hAnsi="Arial" w:eastAsia="Times New Roman" w:cs="Arial"/>
                <w:sz w:val="20"/>
                <w:szCs w:val="20"/>
                <w:shd w:val="clear" w:color="auto" w:fill="FFFFFF"/>
              </w:rPr>
              <w:t>) supporting MSME in creating proper financial records/statements of their business, with services provided from accounting firms or individuals vetted by the Bahamas Institute of Chartered Accountants (BICA) and the SBDC; and ii) supporting firms in developing their business and financial models, which would be implemented with advisors contracted by the SBDC .</w:t>
            </w:r>
          </w:p>
          <w:p w:rsidRPr="008F59F6" w:rsidR="008F59F6" w:rsidP="105536DE" w:rsidRDefault="004711E3" w14:paraId="2CCC55FF" w14:textId="035718FB">
            <w:pPr>
              <w:jc w:val="both"/>
              <w:rPr>
                <w:rFonts w:ascii="Arial" w:hAnsi="Arial" w:eastAsia="Times New Roman" w:cs="Arial"/>
                <w:sz w:val="20"/>
                <w:szCs w:val="20"/>
              </w:rPr>
            </w:pPr>
            <w:r w:rsidRPr="004711E3">
              <w:rPr>
                <w:rFonts w:ascii="Arial" w:hAnsi="Arial" w:eastAsia="Times New Roman" w:cs="Arial"/>
                <w:sz w:val="20"/>
                <w:szCs w:val="20"/>
                <w:shd w:val="clear" w:color="auto" w:fill="FFFFFF"/>
              </w:rPr>
              <w:t>Also, institutional strengthening of SBDC will be supported. Loan resources will cover the personnel that would support the SBDC in program management and fiduciary aspects. Also, an amount of US$</w:t>
            </w:r>
            <w:r w:rsidRPr="004711E3">
              <w:rPr>
                <w:rFonts w:ascii="Arial" w:hAnsi="Arial" w:eastAsia="Times New Roman" w:cs="Arial"/>
                <w:sz w:val="20"/>
                <w:szCs w:val="20"/>
                <w:shd w:val="clear" w:color="auto" w:fill="FFFFFF"/>
              </w:rPr>
              <w:t>60,000</w:t>
            </w:r>
            <w:r w:rsidRPr="004711E3">
              <w:rPr>
                <w:rFonts w:ascii="Arial" w:hAnsi="Arial" w:eastAsia="Times New Roman" w:cs="Arial"/>
                <w:sz w:val="20"/>
                <w:szCs w:val="20"/>
                <w:shd w:val="clear" w:color="auto" w:fill="FFFFFF"/>
              </w:rPr>
              <w:t xml:space="preserve"> will be set aside to cover the administrative and monitoring and evaluation cost of the program.</w:t>
            </w:r>
          </w:p>
        </w:tc>
      </w:tr>
      <w:tr w:rsidRPr="00EC694F" w:rsidR="00B3466C" w:rsidTr="105536DE" w14:paraId="71425A91" w14:textId="77777777">
        <w:trPr>
          <w:trHeight w:val="402"/>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B3466C" w:rsidP="008969CF" w:rsidRDefault="00B3466C" w14:paraId="035865B4" w14:textId="77777777">
            <w:pPr>
              <w:pStyle w:val="ListParagraph"/>
              <w:numPr>
                <w:ilvl w:val="0"/>
                <w:numId w:val="2"/>
              </w:numPr>
              <w:rPr>
                <w:rFonts w:ascii="Arial" w:hAnsi="Arial" w:eastAsia="Times New Roman" w:cs="Arial"/>
                <w:b/>
                <w:bCs/>
                <w:sz w:val="20"/>
                <w:szCs w:val="20"/>
              </w:rPr>
            </w:pPr>
            <w:r w:rsidRPr="00EC694F">
              <w:rPr>
                <w:rFonts w:ascii="Arial" w:hAnsi="Arial" w:eastAsia="Times New Roman" w:cs="Arial"/>
                <w:b/>
                <w:bCs/>
                <w:sz w:val="20"/>
                <w:szCs w:val="20"/>
              </w:rPr>
              <w:lastRenderedPageBreak/>
              <w:t>Key Impacts, Risks</w:t>
            </w:r>
            <w:r w:rsidRPr="00EC694F" w:rsidR="00307D0B">
              <w:rPr>
                <w:rFonts w:ascii="Arial" w:hAnsi="Arial" w:eastAsia="Times New Roman" w:cs="Arial"/>
                <w:b/>
                <w:bCs/>
                <w:sz w:val="20"/>
                <w:szCs w:val="20"/>
              </w:rPr>
              <w:t>,</w:t>
            </w:r>
            <w:r w:rsidRPr="00EC694F">
              <w:rPr>
                <w:rFonts w:ascii="Arial" w:hAnsi="Arial" w:eastAsia="Times New Roman" w:cs="Arial"/>
                <w:b/>
                <w:bCs/>
                <w:sz w:val="20"/>
                <w:szCs w:val="20"/>
              </w:rPr>
              <w:t xml:space="preserve"> and Mitigation Measures</w:t>
            </w:r>
          </w:p>
        </w:tc>
      </w:tr>
      <w:tr w:rsidRPr="00EC694F" w:rsidR="00E86DA3" w:rsidTr="105536DE" w14:paraId="2CC4F324"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EC694F" w:rsidR="00E86DA3" w:rsidRDefault="00B44DDA" w14:paraId="19996503" w14:textId="77777777">
            <w:pPr>
              <w:ind w:right="165"/>
              <w:rPr>
                <w:rFonts w:ascii="Arial" w:hAnsi="Arial" w:eastAsia="Times New Roman" w:cs="Arial"/>
                <w:sz w:val="20"/>
                <w:szCs w:val="20"/>
                <w:shd w:val="clear" w:color="auto" w:fill="FFFFFF"/>
              </w:rPr>
            </w:pPr>
            <w:r w:rsidRPr="00EC694F">
              <w:rPr>
                <w:rFonts w:ascii="Arial" w:hAnsi="Arial" w:eastAsia="Times New Roman" w:cs="Arial"/>
                <w:b/>
                <w:sz w:val="20"/>
                <w:szCs w:val="20"/>
              </w:rPr>
              <w:t xml:space="preserve">Assessment </w:t>
            </w:r>
            <w:r w:rsidRPr="00EC694F" w:rsidR="00E86DA3">
              <w:rPr>
                <w:rFonts w:ascii="Arial" w:hAnsi="Arial" w:eastAsia="Times New Roman" w:cs="Arial"/>
                <w:b/>
                <w:sz w:val="20"/>
                <w:szCs w:val="20"/>
              </w:rPr>
              <w:t>Requirements</w:t>
            </w:r>
            <w:r w:rsidRPr="00EC694F" w:rsidR="00DA2315">
              <w:rPr>
                <w:rFonts w:ascii="Arial" w:hAnsi="Arial" w:eastAsia="Times New Roman" w:cs="Arial"/>
                <w:b/>
                <w:sz w:val="20"/>
                <w:szCs w:val="20"/>
              </w:rPr>
              <w:t xml:space="preserve"> </w:t>
            </w:r>
            <w:r w:rsidRPr="00EC694F" w:rsidR="001105D9">
              <w:rPr>
                <w:rFonts w:ascii="Arial" w:hAnsi="Arial" w:eastAsia="Times New Roman" w:cs="Arial"/>
                <w:b/>
                <w:sz w:val="20"/>
                <w:szCs w:val="20"/>
              </w:rPr>
              <w:t>and Information Disclosure</w:t>
            </w:r>
          </w:p>
        </w:tc>
      </w:tr>
      <w:tr w:rsidRPr="00EC694F" w:rsidR="00DA2315" w:rsidTr="105536DE" w14:paraId="34A5040D"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EC694F" w:rsidR="000643AB" w:rsidP="00C74332" w:rsidRDefault="000643AB" w14:paraId="1AB077C2"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The IDB will disclose information about the </w:t>
            </w:r>
            <w:r w:rsidR="003575D4">
              <w:rPr>
                <w:rFonts w:ascii="Arial" w:hAnsi="Arial" w:eastAsia="Times New Roman" w:cs="Arial"/>
                <w:sz w:val="20"/>
                <w:szCs w:val="20"/>
                <w:shd w:val="clear" w:color="auto" w:fill="FFFFFF"/>
              </w:rPr>
              <w:t>P</w:t>
            </w:r>
            <w:r w:rsidRPr="00EC694F">
              <w:rPr>
                <w:rFonts w:ascii="Arial" w:hAnsi="Arial" w:eastAsia="Times New Roman" w:cs="Arial"/>
                <w:sz w:val="20"/>
                <w:szCs w:val="20"/>
                <w:shd w:val="clear" w:color="auto" w:fill="FFFFFF"/>
              </w:rPr>
              <w:t>rogram in compliance with OP-102.</w:t>
            </w:r>
          </w:p>
          <w:p w:rsidRPr="00EC694F" w:rsidR="00FD295A" w:rsidP="00C74332" w:rsidRDefault="000643AB" w14:paraId="7EEF127B"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In compliance with B.13 the Project team assessed the potential E&amp;S risks of the eligible portfolio and </w:t>
            </w:r>
            <w:r w:rsidR="004711E3">
              <w:rPr>
                <w:rFonts w:ascii="Arial" w:hAnsi="Arial" w:eastAsia="Times New Roman" w:cs="Arial"/>
                <w:sz w:val="20"/>
                <w:szCs w:val="20"/>
                <w:shd w:val="clear" w:color="auto" w:fill="FFFFFF"/>
              </w:rPr>
              <w:t>SBDC</w:t>
            </w:r>
            <w:r w:rsidRPr="00EC694F">
              <w:rPr>
                <w:rFonts w:ascii="Arial" w:hAnsi="Arial" w:eastAsia="Times New Roman" w:cs="Arial"/>
                <w:sz w:val="20"/>
                <w:szCs w:val="20"/>
                <w:shd w:val="clear" w:color="auto" w:fill="FFFFFF"/>
              </w:rPr>
              <w:t xml:space="preserve"> Institutional capacity in the management of E&amp;S risks. </w:t>
            </w:r>
            <w:r w:rsidRPr="00EC694F" w:rsidR="00C74332">
              <w:rPr>
                <w:rFonts w:ascii="Arial" w:hAnsi="Arial" w:eastAsia="Times New Roman" w:cs="Arial"/>
                <w:sz w:val="20"/>
                <w:szCs w:val="20"/>
                <w:shd w:val="clear" w:color="auto" w:fill="FFFFFF"/>
              </w:rPr>
              <w:t xml:space="preserve"> </w:t>
            </w:r>
          </w:p>
        </w:tc>
      </w:tr>
      <w:tr w:rsidRPr="00EC694F" w:rsidR="00DA2315" w:rsidTr="105536DE" w14:paraId="46742FD0"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EC694F" w:rsidR="00DA2315" w:rsidRDefault="00DA2315" w14:paraId="39993ADE"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b/>
                <w:sz w:val="20"/>
                <w:szCs w:val="20"/>
              </w:rPr>
              <w:t xml:space="preserve">Consultation </w:t>
            </w:r>
            <w:r w:rsidRPr="00EC694F" w:rsidR="002E2928">
              <w:rPr>
                <w:rFonts w:ascii="Arial" w:hAnsi="Arial" w:eastAsia="Times New Roman" w:cs="Arial"/>
                <w:b/>
                <w:sz w:val="20"/>
                <w:szCs w:val="20"/>
              </w:rPr>
              <w:t xml:space="preserve">and Stakeholder </w:t>
            </w:r>
            <w:r w:rsidRPr="00EC694F" w:rsidR="004B2AA9">
              <w:rPr>
                <w:rFonts w:ascii="Arial" w:hAnsi="Arial" w:eastAsia="Times New Roman" w:cs="Arial"/>
                <w:b/>
                <w:sz w:val="20"/>
                <w:szCs w:val="20"/>
              </w:rPr>
              <w:t>Engagement</w:t>
            </w:r>
          </w:p>
        </w:tc>
      </w:tr>
      <w:tr w:rsidRPr="00EC694F" w:rsidR="009444D9" w:rsidTr="105536DE" w14:paraId="2CA42F01"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Pr="00C47EFB" w:rsidR="006A158F" w:rsidP="00C74332" w:rsidRDefault="000643AB" w14:paraId="725B1E3E" w14:textId="77777777">
            <w:pPr>
              <w:pStyle w:val="ListParagraph"/>
              <w:ind w:left="0" w:right="165"/>
              <w:jc w:val="both"/>
              <w:rPr>
                <w:rFonts w:ascii="Arial" w:hAnsi="Arial" w:eastAsia="Times New Roman" w:cs="Arial"/>
                <w:sz w:val="20"/>
                <w:szCs w:val="20"/>
                <w:shd w:val="clear" w:color="auto" w:fill="FFFFFF"/>
              </w:rPr>
            </w:pPr>
            <w:bookmarkStart w:name="_Hlk514323973" w:id="0"/>
            <w:r w:rsidRPr="00C47EFB">
              <w:rPr>
                <w:rFonts w:ascii="Arial" w:hAnsi="Arial" w:eastAsia="Times New Roman" w:cs="Arial"/>
                <w:sz w:val="20"/>
                <w:szCs w:val="20"/>
                <w:shd w:val="clear" w:color="auto" w:fill="FFFFFF"/>
              </w:rPr>
              <w:t xml:space="preserve">NA – only Cat C </w:t>
            </w:r>
            <w:r w:rsidR="005E4DB9">
              <w:rPr>
                <w:rFonts w:ascii="Arial" w:hAnsi="Arial" w:eastAsia="Times New Roman" w:cs="Arial"/>
                <w:sz w:val="20"/>
                <w:szCs w:val="20"/>
                <w:shd w:val="clear" w:color="auto" w:fill="FFFFFF"/>
              </w:rPr>
              <w:t xml:space="preserve">sub-loans </w:t>
            </w:r>
            <w:r w:rsidRPr="00C47EFB">
              <w:rPr>
                <w:rFonts w:ascii="Arial" w:hAnsi="Arial" w:eastAsia="Times New Roman" w:cs="Arial"/>
                <w:sz w:val="20"/>
                <w:szCs w:val="20"/>
                <w:shd w:val="clear" w:color="auto" w:fill="FFFFFF"/>
              </w:rPr>
              <w:t>will be eligible</w:t>
            </w:r>
          </w:p>
        </w:tc>
      </w:tr>
      <w:bookmarkEnd w:id="0"/>
      <w:tr w:rsidRPr="00EC694F" w:rsidR="00D632E9" w:rsidTr="105536DE" w14:paraId="2F2A9D6E"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vAlign w:val="center"/>
          </w:tcPr>
          <w:p w:rsidRPr="00EC694F" w:rsidR="00B505FD" w:rsidRDefault="00D632E9" w14:paraId="31AC0438"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b/>
                <w:sz w:val="20"/>
                <w:szCs w:val="20"/>
              </w:rPr>
              <w:t>Environmental</w:t>
            </w:r>
            <w:r w:rsidRPr="00EC694F" w:rsidR="001A33FA">
              <w:rPr>
                <w:rFonts w:ascii="Arial" w:hAnsi="Arial" w:eastAsia="Times New Roman" w:cs="Arial"/>
                <w:b/>
                <w:sz w:val="20"/>
                <w:szCs w:val="20"/>
              </w:rPr>
              <w:t xml:space="preserve"> and Social</w:t>
            </w:r>
            <w:r w:rsidRPr="00EC694F">
              <w:rPr>
                <w:rFonts w:ascii="Arial" w:hAnsi="Arial" w:eastAsia="Times New Roman" w:cs="Arial"/>
                <w:b/>
                <w:sz w:val="20"/>
                <w:szCs w:val="20"/>
              </w:rPr>
              <w:t xml:space="preserve"> </w:t>
            </w:r>
            <w:r w:rsidRPr="00EC694F" w:rsidR="00425A6B">
              <w:rPr>
                <w:rFonts w:ascii="Arial" w:hAnsi="Arial" w:eastAsia="Times New Roman" w:cs="Arial"/>
                <w:b/>
                <w:sz w:val="20"/>
                <w:szCs w:val="20"/>
              </w:rPr>
              <w:t>Impacts and Risks</w:t>
            </w:r>
            <w:r w:rsidRPr="00EC694F">
              <w:rPr>
                <w:rFonts w:ascii="Arial" w:hAnsi="Arial" w:eastAsia="Times New Roman" w:cs="Arial"/>
                <w:b/>
                <w:sz w:val="20"/>
                <w:szCs w:val="20"/>
              </w:rPr>
              <w:t xml:space="preserve"> </w:t>
            </w:r>
            <w:r w:rsidRPr="00EC694F" w:rsidR="00FD295A">
              <w:rPr>
                <w:rFonts w:ascii="Arial" w:hAnsi="Arial" w:eastAsia="Times New Roman" w:cs="Arial"/>
                <w:b/>
                <w:sz w:val="20"/>
                <w:szCs w:val="20"/>
              </w:rPr>
              <w:t>and Mitigation Measures</w:t>
            </w:r>
          </w:p>
        </w:tc>
      </w:tr>
      <w:tr w:rsidRPr="00EC694F" w:rsidR="00D632E9" w:rsidTr="105536DE" w14:paraId="2AE5647C"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vAlign w:val="center"/>
          </w:tcPr>
          <w:p w:rsidR="008374C7" w:rsidP="00943CC9" w:rsidRDefault="008374C7" w14:paraId="10E64A93" w14:textId="77777777">
            <w:pPr>
              <w:ind w:right="165"/>
              <w:jc w:val="both"/>
              <w:rPr>
                <w:rFonts w:ascii="Arial" w:hAnsi="Arial" w:eastAsia="Times New Roman" w:cs="Arial"/>
                <w:sz w:val="20"/>
                <w:szCs w:val="20"/>
                <w:shd w:val="clear" w:color="auto" w:fill="FFFFFF"/>
              </w:rPr>
            </w:pPr>
          </w:p>
          <w:p w:rsidR="00C47EFB" w:rsidP="00C47EFB" w:rsidRDefault="00C47EFB" w14:paraId="6DC7930F"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lastRenderedPageBreak/>
              <w:t>It is expected that the portfolio to be financed with resources from the Program will reflect the macro-economic reality of the country</w:t>
            </w:r>
            <w:r w:rsidR="004711E3">
              <w:rPr>
                <w:rFonts w:ascii="Arial" w:hAnsi="Arial" w:eastAsia="Times New Roman" w:cs="Arial"/>
                <w:sz w:val="20"/>
                <w:szCs w:val="20"/>
                <w:shd w:val="clear" w:color="auto" w:fill="FFFFFF"/>
              </w:rPr>
              <w:t xml:space="preserve"> with a </w:t>
            </w:r>
            <w:r w:rsidRPr="00C47EFB">
              <w:rPr>
                <w:rFonts w:ascii="Arial" w:hAnsi="Arial" w:eastAsia="Times New Roman" w:cs="Arial"/>
                <w:sz w:val="20"/>
                <w:szCs w:val="20"/>
                <w:shd w:val="clear" w:color="auto" w:fill="FFFFFF"/>
              </w:rPr>
              <w:t>composition</w:t>
            </w:r>
            <w:r w:rsidR="00A47DBA">
              <w:rPr>
                <w:rFonts w:ascii="Arial" w:hAnsi="Arial" w:eastAsia="Times New Roman" w:cs="Arial"/>
                <w:sz w:val="20"/>
                <w:szCs w:val="20"/>
                <w:shd w:val="clear" w:color="auto" w:fill="FFFFFF"/>
              </w:rPr>
              <w:t xml:space="preserve"> of Gross Domestic Product (GDP)</w:t>
            </w:r>
            <w:r w:rsidRPr="00C47EFB">
              <w:rPr>
                <w:rFonts w:ascii="Arial" w:hAnsi="Arial" w:eastAsia="Times New Roman" w:cs="Arial"/>
                <w:sz w:val="20"/>
                <w:szCs w:val="20"/>
                <w:shd w:val="clear" w:color="auto" w:fill="FFFFFF"/>
              </w:rPr>
              <w:t xml:space="preserve"> by sector</w:t>
            </w:r>
            <w:r w:rsidR="00A47DBA">
              <w:rPr>
                <w:rFonts w:ascii="Arial" w:hAnsi="Arial" w:eastAsia="Times New Roman" w:cs="Arial"/>
                <w:sz w:val="20"/>
                <w:szCs w:val="20"/>
                <w:shd w:val="clear" w:color="auto" w:fill="FFFFFF"/>
              </w:rPr>
              <w:t>s</w:t>
            </w:r>
            <w:r>
              <w:rPr>
                <w:rFonts w:ascii="Arial" w:hAnsi="Arial" w:eastAsia="Times New Roman" w:cs="Arial"/>
                <w:sz w:val="20"/>
                <w:szCs w:val="20"/>
                <w:shd w:val="clear" w:color="auto" w:fill="FFFFFF"/>
              </w:rPr>
              <w:t xml:space="preserve"> </w:t>
            </w:r>
            <w:r w:rsidR="004711E3">
              <w:rPr>
                <w:rFonts w:ascii="Arial" w:hAnsi="Arial" w:eastAsia="Times New Roman" w:cs="Arial"/>
                <w:sz w:val="20"/>
                <w:szCs w:val="20"/>
                <w:shd w:val="clear" w:color="auto" w:fill="FFFFFF"/>
              </w:rPr>
              <w:t>of</w:t>
            </w:r>
            <w:r>
              <w:rPr>
                <w:rFonts w:ascii="Arial" w:hAnsi="Arial" w:eastAsia="Times New Roman" w:cs="Arial"/>
                <w:sz w:val="20"/>
                <w:szCs w:val="20"/>
                <w:shd w:val="clear" w:color="auto" w:fill="FFFFFF"/>
              </w:rPr>
              <w:t xml:space="preserve"> </w:t>
            </w:r>
            <w:r w:rsidR="004711E3">
              <w:rPr>
                <w:rFonts w:ascii="Arial" w:hAnsi="Arial" w:eastAsia="Times New Roman" w:cs="Arial"/>
                <w:sz w:val="20"/>
                <w:szCs w:val="20"/>
                <w:shd w:val="clear" w:color="auto" w:fill="FFFFFF"/>
              </w:rPr>
              <w:t>services 78.3% (mainly financial services and tourism), manufacturing 19.8% and agriculture 1.9%.</w:t>
            </w:r>
          </w:p>
          <w:p w:rsidR="00A47DBA" w:rsidP="00C47EFB" w:rsidRDefault="00A47DBA" w14:paraId="1C61A65B" w14:textId="77777777">
            <w:pPr>
              <w:ind w:right="165"/>
              <w:jc w:val="both"/>
              <w:rPr>
                <w:rFonts w:ascii="Arial" w:hAnsi="Arial" w:eastAsia="Times New Roman" w:cs="Arial"/>
                <w:sz w:val="20"/>
                <w:szCs w:val="20"/>
                <w:shd w:val="clear" w:color="auto" w:fill="FFFFFF"/>
              </w:rPr>
            </w:pPr>
          </w:p>
          <w:p w:rsidR="00C47EFB" w:rsidP="00C47EFB" w:rsidRDefault="008F59F6" w14:paraId="6937A6EE"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 xml:space="preserve">To make sure only category C projects will be financed under the </w:t>
            </w:r>
            <w:r w:rsidR="003575D4">
              <w:rPr>
                <w:rFonts w:ascii="Arial" w:hAnsi="Arial" w:eastAsia="Times New Roman" w:cs="Arial"/>
                <w:sz w:val="20"/>
                <w:szCs w:val="20"/>
                <w:shd w:val="clear" w:color="auto" w:fill="FFFFFF"/>
              </w:rPr>
              <w:t>P</w:t>
            </w:r>
            <w:r>
              <w:rPr>
                <w:rFonts w:ascii="Arial" w:hAnsi="Arial" w:eastAsia="Times New Roman" w:cs="Arial"/>
                <w:sz w:val="20"/>
                <w:szCs w:val="20"/>
                <w:shd w:val="clear" w:color="auto" w:fill="FFFFFF"/>
              </w:rPr>
              <w:t>rogram, high risk sectors such as forestry, large scale farming and fishing</w:t>
            </w:r>
            <w:r w:rsidR="008F3E00">
              <w:rPr>
                <w:rFonts w:ascii="Arial" w:hAnsi="Arial" w:eastAsia="Times New Roman" w:cs="Arial"/>
                <w:sz w:val="20"/>
                <w:szCs w:val="20"/>
                <w:shd w:val="clear" w:color="auto" w:fill="FFFFFF"/>
              </w:rPr>
              <w:t xml:space="preserve"> </w:t>
            </w:r>
            <w:r>
              <w:rPr>
                <w:rFonts w:ascii="Arial" w:hAnsi="Arial" w:eastAsia="Times New Roman" w:cs="Arial"/>
                <w:sz w:val="20"/>
                <w:szCs w:val="20"/>
                <w:shd w:val="clear" w:color="auto" w:fill="FFFFFF"/>
              </w:rPr>
              <w:t xml:space="preserve">and energy production will be excluded. </w:t>
            </w:r>
          </w:p>
          <w:p w:rsidR="008F59F6" w:rsidP="00C47EFB" w:rsidRDefault="008F59F6" w14:paraId="170BE94E" w14:textId="77777777">
            <w:pPr>
              <w:ind w:right="165"/>
              <w:jc w:val="both"/>
              <w:rPr>
                <w:rFonts w:ascii="Arial" w:hAnsi="Arial" w:eastAsia="Times New Roman" w:cs="Arial"/>
                <w:sz w:val="20"/>
                <w:szCs w:val="20"/>
                <w:shd w:val="clear" w:color="auto" w:fill="FFFFFF"/>
              </w:rPr>
            </w:pPr>
          </w:p>
          <w:p w:rsidRPr="00346EF5" w:rsidR="00346EF5" w:rsidP="00346EF5" w:rsidRDefault="00346EF5" w14:paraId="3F021DF1" w14:textId="77777777">
            <w:pPr>
              <w:ind w:right="165"/>
              <w:jc w:val="both"/>
              <w:rPr>
                <w:rFonts w:ascii="Arial" w:hAnsi="Arial" w:eastAsia="Times New Roman" w:cs="Arial"/>
                <w:sz w:val="20"/>
                <w:szCs w:val="20"/>
                <w:shd w:val="clear" w:color="auto" w:fill="FFFFFF"/>
              </w:rPr>
            </w:pPr>
            <w:r w:rsidRPr="00346EF5">
              <w:rPr>
                <w:rFonts w:ascii="Arial" w:hAnsi="Arial" w:eastAsia="Times New Roman" w:cs="Arial"/>
                <w:sz w:val="20"/>
                <w:szCs w:val="20"/>
                <w:shd w:val="clear" w:color="auto" w:fill="FFFFFF"/>
              </w:rPr>
              <w:t>Main environmental issues in the Bahamas are quite typical of the Caribbean and are involving marine pollution and coral reef decay, solid waste disposal and potable water scarcity</w:t>
            </w:r>
            <w:r w:rsidRPr="00346EF5" w:rsidR="00C47EFB">
              <w:rPr>
                <w:rFonts w:ascii="Arial" w:hAnsi="Arial" w:eastAsia="Times New Roman" w:cs="Arial"/>
                <w:sz w:val="20"/>
                <w:szCs w:val="20"/>
                <w:shd w:val="clear" w:color="auto" w:fill="FFFFFF"/>
              </w:rPr>
              <w:t>.</w:t>
            </w:r>
            <w:r w:rsidRPr="00346EF5">
              <w:rPr>
                <w:rFonts w:ascii="Arial" w:hAnsi="Arial" w:eastAsia="Times New Roman" w:cs="Arial"/>
                <w:sz w:val="20"/>
                <w:szCs w:val="20"/>
                <w:shd w:val="clear" w:color="auto" w:fill="FFFFFF"/>
              </w:rPr>
              <w:t xml:space="preserve"> The </w:t>
            </w:r>
            <w:hyperlink w:history="1" r:id="rId12">
              <w:r w:rsidRPr="00346EF5">
                <w:rPr>
                  <w:rStyle w:val="Hyperlink"/>
                  <w:rFonts w:ascii="Arial" w:hAnsi="Arial" w:eastAsia="Times New Roman" w:cs="Arial"/>
                  <w:sz w:val="20"/>
                  <w:szCs w:val="20"/>
                  <w:shd w:val="clear" w:color="auto" w:fill="FFFFFF"/>
                </w:rPr>
                <w:t>Ministry of Environment and Housing</w:t>
              </w:r>
            </w:hyperlink>
            <w:r w:rsidRPr="00346EF5">
              <w:rPr>
                <w:rFonts w:ascii="Arial" w:hAnsi="Arial" w:eastAsia="Times New Roman" w:cs="Arial"/>
                <w:sz w:val="20"/>
                <w:szCs w:val="20"/>
                <w:shd w:val="clear" w:color="auto" w:fill="FFFFFF"/>
              </w:rPr>
              <w:t xml:space="preserve"> is the primary environmental regulator in </w:t>
            </w:r>
            <w:r>
              <w:rPr>
                <w:rFonts w:ascii="Arial" w:hAnsi="Arial" w:eastAsia="Times New Roman" w:cs="Arial"/>
                <w:sz w:val="20"/>
                <w:szCs w:val="20"/>
                <w:shd w:val="clear" w:color="auto" w:fill="FFFFFF"/>
              </w:rPr>
              <w:t>the Bahamas.</w:t>
            </w:r>
            <w:r w:rsidR="008F3E00">
              <w:rPr>
                <w:rFonts w:ascii="Arial" w:hAnsi="Arial" w:eastAsia="Times New Roman" w:cs="Arial"/>
                <w:sz w:val="20"/>
                <w:szCs w:val="20"/>
                <w:shd w:val="clear" w:color="auto" w:fill="FFFFFF"/>
              </w:rPr>
              <w:t xml:space="preserve"> </w:t>
            </w:r>
            <w:r>
              <w:rPr>
                <w:rFonts w:ascii="Arial" w:hAnsi="Arial" w:eastAsia="Times New Roman" w:cs="Arial"/>
                <w:sz w:val="20"/>
                <w:szCs w:val="20"/>
                <w:shd w:val="clear" w:color="auto" w:fill="FFFFFF"/>
              </w:rPr>
              <w:t>The Bahamas</w:t>
            </w:r>
            <w:r w:rsidRPr="00346EF5">
              <w:rPr>
                <w:rFonts w:ascii="Arial" w:hAnsi="Arial" w:eastAsia="Times New Roman" w:cs="Arial"/>
                <w:sz w:val="20"/>
                <w:szCs w:val="20"/>
                <w:shd w:val="clear" w:color="auto" w:fill="FFFFFF"/>
              </w:rPr>
              <w:t xml:space="preserve"> </w:t>
            </w:r>
            <w:r>
              <w:rPr>
                <w:rFonts w:ascii="Arial" w:hAnsi="Arial" w:eastAsia="Times New Roman" w:cs="Arial"/>
                <w:sz w:val="20"/>
                <w:szCs w:val="20"/>
                <w:shd w:val="clear" w:color="auto" w:fill="FFFFFF"/>
              </w:rPr>
              <w:t>are</w:t>
            </w:r>
            <w:r w:rsidRPr="00346EF5">
              <w:rPr>
                <w:rFonts w:ascii="Arial" w:hAnsi="Arial" w:eastAsia="Times New Roman" w:cs="Arial"/>
                <w:sz w:val="20"/>
                <w:szCs w:val="20"/>
                <w:shd w:val="clear" w:color="auto" w:fill="FFFFFF"/>
              </w:rPr>
              <w:t xml:space="preserve"> also signatory of most of the international treaties and conventions aiming at addressing global environmental and social issues such as for example: loss of species and biodiversity, ozone depletion, hazardous waste management, pollution from land-based sources. A list of those conventions is available on </w:t>
            </w:r>
            <w:hyperlink w:history="1" r:id="rId13">
              <w:r w:rsidRPr="00346EF5">
                <w:rPr>
                  <w:rStyle w:val="Hyperlink"/>
                  <w:rFonts w:ascii="Arial" w:hAnsi="Arial" w:eastAsia="Times New Roman" w:cs="Arial"/>
                  <w:sz w:val="20"/>
                  <w:szCs w:val="20"/>
                  <w:shd w:val="clear" w:color="auto" w:fill="FFFFFF"/>
                </w:rPr>
                <w:t>here</w:t>
              </w:r>
            </w:hyperlink>
            <w:r>
              <w:rPr>
                <w:rFonts w:ascii="Arial" w:hAnsi="Arial" w:eastAsia="Times New Roman" w:cs="Arial"/>
                <w:sz w:val="20"/>
                <w:szCs w:val="20"/>
                <w:shd w:val="clear" w:color="auto" w:fill="FFFFFF"/>
              </w:rPr>
              <w:t>.</w:t>
            </w:r>
            <w:r w:rsidR="008F3E00">
              <w:rPr>
                <w:rFonts w:ascii="Arial" w:hAnsi="Arial" w:eastAsia="Times New Roman" w:cs="Arial"/>
                <w:sz w:val="20"/>
                <w:szCs w:val="20"/>
                <w:shd w:val="clear" w:color="auto" w:fill="FFFFFF"/>
              </w:rPr>
              <w:t xml:space="preserve"> The Bahamas are </w:t>
            </w:r>
            <w:r w:rsidRPr="00346EF5">
              <w:rPr>
                <w:rFonts w:ascii="Arial" w:hAnsi="Arial" w:eastAsia="Times New Roman" w:cs="Arial"/>
                <w:sz w:val="20"/>
                <w:szCs w:val="20"/>
                <w:shd w:val="clear" w:color="auto" w:fill="FFFFFF"/>
              </w:rPr>
              <w:t xml:space="preserve">a member of the International </w:t>
            </w:r>
            <w:proofErr w:type="spellStart"/>
            <w:r w:rsidRPr="00346EF5">
              <w:rPr>
                <w:rFonts w:ascii="Arial" w:hAnsi="Arial" w:eastAsia="Times New Roman" w:cs="Arial"/>
                <w:sz w:val="20"/>
                <w:szCs w:val="20"/>
                <w:shd w:val="clear" w:color="auto" w:fill="FFFFFF"/>
              </w:rPr>
              <w:t>Labour</w:t>
            </w:r>
            <w:proofErr w:type="spellEnd"/>
            <w:r w:rsidRPr="00346EF5">
              <w:rPr>
                <w:rFonts w:ascii="Arial" w:hAnsi="Arial" w:eastAsia="Times New Roman" w:cs="Arial"/>
                <w:sz w:val="20"/>
                <w:szCs w:val="20"/>
                <w:shd w:val="clear" w:color="auto" w:fill="FFFFFF"/>
              </w:rPr>
              <w:t xml:space="preserve"> Organization since 19</w:t>
            </w:r>
            <w:r w:rsidR="008F3E00">
              <w:rPr>
                <w:rFonts w:ascii="Arial" w:hAnsi="Arial" w:eastAsia="Times New Roman" w:cs="Arial"/>
                <w:sz w:val="20"/>
                <w:szCs w:val="20"/>
                <w:shd w:val="clear" w:color="auto" w:fill="FFFFFF"/>
              </w:rPr>
              <w:t>76</w:t>
            </w:r>
            <w:r w:rsidRPr="00346EF5">
              <w:rPr>
                <w:rFonts w:ascii="Arial" w:hAnsi="Arial" w:eastAsia="Times New Roman" w:cs="Arial"/>
                <w:sz w:val="20"/>
                <w:szCs w:val="20"/>
                <w:shd w:val="clear" w:color="auto" w:fill="FFFFFF"/>
              </w:rPr>
              <w:t xml:space="preserve"> and has ratified eight of its eight fundamental conventions and </w:t>
            </w:r>
            <w:r w:rsidR="008F3E00">
              <w:rPr>
                <w:rFonts w:ascii="Arial" w:hAnsi="Arial" w:eastAsia="Times New Roman" w:cs="Arial"/>
                <w:sz w:val="20"/>
                <w:szCs w:val="20"/>
                <w:shd w:val="clear" w:color="auto" w:fill="FFFFFF"/>
              </w:rPr>
              <w:t>two</w:t>
            </w:r>
            <w:r w:rsidRPr="00346EF5">
              <w:rPr>
                <w:rFonts w:ascii="Arial" w:hAnsi="Arial" w:eastAsia="Times New Roman" w:cs="Arial"/>
                <w:sz w:val="20"/>
                <w:szCs w:val="20"/>
                <w:shd w:val="clear" w:color="auto" w:fill="FFFFFF"/>
              </w:rPr>
              <w:t xml:space="preserve"> out of the four Governance Conventions (see </w:t>
            </w:r>
            <w:hyperlink w:history="1" r:id="rId14">
              <w:r w:rsidRPr="008F3E00">
                <w:rPr>
                  <w:rStyle w:val="Hyperlink"/>
                  <w:rFonts w:ascii="Arial" w:hAnsi="Arial" w:eastAsia="Times New Roman" w:cs="Arial"/>
                  <w:sz w:val="20"/>
                  <w:szCs w:val="20"/>
                  <w:shd w:val="clear" w:color="auto" w:fill="FFFFFF"/>
                </w:rPr>
                <w:t>here</w:t>
              </w:r>
            </w:hyperlink>
            <w:r w:rsidRPr="00346EF5">
              <w:rPr>
                <w:rFonts w:ascii="Arial" w:hAnsi="Arial" w:eastAsia="Times New Roman" w:cs="Arial"/>
                <w:sz w:val="20"/>
                <w:szCs w:val="20"/>
                <w:shd w:val="clear" w:color="auto" w:fill="FFFFFF"/>
              </w:rPr>
              <w:t>)</w:t>
            </w:r>
          </w:p>
          <w:p w:rsidR="00346EF5" w:rsidP="00C47EFB" w:rsidRDefault="008F3E00" w14:paraId="4F4380C4"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 xml:space="preserve">A list of relevant laws, regulation and policies follows: </w:t>
            </w:r>
          </w:p>
          <w:p w:rsidRPr="008F3E00" w:rsidR="008F3E00" w:rsidP="008969CF" w:rsidRDefault="008F3E00" w14:paraId="6BAFAD5A"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Antiquities, Monuments, and Museum Corporation Act 1998, Chapter 51</w:t>
            </w:r>
          </w:p>
          <w:p w:rsidRPr="008F3E00" w:rsidR="008F3E00" w:rsidP="008969CF" w:rsidRDefault="008F3E00" w14:paraId="4D9A40D8"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Archipelagic Waters and Maritime Jurisdiction Act, 1993</w:t>
            </w:r>
          </w:p>
          <w:p w:rsidRPr="008F3E00" w:rsidR="008F3E00" w:rsidP="008969CF" w:rsidRDefault="008F3E00" w14:paraId="31B66EB8"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Bahamas National Trust Act,1959 and Bahamas National Trust Amendment, 2013</w:t>
            </w:r>
            <w:r w:rsidRPr="008F3E00">
              <w:rPr>
                <w:rFonts w:ascii="Arial" w:hAnsi="Arial" w:eastAsia="Times New Roman" w:cs="Arial"/>
                <w:sz w:val="20"/>
                <w:szCs w:val="20"/>
                <w:shd w:val="clear" w:color="auto" w:fill="FFFFFF"/>
              </w:rPr>
              <w:cr/>
              <w:t xml:space="preserve"> Bahamas Protected Areas Fund Act 2014</w:t>
            </w:r>
          </w:p>
          <w:p w:rsidRPr="008F3E00" w:rsidR="008F3E00" w:rsidP="008969CF" w:rsidRDefault="008F3E00" w14:paraId="3EC250ED"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Bahamas Public Parks and Beaches Authority Act, 2014</w:t>
            </w:r>
          </w:p>
          <w:p w:rsidRPr="008F3E00" w:rsidR="008F3E00" w:rsidP="008969CF" w:rsidRDefault="008F3E00" w14:paraId="3FA763E6"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Coast Protection Act, 1968 Chapter 204</w:t>
            </w:r>
          </w:p>
          <w:p w:rsidRPr="008F3E00" w:rsidR="008F3E00" w:rsidP="008969CF" w:rsidRDefault="008F3E00" w14:paraId="13B03331"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Conservation and Protection of the Physical Landscape of The Bahamas, 1997 Chapter 260</w:t>
            </w:r>
          </w:p>
          <w:p w:rsidRPr="008F3E00" w:rsidR="008F3E00" w:rsidP="008969CF" w:rsidRDefault="008F3E00" w14:paraId="69A8A0F6"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Environmental Health Services (Collection and Disposal of Wastes) Regulations 2004</w:t>
            </w:r>
          </w:p>
          <w:p w:rsidRPr="008F3E00" w:rsidR="008F3E00" w:rsidP="008969CF" w:rsidRDefault="008F3E00" w14:paraId="0533E61F"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Environmental Health Services Act 1987 and Environmental Health Services (Fees and Services) Regulations 2000</w:t>
            </w:r>
          </w:p>
          <w:p w:rsidRPr="008F3E00" w:rsidR="008F3E00" w:rsidP="008969CF" w:rsidRDefault="008F3E00" w14:paraId="330FE431"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Fisheries Resources (Jurisdiction and Conservation) Act 1977</w:t>
            </w:r>
          </w:p>
          <w:p w:rsidRPr="008F3E00" w:rsidR="008F3E00" w:rsidP="008969CF" w:rsidRDefault="008F3E00" w14:paraId="03B1F6BC"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Forestry Act of 2010</w:t>
            </w:r>
          </w:p>
          <w:p w:rsidRPr="008F3E00" w:rsidR="008F3E00" w:rsidP="008969CF" w:rsidRDefault="008F3E00" w14:paraId="5D532FFC"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Health and Safety at Work Act 2002</w:t>
            </w:r>
          </w:p>
          <w:p w:rsidRPr="008F3E00" w:rsidR="008F3E00" w:rsidP="008969CF" w:rsidRDefault="008F3E00" w14:paraId="5B64BE65"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Planning and Subdivision Act, 2010 Planning and Subdivision Regulations (Application Requirements), 2011</w:t>
            </w:r>
          </w:p>
          <w:p w:rsidRPr="008F3E00" w:rsidR="008F3E00" w:rsidP="008969CF" w:rsidRDefault="008F3E00" w14:paraId="42E91F74"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Water and Sewerage Act 1976</w:t>
            </w:r>
          </w:p>
          <w:p w:rsidRPr="008F3E00" w:rsidR="008F3E00" w:rsidP="008969CF" w:rsidRDefault="008F3E00" w14:paraId="04687B2A"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Wild Animals Protection Act 1968</w:t>
            </w:r>
          </w:p>
          <w:p w:rsidRPr="008F3E00" w:rsidR="008F3E00" w:rsidP="008969CF" w:rsidRDefault="008F3E00" w14:paraId="37499B74" w14:textId="77777777">
            <w:pPr>
              <w:pStyle w:val="ListParagraph"/>
              <w:numPr>
                <w:ilvl w:val="0"/>
                <w:numId w:val="4"/>
              </w:numPr>
              <w:ind w:right="165"/>
              <w:jc w:val="both"/>
              <w:rPr>
                <w:rFonts w:ascii="Arial" w:hAnsi="Arial" w:eastAsia="Times New Roman" w:cs="Arial"/>
                <w:sz w:val="20"/>
                <w:szCs w:val="20"/>
                <w:shd w:val="clear" w:color="auto" w:fill="FFFFFF"/>
              </w:rPr>
            </w:pPr>
            <w:r w:rsidRPr="008F3E00">
              <w:rPr>
                <w:rFonts w:ascii="Arial" w:hAnsi="Arial" w:eastAsia="Times New Roman" w:cs="Arial"/>
                <w:sz w:val="20"/>
                <w:szCs w:val="20"/>
                <w:shd w:val="clear" w:color="auto" w:fill="FFFFFF"/>
              </w:rPr>
              <w:t>Wild Birds Protection Act 1987 Wild Bird Protection Act (Reserves),</w:t>
            </w:r>
          </w:p>
          <w:p w:rsidR="008F3E00" w:rsidP="008F3E00" w:rsidRDefault="008F3E00" w14:paraId="1DDD7687" w14:textId="77777777">
            <w:pPr>
              <w:ind w:right="165"/>
              <w:jc w:val="both"/>
            </w:pPr>
          </w:p>
          <w:p w:rsidR="00563325" w:rsidP="00563325" w:rsidRDefault="00563325" w14:paraId="5418D429"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 xml:space="preserve">The Executing Agency has a limited capacity in the management of E&amp;S risks. </w:t>
            </w:r>
            <w:r w:rsidR="004711E3">
              <w:rPr>
                <w:rFonts w:ascii="Arial" w:hAnsi="Arial" w:eastAsia="Times New Roman" w:cs="Arial"/>
                <w:sz w:val="20"/>
                <w:szCs w:val="20"/>
                <w:shd w:val="clear" w:color="auto" w:fill="FFFFFF"/>
              </w:rPr>
              <w:t xml:space="preserve">SBDC was only created last year and for the moment has no E&amp;S coordinator. But they have good access to public agencies and could work closely with the Ministry of Environment and Housing. </w:t>
            </w:r>
          </w:p>
          <w:p w:rsidR="00563325" w:rsidP="00563325" w:rsidRDefault="00563325" w14:paraId="57900ECC" w14:textId="77777777">
            <w:pPr>
              <w:ind w:right="165"/>
              <w:jc w:val="both"/>
              <w:rPr>
                <w:rFonts w:ascii="Arial" w:hAnsi="Arial" w:eastAsia="Times New Roman" w:cs="Arial"/>
                <w:sz w:val="20"/>
                <w:szCs w:val="20"/>
                <w:shd w:val="clear" w:color="auto" w:fill="FFFFFF"/>
              </w:rPr>
            </w:pPr>
          </w:p>
          <w:p w:rsidR="00563325" w:rsidP="00563325" w:rsidRDefault="00563325" w14:paraId="4C948326"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Given the limited E&amp;S regulatory framework</w:t>
            </w:r>
            <w:r w:rsidR="00883BCA">
              <w:rPr>
                <w:rFonts w:ascii="Arial" w:hAnsi="Arial" w:eastAsia="Times New Roman" w:cs="Arial"/>
                <w:sz w:val="20"/>
                <w:szCs w:val="20"/>
                <w:shd w:val="clear" w:color="auto" w:fill="FFFFFF"/>
              </w:rPr>
              <w:t xml:space="preserve"> and</w:t>
            </w:r>
            <w:r>
              <w:rPr>
                <w:rFonts w:ascii="Arial" w:hAnsi="Arial" w:eastAsia="Times New Roman" w:cs="Arial"/>
                <w:sz w:val="20"/>
                <w:szCs w:val="20"/>
                <w:shd w:val="clear" w:color="auto" w:fill="FFFFFF"/>
              </w:rPr>
              <w:t xml:space="preserve"> the lack of capacity from the Executing Agency, it was decided to restrict the eligible </w:t>
            </w:r>
            <w:r w:rsidR="005E4DB9">
              <w:rPr>
                <w:rFonts w:ascii="Arial" w:hAnsi="Arial" w:eastAsia="Times New Roman" w:cs="Arial"/>
                <w:sz w:val="20"/>
                <w:szCs w:val="20"/>
                <w:shd w:val="clear" w:color="auto" w:fill="FFFFFF"/>
              </w:rPr>
              <w:t xml:space="preserve">sub-loans </w:t>
            </w:r>
            <w:r>
              <w:rPr>
                <w:rFonts w:ascii="Arial" w:hAnsi="Arial" w:eastAsia="Times New Roman" w:cs="Arial"/>
                <w:sz w:val="20"/>
                <w:szCs w:val="20"/>
                <w:shd w:val="clear" w:color="auto" w:fill="FFFFFF"/>
              </w:rPr>
              <w:t xml:space="preserve">to category C and manage the risks through the application of </w:t>
            </w:r>
            <w:r w:rsidR="001E0483">
              <w:rPr>
                <w:rFonts w:ascii="Arial" w:hAnsi="Arial" w:eastAsia="Times New Roman" w:cs="Arial"/>
                <w:sz w:val="20"/>
                <w:szCs w:val="20"/>
                <w:shd w:val="clear" w:color="auto" w:fill="FFFFFF"/>
              </w:rPr>
              <w:t xml:space="preserve">a maximum amount of </w:t>
            </w:r>
            <w:r w:rsidR="004711E3">
              <w:rPr>
                <w:rFonts w:ascii="Arial" w:hAnsi="Arial" w:eastAsia="Times New Roman" w:cs="Arial"/>
                <w:sz w:val="20"/>
                <w:szCs w:val="20"/>
                <w:shd w:val="clear" w:color="auto" w:fill="FFFFFF"/>
              </w:rPr>
              <w:t>guarantee</w:t>
            </w:r>
            <w:r w:rsidR="001E0483">
              <w:rPr>
                <w:rFonts w:ascii="Arial" w:hAnsi="Arial" w:eastAsia="Times New Roman" w:cs="Arial"/>
                <w:sz w:val="20"/>
                <w:szCs w:val="20"/>
                <w:shd w:val="clear" w:color="auto" w:fill="FFFFFF"/>
              </w:rPr>
              <w:t xml:space="preserve"> per project (US$</w:t>
            </w:r>
            <w:r w:rsidR="004711E3">
              <w:rPr>
                <w:rFonts w:ascii="Arial" w:hAnsi="Arial" w:eastAsia="Times New Roman" w:cs="Arial"/>
                <w:sz w:val="20"/>
                <w:szCs w:val="20"/>
                <w:shd w:val="clear" w:color="auto" w:fill="FFFFFF"/>
              </w:rPr>
              <w:t>375</w:t>
            </w:r>
            <w:r w:rsidR="001E0483">
              <w:rPr>
                <w:rFonts w:ascii="Arial" w:hAnsi="Arial" w:eastAsia="Times New Roman" w:cs="Arial"/>
                <w:sz w:val="20"/>
                <w:szCs w:val="20"/>
                <w:shd w:val="clear" w:color="auto" w:fill="FFFFFF"/>
              </w:rPr>
              <w:t xml:space="preserve">,000), </w:t>
            </w:r>
            <w:r>
              <w:rPr>
                <w:rFonts w:ascii="Arial" w:hAnsi="Arial" w:eastAsia="Times New Roman" w:cs="Arial"/>
                <w:sz w:val="20"/>
                <w:szCs w:val="20"/>
                <w:shd w:val="clear" w:color="auto" w:fill="FFFFFF"/>
              </w:rPr>
              <w:t xml:space="preserve">an extended </w:t>
            </w:r>
            <w:r w:rsidR="001E0483">
              <w:rPr>
                <w:rFonts w:ascii="Arial" w:hAnsi="Arial" w:eastAsia="Times New Roman" w:cs="Arial"/>
                <w:sz w:val="20"/>
                <w:szCs w:val="20"/>
                <w:shd w:val="clear" w:color="auto" w:fill="FFFFFF"/>
              </w:rPr>
              <w:t>exclusion</w:t>
            </w:r>
            <w:r>
              <w:rPr>
                <w:rFonts w:ascii="Arial" w:hAnsi="Arial" w:eastAsia="Times New Roman" w:cs="Arial"/>
                <w:sz w:val="20"/>
                <w:szCs w:val="20"/>
                <w:shd w:val="clear" w:color="auto" w:fill="FFFFFF"/>
              </w:rPr>
              <w:t xml:space="preserve"> </w:t>
            </w:r>
            <w:r w:rsidR="001E0483">
              <w:rPr>
                <w:rFonts w:ascii="Arial" w:hAnsi="Arial" w:eastAsia="Times New Roman" w:cs="Arial"/>
                <w:sz w:val="20"/>
                <w:szCs w:val="20"/>
                <w:shd w:val="clear" w:color="auto" w:fill="FFFFFF"/>
              </w:rPr>
              <w:t>list</w:t>
            </w:r>
            <w:r>
              <w:rPr>
                <w:rFonts w:ascii="Arial" w:hAnsi="Arial" w:eastAsia="Times New Roman" w:cs="Arial"/>
                <w:sz w:val="20"/>
                <w:szCs w:val="20"/>
                <w:shd w:val="clear" w:color="auto" w:fill="FFFFFF"/>
              </w:rPr>
              <w:t>, a set of eligibility c</w:t>
            </w:r>
            <w:r w:rsidR="001E0483">
              <w:rPr>
                <w:rFonts w:ascii="Arial" w:hAnsi="Arial" w:eastAsia="Times New Roman" w:cs="Arial"/>
                <w:sz w:val="20"/>
                <w:szCs w:val="20"/>
                <w:shd w:val="clear" w:color="auto" w:fill="FFFFFF"/>
              </w:rPr>
              <w:t>ri</w:t>
            </w:r>
            <w:r>
              <w:rPr>
                <w:rFonts w:ascii="Arial" w:hAnsi="Arial" w:eastAsia="Times New Roman" w:cs="Arial"/>
                <w:sz w:val="20"/>
                <w:szCs w:val="20"/>
                <w:shd w:val="clear" w:color="auto" w:fill="FFFFFF"/>
              </w:rPr>
              <w:t>t</w:t>
            </w:r>
            <w:r w:rsidR="001E0483">
              <w:rPr>
                <w:rFonts w:ascii="Arial" w:hAnsi="Arial" w:eastAsia="Times New Roman" w:cs="Arial"/>
                <w:sz w:val="20"/>
                <w:szCs w:val="20"/>
                <w:shd w:val="clear" w:color="auto" w:fill="FFFFFF"/>
              </w:rPr>
              <w:t>eria, the inclusion of specific clauses in the binding documents between the beneficiary and.</w:t>
            </w:r>
            <w:r>
              <w:rPr>
                <w:rFonts w:ascii="Arial" w:hAnsi="Arial" w:eastAsia="Times New Roman" w:cs="Arial"/>
                <w:sz w:val="20"/>
                <w:szCs w:val="20"/>
                <w:shd w:val="clear" w:color="auto" w:fill="FFFFFF"/>
              </w:rPr>
              <w:t xml:space="preserve"> </w:t>
            </w:r>
            <w:r w:rsidR="00CA1EE4">
              <w:rPr>
                <w:rFonts w:ascii="Arial" w:hAnsi="Arial" w:eastAsia="Times New Roman" w:cs="Arial"/>
                <w:sz w:val="20"/>
                <w:szCs w:val="20"/>
                <w:shd w:val="clear" w:color="auto" w:fill="FFFFFF"/>
              </w:rPr>
              <w:t xml:space="preserve">Those requirements – listed further down in this document – will be integrated in the </w:t>
            </w:r>
            <w:r w:rsidRPr="007B77F1" w:rsidR="007B77F1">
              <w:rPr>
                <w:rFonts w:ascii="Arial" w:hAnsi="Arial" w:eastAsia="Times New Roman" w:cs="Arial"/>
                <w:sz w:val="20"/>
                <w:szCs w:val="20"/>
                <w:shd w:val="clear" w:color="auto" w:fill="FFFFFF"/>
              </w:rPr>
              <w:t xml:space="preserve">Program </w:t>
            </w:r>
            <w:r w:rsidR="004711E3">
              <w:rPr>
                <w:rFonts w:ascii="Arial" w:hAnsi="Arial" w:eastAsia="Times New Roman" w:cs="Arial"/>
                <w:sz w:val="20"/>
                <w:szCs w:val="20"/>
                <w:shd w:val="clear" w:color="auto" w:fill="FFFFFF"/>
              </w:rPr>
              <w:t>OR</w:t>
            </w:r>
            <w:r w:rsidR="00CA1EE4">
              <w:rPr>
                <w:rFonts w:ascii="Arial" w:hAnsi="Arial" w:eastAsia="Times New Roman" w:cs="Arial"/>
                <w:sz w:val="20"/>
                <w:szCs w:val="20"/>
                <w:shd w:val="clear" w:color="auto" w:fill="FFFFFF"/>
              </w:rPr>
              <w:t xml:space="preserve">. </w:t>
            </w:r>
          </w:p>
          <w:p w:rsidR="001E0483" w:rsidP="00563325" w:rsidRDefault="001E0483" w14:paraId="787816E0"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 xml:space="preserve">Capacity building </w:t>
            </w:r>
            <w:r w:rsidR="00CA1EE4">
              <w:rPr>
                <w:rFonts w:ascii="Arial" w:hAnsi="Arial" w:eastAsia="Times New Roman" w:cs="Arial"/>
                <w:sz w:val="20"/>
                <w:szCs w:val="20"/>
                <w:shd w:val="clear" w:color="auto" w:fill="FFFFFF"/>
              </w:rPr>
              <w:t xml:space="preserve">will be provided to </w:t>
            </w:r>
            <w:r w:rsidR="009C3740">
              <w:rPr>
                <w:rFonts w:ascii="Arial" w:hAnsi="Arial" w:eastAsia="Times New Roman" w:cs="Arial"/>
                <w:sz w:val="20"/>
                <w:szCs w:val="20"/>
                <w:shd w:val="clear" w:color="auto" w:fill="FFFFFF"/>
              </w:rPr>
              <w:t>SBDC</w:t>
            </w:r>
            <w:r w:rsidR="00CA1EE4">
              <w:rPr>
                <w:rFonts w:ascii="Arial" w:hAnsi="Arial" w:eastAsia="Times New Roman" w:cs="Arial"/>
                <w:sz w:val="20"/>
                <w:szCs w:val="20"/>
                <w:shd w:val="clear" w:color="auto" w:fill="FFFFFF"/>
              </w:rPr>
              <w:t xml:space="preserve"> and Tier 1 FIs with resources from Component 1. See detail below.</w:t>
            </w:r>
          </w:p>
          <w:p w:rsidRPr="00EC694F" w:rsidR="00563325" w:rsidP="00943CC9" w:rsidRDefault="00563325" w14:paraId="321299EB" w14:textId="77777777">
            <w:pPr>
              <w:ind w:right="165"/>
              <w:jc w:val="both"/>
              <w:rPr>
                <w:rFonts w:ascii="Arial" w:hAnsi="Arial" w:eastAsia="Times New Roman" w:cs="Arial"/>
                <w:sz w:val="20"/>
                <w:szCs w:val="20"/>
                <w:shd w:val="clear" w:color="auto" w:fill="FFFFFF"/>
              </w:rPr>
            </w:pPr>
          </w:p>
          <w:p w:rsidRPr="00EC694F" w:rsidR="008374C7" w:rsidP="00943CC9" w:rsidRDefault="008374C7" w14:paraId="0EA7A0AB"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 xml:space="preserve">Biodiversity/Natural Habitat/Critical </w:t>
            </w:r>
            <w:r w:rsidRPr="00EC694F" w:rsidR="00C72A68">
              <w:rPr>
                <w:rFonts w:ascii="Arial" w:hAnsi="Arial" w:eastAsia="Times New Roman" w:cs="Arial"/>
                <w:b/>
                <w:sz w:val="20"/>
                <w:szCs w:val="20"/>
                <w:u w:val="single"/>
                <w:shd w:val="clear" w:color="auto" w:fill="FFFFFF"/>
              </w:rPr>
              <w:t>Natural</w:t>
            </w:r>
            <w:r w:rsidRPr="00EC694F">
              <w:rPr>
                <w:rFonts w:ascii="Arial" w:hAnsi="Arial" w:eastAsia="Times New Roman" w:cs="Arial"/>
                <w:b/>
                <w:sz w:val="20"/>
                <w:szCs w:val="20"/>
                <w:u w:val="single"/>
                <w:shd w:val="clear" w:color="auto" w:fill="FFFFFF"/>
              </w:rPr>
              <w:t xml:space="preserve"> Habitat</w:t>
            </w:r>
          </w:p>
          <w:p w:rsidRPr="00EC694F" w:rsidR="00907CAE" w:rsidP="00DA2BA7" w:rsidRDefault="00971D7D" w14:paraId="4FCB80DC"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 xml:space="preserve">Projects located in </w:t>
            </w:r>
            <w:r w:rsidR="0060308B">
              <w:rPr>
                <w:rFonts w:ascii="Arial" w:hAnsi="Arial" w:eastAsia="Times New Roman" w:cs="Arial"/>
                <w:sz w:val="20"/>
                <w:szCs w:val="20"/>
                <w:shd w:val="clear" w:color="auto" w:fill="FFFFFF"/>
              </w:rPr>
              <w:t xml:space="preserve">protected areas </w:t>
            </w:r>
            <w:r w:rsidRPr="00EC694F">
              <w:rPr>
                <w:rFonts w:ascii="Arial" w:hAnsi="Arial" w:eastAsia="Times New Roman" w:cs="Arial"/>
                <w:sz w:val="20"/>
                <w:szCs w:val="20"/>
                <w:shd w:val="clear" w:color="auto" w:fill="FFFFFF"/>
              </w:rPr>
              <w:t>will be excluded</w:t>
            </w:r>
            <w:r w:rsidRPr="00EC694F" w:rsidR="00907CAE">
              <w:rPr>
                <w:rFonts w:ascii="Arial" w:hAnsi="Arial" w:eastAsia="Times New Roman" w:cs="Arial"/>
                <w:sz w:val="20"/>
                <w:szCs w:val="20"/>
                <w:shd w:val="clear" w:color="auto" w:fill="FFFFFF"/>
              </w:rPr>
              <w:t>.</w:t>
            </w:r>
          </w:p>
          <w:p w:rsidRPr="00EC694F" w:rsidR="00C042B5" w:rsidP="00DA2BA7" w:rsidRDefault="00C042B5" w14:paraId="4D1B4F5D" w14:textId="77777777">
            <w:pPr>
              <w:ind w:right="165"/>
              <w:jc w:val="both"/>
              <w:rPr>
                <w:rFonts w:ascii="Arial" w:hAnsi="Arial" w:eastAsia="Times New Roman" w:cs="Arial"/>
                <w:b/>
                <w:sz w:val="20"/>
                <w:szCs w:val="20"/>
                <w:u w:val="single"/>
                <w:shd w:val="clear" w:color="auto" w:fill="FFFFFF"/>
              </w:rPr>
            </w:pPr>
          </w:p>
          <w:p w:rsidRPr="00EC694F" w:rsidR="00C72A68" w:rsidP="00DA2BA7" w:rsidRDefault="00C72A68" w14:paraId="2BC07BA7"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Cultural site</w:t>
            </w:r>
          </w:p>
          <w:p w:rsidRPr="00EC694F" w:rsidR="00C042B5" w:rsidP="00971D7D" w:rsidRDefault="00971D7D" w14:paraId="1254797B"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Projects located in Cultural Site or Critical Cultural Site will be excluded.</w:t>
            </w:r>
            <w:r w:rsidRPr="00EC694F" w:rsidR="00C042B5">
              <w:rPr>
                <w:rFonts w:ascii="Arial" w:hAnsi="Arial" w:eastAsia="Times New Roman" w:cs="Arial"/>
                <w:sz w:val="20"/>
                <w:szCs w:val="20"/>
                <w:shd w:val="clear" w:color="auto" w:fill="FFFFFF"/>
              </w:rPr>
              <w:t xml:space="preserve"> </w:t>
            </w:r>
          </w:p>
          <w:p w:rsidRPr="00EC694F" w:rsidR="00C042B5" w:rsidP="00DA2BA7" w:rsidRDefault="00C042B5" w14:paraId="4DC525EB" w14:textId="77777777">
            <w:pPr>
              <w:ind w:right="165"/>
              <w:jc w:val="both"/>
              <w:rPr>
                <w:rFonts w:ascii="Arial" w:hAnsi="Arial" w:eastAsia="Times New Roman" w:cs="Arial"/>
                <w:sz w:val="20"/>
                <w:szCs w:val="20"/>
                <w:shd w:val="clear" w:color="auto" w:fill="FFFFFF"/>
              </w:rPr>
            </w:pPr>
          </w:p>
          <w:p w:rsidRPr="00EC694F" w:rsidR="00C72A68" w:rsidP="00DA2BA7" w:rsidRDefault="00C72A68" w14:paraId="1F4C9817"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Pollution</w:t>
            </w:r>
          </w:p>
          <w:p w:rsidRPr="00EC694F" w:rsidR="0012275D" w:rsidP="0012275D" w:rsidRDefault="00971D7D" w14:paraId="58737D86"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lastRenderedPageBreak/>
              <w:t>T</w:t>
            </w:r>
            <w:r w:rsidRPr="00EC694F" w:rsidR="0012275D">
              <w:rPr>
                <w:rFonts w:ascii="Arial" w:hAnsi="Arial" w:eastAsia="Times New Roman" w:cs="Arial"/>
                <w:sz w:val="20"/>
                <w:szCs w:val="20"/>
                <w:shd w:val="clear" w:color="auto" w:fill="FFFFFF"/>
              </w:rPr>
              <w:t xml:space="preserve">he potential pollution impacts and/or risks that the </w:t>
            </w:r>
            <w:r w:rsidRPr="00EC694F">
              <w:rPr>
                <w:rFonts w:ascii="Arial" w:hAnsi="Arial" w:eastAsia="Times New Roman" w:cs="Arial"/>
                <w:sz w:val="20"/>
                <w:szCs w:val="20"/>
                <w:shd w:val="clear" w:color="auto" w:fill="FFFFFF"/>
              </w:rPr>
              <w:t xml:space="preserve">eligible </w:t>
            </w:r>
            <w:r w:rsidR="005E4DB9">
              <w:rPr>
                <w:rFonts w:ascii="Arial" w:hAnsi="Arial" w:eastAsia="Times New Roman" w:cs="Arial"/>
                <w:sz w:val="20"/>
                <w:szCs w:val="20"/>
                <w:shd w:val="clear" w:color="auto" w:fill="FFFFFF"/>
              </w:rPr>
              <w:t xml:space="preserve">sub-loans </w:t>
            </w:r>
            <w:r w:rsidRPr="00EC694F">
              <w:rPr>
                <w:rFonts w:ascii="Arial" w:hAnsi="Arial" w:eastAsia="Times New Roman" w:cs="Arial"/>
                <w:sz w:val="20"/>
                <w:szCs w:val="20"/>
                <w:shd w:val="clear" w:color="auto" w:fill="FFFFFF"/>
              </w:rPr>
              <w:t>could</w:t>
            </w:r>
            <w:r w:rsidRPr="00EC694F" w:rsidR="0012275D">
              <w:rPr>
                <w:rFonts w:ascii="Arial" w:hAnsi="Arial" w:eastAsia="Times New Roman" w:cs="Arial"/>
                <w:sz w:val="20"/>
                <w:szCs w:val="20"/>
                <w:shd w:val="clear" w:color="auto" w:fill="FFFFFF"/>
              </w:rPr>
              <w:t xml:space="preserve"> generate</w:t>
            </w:r>
            <w:r w:rsidRPr="00EC694F">
              <w:rPr>
                <w:rFonts w:ascii="Arial" w:hAnsi="Arial" w:eastAsia="Times New Roman" w:cs="Arial"/>
                <w:sz w:val="20"/>
                <w:szCs w:val="20"/>
                <w:shd w:val="clear" w:color="auto" w:fill="FFFFFF"/>
              </w:rPr>
              <w:t xml:space="preserve"> are expected to be low</w:t>
            </w:r>
            <w:r w:rsidRPr="00EC694F" w:rsidR="0012275D">
              <w:rPr>
                <w:rFonts w:ascii="Arial" w:hAnsi="Arial" w:eastAsia="Times New Roman" w:cs="Arial"/>
                <w:sz w:val="20"/>
                <w:szCs w:val="20"/>
                <w:shd w:val="clear" w:color="auto" w:fill="FFFFFF"/>
              </w:rPr>
              <w:t>.</w:t>
            </w:r>
            <w:r w:rsidRPr="00EC694F">
              <w:rPr>
                <w:rFonts w:ascii="Arial" w:hAnsi="Arial" w:eastAsia="Times New Roman" w:cs="Arial"/>
                <w:sz w:val="20"/>
                <w:szCs w:val="20"/>
                <w:shd w:val="clear" w:color="auto" w:fill="FFFFFF"/>
              </w:rPr>
              <w:t xml:space="preserve"> The binding loan documents will include an affidavit from the borrower confirming that any solid, hazardous or water waste will be treated appropriately and according to the existing relevant regulations.  </w:t>
            </w:r>
            <w:r w:rsidRPr="00EC694F" w:rsidR="0012275D">
              <w:rPr>
                <w:rFonts w:ascii="Arial" w:hAnsi="Arial" w:eastAsia="Times New Roman" w:cs="Arial"/>
                <w:sz w:val="20"/>
                <w:szCs w:val="20"/>
                <w:shd w:val="clear" w:color="auto" w:fill="FFFFFF"/>
              </w:rPr>
              <w:t xml:space="preserve"> </w:t>
            </w:r>
          </w:p>
          <w:p w:rsidRPr="00EC694F" w:rsidR="0012275D" w:rsidP="00DA2BA7" w:rsidRDefault="0012275D" w14:paraId="61A36F58" w14:textId="77777777">
            <w:pPr>
              <w:ind w:right="165"/>
              <w:jc w:val="both"/>
              <w:rPr>
                <w:rFonts w:ascii="Arial" w:hAnsi="Arial" w:eastAsia="Times New Roman" w:cs="Arial"/>
                <w:sz w:val="20"/>
                <w:szCs w:val="20"/>
                <w:shd w:val="clear" w:color="auto" w:fill="FFFFFF"/>
              </w:rPr>
            </w:pPr>
          </w:p>
          <w:p w:rsidRPr="00EC694F" w:rsidR="00C72A68" w:rsidP="00DA2BA7" w:rsidRDefault="00C72A68" w14:paraId="55F371DD"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Indigenous Peoples</w:t>
            </w:r>
          </w:p>
          <w:p w:rsidRPr="00EC694F" w:rsidR="000643AB" w:rsidP="000643AB" w:rsidRDefault="00927C8B" w14:paraId="7763FE87"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NA</w:t>
            </w:r>
            <w:r w:rsidRPr="00EC694F" w:rsidR="007637EB">
              <w:rPr>
                <w:rFonts w:ascii="Arial" w:hAnsi="Arial" w:eastAsia="Times New Roman" w:cs="Arial"/>
                <w:sz w:val="20"/>
                <w:szCs w:val="20"/>
                <w:shd w:val="clear" w:color="auto" w:fill="FFFFFF"/>
              </w:rPr>
              <w:t xml:space="preserve">. </w:t>
            </w:r>
          </w:p>
          <w:p w:rsidRPr="00EC694F" w:rsidR="007637EB" w:rsidP="00DA2BA7" w:rsidRDefault="007637EB" w14:paraId="522879AD" w14:textId="77777777">
            <w:pPr>
              <w:ind w:right="165"/>
              <w:jc w:val="both"/>
              <w:rPr>
                <w:rFonts w:ascii="Arial" w:hAnsi="Arial" w:eastAsia="Times New Roman" w:cs="Arial"/>
                <w:sz w:val="20"/>
                <w:szCs w:val="20"/>
                <w:shd w:val="clear" w:color="auto" w:fill="FFFFFF"/>
              </w:rPr>
            </w:pPr>
          </w:p>
          <w:p w:rsidRPr="00EC694F" w:rsidR="00C72A68" w:rsidP="00DA2BA7" w:rsidRDefault="00C72A68" w14:paraId="75D0CCC4"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Involuntary Resettlement</w:t>
            </w:r>
          </w:p>
          <w:p w:rsidRPr="00EC694F" w:rsidR="00DC296B" w:rsidP="00DC296B" w:rsidRDefault="000643AB" w14:paraId="664C831F"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Projects involving involuntary resettlement will be excluded</w:t>
            </w:r>
            <w:r w:rsidRPr="00EC694F" w:rsidR="00DC296B">
              <w:rPr>
                <w:rFonts w:ascii="Arial" w:hAnsi="Arial" w:eastAsia="Times New Roman" w:cs="Arial"/>
                <w:sz w:val="20"/>
                <w:szCs w:val="20"/>
                <w:shd w:val="clear" w:color="auto" w:fill="FFFFFF"/>
              </w:rPr>
              <w:t>.</w:t>
            </w:r>
          </w:p>
          <w:p w:rsidRPr="00EC694F" w:rsidR="00DC296B" w:rsidP="00DC296B" w:rsidRDefault="00DC296B" w14:paraId="204F2949" w14:textId="77777777">
            <w:pPr>
              <w:ind w:right="165"/>
              <w:jc w:val="both"/>
              <w:rPr>
                <w:rFonts w:ascii="Arial" w:hAnsi="Arial" w:eastAsia="Times New Roman" w:cs="Arial"/>
                <w:sz w:val="20"/>
                <w:szCs w:val="20"/>
                <w:shd w:val="clear" w:color="auto" w:fill="FFFFFF"/>
              </w:rPr>
            </w:pPr>
          </w:p>
          <w:p w:rsidRPr="00EC694F" w:rsidR="00DC296B" w:rsidP="00DC296B" w:rsidRDefault="00C72A68" w14:paraId="17EF9403"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Livelihoods</w:t>
            </w:r>
            <w:r w:rsidRPr="00EC694F" w:rsidR="00B5080B">
              <w:rPr>
                <w:rFonts w:ascii="Arial" w:hAnsi="Arial" w:eastAsia="Times New Roman" w:cs="Arial"/>
                <w:b/>
                <w:sz w:val="20"/>
                <w:szCs w:val="20"/>
                <w:u w:val="single"/>
                <w:shd w:val="clear" w:color="auto" w:fill="FFFFFF"/>
              </w:rPr>
              <w:t xml:space="preserve"> (economic displacement)</w:t>
            </w:r>
          </w:p>
          <w:p w:rsidRPr="00EC694F" w:rsidR="000643AB" w:rsidP="000643AB" w:rsidRDefault="000643AB" w14:paraId="5D0DFD4C"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Projects involving economic displacement will be excluded.</w:t>
            </w:r>
          </w:p>
          <w:p w:rsidRPr="00EC694F" w:rsidR="00C72A68" w:rsidP="00DA2BA7" w:rsidRDefault="00C72A68" w14:paraId="7CBB2E03" w14:textId="77777777">
            <w:pPr>
              <w:ind w:right="165"/>
              <w:jc w:val="both"/>
              <w:rPr>
                <w:rFonts w:ascii="Arial" w:hAnsi="Arial" w:eastAsia="Times New Roman" w:cs="Arial"/>
                <w:sz w:val="20"/>
                <w:szCs w:val="20"/>
                <w:shd w:val="clear" w:color="auto" w:fill="FFFFFF"/>
              </w:rPr>
            </w:pPr>
          </w:p>
          <w:p w:rsidRPr="00EC694F" w:rsidR="00B5080B" w:rsidP="00B5080B" w:rsidRDefault="00B5080B" w14:paraId="33E12E63"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Vulnerable People</w:t>
            </w:r>
          </w:p>
          <w:p w:rsidRPr="00EC694F" w:rsidR="00B5080B" w:rsidP="00B5080B" w:rsidRDefault="000643AB" w14:paraId="60BD6B32"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sz w:val="20"/>
                <w:szCs w:val="20"/>
                <w:shd w:val="clear" w:color="auto" w:fill="FFFFFF"/>
              </w:rPr>
              <w:t>Projects involving potential negative impacts on vulnerable communities will be excluded</w:t>
            </w:r>
            <w:r w:rsidRPr="00EC694F" w:rsidR="00B5080B">
              <w:rPr>
                <w:rFonts w:ascii="Arial" w:hAnsi="Arial" w:eastAsia="Times New Roman" w:cs="Arial"/>
                <w:sz w:val="20"/>
                <w:szCs w:val="20"/>
                <w:shd w:val="clear" w:color="auto" w:fill="FFFFFF"/>
              </w:rPr>
              <w:t>.</w:t>
            </w:r>
          </w:p>
          <w:p w:rsidRPr="00EC694F" w:rsidR="00B5080B" w:rsidP="00B5080B" w:rsidRDefault="00B5080B" w14:paraId="5DC65832" w14:textId="77777777">
            <w:pPr>
              <w:ind w:right="165"/>
              <w:jc w:val="both"/>
              <w:rPr>
                <w:rFonts w:ascii="Arial" w:hAnsi="Arial" w:eastAsia="Times New Roman" w:cs="Arial"/>
                <w:sz w:val="20"/>
                <w:szCs w:val="20"/>
                <w:shd w:val="clear" w:color="auto" w:fill="FFFFFF"/>
              </w:rPr>
            </w:pPr>
          </w:p>
          <w:p w:rsidRPr="00EC694F" w:rsidR="00C72A68" w:rsidP="00DA2BA7" w:rsidRDefault="00C72A68" w14:paraId="1D3259BF" w14:textId="77777777">
            <w:pPr>
              <w:ind w:right="165"/>
              <w:jc w:val="both"/>
              <w:rPr>
                <w:rFonts w:ascii="Arial" w:hAnsi="Arial" w:eastAsia="Times New Roman" w:cs="Arial"/>
                <w:b/>
                <w:sz w:val="20"/>
                <w:szCs w:val="20"/>
                <w:u w:val="single"/>
                <w:shd w:val="clear" w:color="auto" w:fill="FFFFFF"/>
              </w:rPr>
            </w:pPr>
            <w:r w:rsidRPr="00EC694F">
              <w:rPr>
                <w:rFonts w:ascii="Arial" w:hAnsi="Arial" w:eastAsia="Times New Roman" w:cs="Arial"/>
                <w:b/>
                <w:sz w:val="20"/>
                <w:szCs w:val="20"/>
                <w:u w:val="single"/>
                <w:shd w:val="clear" w:color="auto" w:fill="FFFFFF"/>
              </w:rPr>
              <w:t>Gender</w:t>
            </w:r>
          </w:p>
          <w:p w:rsidRPr="00EC694F" w:rsidR="00575C55" w:rsidP="007637EB" w:rsidRDefault="009C3740" w14:paraId="2FA9B739" w14:textId="77777777">
            <w:pPr>
              <w:ind w:right="165"/>
              <w:jc w:val="both"/>
              <w:rPr>
                <w:rFonts w:ascii="Arial" w:hAnsi="Arial" w:eastAsia="Times New Roman" w:cs="Arial"/>
                <w:sz w:val="20"/>
                <w:szCs w:val="20"/>
                <w:shd w:val="clear" w:color="auto" w:fill="FFFFFF"/>
              </w:rPr>
            </w:pPr>
            <w:r>
              <w:rPr>
                <w:rFonts w:ascii="Arial" w:hAnsi="Arial" w:eastAsia="Times New Roman" w:cs="Arial"/>
                <w:sz w:val="20"/>
                <w:szCs w:val="20"/>
                <w:shd w:val="clear" w:color="auto" w:fill="FFFFFF"/>
              </w:rPr>
              <w:t>It is not anticipated that t</w:t>
            </w:r>
            <w:r w:rsidR="00563325">
              <w:rPr>
                <w:rFonts w:ascii="Arial" w:hAnsi="Arial" w:eastAsia="Times New Roman" w:cs="Arial"/>
                <w:sz w:val="20"/>
                <w:szCs w:val="20"/>
                <w:shd w:val="clear" w:color="auto" w:fill="FFFFFF"/>
              </w:rPr>
              <w:t xml:space="preserve">he eligible projects </w:t>
            </w:r>
            <w:r w:rsidR="00883BCA">
              <w:rPr>
                <w:rFonts w:ascii="Arial" w:hAnsi="Arial" w:eastAsia="Times New Roman" w:cs="Arial"/>
                <w:sz w:val="20"/>
                <w:szCs w:val="20"/>
                <w:shd w:val="clear" w:color="auto" w:fill="FFFFFF"/>
              </w:rPr>
              <w:t xml:space="preserve">generate any gender inequality. </w:t>
            </w:r>
            <w:r w:rsidRPr="009C3740">
              <w:rPr>
                <w:rFonts w:ascii="Arial" w:hAnsi="Arial" w:eastAsia="Times New Roman" w:cs="Arial"/>
                <w:sz w:val="20"/>
                <w:szCs w:val="20"/>
                <w:shd w:val="clear" w:color="auto" w:fill="FFFFFF"/>
              </w:rPr>
              <w:t xml:space="preserve">The program is expected to address gender issues by tracking women-led MSME, in order to develop data on this type of financing and existing gaps, with a medium-term view to support further decisions and develop specific strategies. </w:t>
            </w:r>
            <w:r>
              <w:rPr>
                <w:rFonts w:ascii="Arial" w:hAnsi="Arial" w:eastAsia="Times New Roman" w:cs="Arial"/>
                <w:sz w:val="20"/>
                <w:szCs w:val="20"/>
                <w:shd w:val="clear" w:color="auto" w:fill="FFFFFF"/>
              </w:rPr>
              <w:t>F</w:t>
            </w:r>
            <w:r w:rsidRPr="009C3740">
              <w:rPr>
                <w:rFonts w:ascii="Arial" w:hAnsi="Arial" w:eastAsia="Times New Roman" w:cs="Arial"/>
                <w:sz w:val="20"/>
                <w:szCs w:val="20"/>
                <w:shd w:val="clear" w:color="auto" w:fill="FFFFFF"/>
              </w:rPr>
              <w:t>urther analysis is required to better understand the Bahamian context. A recent study indicates that Bahamas has one of the lowest ratios of female-owned businesses in the Caribbean, with less than 20%. This study reflects that although access to finance appears to be the biggest obstacle to women-led firms in the Caribbean, there is no specific data on a gender gap in Bahamas</w:t>
            </w:r>
            <w:r>
              <w:rPr>
                <w:rFonts w:ascii="Arial" w:hAnsi="Arial" w:eastAsia="Times New Roman" w:cs="Arial"/>
                <w:sz w:val="20"/>
                <w:szCs w:val="20"/>
                <w:shd w:val="clear" w:color="auto" w:fill="FFFFFF"/>
              </w:rPr>
              <w:t>.</w:t>
            </w:r>
            <w:r w:rsidRPr="009C3740">
              <w:rPr>
                <w:rFonts w:ascii="Arial" w:hAnsi="Arial" w:eastAsia="Times New Roman" w:cs="Arial"/>
                <w:sz w:val="20"/>
                <w:szCs w:val="20"/>
                <w:shd w:val="clear" w:color="auto" w:fill="FFFFFF"/>
              </w:rPr>
              <w:t xml:space="preserve"> Another study of three Caribbean concludes that there no gender gap in access to credit by businesses, but there is the need to deepen the analysis of the effect of gender in firms’ decision-making processes. Additionally, there may be a positive impact on the labor force since the investment projects is focused on MSME development.</w:t>
            </w:r>
            <w:r w:rsidR="00883BCA">
              <w:rPr>
                <w:rFonts w:ascii="Arial" w:hAnsi="Arial" w:eastAsia="Times New Roman" w:cs="Arial"/>
                <w:sz w:val="20"/>
                <w:szCs w:val="20"/>
                <w:shd w:val="clear" w:color="auto" w:fill="FFFFFF"/>
              </w:rPr>
              <w:t xml:space="preserve"> </w:t>
            </w:r>
          </w:p>
          <w:p w:rsidRPr="00EC694F" w:rsidR="00575C55" w:rsidP="00DA2BA7" w:rsidRDefault="00575C55" w14:paraId="1CE6E073" w14:textId="77777777">
            <w:pPr>
              <w:ind w:right="165"/>
              <w:jc w:val="both"/>
              <w:rPr>
                <w:rFonts w:ascii="Arial" w:hAnsi="Arial" w:eastAsia="Times New Roman" w:cs="Arial"/>
                <w:sz w:val="20"/>
                <w:szCs w:val="20"/>
                <w:shd w:val="clear" w:color="auto" w:fill="FFFFFF"/>
              </w:rPr>
            </w:pPr>
          </w:p>
          <w:p w:rsidRPr="00EC694F" w:rsidR="002E3A02" w:rsidP="00C74332" w:rsidRDefault="002E3A02" w14:paraId="603D4DFA" w14:textId="77777777">
            <w:pPr>
              <w:ind w:right="165"/>
              <w:jc w:val="both"/>
              <w:rPr>
                <w:rFonts w:ascii="Arial" w:hAnsi="Arial" w:eastAsia="Times New Roman" w:cs="Arial"/>
                <w:sz w:val="20"/>
                <w:szCs w:val="20"/>
                <w:shd w:val="clear" w:color="auto" w:fill="FFFFFF"/>
                <w:lang w:val="it-IT"/>
              </w:rPr>
            </w:pPr>
          </w:p>
        </w:tc>
      </w:tr>
      <w:tr w:rsidRPr="00EC694F" w:rsidR="00D632E9" w:rsidDel="00A11ACD" w:rsidTr="105536DE" w14:paraId="43CC3C6C"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6D9F1" w:themeFill="text2" w:themeFillTint="33"/>
            <w:tcMar>
              <w:top w:w="15" w:type="dxa"/>
              <w:left w:w="105" w:type="dxa"/>
              <w:bottom w:w="15" w:type="dxa"/>
              <w:right w:w="105" w:type="dxa"/>
            </w:tcMar>
          </w:tcPr>
          <w:p w:rsidRPr="00EC694F" w:rsidR="00B505FD" w:rsidRDefault="000A20D3" w14:paraId="3D4CBBC5" w14:textId="77777777">
            <w:pPr>
              <w:ind w:right="165"/>
              <w:jc w:val="both"/>
              <w:rPr>
                <w:rFonts w:ascii="Arial" w:hAnsi="Arial" w:eastAsia="Times New Roman" w:cs="Arial"/>
                <w:sz w:val="20"/>
                <w:szCs w:val="20"/>
                <w:shd w:val="clear" w:color="auto" w:fill="FFFFFF"/>
              </w:rPr>
            </w:pPr>
            <w:r w:rsidRPr="00EC694F">
              <w:rPr>
                <w:rFonts w:ascii="Arial" w:hAnsi="Arial" w:eastAsia="Times New Roman" w:cs="Arial"/>
                <w:b/>
                <w:sz w:val="20"/>
                <w:szCs w:val="20"/>
              </w:rPr>
              <w:lastRenderedPageBreak/>
              <w:t>Supervision</w:t>
            </w:r>
            <w:r w:rsidRPr="00EC694F" w:rsidR="00C92B2A">
              <w:rPr>
                <w:rFonts w:ascii="Arial" w:hAnsi="Arial" w:eastAsia="Times New Roman" w:cs="Arial"/>
                <w:b/>
                <w:sz w:val="20"/>
                <w:szCs w:val="20"/>
              </w:rPr>
              <w:t xml:space="preserve"> and Execution</w:t>
            </w:r>
          </w:p>
        </w:tc>
      </w:tr>
      <w:tr w:rsidRPr="00EC694F" w:rsidR="00D632E9" w:rsidDel="00A11ACD" w:rsidTr="105536DE" w14:paraId="37E2410C"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F130D4" w:rsidR="008374C7" w:rsidP="008374C7" w:rsidRDefault="00CA1EE4" w14:paraId="0D36DC7F" w14:textId="77777777">
            <w:pPr>
              <w:ind w:right="165"/>
              <w:jc w:val="both"/>
              <w:rPr>
                <w:rFonts w:ascii="Arial" w:hAnsi="Arial" w:eastAsia="Times New Roman" w:cs="Arial"/>
                <w:sz w:val="20"/>
                <w:szCs w:val="20"/>
                <w:shd w:val="clear" w:color="auto" w:fill="FFFFFF"/>
              </w:rPr>
            </w:pPr>
            <w:r w:rsidRPr="00F130D4">
              <w:rPr>
                <w:rFonts w:ascii="Arial" w:hAnsi="Arial" w:eastAsia="Times New Roman" w:cs="Arial"/>
                <w:sz w:val="20"/>
                <w:szCs w:val="20"/>
                <w:shd w:val="clear" w:color="auto" w:fill="FFFFFF"/>
              </w:rPr>
              <w:t xml:space="preserve">The EA will provide an annual report </w:t>
            </w:r>
            <w:r w:rsidRPr="00F130D4" w:rsidR="00F130D4">
              <w:rPr>
                <w:rFonts w:ascii="Arial" w:hAnsi="Arial" w:eastAsia="Times New Roman" w:cs="Arial"/>
                <w:sz w:val="20"/>
                <w:szCs w:val="20"/>
                <w:shd w:val="clear" w:color="auto" w:fill="FFFFFF"/>
              </w:rPr>
              <w:t xml:space="preserve">on the implementation of the E&amp;S requirement set in the </w:t>
            </w:r>
            <w:r w:rsidR="009C3740">
              <w:rPr>
                <w:rFonts w:ascii="Arial" w:hAnsi="Arial" w:eastAsia="Times New Roman" w:cs="Arial"/>
                <w:sz w:val="20"/>
                <w:szCs w:val="20"/>
                <w:shd w:val="clear" w:color="auto" w:fill="FFFFFF"/>
              </w:rPr>
              <w:t>OR</w:t>
            </w:r>
            <w:r w:rsidRPr="00F130D4" w:rsidR="00F130D4">
              <w:rPr>
                <w:rFonts w:ascii="Arial" w:hAnsi="Arial" w:eastAsia="Times New Roman" w:cs="Arial"/>
                <w:sz w:val="20"/>
                <w:szCs w:val="20"/>
                <w:shd w:val="clear" w:color="auto" w:fill="FFFFFF"/>
              </w:rPr>
              <w:t xml:space="preserve">. </w:t>
            </w:r>
          </w:p>
          <w:p w:rsidRPr="00F130D4" w:rsidR="00F130D4" w:rsidP="008374C7" w:rsidRDefault="00F130D4" w14:paraId="0CB59EC6" w14:textId="77777777">
            <w:pPr>
              <w:ind w:right="165"/>
              <w:jc w:val="both"/>
              <w:rPr>
                <w:rFonts w:ascii="Arial" w:hAnsi="Arial" w:eastAsia="Times New Roman" w:cs="Arial"/>
                <w:sz w:val="20"/>
                <w:szCs w:val="20"/>
                <w:shd w:val="clear" w:color="auto" w:fill="FFFFFF"/>
              </w:rPr>
            </w:pPr>
            <w:r w:rsidRPr="00F130D4">
              <w:rPr>
                <w:rFonts w:ascii="Arial" w:hAnsi="Arial" w:eastAsia="Times New Roman" w:cs="Arial"/>
                <w:sz w:val="20"/>
                <w:szCs w:val="20"/>
                <w:shd w:val="clear" w:color="auto" w:fill="FFFFFF"/>
              </w:rPr>
              <w:t xml:space="preserve">The EA will designate </w:t>
            </w:r>
            <w:r>
              <w:rPr>
                <w:rFonts w:ascii="Arial" w:hAnsi="Arial" w:eastAsia="Times New Roman" w:cs="Arial"/>
                <w:sz w:val="20"/>
                <w:szCs w:val="20"/>
                <w:shd w:val="clear" w:color="auto" w:fill="FFFFFF"/>
              </w:rPr>
              <w:t xml:space="preserve">and maintain </w:t>
            </w:r>
            <w:r w:rsidRPr="00F130D4">
              <w:rPr>
                <w:rFonts w:ascii="Arial" w:hAnsi="Arial" w:eastAsia="Times New Roman" w:cs="Arial"/>
                <w:sz w:val="20"/>
                <w:szCs w:val="20"/>
                <w:shd w:val="clear" w:color="auto" w:fill="FFFFFF"/>
              </w:rPr>
              <w:t xml:space="preserve">an E&amp;S focal point for the </w:t>
            </w:r>
            <w:r w:rsidR="003575D4">
              <w:rPr>
                <w:rFonts w:ascii="Arial" w:hAnsi="Arial" w:eastAsia="Times New Roman" w:cs="Arial"/>
                <w:sz w:val="20"/>
                <w:szCs w:val="20"/>
                <w:shd w:val="clear" w:color="auto" w:fill="FFFFFF"/>
              </w:rPr>
              <w:t>P</w:t>
            </w:r>
            <w:r w:rsidRPr="00F130D4">
              <w:rPr>
                <w:rFonts w:ascii="Arial" w:hAnsi="Arial" w:eastAsia="Times New Roman" w:cs="Arial"/>
                <w:sz w:val="20"/>
                <w:szCs w:val="20"/>
                <w:shd w:val="clear" w:color="auto" w:fill="FFFFFF"/>
              </w:rPr>
              <w:t>rogram. The assigned staff will receive capacitation (UNEP FI or IDB on-line course) financed with Component 1 resources.</w:t>
            </w:r>
          </w:p>
          <w:p w:rsidRPr="00EC694F" w:rsidR="00F130D4" w:rsidDel="00A11ACD" w:rsidP="008374C7" w:rsidRDefault="00F130D4" w14:paraId="2E98D2F8" w14:textId="77777777">
            <w:pPr>
              <w:ind w:right="165"/>
              <w:jc w:val="both"/>
              <w:rPr>
                <w:rFonts w:ascii="Arial" w:hAnsi="Arial" w:eastAsia="Times New Roman" w:cs="Arial"/>
                <w:i/>
                <w:sz w:val="20"/>
                <w:szCs w:val="20"/>
                <w:shd w:val="clear" w:color="auto" w:fill="FFFFFF"/>
              </w:rPr>
            </w:pPr>
            <w:r w:rsidRPr="00F130D4">
              <w:rPr>
                <w:rFonts w:ascii="Arial" w:hAnsi="Arial" w:eastAsia="Times New Roman" w:cs="Arial"/>
                <w:sz w:val="20"/>
                <w:szCs w:val="20"/>
                <w:shd w:val="clear" w:color="auto" w:fill="FFFFFF"/>
              </w:rPr>
              <w:t xml:space="preserve">The </w:t>
            </w:r>
            <w:r>
              <w:rPr>
                <w:rFonts w:ascii="Arial" w:hAnsi="Arial" w:eastAsia="Times New Roman" w:cs="Arial"/>
                <w:sz w:val="20"/>
                <w:szCs w:val="20"/>
                <w:shd w:val="clear" w:color="auto" w:fill="FFFFFF"/>
              </w:rPr>
              <w:t xml:space="preserve">requirements set in the </w:t>
            </w:r>
            <w:r w:rsidRPr="00F130D4">
              <w:rPr>
                <w:rFonts w:ascii="Arial" w:hAnsi="Arial" w:eastAsia="Times New Roman" w:cs="Arial"/>
                <w:sz w:val="20"/>
                <w:szCs w:val="20"/>
                <w:shd w:val="clear" w:color="auto" w:fill="FFFFFF"/>
              </w:rPr>
              <w:t xml:space="preserve">E&amp;S </w:t>
            </w:r>
            <w:r>
              <w:rPr>
                <w:rFonts w:ascii="Arial" w:hAnsi="Arial" w:eastAsia="Times New Roman" w:cs="Arial"/>
                <w:sz w:val="20"/>
                <w:szCs w:val="20"/>
                <w:shd w:val="clear" w:color="auto" w:fill="FFFFFF"/>
              </w:rPr>
              <w:t xml:space="preserve">section </w:t>
            </w:r>
            <w:r w:rsidRPr="00F130D4">
              <w:rPr>
                <w:rFonts w:ascii="Arial" w:hAnsi="Arial" w:eastAsia="Times New Roman" w:cs="Arial"/>
                <w:sz w:val="20"/>
                <w:szCs w:val="20"/>
                <w:shd w:val="clear" w:color="auto" w:fill="FFFFFF"/>
              </w:rPr>
              <w:t xml:space="preserve">of the </w:t>
            </w:r>
            <w:r w:rsidR="009C3740">
              <w:rPr>
                <w:rFonts w:ascii="Arial" w:hAnsi="Arial" w:eastAsia="Times New Roman" w:cs="Arial"/>
                <w:sz w:val="20"/>
                <w:szCs w:val="20"/>
                <w:shd w:val="clear" w:color="auto" w:fill="FFFFFF"/>
              </w:rPr>
              <w:t>OR</w:t>
            </w:r>
            <w:r w:rsidRPr="00F130D4">
              <w:rPr>
                <w:rFonts w:ascii="Arial" w:hAnsi="Arial" w:eastAsia="Times New Roman" w:cs="Arial"/>
                <w:sz w:val="20"/>
                <w:szCs w:val="20"/>
                <w:shd w:val="clear" w:color="auto" w:fill="FFFFFF"/>
              </w:rPr>
              <w:t xml:space="preserve"> will be presented to </w:t>
            </w:r>
            <w:r w:rsidR="009C3740">
              <w:rPr>
                <w:rFonts w:ascii="Arial" w:hAnsi="Arial" w:eastAsia="Times New Roman" w:cs="Arial"/>
                <w:sz w:val="20"/>
                <w:szCs w:val="20"/>
                <w:shd w:val="clear" w:color="auto" w:fill="FFFFFF"/>
              </w:rPr>
              <w:t>SBDC</w:t>
            </w:r>
            <w:r w:rsidRPr="00F130D4">
              <w:rPr>
                <w:rFonts w:ascii="Arial" w:hAnsi="Arial" w:eastAsia="Times New Roman" w:cs="Arial"/>
                <w:sz w:val="20"/>
                <w:szCs w:val="20"/>
                <w:shd w:val="clear" w:color="auto" w:fill="FFFFFF"/>
              </w:rPr>
              <w:t xml:space="preserve"> staff and to participating FIs in a workshop session.</w:t>
            </w:r>
            <w:r>
              <w:rPr>
                <w:rFonts w:ascii="Arial" w:hAnsi="Arial" w:eastAsia="Times New Roman" w:cs="Arial"/>
                <w:i/>
                <w:sz w:val="20"/>
                <w:szCs w:val="20"/>
                <w:shd w:val="clear" w:color="auto" w:fill="FFFFFF"/>
              </w:rPr>
              <w:t xml:space="preserve"> </w:t>
            </w:r>
          </w:p>
        </w:tc>
      </w:tr>
      <w:tr w:rsidRPr="00EC694F" w:rsidR="00B3466C" w:rsidTr="105536DE" w14:paraId="030F0B56" w14:textId="77777777">
        <w:trPr>
          <w:trHeight w:val="402"/>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B3466C" w:rsidP="008969CF" w:rsidRDefault="00BB311B" w14:paraId="7DE631BD" w14:textId="77777777">
            <w:pPr>
              <w:pStyle w:val="ListParagraph"/>
              <w:numPr>
                <w:ilvl w:val="0"/>
                <w:numId w:val="2"/>
              </w:numPr>
              <w:rPr>
                <w:rFonts w:ascii="Arial" w:hAnsi="Arial" w:eastAsia="Times New Roman" w:cs="Arial"/>
                <w:b/>
                <w:bCs/>
                <w:sz w:val="20"/>
                <w:szCs w:val="20"/>
              </w:rPr>
            </w:pPr>
            <w:r w:rsidRPr="00EC694F">
              <w:rPr>
                <w:rFonts w:ascii="Arial" w:hAnsi="Arial" w:eastAsia="Times New Roman" w:cs="Arial"/>
                <w:b/>
                <w:bCs/>
                <w:sz w:val="20"/>
                <w:szCs w:val="20"/>
              </w:rPr>
              <w:t xml:space="preserve">Environmental and Social </w:t>
            </w:r>
            <w:r w:rsidRPr="00EC694F" w:rsidR="00B3466C">
              <w:rPr>
                <w:rFonts w:ascii="Arial" w:hAnsi="Arial" w:eastAsia="Times New Roman" w:cs="Arial"/>
                <w:b/>
                <w:bCs/>
                <w:sz w:val="20"/>
                <w:szCs w:val="20"/>
              </w:rPr>
              <w:t>Requirements</w:t>
            </w:r>
          </w:p>
        </w:tc>
      </w:tr>
      <w:tr w:rsidRPr="007F4412" w:rsidR="00B3466C" w:rsidTr="105536DE" w14:paraId="2A872A89" w14:textId="77777777">
        <w:trPr>
          <w:trHeight w:val="236"/>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hideMark/>
          </w:tcPr>
          <w:p w:rsidRPr="007F4412" w:rsidR="00BB311B" w:rsidP="00BB311B" w:rsidRDefault="00BB311B" w14:paraId="73329677" w14:textId="77777777">
            <w:pPr>
              <w:tabs>
                <w:tab w:val="num" w:pos="720"/>
              </w:tabs>
              <w:ind w:right="165"/>
              <w:rPr>
                <w:rFonts w:ascii="Arial" w:hAnsi="Arial" w:eastAsia="Times New Roman" w:cs="Arial"/>
                <w:color w:val="000000" w:themeColor="text1"/>
                <w:sz w:val="20"/>
                <w:szCs w:val="20"/>
                <w:shd w:val="clear" w:color="auto" w:fill="FFFFFF"/>
              </w:rPr>
            </w:pPr>
          </w:p>
          <w:p w:rsidRPr="007F4412" w:rsidR="003575D4" w:rsidP="00BB311B" w:rsidRDefault="003575D4" w14:paraId="76C34439" w14:textId="77777777">
            <w:pPr>
              <w:tabs>
                <w:tab w:val="num" w:pos="720"/>
              </w:tabs>
              <w:ind w:right="165"/>
              <w:rPr>
                <w:rFonts w:ascii="Arial" w:hAnsi="Arial" w:eastAsia="Times New Roman" w:cs="Arial"/>
                <w:color w:val="000000" w:themeColor="text1"/>
                <w:sz w:val="20"/>
                <w:szCs w:val="20"/>
                <w:shd w:val="clear" w:color="auto" w:fill="FFFFFF"/>
              </w:rPr>
            </w:pPr>
            <w:r w:rsidRPr="007F4412">
              <w:rPr>
                <w:rFonts w:ascii="Arial" w:hAnsi="Arial" w:eastAsia="Times New Roman" w:cs="Arial"/>
                <w:color w:val="000000" w:themeColor="text1"/>
                <w:sz w:val="20"/>
                <w:szCs w:val="20"/>
                <w:shd w:val="clear" w:color="auto" w:fill="FFFFFF"/>
              </w:rPr>
              <w:t xml:space="preserve">For this Program, the Bank will require </w:t>
            </w:r>
            <w:r w:rsidR="009C3740">
              <w:rPr>
                <w:rFonts w:ascii="Arial" w:hAnsi="Arial" w:eastAsia="Times New Roman" w:cs="Arial"/>
                <w:color w:val="000000" w:themeColor="text1"/>
                <w:sz w:val="20"/>
                <w:szCs w:val="20"/>
                <w:shd w:val="clear" w:color="auto" w:fill="FFFFFF"/>
              </w:rPr>
              <w:t>SBDC</w:t>
            </w:r>
            <w:r w:rsidRPr="007F4412">
              <w:rPr>
                <w:rFonts w:ascii="Arial" w:hAnsi="Arial" w:eastAsia="Times New Roman" w:cs="Arial"/>
                <w:color w:val="000000" w:themeColor="text1"/>
                <w:sz w:val="20"/>
                <w:szCs w:val="20"/>
                <w:shd w:val="clear" w:color="auto" w:fill="FFFFFF"/>
              </w:rPr>
              <w:t xml:space="preserve"> to:</w:t>
            </w:r>
          </w:p>
          <w:p w:rsidRPr="007F4412" w:rsidR="003575D4" w:rsidP="008969CF" w:rsidRDefault="003575D4" w14:paraId="3C1D2C54" w14:textId="77777777">
            <w:pPr>
              <w:pStyle w:val="ListParagraph"/>
              <w:numPr>
                <w:ilvl w:val="0"/>
                <w:numId w:val="3"/>
              </w:numPr>
              <w:tabs>
                <w:tab w:val="num" w:pos="720"/>
              </w:tabs>
              <w:ind w:right="165"/>
              <w:rPr>
                <w:rFonts w:ascii="Arial" w:hAnsi="Arial" w:eastAsia="Times New Roman" w:cs="Arial"/>
                <w:color w:val="000000" w:themeColor="text1"/>
                <w:sz w:val="20"/>
                <w:szCs w:val="20"/>
                <w:shd w:val="clear" w:color="auto" w:fill="FFFFFF"/>
              </w:rPr>
            </w:pPr>
            <w:r w:rsidRPr="007F4412">
              <w:rPr>
                <w:rFonts w:ascii="Arial" w:hAnsi="Arial" w:eastAsia="Times New Roman" w:cs="Arial"/>
                <w:color w:val="000000" w:themeColor="text1"/>
                <w:sz w:val="20"/>
                <w:szCs w:val="20"/>
                <w:shd w:val="clear" w:color="auto" w:fill="FFFFFF"/>
              </w:rPr>
              <w:t>Assign and maintain a focal point for the follow-up of the E&amp;S aspects of the program. Ensure that the assigned staff is trained through a program approved by the IDB. The training can be financed with resources form the program C</w:t>
            </w:r>
            <w:r w:rsidRPr="007F4412" w:rsidR="00406A07">
              <w:rPr>
                <w:rFonts w:ascii="Arial" w:hAnsi="Arial" w:eastAsia="Times New Roman" w:cs="Arial"/>
                <w:color w:val="000000" w:themeColor="text1"/>
                <w:sz w:val="20"/>
                <w:szCs w:val="20"/>
                <w:shd w:val="clear" w:color="auto" w:fill="FFFFFF"/>
              </w:rPr>
              <w:t>omponent 1.</w:t>
            </w:r>
          </w:p>
          <w:p w:rsidRPr="007F4412" w:rsidR="003575D4" w:rsidP="008969CF" w:rsidRDefault="003575D4" w14:paraId="463A6277" w14:textId="77777777">
            <w:pPr>
              <w:pStyle w:val="ListParagraph"/>
              <w:numPr>
                <w:ilvl w:val="0"/>
                <w:numId w:val="3"/>
              </w:numPr>
              <w:tabs>
                <w:tab w:val="num" w:pos="720"/>
              </w:tabs>
              <w:ind w:right="165"/>
              <w:rPr>
                <w:rFonts w:ascii="Arial" w:hAnsi="Arial" w:eastAsia="Times New Roman" w:cs="Arial"/>
                <w:color w:val="000000" w:themeColor="text1"/>
                <w:sz w:val="20"/>
                <w:szCs w:val="20"/>
                <w:shd w:val="clear" w:color="auto" w:fill="FFFFFF"/>
              </w:rPr>
            </w:pPr>
            <w:r w:rsidRPr="007F4412">
              <w:rPr>
                <w:rFonts w:ascii="Arial" w:hAnsi="Arial" w:eastAsia="Times New Roman" w:cs="Arial"/>
                <w:color w:val="000000" w:themeColor="text1"/>
                <w:sz w:val="20"/>
                <w:szCs w:val="20"/>
                <w:shd w:val="clear" w:color="auto" w:fill="FFFFFF"/>
              </w:rPr>
              <w:t xml:space="preserve">Comply with all applicable environmental, social, health and safety, and labor regulatory requirements of </w:t>
            </w:r>
            <w:r w:rsidR="009C3740">
              <w:rPr>
                <w:rFonts w:ascii="Arial" w:hAnsi="Arial" w:eastAsia="Times New Roman" w:cs="Arial"/>
                <w:color w:val="000000" w:themeColor="text1"/>
                <w:sz w:val="20"/>
                <w:szCs w:val="20"/>
                <w:shd w:val="clear" w:color="auto" w:fill="FFFFFF"/>
              </w:rPr>
              <w:t>the Bahamas</w:t>
            </w:r>
            <w:r w:rsidRPr="007F4412">
              <w:rPr>
                <w:rFonts w:ascii="Arial" w:hAnsi="Arial" w:eastAsia="Times New Roman" w:cs="Arial"/>
                <w:color w:val="000000" w:themeColor="text1"/>
                <w:sz w:val="20"/>
                <w:szCs w:val="20"/>
                <w:shd w:val="clear" w:color="auto" w:fill="FFFFFF"/>
              </w:rPr>
              <w:t>.</w:t>
            </w:r>
          </w:p>
          <w:p w:rsidRPr="007F4412" w:rsidR="003575D4" w:rsidP="008969CF" w:rsidRDefault="003575D4" w14:paraId="48E041CD" w14:textId="77777777">
            <w:pPr>
              <w:pStyle w:val="ListParagraph"/>
              <w:numPr>
                <w:ilvl w:val="0"/>
                <w:numId w:val="3"/>
              </w:numPr>
              <w:tabs>
                <w:tab w:val="num" w:pos="720"/>
              </w:tabs>
              <w:ind w:right="165"/>
              <w:rPr>
                <w:rFonts w:ascii="Arial" w:hAnsi="Arial" w:eastAsia="Times New Roman" w:cs="Arial"/>
                <w:color w:val="000000" w:themeColor="text1"/>
                <w:sz w:val="20"/>
                <w:szCs w:val="20"/>
                <w:shd w:val="clear" w:color="auto" w:fill="FFFFFF"/>
              </w:rPr>
            </w:pPr>
            <w:r w:rsidRPr="007F4412">
              <w:rPr>
                <w:rFonts w:ascii="Arial" w:hAnsi="Arial" w:eastAsia="Times New Roman" w:cs="Arial"/>
                <w:color w:val="000000" w:themeColor="text1"/>
                <w:sz w:val="20"/>
                <w:szCs w:val="20"/>
                <w:shd w:val="clear" w:color="auto" w:fill="FFFFFF"/>
              </w:rPr>
              <w:t xml:space="preserve">Confirm that the participating Financial Institutions and the </w:t>
            </w:r>
            <w:r w:rsidR="009C3740">
              <w:rPr>
                <w:rFonts w:ascii="Arial" w:hAnsi="Arial" w:eastAsia="Times New Roman" w:cs="Arial"/>
                <w:color w:val="000000" w:themeColor="text1"/>
                <w:sz w:val="20"/>
                <w:szCs w:val="20"/>
                <w:shd w:val="clear" w:color="auto" w:fill="FFFFFF"/>
              </w:rPr>
              <w:t>guaranteed</w:t>
            </w:r>
            <w:r w:rsidRPr="007F4412">
              <w:rPr>
                <w:rFonts w:ascii="Arial" w:hAnsi="Arial" w:eastAsia="Times New Roman" w:cs="Arial"/>
                <w:color w:val="000000" w:themeColor="text1"/>
                <w:sz w:val="20"/>
                <w:szCs w:val="20"/>
                <w:shd w:val="clear" w:color="auto" w:fill="FFFFFF"/>
              </w:rPr>
              <w:t xml:space="preserve"> </w:t>
            </w:r>
            <w:r w:rsidR="005E4DB9">
              <w:rPr>
                <w:rFonts w:ascii="Arial" w:hAnsi="Arial" w:eastAsia="Times New Roman" w:cs="Arial"/>
                <w:color w:val="000000" w:themeColor="text1"/>
                <w:sz w:val="20"/>
                <w:szCs w:val="20"/>
                <w:shd w:val="clear" w:color="auto" w:fill="FFFFFF"/>
              </w:rPr>
              <w:t xml:space="preserve">sub-loans </w:t>
            </w:r>
            <w:r w:rsidRPr="007F4412">
              <w:rPr>
                <w:rFonts w:ascii="Arial" w:hAnsi="Arial" w:eastAsia="Times New Roman" w:cs="Arial"/>
                <w:color w:val="000000" w:themeColor="text1"/>
                <w:sz w:val="20"/>
                <w:szCs w:val="20"/>
                <w:shd w:val="clear" w:color="auto" w:fill="FFFFFF"/>
              </w:rPr>
              <w:t xml:space="preserve">comply with all applicable environmental, social, health and safety, and labor regulatory requirements of </w:t>
            </w:r>
            <w:r w:rsidR="009C3740">
              <w:rPr>
                <w:rFonts w:ascii="Arial" w:hAnsi="Arial" w:eastAsia="Times New Roman" w:cs="Arial"/>
                <w:color w:val="000000" w:themeColor="text1"/>
                <w:sz w:val="20"/>
                <w:szCs w:val="20"/>
                <w:shd w:val="clear" w:color="auto" w:fill="FFFFFF"/>
              </w:rPr>
              <w:t>the Bahamas</w:t>
            </w:r>
            <w:r w:rsidRPr="007F4412">
              <w:rPr>
                <w:rFonts w:ascii="Arial" w:hAnsi="Arial" w:eastAsia="Times New Roman" w:cs="Arial"/>
                <w:color w:val="000000" w:themeColor="text1"/>
                <w:sz w:val="20"/>
                <w:szCs w:val="20"/>
                <w:shd w:val="clear" w:color="auto" w:fill="FFFFFF"/>
              </w:rPr>
              <w:t>. This will be achieved by either amending the existing Agreements with the participating FIs or by signing any other legally binding document deemed necessary.</w:t>
            </w:r>
          </w:p>
          <w:p w:rsidRPr="007F4412" w:rsidR="003575D4" w:rsidP="008969CF" w:rsidRDefault="003575D4" w14:paraId="5E4935C1" w14:textId="77777777">
            <w:pPr>
              <w:pStyle w:val="ListParagraph"/>
              <w:numPr>
                <w:ilvl w:val="0"/>
                <w:numId w:val="3"/>
              </w:numPr>
              <w:tabs>
                <w:tab w:val="num" w:pos="720"/>
              </w:tabs>
              <w:ind w:right="165"/>
              <w:rPr>
                <w:rFonts w:ascii="Arial" w:hAnsi="Arial" w:cs="Arial"/>
                <w:sz w:val="20"/>
                <w:szCs w:val="20"/>
              </w:rPr>
            </w:pPr>
            <w:r w:rsidRPr="007F4412">
              <w:rPr>
                <w:rFonts w:ascii="Arial" w:hAnsi="Arial" w:eastAsia="Times New Roman" w:cs="Arial"/>
                <w:color w:val="000000" w:themeColor="text1"/>
                <w:sz w:val="20"/>
                <w:szCs w:val="20"/>
                <w:shd w:val="clear" w:color="auto" w:fill="FFFFFF"/>
              </w:rPr>
              <w:t xml:space="preserve">Apply the IDB exclusions list (see Annex I). For the sake of clarity this list will exclude from </w:t>
            </w:r>
            <w:r w:rsidR="009C3740">
              <w:rPr>
                <w:rFonts w:ascii="Arial" w:hAnsi="Arial" w:eastAsia="Times New Roman" w:cs="Arial"/>
                <w:color w:val="000000" w:themeColor="text1"/>
                <w:sz w:val="20"/>
                <w:szCs w:val="20"/>
                <w:shd w:val="clear" w:color="auto" w:fill="FFFFFF"/>
              </w:rPr>
              <w:t>guaranteeing</w:t>
            </w:r>
            <w:r w:rsidRPr="007F4412">
              <w:rPr>
                <w:rFonts w:ascii="Arial" w:hAnsi="Arial" w:eastAsia="Times New Roman" w:cs="Arial"/>
                <w:color w:val="000000" w:themeColor="text1"/>
                <w:sz w:val="20"/>
                <w:szCs w:val="20"/>
                <w:shd w:val="clear" w:color="auto" w:fill="FFFFFF"/>
              </w:rPr>
              <w:t>:</w:t>
            </w:r>
          </w:p>
          <w:p w:rsidRPr="007F4412" w:rsidR="003575D4" w:rsidP="355036EB" w:rsidRDefault="005E4DB9" w14:paraId="39A0169D" w14:textId="77777777" w14:noSpellErr="1">
            <w:pPr>
              <w:pStyle w:val="ListParagraph"/>
              <w:numPr>
                <w:ilvl w:val="1"/>
                <w:numId w:val="3"/>
              </w:numPr>
              <w:ind w:right="165"/>
              <w:rPr>
                <w:rFonts w:ascii="Arial" w:hAnsi="Arial" w:cs="Arial"/>
                <w:sz w:val="20"/>
                <w:szCs w:val="20"/>
              </w:rPr>
            </w:pPr>
            <w:r w:rsidRPr="355036EB" w:rsidR="355036EB">
              <w:rPr>
                <w:rFonts w:ascii="Arial" w:hAnsi="Arial" w:cs="Arial"/>
                <w:sz w:val="20"/>
                <w:szCs w:val="20"/>
              </w:rPr>
              <w:t>sub-lo</w:t>
            </w:r>
            <w:r w:rsidRPr="355036EB" w:rsidR="355036EB">
              <w:rPr>
                <w:rFonts w:ascii="Arial" w:hAnsi="Arial" w:cs="Arial"/>
                <w:sz w:val="20"/>
                <w:szCs w:val="20"/>
              </w:rPr>
              <w:t xml:space="preserve">ans </w:t>
            </w:r>
            <w:r w:rsidRPr="355036EB" w:rsidR="355036EB">
              <w:rPr>
                <w:rFonts w:ascii="Arial" w:hAnsi="Arial" w:cs="Arial"/>
                <w:sz w:val="20"/>
                <w:szCs w:val="20"/>
              </w:rPr>
              <w:t>above</w:t>
            </w:r>
            <w:r w:rsidRPr="355036EB" w:rsidR="355036EB">
              <w:rPr>
                <w:rFonts w:ascii="Arial" w:hAnsi="Arial" w:cs="Arial"/>
                <w:sz w:val="20"/>
                <w:szCs w:val="20"/>
              </w:rPr>
              <w:t xml:space="preserve"> </w:t>
            </w:r>
            <w:r w:rsidRPr="355036EB" w:rsidR="355036EB">
              <w:rPr>
                <w:rFonts w:ascii="Arial" w:hAnsi="Arial" w:cs="Arial"/>
                <w:sz w:val="20"/>
                <w:szCs w:val="20"/>
              </w:rPr>
              <w:t>540,000</w:t>
            </w:r>
            <w:r w:rsidRPr="355036EB" w:rsidR="355036EB">
              <w:rPr>
                <w:rFonts w:ascii="Arial" w:hAnsi="Arial" w:cs="Arial"/>
                <w:sz w:val="20"/>
                <w:szCs w:val="20"/>
              </w:rPr>
              <w:t>US$</w:t>
            </w:r>
          </w:p>
          <w:p w:rsidRPr="007F4412" w:rsidR="00406A07" w:rsidP="253E5B67" w:rsidRDefault="005E4DB9" w14:paraId="4D905548" w14:textId="77777777" w14:noSpellErr="1">
            <w:pPr>
              <w:pStyle w:val="ListParagraph"/>
              <w:numPr>
                <w:ilvl w:val="1"/>
                <w:numId w:val="3"/>
              </w:numPr>
              <w:ind w:right="165"/>
              <w:rPr>
                <w:rFonts w:ascii="Arial" w:hAnsi="Arial" w:cs="Arial"/>
                <w:color w:val="000000" w:themeColor="text1" w:themeTint="FF" w:themeShade="FF"/>
                <w:sz w:val="20"/>
                <w:szCs w:val="20"/>
              </w:rPr>
            </w:pPr>
            <w:r w:rsidRPr="253E5B67" w:rsidR="253E5B67">
              <w:rPr>
                <w:rFonts w:ascii="Arial" w:hAnsi="Arial" w:cs="Arial"/>
                <w:sz w:val="20"/>
                <w:szCs w:val="20"/>
              </w:rPr>
              <w:t>sub-lo</w:t>
            </w:r>
            <w:r w:rsidRPr="253E5B67" w:rsidR="253E5B67">
              <w:rPr>
                <w:rFonts w:ascii="Arial" w:hAnsi="Arial" w:cs="Arial"/>
                <w:color w:val="auto"/>
                <w:sz w:val="20"/>
                <w:szCs w:val="20"/>
              </w:rPr>
              <w:t>ans in</w:t>
            </w:r>
            <w:r w:rsidRPr="253E5B67" w:rsidR="253E5B67">
              <w:rPr>
                <w:rFonts w:ascii="Arial" w:hAnsi="Arial" w:cs="Arial"/>
                <w:color w:val="auto"/>
                <w:sz w:val="20"/>
                <w:szCs w:val="20"/>
              </w:rPr>
              <w:t xml:space="preserve"> </w:t>
            </w:r>
            <w:r w:rsidRPr="253E5B67" w:rsidR="253E5B67">
              <w:rPr>
                <w:rFonts w:ascii="Arial" w:hAnsi="Arial" w:eastAsia="Times New Roman" w:cs="Arial"/>
                <w:color w:val="auto"/>
                <w:sz w:val="20"/>
                <w:szCs w:val="20"/>
                <w:lang w:val="en"/>
              </w:rPr>
              <w:t>forestry, large scale farming and agriculture, energy production sectors</w:t>
            </w:r>
            <w:r w:rsidRPr="253E5B67" w:rsidR="253E5B67">
              <w:rPr>
                <w:rFonts w:ascii="Arial" w:hAnsi="Arial" w:cs="Arial"/>
                <w:color w:val="auto"/>
                <w:sz w:val="20"/>
                <w:szCs w:val="20"/>
              </w:rPr>
              <w:t xml:space="preserve"> sectors</w:t>
            </w:r>
            <w:r w:rsidRPr="253E5B67" w:rsidR="253E5B67">
              <w:rPr>
                <w:rFonts w:ascii="Arial" w:hAnsi="Arial" w:cs="Arial"/>
                <w:color w:val="auto"/>
                <w:sz w:val="20"/>
                <w:szCs w:val="20"/>
              </w:rPr>
              <w:t xml:space="preserve"> </w:t>
            </w:r>
          </w:p>
          <w:p w:rsidR="003575D4" w:rsidP="253E5B67" w:rsidRDefault="005E4DB9" w14:paraId="3524999A" w14:textId="77777777" w14:noSpellErr="1">
            <w:pPr>
              <w:pStyle w:val="ListParagraph"/>
              <w:numPr>
                <w:ilvl w:val="1"/>
                <w:numId w:val="3"/>
              </w:numPr>
              <w:ind w:right="165"/>
              <w:rPr>
                <w:rFonts w:ascii="Arial" w:hAnsi="Arial" w:cs="Arial"/>
                <w:color w:val="000000" w:themeColor="text1" w:themeTint="FF" w:themeShade="FF"/>
                <w:sz w:val="20"/>
                <w:szCs w:val="20"/>
              </w:rPr>
            </w:pPr>
            <w:r w:rsidRPr="253E5B67">
              <w:rPr>
                <w:rFonts w:ascii="Arial" w:hAnsi="Arial" w:cs="Arial"/>
                <w:color w:val="auto"/>
                <w:sz w:val="20"/>
                <w:szCs w:val="20"/>
              </w:rPr>
              <w:t>sub-loans located</w:t>
            </w:r>
            <w:r w:rsidRPr="253E5B67" w:rsidR="003575D4">
              <w:rPr>
                <w:rFonts w:ascii="Arial" w:hAnsi="Arial" w:cs="Arial"/>
                <w:color w:val="auto"/>
                <w:sz w:val="20"/>
                <w:szCs w:val="20"/>
              </w:rPr>
              <w:t xml:space="preserve"> in established protected areas</w:t>
            </w:r>
            <w:r w:rsidRPr="253E5B67" w:rsidR="009C3740">
              <w:rPr>
                <w:rStyle w:val="FootnoteReference"/>
                <w:rFonts w:ascii="Arial" w:hAnsi="Arial" w:cs="Arial"/>
                <w:color w:val="auto"/>
                <w:sz w:val="20"/>
                <w:szCs w:val="20"/>
              </w:rPr>
              <w:footnoteReference w:id="3"/>
            </w:r>
            <w:r w:rsidRPr="253E5B67" w:rsidR="003575D4">
              <w:rPr>
                <w:rFonts w:ascii="Arial" w:hAnsi="Arial" w:cs="Arial"/>
                <w:color w:val="auto"/>
                <w:sz w:val="20"/>
                <w:szCs w:val="20"/>
              </w:rPr>
              <w:t xml:space="preserve"> </w:t>
            </w:r>
            <w:r w:rsidRPr="253E5B67">
              <w:rPr>
                <w:rFonts w:ascii="Arial" w:hAnsi="Arial" w:cs="Arial"/>
                <w:color w:val="auto"/>
                <w:sz w:val="20"/>
                <w:szCs w:val="20"/>
              </w:rPr>
              <w:t>and cultural sites</w:t>
            </w:r>
          </w:p>
          <w:p w:rsidRPr="007F4412" w:rsidR="005E4DB9" w:rsidP="008969CF" w:rsidRDefault="005E4DB9" w14:paraId="582578BE" w14:textId="77777777">
            <w:pPr>
              <w:pStyle w:val="ListParagraph"/>
              <w:numPr>
                <w:ilvl w:val="1"/>
                <w:numId w:val="3"/>
              </w:numPr>
              <w:ind w:right="165"/>
              <w:rPr>
                <w:rFonts w:ascii="Arial" w:hAnsi="Arial" w:cs="Arial"/>
                <w:sz w:val="20"/>
                <w:szCs w:val="20"/>
              </w:rPr>
            </w:pPr>
            <w:r>
              <w:rPr>
                <w:rFonts w:ascii="Arial" w:hAnsi="Arial" w:cs="Arial"/>
                <w:sz w:val="20"/>
                <w:szCs w:val="20"/>
              </w:rPr>
              <w:lastRenderedPageBreak/>
              <w:t>sub-loans involving the introduction of invasive species</w:t>
            </w:r>
          </w:p>
          <w:p w:rsidRPr="007F4412" w:rsidR="003575D4" w:rsidP="008969CF" w:rsidRDefault="005E4DB9" w14:paraId="3095FC06" w14:textId="77777777">
            <w:pPr>
              <w:pStyle w:val="ListParagraph"/>
              <w:numPr>
                <w:ilvl w:val="1"/>
                <w:numId w:val="3"/>
              </w:numPr>
              <w:ind w:right="165"/>
              <w:rPr>
                <w:rFonts w:ascii="Arial" w:hAnsi="Arial" w:cs="Arial"/>
                <w:sz w:val="20"/>
                <w:szCs w:val="20"/>
              </w:rPr>
            </w:pPr>
            <w:r>
              <w:rPr>
                <w:rFonts w:ascii="Arial" w:hAnsi="Arial" w:cs="Arial"/>
                <w:sz w:val="20"/>
                <w:szCs w:val="20"/>
              </w:rPr>
              <w:t>sub-loans involving</w:t>
            </w:r>
            <w:r w:rsidRPr="007F4412" w:rsidR="003575D4">
              <w:rPr>
                <w:rFonts w:ascii="Arial" w:hAnsi="Arial" w:cs="Arial"/>
                <w:sz w:val="20"/>
                <w:szCs w:val="20"/>
              </w:rPr>
              <w:t xml:space="preserve"> involuntary resettlement of population</w:t>
            </w:r>
          </w:p>
          <w:p w:rsidRPr="007F4412" w:rsidR="003575D4" w:rsidP="008969CF" w:rsidRDefault="005E4DB9" w14:paraId="04F23458" w14:textId="77777777">
            <w:pPr>
              <w:pStyle w:val="ListParagraph"/>
              <w:numPr>
                <w:ilvl w:val="1"/>
                <w:numId w:val="3"/>
              </w:numPr>
              <w:ind w:right="165"/>
              <w:rPr>
                <w:rFonts w:ascii="Arial" w:hAnsi="Arial" w:cs="Arial"/>
                <w:sz w:val="20"/>
                <w:szCs w:val="20"/>
              </w:rPr>
            </w:pPr>
            <w:r>
              <w:rPr>
                <w:rFonts w:ascii="Arial" w:hAnsi="Arial" w:cs="Arial"/>
                <w:sz w:val="20"/>
                <w:szCs w:val="20"/>
              </w:rPr>
              <w:t>sub-loans involving</w:t>
            </w:r>
            <w:r w:rsidRPr="007F4412" w:rsidR="003575D4">
              <w:rPr>
                <w:rFonts w:ascii="Arial" w:hAnsi="Arial" w:cs="Arial"/>
                <w:sz w:val="20"/>
                <w:szCs w:val="20"/>
              </w:rPr>
              <w:t xml:space="preserve"> economic displacement of population</w:t>
            </w:r>
          </w:p>
          <w:p w:rsidRPr="007F4412" w:rsidR="00E22AC3" w:rsidP="008969CF" w:rsidRDefault="00406A07" w14:paraId="5ACED65B" w14:textId="77777777">
            <w:pPr>
              <w:pStyle w:val="ListParagraph"/>
              <w:numPr>
                <w:ilvl w:val="0"/>
                <w:numId w:val="3"/>
              </w:numPr>
              <w:ind w:right="165"/>
              <w:rPr>
                <w:rFonts w:ascii="Arial" w:hAnsi="Arial" w:cs="Arial"/>
                <w:sz w:val="20"/>
                <w:szCs w:val="20"/>
              </w:rPr>
            </w:pPr>
            <w:r w:rsidRPr="007F4412">
              <w:rPr>
                <w:rFonts w:ascii="Arial" w:hAnsi="Arial" w:cs="Arial"/>
                <w:sz w:val="20"/>
                <w:szCs w:val="20"/>
              </w:rPr>
              <w:t xml:space="preserve">Require an affidavit from the borrower that he will comply with (i) the application of safety measures for workers including the use of PPE when relevant and the compliance with the Ministry of </w:t>
            </w:r>
            <w:proofErr w:type="spellStart"/>
            <w:r w:rsidRPr="007F4412">
              <w:rPr>
                <w:rFonts w:ascii="Arial" w:hAnsi="Arial" w:cs="Arial"/>
                <w:sz w:val="20"/>
                <w:szCs w:val="20"/>
              </w:rPr>
              <w:t>Labour</w:t>
            </w:r>
            <w:proofErr w:type="spellEnd"/>
            <w:r w:rsidRPr="007F4412">
              <w:rPr>
                <w:rFonts w:ascii="Arial" w:hAnsi="Arial" w:cs="Arial"/>
                <w:sz w:val="20"/>
                <w:szCs w:val="20"/>
              </w:rPr>
              <w:t xml:space="preserve"> policy related to Health and Safety and (ii) the appropriate disposition of solid and hazardous waste in authorized locations and discharge of waste water.</w:t>
            </w:r>
          </w:p>
          <w:p w:rsidRPr="007F4412" w:rsidR="00406A07" w:rsidP="008969CF" w:rsidRDefault="00406A07" w14:paraId="4C02385A" w14:textId="77777777">
            <w:pPr>
              <w:pStyle w:val="ListParagraph"/>
              <w:numPr>
                <w:ilvl w:val="0"/>
                <w:numId w:val="3"/>
              </w:numPr>
              <w:ind w:right="165"/>
              <w:rPr>
                <w:rFonts w:ascii="Arial" w:hAnsi="Arial" w:cs="Arial"/>
                <w:sz w:val="20"/>
                <w:szCs w:val="20"/>
              </w:rPr>
            </w:pPr>
            <w:r w:rsidRPr="007F4412">
              <w:rPr>
                <w:rFonts w:ascii="Arial" w:hAnsi="Arial" w:cs="Arial"/>
                <w:sz w:val="20"/>
                <w:szCs w:val="20"/>
              </w:rPr>
              <w:t>Present to the IDB an Annual Environmental and Social Compliance Report (ESCR) with information on the financed portfolio and any particular risk issues identified, mitigation measures agreed with clients as well as compliance status.</w:t>
            </w:r>
          </w:p>
          <w:p w:rsidRPr="007F4412" w:rsidR="002C3DCE" w:rsidP="002C3DCE" w:rsidRDefault="002C3DCE" w14:paraId="73AB6B32" w14:textId="77777777">
            <w:pPr>
              <w:rPr>
                <w:rFonts w:ascii="Arial" w:hAnsi="Arial" w:cs="Arial"/>
                <w:sz w:val="20"/>
                <w:szCs w:val="20"/>
              </w:rPr>
            </w:pPr>
            <w:r w:rsidRPr="007F4412">
              <w:rPr>
                <w:rFonts w:ascii="Arial" w:hAnsi="Arial" w:cs="Arial"/>
                <w:sz w:val="20"/>
                <w:szCs w:val="20"/>
              </w:rPr>
              <w:t xml:space="preserve">The IDB will supervise the ESHS and labor aspects related to the use of the proceeds of the IDB loan, as necessary either by an IDB in-house specialist or with external consultants, hired by the IDB.  To this end, the </w:t>
            </w:r>
            <w:r w:rsidR="00927C8B">
              <w:rPr>
                <w:rFonts w:ascii="Arial" w:hAnsi="Arial" w:cs="Arial"/>
                <w:sz w:val="20"/>
                <w:szCs w:val="20"/>
              </w:rPr>
              <w:t>SBDC</w:t>
            </w:r>
            <w:r w:rsidRPr="007F4412">
              <w:rPr>
                <w:rFonts w:ascii="Arial" w:hAnsi="Arial" w:cs="Arial"/>
                <w:sz w:val="20"/>
                <w:szCs w:val="20"/>
              </w:rPr>
              <w:t xml:space="preserve"> will provide and facilitate access by IDB to all relevant documentation, personnel and guaranteed </w:t>
            </w:r>
            <w:r w:rsidR="005E4DB9">
              <w:rPr>
                <w:rFonts w:ascii="Arial" w:hAnsi="Arial" w:cs="Arial"/>
                <w:sz w:val="20"/>
                <w:szCs w:val="20"/>
              </w:rPr>
              <w:t xml:space="preserve">sub-loans </w:t>
            </w:r>
            <w:r w:rsidRPr="007F4412">
              <w:rPr>
                <w:rFonts w:ascii="Arial" w:hAnsi="Arial" w:cs="Arial"/>
                <w:sz w:val="20"/>
                <w:szCs w:val="20"/>
              </w:rPr>
              <w:t xml:space="preserve">facilities. </w:t>
            </w:r>
          </w:p>
          <w:p w:rsidRPr="007F4412" w:rsidR="002C3DCE" w:rsidP="002C3DCE" w:rsidRDefault="002C3DCE" w14:paraId="123C5414" w14:textId="77777777">
            <w:pPr>
              <w:rPr>
                <w:rFonts w:ascii="Arial" w:hAnsi="Arial" w:cs="Arial"/>
                <w:sz w:val="20"/>
                <w:szCs w:val="20"/>
              </w:rPr>
            </w:pPr>
          </w:p>
          <w:p w:rsidRPr="007F4412" w:rsidR="002C3DCE" w:rsidP="002C3DCE" w:rsidRDefault="002C3DCE" w14:paraId="2F7240EF" w14:textId="77777777">
            <w:pPr>
              <w:rPr>
                <w:rFonts w:ascii="Arial" w:hAnsi="Arial" w:cs="Arial"/>
                <w:sz w:val="20"/>
                <w:szCs w:val="20"/>
              </w:rPr>
            </w:pPr>
            <w:r w:rsidRPr="007F4412">
              <w:rPr>
                <w:rFonts w:ascii="Arial" w:hAnsi="Arial" w:cs="Arial"/>
                <w:sz w:val="20"/>
                <w:szCs w:val="20"/>
              </w:rPr>
              <w:t xml:space="preserve">If necessary, IDB and the </w:t>
            </w:r>
            <w:r w:rsidR="00927C8B">
              <w:rPr>
                <w:rFonts w:ascii="Arial" w:hAnsi="Arial" w:cs="Arial"/>
                <w:sz w:val="20"/>
                <w:szCs w:val="20"/>
              </w:rPr>
              <w:t>SBDC</w:t>
            </w:r>
            <w:r w:rsidRPr="007F4412">
              <w:rPr>
                <w:rFonts w:ascii="Arial" w:hAnsi="Arial" w:cs="Arial"/>
                <w:sz w:val="20"/>
                <w:szCs w:val="20"/>
              </w:rPr>
              <w:t xml:space="preserve"> will agree on corrective actions or measures necessary to address impacts and risks and/or to enhance their management.</w:t>
            </w:r>
          </w:p>
          <w:p w:rsidRPr="007F4412" w:rsidR="002C3DCE" w:rsidP="002C3DCE" w:rsidRDefault="002C3DCE" w14:paraId="4D31D71B" w14:textId="77777777">
            <w:pPr>
              <w:rPr>
                <w:rFonts w:ascii="Arial" w:hAnsi="Arial" w:cs="Arial"/>
                <w:sz w:val="20"/>
                <w:szCs w:val="20"/>
              </w:rPr>
            </w:pPr>
          </w:p>
          <w:p w:rsidR="00D62154" w:rsidP="002C3DCE" w:rsidRDefault="002C3DCE" w14:paraId="0C160F30" w14:textId="77777777">
            <w:pPr>
              <w:rPr>
                <w:rFonts w:ascii="Arial" w:hAnsi="Arial" w:cs="Arial"/>
                <w:sz w:val="20"/>
                <w:szCs w:val="20"/>
              </w:rPr>
            </w:pPr>
            <w:proofErr w:type="gramStart"/>
            <w:r w:rsidRPr="007F4412">
              <w:rPr>
                <w:rFonts w:ascii="Arial" w:hAnsi="Arial" w:cs="Arial"/>
                <w:sz w:val="20"/>
                <w:szCs w:val="20"/>
              </w:rPr>
              <w:t>If and when</w:t>
            </w:r>
            <w:proofErr w:type="gramEnd"/>
            <w:r w:rsidRPr="007F4412">
              <w:rPr>
                <w:rFonts w:ascii="Arial" w:hAnsi="Arial" w:cs="Arial"/>
                <w:sz w:val="20"/>
                <w:szCs w:val="20"/>
              </w:rPr>
              <w:t xml:space="preserve"> the </w:t>
            </w:r>
            <w:r w:rsidR="00927C8B">
              <w:rPr>
                <w:rFonts w:ascii="Arial" w:hAnsi="Arial" w:cs="Arial"/>
                <w:sz w:val="20"/>
                <w:szCs w:val="20"/>
              </w:rPr>
              <w:t>SBDC</w:t>
            </w:r>
            <w:r w:rsidRPr="007F4412">
              <w:rPr>
                <w:rFonts w:ascii="Arial" w:hAnsi="Arial" w:cs="Arial"/>
                <w:sz w:val="20"/>
                <w:szCs w:val="20"/>
              </w:rPr>
              <w:t xml:space="preserve"> wants to include </w:t>
            </w:r>
            <w:r w:rsidR="005E4DB9">
              <w:rPr>
                <w:rFonts w:ascii="Arial" w:hAnsi="Arial" w:cs="Arial"/>
                <w:sz w:val="20"/>
                <w:szCs w:val="20"/>
              </w:rPr>
              <w:t xml:space="preserve">sub-loans </w:t>
            </w:r>
            <w:r w:rsidRPr="007F4412">
              <w:rPr>
                <w:rFonts w:ascii="Arial" w:hAnsi="Arial" w:cs="Arial"/>
                <w:sz w:val="20"/>
                <w:szCs w:val="20"/>
              </w:rPr>
              <w:t xml:space="preserve">to sectors not eligible, request the IDB non-objection. </w:t>
            </w:r>
          </w:p>
          <w:p w:rsidR="00D62154" w:rsidP="002C3DCE" w:rsidRDefault="00D62154" w14:paraId="455158E3" w14:textId="77777777">
            <w:pPr>
              <w:rPr>
                <w:rFonts w:ascii="Arial" w:hAnsi="Arial" w:cs="Arial"/>
                <w:sz w:val="20"/>
                <w:szCs w:val="20"/>
              </w:rPr>
            </w:pPr>
          </w:p>
          <w:p w:rsidRPr="003B61B6" w:rsidR="00D62154" w:rsidP="003B61B6" w:rsidRDefault="00D62154" w14:paraId="13C3B62F" w14:textId="526CA7D1">
            <w:pPr>
              <w:tabs>
                <w:tab w:val="num" w:pos="720"/>
              </w:tabs>
              <w:ind w:right="165"/>
              <w:rPr>
                <w:rFonts w:ascii="Arial" w:hAnsi="Arial" w:cs="Arial"/>
                <w:bCs/>
                <w:color w:val="000000" w:themeColor="text1"/>
                <w:sz w:val="20"/>
                <w:szCs w:val="20"/>
              </w:rPr>
            </w:pPr>
            <w:r>
              <w:rPr>
                <w:rFonts w:ascii="Arial" w:hAnsi="Arial" w:eastAsia="Times New Roman" w:cs="Arial"/>
                <w:color w:val="000000" w:themeColor="text1"/>
                <w:sz w:val="20"/>
                <w:szCs w:val="20"/>
                <w:shd w:val="clear" w:color="auto" w:fill="FFFFFF"/>
              </w:rPr>
              <w:t xml:space="preserve">Those requirements will be included in the </w:t>
            </w:r>
            <w:r w:rsidR="00927C8B">
              <w:rPr>
                <w:rFonts w:ascii="Arial" w:hAnsi="Arial" w:eastAsia="Times New Roman" w:cs="Arial"/>
                <w:color w:val="000000" w:themeColor="text1"/>
                <w:sz w:val="20"/>
                <w:szCs w:val="20"/>
                <w:shd w:val="clear" w:color="auto" w:fill="FFFFFF"/>
              </w:rPr>
              <w:t>OR</w:t>
            </w:r>
            <w:r>
              <w:rPr>
                <w:rFonts w:ascii="Arial" w:hAnsi="Arial" w:eastAsia="Times New Roman" w:cs="Arial"/>
                <w:color w:val="000000" w:themeColor="text1"/>
                <w:sz w:val="20"/>
                <w:szCs w:val="20"/>
                <w:shd w:val="clear" w:color="auto" w:fill="FFFFFF"/>
              </w:rPr>
              <w:t xml:space="preserve">. See Annex B. </w:t>
            </w:r>
          </w:p>
          <w:p w:rsidRPr="007F4412" w:rsidR="00874CC0" w:rsidP="00406A07" w:rsidRDefault="00874CC0" w14:paraId="5630D5CE" w14:textId="77777777">
            <w:pPr>
              <w:rPr>
                <w:rFonts w:ascii="Arial" w:hAnsi="Arial" w:cs="Arial"/>
                <w:sz w:val="20"/>
                <w:szCs w:val="20"/>
                <w:shd w:val="clear" w:color="auto" w:fill="FFFFFF"/>
              </w:rPr>
            </w:pPr>
          </w:p>
        </w:tc>
      </w:tr>
      <w:tr w:rsidRPr="00EC694F" w:rsidR="00C55E62" w:rsidTr="105536DE" w14:paraId="6CD2801A" w14:textId="77777777">
        <w:trPr>
          <w:trHeight w:val="429"/>
        </w:trPr>
        <w:tc>
          <w:tcPr>
            <w:tcW w:w="99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EC694F" w:rsidR="00C55E62" w:rsidP="008969CF" w:rsidRDefault="009444D9" w14:paraId="1E77966C" w14:textId="77777777">
            <w:pPr>
              <w:pStyle w:val="ListParagraph"/>
              <w:numPr>
                <w:ilvl w:val="0"/>
                <w:numId w:val="2"/>
              </w:numPr>
              <w:rPr>
                <w:rFonts w:ascii="Arial" w:hAnsi="Arial" w:eastAsia="Times New Roman" w:cs="Arial"/>
                <w:b/>
                <w:bCs/>
                <w:sz w:val="20"/>
                <w:szCs w:val="20"/>
              </w:rPr>
            </w:pPr>
            <w:r w:rsidRPr="00EC694F">
              <w:rPr>
                <w:rFonts w:ascii="Arial" w:hAnsi="Arial" w:eastAsia="Times New Roman" w:cs="Arial"/>
                <w:b/>
                <w:bCs/>
                <w:sz w:val="20"/>
                <w:szCs w:val="20"/>
              </w:rPr>
              <w:lastRenderedPageBreak/>
              <w:t>Summary of</w:t>
            </w:r>
            <w:r w:rsidRPr="00EC694F" w:rsidR="004B6155">
              <w:rPr>
                <w:rFonts w:ascii="Arial" w:hAnsi="Arial" w:eastAsia="Times New Roman" w:cs="Arial"/>
                <w:b/>
                <w:bCs/>
                <w:sz w:val="20"/>
                <w:szCs w:val="20"/>
              </w:rPr>
              <w:t xml:space="preserve"> Compliance with IDB Safeguard Policies</w:t>
            </w:r>
            <w:r w:rsidRPr="00EC694F" w:rsidR="00C55E62">
              <w:rPr>
                <w:rFonts w:ascii="Arial" w:hAnsi="Arial" w:eastAsia="Times New Roman" w:cs="Arial"/>
                <w:b/>
                <w:bCs/>
                <w:sz w:val="20"/>
                <w:szCs w:val="20"/>
              </w:rPr>
              <w:t xml:space="preserve"> </w:t>
            </w:r>
          </w:p>
        </w:tc>
      </w:tr>
    </w:tbl>
    <w:p w:rsidRPr="00EC694F" w:rsidR="004D3CD1" w:rsidP="004127F6" w:rsidRDefault="004D3CD1" w14:paraId="6289619A" w14:textId="77777777">
      <w:pPr>
        <w:rPr>
          <w:rFonts w:ascii="Arial" w:hAnsi="Arial" w:cs="Arial"/>
          <w:bCs/>
          <w:sz w:val="20"/>
          <w:szCs w:val="20"/>
        </w:rPr>
        <w:sectPr w:rsidRPr="00EC694F" w:rsidR="004D3CD1" w:rsidSect="005354FC">
          <w:headerReference w:type="default" r:id="rId15"/>
          <w:footerReference w:type="default" r:id="rId16"/>
          <w:headerReference w:type="first" r:id="rId17"/>
          <w:pgSz w:w="12240" w:h="15840" w:orient="portrait"/>
          <w:pgMar w:top="1440" w:right="1800" w:bottom="1440" w:left="1170" w:header="720" w:footer="720" w:gutter="0"/>
          <w:cols w:space="720"/>
          <w:titlePg/>
          <w:docGrid w:linePitch="360"/>
        </w:sectPr>
      </w:pPr>
    </w:p>
    <w:p w:rsidRPr="00EC694F" w:rsidR="004D3CD1" w:rsidP="004D3CD1" w:rsidRDefault="00874CC0" w14:paraId="4B722A09" w14:textId="77777777">
      <w:pPr>
        <w:rPr>
          <w:rFonts w:ascii="Arial" w:hAnsi="Arial" w:cs="Arial"/>
          <w:b/>
          <w:sz w:val="20"/>
          <w:szCs w:val="20"/>
        </w:rPr>
      </w:pPr>
      <w:r w:rsidRPr="00EC694F">
        <w:rPr>
          <w:rFonts w:ascii="Arial" w:hAnsi="Arial" w:cs="Arial"/>
          <w:b/>
          <w:sz w:val="20"/>
          <w:szCs w:val="20"/>
        </w:rPr>
        <w:lastRenderedPageBreak/>
        <w:t xml:space="preserve">Annex A. </w:t>
      </w:r>
      <w:r w:rsidRPr="00EC694F" w:rsidR="00D055D3">
        <w:rPr>
          <w:rFonts w:ascii="Arial" w:hAnsi="Arial" w:cs="Arial"/>
          <w:b/>
          <w:sz w:val="20"/>
          <w:szCs w:val="20"/>
        </w:rPr>
        <w:t>Summary of Compliance with IDB Safeguard Policies</w:t>
      </w:r>
    </w:p>
    <w:tbl>
      <w:tblPr>
        <w:tblStyle w:val="TableGrid"/>
        <w:tblW w:w="13770" w:type="dxa"/>
        <w:tblInd w:w="-5" w:type="dxa"/>
        <w:tblLayout w:type="fixed"/>
        <w:tblLook w:val="04A0" w:firstRow="1" w:lastRow="0" w:firstColumn="1" w:lastColumn="0" w:noHBand="0" w:noVBand="1"/>
      </w:tblPr>
      <w:tblGrid>
        <w:gridCol w:w="2903"/>
        <w:gridCol w:w="4050"/>
        <w:gridCol w:w="6817"/>
      </w:tblGrid>
      <w:tr w:rsidRPr="00EC694F" w:rsidR="00EA3BF1" w:rsidTr="005E4DB9" w14:paraId="7B1A91F9" w14:textId="77777777">
        <w:trPr>
          <w:trHeight w:val="323"/>
        </w:trPr>
        <w:tc>
          <w:tcPr>
            <w:tcW w:w="2903" w:type="dxa"/>
            <w:shd w:val="clear" w:color="auto" w:fill="95B3D7" w:themeFill="accent1" w:themeFillTint="99"/>
            <w:vAlign w:val="center"/>
          </w:tcPr>
          <w:p w:rsidRPr="00EC694F" w:rsidR="00EA3BF1" w:rsidRDefault="00EA3BF1" w14:paraId="75C373FB" w14:textId="77777777">
            <w:pPr>
              <w:tabs>
                <w:tab w:val="left" w:pos="3200"/>
              </w:tabs>
              <w:jc w:val="center"/>
              <w:rPr>
                <w:rFonts w:ascii="Arial" w:hAnsi="Arial" w:cs="Arial"/>
                <w:b/>
                <w:sz w:val="20"/>
                <w:szCs w:val="20"/>
              </w:rPr>
            </w:pPr>
            <w:r w:rsidRPr="00EC694F">
              <w:rPr>
                <w:rFonts w:ascii="Arial" w:hAnsi="Arial" w:cs="Arial"/>
                <w:b/>
                <w:sz w:val="20"/>
                <w:szCs w:val="20"/>
              </w:rPr>
              <w:t>Policies / Directives</w:t>
            </w:r>
          </w:p>
        </w:tc>
        <w:tc>
          <w:tcPr>
            <w:tcW w:w="4050" w:type="dxa"/>
            <w:tcBorders>
              <w:bottom w:val="single" w:color="auto" w:sz="4" w:space="0"/>
            </w:tcBorders>
            <w:shd w:val="clear" w:color="auto" w:fill="95B3D7" w:themeFill="accent1" w:themeFillTint="99"/>
            <w:vAlign w:val="center"/>
          </w:tcPr>
          <w:p w:rsidRPr="00EC694F" w:rsidR="00EA3BF1" w:rsidP="00B505FD" w:rsidRDefault="00EA3BF1" w14:paraId="664566C8" w14:textId="77777777">
            <w:pPr>
              <w:tabs>
                <w:tab w:val="left" w:pos="3200"/>
              </w:tabs>
              <w:jc w:val="center"/>
              <w:rPr>
                <w:rFonts w:ascii="Arial" w:hAnsi="Arial" w:cs="Arial"/>
                <w:b/>
                <w:sz w:val="20"/>
                <w:szCs w:val="20"/>
              </w:rPr>
            </w:pPr>
            <w:r w:rsidRPr="00EC694F">
              <w:rPr>
                <w:rFonts w:ascii="Arial" w:hAnsi="Arial" w:cs="Arial"/>
                <w:b/>
                <w:sz w:val="20"/>
                <w:szCs w:val="20"/>
              </w:rPr>
              <w:t>Compliance Status and Rationale with Policy / Directive Requirements</w:t>
            </w:r>
          </w:p>
        </w:tc>
        <w:tc>
          <w:tcPr>
            <w:tcW w:w="6817" w:type="dxa"/>
            <w:tcBorders>
              <w:bottom w:val="single" w:color="auto" w:sz="4" w:space="0"/>
            </w:tcBorders>
            <w:shd w:val="clear" w:color="auto" w:fill="95B3D7" w:themeFill="accent1" w:themeFillTint="99"/>
            <w:vAlign w:val="center"/>
          </w:tcPr>
          <w:p w:rsidRPr="00EC694F" w:rsidR="00EA3BF1" w:rsidRDefault="00EA3BF1" w14:paraId="0F84F794" w14:textId="77777777">
            <w:pPr>
              <w:tabs>
                <w:tab w:val="left" w:pos="3200"/>
              </w:tabs>
              <w:jc w:val="center"/>
              <w:rPr>
                <w:rFonts w:ascii="Arial" w:hAnsi="Arial" w:cs="Arial"/>
                <w:b/>
                <w:sz w:val="20"/>
                <w:szCs w:val="20"/>
              </w:rPr>
            </w:pPr>
            <w:r w:rsidRPr="00EC694F">
              <w:rPr>
                <w:rFonts w:ascii="Arial" w:hAnsi="Arial" w:cs="Arial"/>
                <w:b/>
                <w:sz w:val="20"/>
                <w:szCs w:val="20"/>
              </w:rPr>
              <w:t>Requirements / Actions / Plans / Timing</w:t>
            </w:r>
          </w:p>
        </w:tc>
      </w:tr>
      <w:tr w:rsidRPr="00EC694F" w:rsidR="00EE20EB" w:rsidTr="005E4DB9" w14:paraId="67A6549B" w14:textId="77777777">
        <w:trPr>
          <w:trHeight w:val="323"/>
        </w:trPr>
        <w:tc>
          <w:tcPr>
            <w:tcW w:w="13770" w:type="dxa"/>
            <w:gridSpan w:val="3"/>
            <w:shd w:val="clear" w:color="auto" w:fill="D9D9D9" w:themeFill="background1" w:themeFillShade="D9"/>
            <w:vAlign w:val="center"/>
          </w:tcPr>
          <w:p w:rsidRPr="00EC694F" w:rsidR="00EE20EB" w:rsidP="006F7063" w:rsidRDefault="00EE20EB" w14:paraId="455EF9EA" w14:textId="77777777">
            <w:pPr>
              <w:tabs>
                <w:tab w:val="left" w:pos="3200"/>
              </w:tabs>
              <w:jc w:val="both"/>
              <w:rPr>
                <w:rFonts w:ascii="Arial" w:hAnsi="Arial" w:cs="Arial"/>
                <w:sz w:val="20"/>
                <w:szCs w:val="20"/>
              </w:rPr>
            </w:pPr>
            <w:r w:rsidRPr="00EC694F">
              <w:rPr>
                <w:rFonts w:ascii="Arial" w:hAnsi="Arial" w:cs="Arial"/>
                <w:b/>
                <w:sz w:val="20"/>
                <w:szCs w:val="20"/>
              </w:rPr>
              <w:t>OP-703 Environment and Safeguards Compliance Policy</w:t>
            </w:r>
          </w:p>
        </w:tc>
      </w:tr>
      <w:tr w:rsidRPr="00EC694F" w:rsidR="00F17196" w:rsidTr="005E4DB9" w14:paraId="0D1D8C62" w14:textId="77777777">
        <w:trPr>
          <w:trHeight w:val="323"/>
        </w:trPr>
        <w:tc>
          <w:tcPr>
            <w:tcW w:w="2903" w:type="dxa"/>
            <w:shd w:val="clear" w:color="auto" w:fill="D9D9D9" w:themeFill="background1" w:themeFillShade="D9"/>
            <w:vAlign w:val="center"/>
          </w:tcPr>
          <w:p w:rsidRPr="00EC694F" w:rsidR="00F17196" w:rsidP="00F17196" w:rsidRDefault="00F17196" w14:paraId="7308ACE6" w14:textId="77777777">
            <w:pPr>
              <w:tabs>
                <w:tab w:val="left" w:pos="3200"/>
              </w:tabs>
              <w:rPr>
                <w:rFonts w:ascii="Arial" w:hAnsi="Arial" w:cs="Arial"/>
                <w:sz w:val="20"/>
                <w:szCs w:val="20"/>
              </w:rPr>
            </w:pPr>
            <w:r w:rsidRPr="00EC694F">
              <w:rPr>
                <w:rFonts w:ascii="Arial" w:hAnsi="Arial" w:cs="Arial"/>
                <w:sz w:val="20"/>
                <w:szCs w:val="20"/>
              </w:rPr>
              <w:t>B.2 Country Laws and Regulations</w:t>
            </w:r>
          </w:p>
        </w:tc>
        <w:tc>
          <w:tcPr>
            <w:tcW w:w="4050" w:type="dxa"/>
          </w:tcPr>
          <w:p w:rsidRPr="00EC694F" w:rsidR="00F17196" w:rsidP="00F17196" w:rsidRDefault="00F17196" w14:paraId="2EDDF7A8" w14:textId="77777777">
            <w:pPr>
              <w:tabs>
                <w:tab w:val="left" w:pos="3200"/>
              </w:tabs>
              <w:jc w:val="both"/>
              <w:rPr>
                <w:rFonts w:ascii="Arial" w:hAnsi="Arial" w:cs="Arial"/>
                <w:sz w:val="20"/>
                <w:szCs w:val="20"/>
              </w:rPr>
            </w:pPr>
            <w:r>
              <w:rPr>
                <w:rFonts w:ascii="Arial" w:hAnsi="Arial" w:cs="Arial"/>
                <w:sz w:val="20"/>
                <w:szCs w:val="20"/>
              </w:rPr>
              <w:t>Full compliance achieved</w:t>
            </w:r>
          </w:p>
        </w:tc>
        <w:tc>
          <w:tcPr>
            <w:tcW w:w="6817" w:type="dxa"/>
          </w:tcPr>
          <w:p w:rsidRPr="00EC694F" w:rsidR="00F17196" w:rsidP="00F17196" w:rsidRDefault="00F17196" w14:paraId="1472A480" w14:textId="77777777">
            <w:pPr>
              <w:tabs>
                <w:tab w:val="left" w:pos="3200"/>
              </w:tabs>
              <w:jc w:val="both"/>
              <w:rPr>
                <w:rFonts w:ascii="Arial" w:hAnsi="Arial" w:cs="Arial"/>
                <w:sz w:val="20"/>
                <w:szCs w:val="20"/>
              </w:rPr>
            </w:pPr>
            <w:r>
              <w:rPr>
                <w:rFonts w:ascii="Arial" w:hAnsi="Arial" w:cs="Arial"/>
                <w:sz w:val="20"/>
                <w:szCs w:val="20"/>
              </w:rPr>
              <w:t xml:space="preserve">The </w:t>
            </w:r>
            <w:r w:rsidR="00927C8B">
              <w:rPr>
                <w:rFonts w:ascii="Arial" w:hAnsi="Arial" w:cs="Arial"/>
                <w:sz w:val="20"/>
                <w:szCs w:val="20"/>
              </w:rPr>
              <w:t>SBDC</w:t>
            </w:r>
            <w:r>
              <w:rPr>
                <w:rFonts w:ascii="Arial" w:hAnsi="Arial" w:cs="Arial"/>
                <w:sz w:val="20"/>
                <w:szCs w:val="20"/>
              </w:rPr>
              <w:t xml:space="preserve"> </w:t>
            </w:r>
            <w:r w:rsidR="00927C8B">
              <w:rPr>
                <w:rFonts w:ascii="Arial" w:hAnsi="Arial" w:cs="Arial"/>
                <w:sz w:val="20"/>
                <w:szCs w:val="20"/>
              </w:rPr>
              <w:t xml:space="preserve">will </w:t>
            </w:r>
            <w:r>
              <w:rPr>
                <w:rFonts w:ascii="Arial" w:hAnsi="Arial" w:cs="Arial"/>
                <w:sz w:val="20"/>
                <w:szCs w:val="20"/>
              </w:rPr>
              <w:t xml:space="preserve">only </w:t>
            </w:r>
            <w:r w:rsidR="00927C8B">
              <w:rPr>
                <w:rFonts w:ascii="Arial" w:hAnsi="Arial" w:cs="Arial"/>
                <w:sz w:val="20"/>
                <w:szCs w:val="20"/>
              </w:rPr>
              <w:t>guarantee</w:t>
            </w:r>
            <w:r>
              <w:rPr>
                <w:rFonts w:ascii="Arial" w:hAnsi="Arial" w:cs="Arial"/>
                <w:sz w:val="20"/>
                <w:szCs w:val="20"/>
              </w:rPr>
              <w:t xml:space="preserve"> operations complying with </w:t>
            </w:r>
            <w:r w:rsidR="00927C8B">
              <w:rPr>
                <w:rFonts w:ascii="Arial" w:hAnsi="Arial" w:cs="Arial"/>
                <w:sz w:val="20"/>
                <w:szCs w:val="20"/>
              </w:rPr>
              <w:t>national</w:t>
            </w:r>
            <w:r>
              <w:rPr>
                <w:rFonts w:ascii="Arial" w:hAnsi="Arial" w:cs="Arial"/>
                <w:sz w:val="20"/>
                <w:szCs w:val="20"/>
              </w:rPr>
              <w:t xml:space="preserve"> laws and regulations </w:t>
            </w:r>
          </w:p>
        </w:tc>
      </w:tr>
      <w:tr w:rsidRPr="00EC694F" w:rsidR="00D859A6" w:rsidTr="005E4DB9" w14:paraId="19F4C122" w14:textId="77777777">
        <w:trPr>
          <w:trHeight w:val="323"/>
        </w:trPr>
        <w:tc>
          <w:tcPr>
            <w:tcW w:w="2903" w:type="dxa"/>
            <w:shd w:val="clear" w:color="auto" w:fill="D9D9D9" w:themeFill="background1" w:themeFillShade="D9"/>
            <w:vAlign w:val="center"/>
          </w:tcPr>
          <w:p w:rsidRPr="00EC694F" w:rsidR="00D859A6" w:rsidP="000361A6" w:rsidRDefault="00D859A6" w14:paraId="419F42D3" w14:textId="77777777">
            <w:pPr>
              <w:tabs>
                <w:tab w:val="left" w:pos="3200"/>
              </w:tabs>
              <w:rPr>
                <w:rFonts w:ascii="Arial" w:hAnsi="Arial" w:cs="Arial"/>
                <w:sz w:val="20"/>
                <w:szCs w:val="20"/>
              </w:rPr>
            </w:pPr>
            <w:r w:rsidRPr="00EC694F">
              <w:rPr>
                <w:rFonts w:ascii="Arial" w:hAnsi="Arial" w:cs="Arial"/>
                <w:sz w:val="20"/>
                <w:szCs w:val="20"/>
              </w:rPr>
              <w:t>B.3 Screening and Classification</w:t>
            </w:r>
          </w:p>
        </w:tc>
        <w:tc>
          <w:tcPr>
            <w:tcW w:w="4050" w:type="dxa"/>
          </w:tcPr>
          <w:p w:rsidRPr="00EC694F" w:rsidR="00D859A6" w:rsidP="006F7063" w:rsidRDefault="007F4412" w14:paraId="15D36D79" w14:textId="77777777">
            <w:pPr>
              <w:tabs>
                <w:tab w:val="left" w:pos="3200"/>
              </w:tabs>
              <w:jc w:val="both"/>
              <w:rPr>
                <w:rFonts w:ascii="Arial" w:hAnsi="Arial" w:cs="Arial"/>
                <w:sz w:val="20"/>
                <w:szCs w:val="20"/>
              </w:rPr>
            </w:pPr>
            <w:r>
              <w:rPr>
                <w:rFonts w:ascii="Arial" w:hAnsi="Arial" w:cs="Arial"/>
                <w:sz w:val="20"/>
                <w:szCs w:val="20"/>
              </w:rPr>
              <w:t>Full compliance achieved</w:t>
            </w:r>
          </w:p>
        </w:tc>
        <w:tc>
          <w:tcPr>
            <w:tcW w:w="6817" w:type="dxa"/>
          </w:tcPr>
          <w:p w:rsidRPr="00EC694F" w:rsidR="00D859A6" w:rsidP="006F7063" w:rsidRDefault="007F4412" w14:paraId="6B1B861C" w14:textId="77777777">
            <w:pPr>
              <w:tabs>
                <w:tab w:val="left" w:pos="3200"/>
              </w:tabs>
              <w:jc w:val="both"/>
              <w:rPr>
                <w:rFonts w:ascii="Arial" w:hAnsi="Arial" w:cs="Arial"/>
                <w:sz w:val="20"/>
                <w:szCs w:val="20"/>
              </w:rPr>
            </w:pPr>
            <w:r>
              <w:rPr>
                <w:rFonts w:ascii="Arial" w:hAnsi="Arial" w:cs="Arial"/>
                <w:sz w:val="20"/>
                <w:szCs w:val="20"/>
              </w:rPr>
              <w:t xml:space="preserve">Only Cat C. </w:t>
            </w:r>
            <w:r w:rsidR="005E4DB9">
              <w:rPr>
                <w:rFonts w:ascii="Arial" w:hAnsi="Arial" w:cs="Arial"/>
                <w:sz w:val="20"/>
                <w:szCs w:val="20"/>
              </w:rPr>
              <w:t>sub-loans</w:t>
            </w:r>
            <w:r>
              <w:rPr>
                <w:rFonts w:ascii="Arial" w:hAnsi="Arial" w:cs="Arial"/>
                <w:sz w:val="20"/>
                <w:szCs w:val="20"/>
              </w:rPr>
              <w:t xml:space="preserve"> will be eligible to financing. </w:t>
            </w:r>
          </w:p>
        </w:tc>
      </w:tr>
      <w:tr w:rsidRPr="00EC694F" w:rsidR="00D859A6" w:rsidTr="005E4DB9" w14:paraId="4E1FEC9B" w14:textId="77777777">
        <w:trPr>
          <w:trHeight w:val="323"/>
        </w:trPr>
        <w:tc>
          <w:tcPr>
            <w:tcW w:w="2903" w:type="dxa"/>
            <w:shd w:val="clear" w:color="auto" w:fill="D9D9D9" w:themeFill="background1" w:themeFillShade="D9"/>
            <w:vAlign w:val="center"/>
          </w:tcPr>
          <w:p w:rsidRPr="00EC694F" w:rsidR="00D859A6" w:rsidP="000361A6" w:rsidRDefault="00D859A6" w14:paraId="5DA1EAA0" w14:textId="77777777">
            <w:pPr>
              <w:tabs>
                <w:tab w:val="left" w:pos="3200"/>
              </w:tabs>
              <w:rPr>
                <w:rFonts w:ascii="Arial" w:hAnsi="Arial" w:cs="Arial"/>
                <w:sz w:val="20"/>
                <w:szCs w:val="20"/>
              </w:rPr>
            </w:pPr>
            <w:r w:rsidRPr="00EC694F">
              <w:rPr>
                <w:rFonts w:ascii="Arial" w:hAnsi="Arial" w:cs="Arial"/>
                <w:sz w:val="20"/>
                <w:szCs w:val="20"/>
              </w:rPr>
              <w:t>B.4 Other Risk Factors</w:t>
            </w:r>
          </w:p>
        </w:tc>
        <w:tc>
          <w:tcPr>
            <w:tcW w:w="4050" w:type="dxa"/>
          </w:tcPr>
          <w:p w:rsidRPr="00EC694F" w:rsidR="00D859A6" w:rsidP="006F7063" w:rsidRDefault="007F4412" w14:paraId="27B2DB96"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D859A6" w:rsidP="006F7063" w:rsidRDefault="007F4412" w14:paraId="139ECCB5"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D859A6" w:rsidTr="005E4DB9" w14:paraId="6689E8F3" w14:textId="77777777">
        <w:trPr>
          <w:trHeight w:val="323"/>
        </w:trPr>
        <w:tc>
          <w:tcPr>
            <w:tcW w:w="2903" w:type="dxa"/>
            <w:shd w:val="clear" w:color="auto" w:fill="D9D9D9" w:themeFill="background1" w:themeFillShade="D9"/>
            <w:vAlign w:val="center"/>
          </w:tcPr>
          <w:p w:rsidRPr="00EC694F" w:rsidR="00D859A6" w:rsidP="000361A6" w:rsidRDefault="00D859A6" w14:paraId="39C4E0A2" w14:textId="77777777">
            <w:pPr>
              <w:tabs>
                <w:tab w:val="left" w:pos="3200"/>
              </w:tabs>
              <w:rPr>
                <w:rFonts w:ascii="Arial" w:hAnsi="Arial" w:cs="Arial"/>
                <w:sz w:val="20"/>
                <w:szCs w:val="20"/>
              </w:rPr>
            </w:pPr>
            <w:r w:rsidRPr="00EC694F">
              <w:rPr>
                <w:rFonts w:ascii="Arial" w:hAnsi="Arial" w:cs="Arial"/>
                <w:sz w:val="20"/>
                <w:szCs w:val="20"/>
              </w:rPr>
              <w:t>B.4 Other Risk Factors (Institutional Capacity)</w:t>
            </w:r>
          </w:p>
        </w:tc>
        <w:tc>
          <w:tcPr>
            <w:tcW w:w="4050" w:type="dxa"/>
          </w:tcPr>
          <w:p w:rsidRPr="00EC694F" w:rsidR="00D859A6" w:rsidP="006F7063" w:rsidRDefault="007F4412" w14:paraId="50EA7706"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D859A6" w:rsidP="006F7063" w:rsidRDefault="007F4412" w14:paraId="4DE508A8"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D859A6" w:rsidTr="005E4DB9" w14:paraId="7DC9959A" w14:textId="77777777">
        <w:trPr>
          <w:trHeight w:val="323"/>
        </w:trPr>
        <w:tc>
          <w:tcPr>
            <w:tcW w:w="2903" w:type="dxa"/>
            <w:shd w:val="clear" w:color="auto" w:fill="D9D9D9" w:themeFill="background1" w:themeFillShade="D9"/>
            <w:vAlign w:val="center"/>
          </w:tcPr>
          <w:p w:rsidRPr="00EC694F" w:rsidR="00D859A6" w:rsidP="000361A6" w:rsidRDefault="00D859A6" w14:paraId="53BA9CE6" w14:textId="77777777">
            <w:pPr>
              <w:tabs>
                <w:tab w:val="left" w:pos="3200"/>
              </w:tabs>
              <w:rPr>
                <w:rFonts w:ascii="Arial" w:hAnsi="Arial" w:cs="Arial"/>
                <w:sz w:val="20"/>
                <w:szCs w:val="20"/>
              </w:rPr>
            </w:pPr>
            <w:r w:rsidRPr="00EC694F">
              <w:rPr>
                <w:rFonts w:ascii="Arial" w:hAnsi="Arial" w:cs="Arial"/>
                <w:sz w:val="20"/>
                <w:szCs w:val="20"/>
              </w:rPr>
              <w:t>B.5 Environmental Assessment and Plans Requirements</w:t>
            </w:r>
          </w:p>
        </w:tc>
        <w:tc>
          <w:tcPr>
            <w:tcW w:w="4050" w:type="dxa"/>
          </w:tcPr>
          <w:p w:rsidRPr="00EC694F" w:rsidR="00D859A6" w:rsidP="006F7063" w:rsidRDefault="007F4412" w14:paraId="39220F9A" w14:textId="77777777">
            <w:pPr>
              <w:tabs>
                <w:tab w:val="left" w:pos="3200"/>
              </w:tabs>
              <w:jc w:val="both"/>
              <w:rPr>
                <w:rFonts w:ascii="Arial" w:hAnsi="Arial" w:cs="Arial"/>
                <w:sz w:val="20"/>
                <w:szCs w:val="20"/>
              </w:rPr>
            </w:pPr>
            <w:r>
              <w:rPr>
                <w:rFonts w:ascii="Arial" w:hAnsi="Arial" w:cs="Arial"/>
                <w:sz w:val="20"/>
                <w:szCs w:val="20"/>
              </w:rPr>
              <w:t xml:space="preserve">NA (B.13 and only Category C. </w:t>
            </w:r>
            <w:r w:rsidR="005E4DB9">
              <w:rPr>
                <w:rFonts w:ascii="Arial" w:hAnsi="Arial" w:cs="Arial"/>
                <w:sz w:val="20"/>
                <w:szCs w:val="20"/>
              </w:rPr>
              <w:t>sub-loans</w:t>
            </w:r>
            <w:r>
              <w:rPr>
                <w:rFonts w:ascii="Arial" w:hAnsi="Arial" w:cs="Arial"/>
                <w:sz w:val="20"/>
                <w:szCs w:val="20"/>
              </w:rPr>
              <w:t xml:space="preserve"> eligible to financing)</w:t>
            </w:r>
          </w:p>
        </w:tc>
        <w:tc>
          <w:tcPr>
            <w:tcW w:w="6817" w:type="dxa"/>
          </w:tcPr>
          <w:p w:rsidRPr="00EC694F" w:rsidR="00D859A6" w:rsidP="006F7063" w:rsidRDefault="007F4412" w14:paraId="6ABD5DEF"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7F4412" w:rsidTr="005E4DB9" w14:paraId="29999636" w14:textId="77777777">
        <w:trPr>
          <w:trHeight w:val="323"/>
        </w:trPr>
        <w:tc>
          <w:tcPr>
            <w:tcW w:w="2903" w:type="dxa"/>
            <w:shd w:val="clear" w:color="auto" w:fill="D9D9D9" w:themeFill="background1" w:themeFillShade="D9"/>
            <w:vAlign w:val="center"/>
          </w:tcPr>
          <w:p w:rsidRPr="00EC694F" w:rsidR="007F4412" w:rsidP="007F4412" w:rsidRDefault="007F4412" w14:paraId="397D37D9" w14:textId="77777777">
            <w:pPr>
              <w:tabs>
                <w:tab w:val="left" w:pos="3200"/>
              </w:tabs>
              <w:rPr>
                <w:rFonts w:ascii="Arial" w:hAnsi="Arial" w:cs="Arial"/>
                <w:sz w:val="20"/>
                <w:szCs w:val="20"/>
              </w:rPr>
            </w:pPr>
            <w:r w:rsidRPr="00EC694F">
              <w:rPr>
                <w:rFonts w:ascii="Arial" w:hAnsi="Arial" w:cs="Arial"/>
                <w:sz w:val="20"/>
                <w:szCs w:val="20"/>
              </w:rPr>
              <w:t>B.5 Social</w:t>
            </w:r>
          </w:p>
          <w:p w:rsidRPr="00EC694F" w:rsidR="007F4412" w:rsidP="007F4412" w:rsidRDefault="007F4412" w14:paraId="13D43FE6" w14:textId="77777777">
            <w:pPr>
              <w:tabs>
                <w:tab w:val="left" w:pos="3200"/>
              </w:tabs>
              <w:rPr>
                <w:rFonts w:ascii="Arial" w:hAnsi="Arial" w:cs="Arial"/>
                <w:sz w:val="20"/>
                <w:szCs w:val="20"/>
              </w:rPr>
            </w:pPr>
            <w:r w:rsidRPr="00EC694F">
              <w:rPr>
                <w:rFonts w:ascii="Arial" w:hAnsi="Arial" w:cs="Arial"/>
                <w:sz w:val="20"/>
                <w:szCs w:val="20"/>
              </w:rPr>
              <w:t>Assessment and Plans Requirements (including Livelihood Restauration Plan</w:t>
            </w:r>
            <w:r w:rsidRPr="00EC694F">
              <w:rPr>
                <w:rStyle w:val="FootnoteReference"/>
                <w:rFonts w:ascii="Arial" w:hAnsi="Arial" w:cs="Arial"/>
                <w:sz w:val="20"/>
                <w:szCs w:val="20"/>
              </w:rPr>
              <w:footnoteReference w:id="4"/>
            </w:r>
            <w:r w:rsidRPr="00EC694F">
              <w:rPr>
                <w:rFonts w:ascii="Arial" w:hAnsi="Arial" w:cs="Arial"/>
                <w:sz w:val="20"/>
                <w:szCs w:val="20"/>
              </w:rPr>
              <w:t>)</w:t>
            </w:r>
          </w:p>
        </w:tc>
        <w:tc>
          <w:tcPr>
            <w:tcW w:w="4050" w:type="dxa"/>
          </w:tcPr>
          <w:p w:rsidRPr="00EC694F" w:rsidR="007F4412" w:rsidP="007F4412" w:rsidRDefault="007F4412" w14:paraId="50A419A5" w14:textId="77777777">
            <w:pPr>
              <w:tabs>
                <w:tab w:val="left" w:pos="3200"/>
              </w:tabs>
              <w:jc w:val="both"/>
              <w:rPr>
                <w:rFonts w:ascii="Arial" w:hAnsi="Arial" w:cs="Arial"/>
                <w:sz w:val="20"/>
                <w:szCs w:val="20"/>
              </w:rPr>
            </w:pPr>
            <w:r>
              <w:rPr>
                <w:rFonts w:ascii="Arial" w:hAnsi="Arial" w:cs="Arial"/>
                <w:sz w:val="20"/>
                <w:szCs w:val="20"/>
              </w:rPr>
              <w:t xml:space="preserve">NA (B.13 and only Category C. </w:t>
            </w:r>
            <w:r w:rsidR="005E4DB9">
              <w:rPr>
                <w:rFonts w:ascii="Arial" w:hAnsi="Arial" w:cs="Arial"/>
                <w:sz w:val="20"/>
                <w:szCs w:val="20"/>
              </w:rPr>
              <w:t>sub-loans</w:t>
            </w:r>
            <w:r>
              <w:rPr>
                <w:rFonts w:ascii="Arial" w:hAnsi="Arial" w:cs="Arial"/>
                <w:sz w:val="20"/>
                <w:szCs w:val="20"/>
              </w:rPr>
              <w:t xml:space="preserve"> eligible to financing)</w:t>
            </w:r>
          </w:p>
        </w:tc>
        <w:tc>
          <w:tcPr>
            <w:tcW w:w="6817" w:type="dxa"/>
          </w:tcPr>
          <w:p w:rsidRPr="00EC694F" w:rsidR="007F4412" w:rsidP="007F4412" w:rsidRDefault="00F17196" w14:paraId="4278A688"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7F4412" w:rsidTr="005E4DB9" w14:paraId="06F73EF9" w14:textId="77777777">
        <w:trPr>
          <w:trHeight w:val="323"/>
        </w:trPr>
        <w:tc>
          <w:tcPr>
            <w:tcW w:w="2903" w:type="dxa"/>
            <w:shd w:val="clear" w:color="auto" w:fill="D9D9D9" w:themeFill="background1" w:themeFillShade="D9"/>
            <w:vAlign w:val="center"/>
          </w:tcPr>
          <w:p w:rsidRPr="00EC694F" w:rsidR="007F4412" w:rsidP="007F4412" w:rsidRDefault="007F4412" w14:paraId="04245130" w14:textId="77777777">
            <w:pPr>
              <w:tabs>
                <w:tab w:val="left" w:pos="3200"/>
              </w:tabs>
              <w:rPr>
                <w:rFonts w:ascii="Arial" w:hAnsi="Arial" w:cs="Arial"/>
                <w:sz w:val="20"/>
                <w:szCs w:val="20"/>
              </w:rPr>
            </w:pPr>
            <w:r w:rsidRPr="00EC694F">
              <w:rPr>
                <w:rFonts w:ascii="Arial" w:hAnsi="Arial" w:cs="Arial"/>
                <w:sz w:val="20"/>
                <w:szCs w:val="20"/>
              </w:rPr>
              <w:t>B.6 Consultation (including consultation with affected women, indigenous persons, and/or minority groups)</w:t>
            </w:r>
          </w:p>
        </w:tc>
        <w:tc>
          <w:tcPr>
            <w:tcW w:w="4050" w:type="dxa"/>
          </w:tcPr>
          <w:p w:rsidRPr="00EC694F" w:rsidR="007F4412" w:rsidP="007F4412" w:rsidRDefault="007F4412" w14:paraId="004B616D" w14:textId="77777777">
            <w:pPr>
              <w:tabs>
                <w:tab w:val="left" w:pos="3200"/>
              </w:tabs>
              <w:jc w:val="both"/>
              <w:rPr>
                <w:rFonts w:ascii="Arial" w:hAnsi="Arial" w:cs="Arial"/>
                <w:sz w:val="20"/>
                <w:szCs w:val="20"/>
              </w:rPr>
            </w:pPr>
            <w:r>
              <w:rPr>
                <w:rFonts w:ascii="Arial" w:hAnsi="Arial" w:cs="Arial"/>
                <w:sz w:val="20"/>
                <w:szCs w:val="20"/>
              </w:rPr>
              <w:t xml:space="preserve">NA (B.13 and only Category C. </w:t>
            </w:r>
            <w:r w:rsidR="005E4DB9">
              <w:rPr>
                <w:rFonts w:ascii="Arial" w:hAnsi="Arial" w:cs="Arial"/>
                <w:sz w:val="20"/>
                <w:szCs w:val="20"/>
              </w:rPr>
              <w:t>sub-loans</w:t>
            </w:r>
            <w:r>
              <w:rPr>
                <w:rFonts w:ascii="Arial" w:hAnsi="Arial" w:cs="Arial"/>
                <w:sz w:val="20"/>
                <w:szCs w:val="20"/>
              </w:rPr>
              <w:t xml:space="preserve"> eligible to financing)</w:t>
            </w:r>
          </w:p>
        </w:tc>
        <w:tc>
          <w:tcPr>
            <w:tcW w:w="6817" w:type="dxa"/>
          </w:tcPr>
          <w:p w:rsidRPr="00EC694F" w:rsidR="007F4412" w:rsidP="007F4412" w:rsidRDefault="00F17196" w14:paraId="66E554E8"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7F4412" w:rsidTr="005E4DB9" w14:paraId="6B51AF00" w14:textId="77777777">
        <w:trPr>
          <w:trHeight w:val="323"/>
        </w:trPr>
        <w:tc>
          <w:tcPr>
            <w:tcW w:w="2903" w:type="dxa"/>
            <w:shd w:val="clear" w:color="auto" w:fill="D9D9D9" w:themeFill="background1" w:themeFillShade="D9"/>
            <w:vAlign w:val="center"/>
          </w:tcPr>
          <w:p w:rsidRPr="00EC694F" w:rsidR="007F4412" w:rsidP="007F4412" w:rsidRDefault="007F4412" w14:paraId="56378D87" w14:textId="77777777">
            <w:pPr>
              <w:tabs>
                <w:tab w:val="left" w:pos="3200"/>
              </w:tabs>
              <w:rPr>
                <w:rFonts w:ascii="Arial" w:hAnsi="Arial" w:cs="Arial"/>
                <w:sz w:val="20"/>
                <w:szCs w:val="20"/>
              </w:rPr>
            </w:pPr>
            <w:r w:rsidRPr="00EC694F">
              <w:rPr>
                <w:rFonts w:ascii="Arial" w:hAnsi="Arial" w:cs="Arial"/>
                <w:sz w:val="20"/>
                <w:szCs w:val="20"/>
              </w:rPr>
              <w:t>B.7 Supervision and Compliance</w:t>
            </w:r>
          </w:p>
        </w:tc>
        <w:tc>
          <w:tcPr>
            <w:tcW w:w="4050" w:type="dxa"/>
          </w:tcPr>
          <w:p w:rsidRPr="00EC694F" w:rsidR="007F4412" w:rsidP="007F4412" w:rsidRDefault="00F17196" w14:paraId="2C3D614A" w14:textId="77777777">
            <w:pPr>
              <w:tabs>
                <w:tab w:val="left" w:pos="3200"/>
              </w:tabs>
              <w:jc w:val="both"/>
              <w:rPr>
                <w:rFonts w:ascii="Arial" w:hAnsi="Arial" w:cs="Arial"/>
                <w:sz w:val="20"/>
                <w:szCs w:val="20"/>
              </w:rPr>
            </w:pPr>
            <w:r>
              <w:rPr>
                <w:rFonts w:ascii="Arial" w:hAnsi="Arial" w:cs="Arial"/>
                <w:sz w:val="20"/>
                <w:szCs w:val="20"/>
              </w:rPr>
              <w:t>Compliance achievable through conditions in OR</w:t>
            </w:r>
          </w:p>
        </w:tc>
        <w:tc>
          <w:tcPr>
            <w:tcW w:w="6817" w:type="dxa"/>
          </w:tcPr>
          <w:p w:rsidRPr="00EC694F" w:rsidR="007F4412" w:rsidP="007F4412" w:rsidRDefault="00F17196" w14:paraId="49CA2747" w14:textId="77777777">
            <w:pPr>
              <w:tabs>
                <w:tab w:val="left" w:pos="3200"/>
              </w:tabs>
              <w:jc w:val="both"/>
              <w:rPr>
                <w:rFonts w:ascii="Arial" w:hAnsi="Arial" w:cs="Arial"/>
                <w:sz w:val="20"/>
                <w:szCs w:val="20"/>
              </w:rPr>
            </w:pPr>
            <w:r>
              <w:rPr>
                <w:rFonts w:ascii="Arial" w:hAnsi="Arial" w:cs="Arial"/>
                <w:sz w:val="20"/>
                <w:szCs w:val="20"/>
              </w:rPr>
              <w:t xml:space="preserve">The </w:t>
            </w:r>
            <w:r w:rsidR="00927C8B">
              <w:rPr>
                <w:rFonts w:ascii="Arial" w:hAnsi="Arial" w:cs="Arial"/>
                <w:sz w:val="20"/>
                <w:szCs w:val="20"/>
              </w:rPr>
              <w:t>SBDC</w:t>
            </w:r>
            <w:r>
              <w:rPr>
                <w:rFonts w:ascii="Arial" w:hAnsi="Arial" w:cs="Arial"/>
                <w:sz w:val="20"/>
                <w:szCs w:val="20"/>
              </w:rPr>
              <w:t xml:space="preserve"> will p</w:t>
            </w:r>
            <w:r w:rsidRPr="00F17196">
              <w:rPr>
                <w:rFonts w:ascii="Arial" w:hAnsi="Arial" w:cs="Arial"/>
                <w:sz w:val="20"/>
                <w:szCs w:val="20"/>
              </w:rPr>
              <w:t xml:space="preserve">resent to the IDB an Annual Environmental and Social Compliance Report (ESCR) with information on the </w:t>
            </w:r>
            <w:r w:rsidR="00927C8B">
              <w:rPr>
                <w:rFonts w:ascii="Arial" w:hAnsi="Arial" w:cs="Arial"/>
                <w:sz w:val="20"/>
                <w:szCs w:val="20"/>
              </w:rPr>
              <w:t>guarante</w:t>
            </w:r>
            <w:r w:rsidRPr="00F17196">
              <w:rPr>
                <w:rFonts w:ascii="Arial" w:hAnsi="Arial" w:cs="Arial"/>
                <w:sz w:val="20"/>
                <w:szCs w:val="20"/>
              </w:rPr>
              <w:t>ed portfolio and any particular risk issues identified, mitigation measures agreed with clients as well as compliance status.</w:t>
            </w:r>
          </w:p>
        </w:tc>
      </w:tr>
      <w:tr w:rsidRPr="00EC694F" w:rsidR="007F4412" w:rsidTr="005E4DB9" w14:paraId="4FC6155C" w14:textId="77777777">
        <w:trPr>
          <w:trHeight w:val="323"/>
        </w:trPr>
        <w:tc>
          <w:tcPr>
            <w:tcW w:w="2903" w:type="dxa"/>
            <w:shd w:val="clear" w:color="auto" w:fill="D9D9D9" w:themeFill="background1" w:themeFillShade="D9"/>
            <w:vAlign w:val="center"/>
          </w:tcPr>
          <w:p w:rsidRPr="00EC694F" w:rsidR="007F4412" w:rsidDel="00641735" w:rsidP="007F4412" w:rsidRDefault="007F4412" w14:paraId="37B37588" w14:textId="77777777">
            <w:pPr>
              <w:tabs>
                <w:tab w:val="left" w:pos="3200"/>
              </w:tabs>
              <w:rPr>
                <w:rFonts w:ascii="Arial" w:hAnsi="Arial" w:cs="Arial"/>
                <w:b/>
                <w:sz w:val="20"/>
                <w:szCs w:val="20"/>
              </w:rPr>
            </w:pPr>
            <w:r w:rsidRPr="00EC694F">
              <w:rPr>
                <w:rFonts w:ascii="Arial" w:hAnsi="Arial" w:cs="Arial"/>
                <w:sz w:val="20"/>
                <w:szCs w:val="20"/>
              </w:rPr>
              <w:t>B.8 Transboundary Impacts</w:t>
            </w:r>
          </w:p>
        </w:tc>
        <w:tc>
          <w:tcPr>
            <w:tcW w:w="4050" w:type="dxa"/>
          </w:tcPr>
          <w:p w:rsidRPr="00EC694F" w:rsidR="007F4412" w:rsidP="007F4412" w:rsidRDefault="00F17196" w14:paraId="7AB0B6D9"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7F4412" w:rsidP="007F4412" w:rsidRDefault="00F17196" w14:paraId="686397DE"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7F4412" w:rsidTr="005E4DB9" w14:paraId="30321DF6" w14:textId="77777777">
        <w:trPr>
          <w:trHeight w:val="323"/>
        </w:trPr>
        <w:tc>
          <w:tcPr>
            <w:tcW w:w="2903" w:type="dxa"/>
            <w:shd w:val="clear" w:color="auto" w:fill="D9D9D9" w:themeFill="background1" w:themeFillShade="D9"/>
            <w:vAlign w:val="center"/>
          </w:tcPr>
          <w:p w:rsidRPr="00EC694F" w:rsidR="007F4412" w:rsidDel="00641735" w:rsidP="007F4412" w:rsidRDefault="007F4412" w14:paraId="7D2E51F8" w14:textId="77777777">
            <w:pPr>
              <w:tabs>
                <w:tab w:val="left" w:pos="3200"/>
              </w:tabs>
              <w:rPr>
                <w:rFonts w:ascii="Arial" w:hAnsi="Arial" w:cs="Arial"/>
                <w:b/>
                <w:sz w:val="20"/>
                <w:szCs w:val="20"/>
              </w:rPr>
            </w:pPr>
            <w:r w:rsidRPr="00EC694F">
              <w:rPr>
                <w:rFonts w:ascii="Arial" w:hAnsi="Arial" w:cs="Arial"/>
                <w:sz w:val="20"/>
                <w:szCs w:val="20"/>
              </w:rPr>
              <w:t>B.9 Natural Habitats</w:t>
            </w:r>
          </w:p>
        </w:tc>
        <w:tc>
          <w:tcPr>
            <w:tcW w:w="4050" w:type="dxa"/>
          </w:tcPr>
          <w:p w:rsidRPr="00EC694F" w:rsidR="007F4412" w:rsidP="007F4412" w:rsidRDefault="007F4412" w14:paraId="750B9858"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7F4412" w:rsidP="007F4412" w:rsidRDefault="005E4DB9" w14:paraId="58E04E8B" w14:textId="77777777">
            <w:pPr>
              <w:tabs>
                <w:tab w:val="left" w:pos="3200"/>
              </w:tabs>
              <w:jc w:val="both"/>
              <w:rPr>
                <w:rFonts w:ascii="Arial" w:hAnsi="Arial" w:cs="Arial"/>
                <w:sz w:val="20"/>
                <w:szCs w:val="20"/>
              </w:rPr>
            </w:pPr>
            <w:r>
              <w:rPr>
                <w:rFonts w:ascii="Arial" w:hAnsi="Arial" w:cs="Arial"/>
                <w:sz w:val="20"/>
                <w:szCs w:val="20"/>
              </w:rPr>
              <w:t>S</w:t>
            </w:r>
            <w:r w:rsidRPr="005E4DB9">
              <w:rPr>
                <w:rFonts w:ascii="Arial" w:hAnsi="Arial" w:cs="Arial"/>
                <w:sz w:val="20"/>
                <w:szCs w:val="20"/>
              </w:rPr>
              <w:t>ub-loans located in established protected areas and cultural sites</w:t>
            </w:r>
            <w:r>
              <w:rPr>
                <w:rFonts w:ascii="Arial" w:hAnsi="Arial" w:cs="Arial"/>
                <w:sz w:val="20"/>
                <w:szCs w:val="20"/>
              </w:rPr>
              <w:t xml:space="preserve"> are excluded from financing</w:t>
            </w:r>
          </w:p>
        </w:tc>
      </w:tr>
      <w:tr w:rsidRPr="00EC694F" w:rsidR="007F4412" w:rsidTr="005E4DB9" w14:paraId="39882B1B" w14:textId="77777777">
        <w:trPr>
          <w:trHeight w:val="323"/>
        </w:trPr>
        <w:tc>
          <w:tcPr>
            <w:tcW w:w="2903" w:type="dxa"/>
            <w:shd w:val="clear" w:color="auto" w:fill="D9D9D9" w:themeFill="background1" w:themeFillShade="D9"/>
            <w:vAlign w:val="center"/>
          </w:tcPr>
          <w:p w:rsidRPr="00EC694F" w:rsidR="007F4412" w:rsidDel="00641735" w:rsidP="007F4412" w:rsidRDefault="007F4412" w14:paraId="0DB43CB0" w14:textId="77777777">
            <w:pPr>
              <w:tabs>
                <w:tab w:val="left" w:pos="3200"/>
              </w:tabs>
              <w:rPr>
                <w:rFonts w:ascii="Arial" w:hAnsi="Arial" w:cs="Arial"/>
                <w:b/>
                <w:sz w:val="20"/>
                <w:szCs w:val="20"/>
              </w:rPr>
            </w:pPr>
            <w:r w:rsidRPr="00EC694F">
              <w:rPr>
                <w:rFonts w:ascii="Arial" w:hAnsi="Arial" w:cs="Arial"/>
                <w:sz w:val="20"/>
                <w:szCs w:val="20"/>
              </w:rPr>
              <w:t>B.9 Invasive Species</w:t>
            </w:r>
          </w:p>
        </w:tc>
        <w:tc>
          <w:tcPr>
            <w:tcW w:w="4050" w:type="dxa"/>
          </w:tcPr>
          <w:p w:rsidRPr="00EC694F" w:rsidR="007F4412" w:rsidP="007F4412" w:rsidRDefault="005E4DB9" w14:paraId="5688E901"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7F4412" w:rsidP="007F4412" w:rsidRDefault="005E4DB9" w14:paraId="5D5FA6A0" w14:textId="77777777">
            <w:pPr>
              <w:tabs>
                <w:tab w:val="left" w:pos="3200"/>
              </w:tabs>
              <w:jc w:val="both"/>
              <w:rPr>
                <w:rFonts w:ascii="Arial" w:hAnsi="Arial" w:cs="Arial"/>
                <w:sz w:val="20"/>
                <w:szCs w:val="20"/>
              </w:rPr>
            </w:pPr>
            <w:r>
              <w:rPr>
                <w:rFonts w:ascii="Arial" w:hAnsi="Arial" w:cs="Arial"/>
                <w:sz w:val="20"/>
                <w:szCs w:val="20"/>
              </w:rPr>
              <w:t>Sub-loans involving the introduction of invasive species are excluded from financing</w:t>
            </w:r>
          </w:p>
        </w:tc>
      </w:tr>
      <w:tr w:rsidRPr="00EC694F" w:rsidR="005E4DB9" w:rsidTr="005E4DB9" w14:paraId="69290D5E"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37EA82A0" w14:textId="77777777">
            <w:pPr>
              <w:tabs>
                <w:tab w:val="left" w:pos="3200"/>
              </w:tabs>
              <w:rPr>
                <w:rFonts w:ascii="Arial" w:hAnsi="Arial" w:cs="Arial"/>
                <w:b/>
                <w:sz w:val="20"/>
                <w:szCs w:val="20"/>
              </w:rPr>
            </w:pPr>
            <w:r w:rsidRPr="00EC694F">
              <w:rPr>
                <w:rFonts w:ascii="Arial" w:hAnsi="Arial" w:cs="Arial"/>
                <w:sz w:val="20"/>
                <w:szCs w:val="20"/>
              </w:rPr>
              <w:t>B.9 Cultural Sites</w:t>
            </w:r>
          </w:p>
        </w:tc>
        <w:tc>
          <w:tcPr>
            <w:tcW w:w="4050" w:type="dxa"/>
          </w:tcPr>
          <w:p w:rsidRPr="00EC694F" w:rsidR="005E4DB9" w:rsidP="005E4DB9" w:rsidRDefault="005E4DB9" w14:paraId="3AA20978"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5E4DB9" w:rsidP="005E4DB9" w:rsidRDefault="005E4DB9" w14:paraId="75521629" w14:textId="77777777">
            <w:pPr>
              <w:tabs>
                <w:tab w:val="left" w:pos="3200"/>
              </w:tabs>
              <w:jc w:val="both"/>
              <w:rPr>
                <w:rFonts w:ascii="Arial" w:hAnsi="Arial" w:cs="Arial"/>
                <w:sz w:val="20"/>
                <w:szCs w:val="20"/>
              </w:rPr>
            </w:pPr>
            <w:r>
              <w:rPr>
                <w:rFonts w:ascii="Arial" w:hAnsi="Arial" w:cs="Arial"/>
                <w:sz w:val="20"/>
                <w:szCs w:val="20"/>
              </w:rPr>
              <w:t>S</w:t>
            </w:r>
            <w:r w:rsidRPr="005E4DB9">
              <w:rPr>
                <w:rFonts w:ascii="Arial" w:hAnsi="Arial" w:cs="Arial"/>
                <w:sz w:val="20"/>
                <w:szCs w:val="20"/>
              </w:rPr>
              <w:t>ub-loans located in established protected areas and cultural sites</w:t>
            </w:r>
            <w:r>
              <w:rPr>
                <w:rFonts w:ascii="Arial" w:hAnsi="Arial" w:cs="Arial"/>
                <w:sz w:val="20"/>
                <w:szCs w:val="20"/>
              </w:rPr>
              <w:t xml:space="preserve"> are excluded from financing</w:t>
            </w:r>
          </w:p>
        </w:tc>
      </w:tr>
      <w:tr w:rsidRPr="00EC694F" w:rsidR="005E4DB9" w:rsidTr="005E4DB9" w14:paraId="50C15C4D"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66F2AD55" w14:textId="77777777">
            <w:pPr>
              <w:tabs>
                <w:tab w:val="left" w:pos="3200"/>
              </w:tabs>
              <w:rPr>
                <w:rFonts w:ascii="Arial" w:hAnsi="Arial" w:cs="Arial"/>
                <w:b/>
                <w:sz w:val="20"/>
                <w:szCs w:val="20"/>
              </w:rPr>
            </w:pPr>
            <w:r w:rsidRPr="00EC694F">
              <w:rPr>
                <w:rFonts w:ascii="Arial" w:hAnsi="Arial" w:cs="Arial"/>
                <w:sz w:val="20"/>
                <w:szCs w:val="20"/>
              </w:rPr>
              <w:t>B.10 Hazardous Materials</w:t>
            </w:r>
          </w:p>
        </w:tc>
        <w:tc>
          <w:tcPr>
            <w:tcW w:w="4050" w:type="dxa"/>
          </w:tcPr>
          <w:p w:rsidRPr="00EC694F" w:rsidR="005E4DB9" w:rsidP="005E4DB9" w:rsidRDefault="005E4DB9" w14:paraId="06F07C16" w14:textId="77777777">
            <w:pPr>
              <w:tabs>
                <w:tab w:val="left" w:pos="3200"/>
              </w:tabs>
              <w:jc w:val="both"/>
              <w:rPr>
                <w:rFonts w:ascii="Arial" w:hAnsi="Arial" w:cs="Arial"/>
                <w:sz w:val="20"/>
                <w:szCs w:val="20"/>
              </w:rPr>
            </w:pPr>
            <w:r>
              <w:rPr>
                <w:rFonts w:ascii="Arial" w:hAnsi="Arial" w:cs="Arial"/>
                <w:sz w:val="20"/>
                <w:szCs w:val="20"/>
              </w:rPr>
              <w:t>Compliance achievable through conditions in OR</w:t>
            </w:r>
          </w:p>
        </w:tc>
        <w:tc>
          <w:tcPr>
            <w:tcW w:w="6817" w:type="dxa"/>
          </w:tcPr>
          <w:p w:rsidRPr="00EC694F" w:rsidR="005E4DB9" w:rsidP="005E4DB9" w:rsidRDefault="005E4DB9" w14:paraId="52D5022D" w14:textId="77777777">
            <w:pPr>
              <w:tabs>
                <w:tab w:val="left" w:pos="3200"/>
              </w:tabs>
              <w:jc w:val="both"/>
              <w:rPr>
                <w:rFonts w:ascii="Arial" w:hAnsi="Arial" w:cs="Arial"/>
                <w:sz w:val="20"/>
                <w:szCs w:val="20"/>
              </w:rPr>
            </w:pPr>
            <w:r>
              <w:rPr>
                <w:rFonts w:ascii="Arial" w:hAnsi="Arial" w:cs="Arial"/>
                <w:sz w:val="20"/>
                <w:szCs w:val="20"/>
              </w:rPr>
              <w:t xml:space="preserve">The </w:t>
            </w:r>
            <w:r w:rsidR="00927C8B">
              <w:rPr>
                <w:rFonts w:ascii="Arial" w:hAnsi="Arial" w:cs="Arial"/>
                <w:sz w:val="20"/>
                <w:szCs w:val="20"/>
              </w:rPr>
              <w:t>SBDC</w:t>
            </w:r>
            <w:r>
              <w:rPr>
                <w:rFonts w:ascii="Arial" w:hAnsi="Arial" w:cs="Arial"/>
                <w:sz w:val="20"/>
                <w:szCs w:val="20"/>
              </w:rPr>
              <w:t xml:space="preserve"> will require affidavit from the sub-borrower for appropriate management of hazardous materials</w:t>
            </w:r>
          </w:p>
        </w:tc>
      </w:tr>
      <w:tr w:rsidRPr="00EC694F" w:rsidR="005E4DB9" w:rsidTr="005E4DB9" w14:paraId="330B4AB3"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24FEDBA7" w14:textId="77777777">
            <w:pPr>
              <w:tabs>
                <w:tab w:val="left" w:pos="3200"/>
              </w:tabs>
              <w:rPr>
                <w:rFonts w:ascii="Arial" w:hAnsi="Arial" w:cs="Arial"/>
                <w:b/>
                <w:sz w:val="20"/>
                <w:szCs w:val="20"/>
              </w:rPr>
            </w:pPr>
            <w:r w:rsidRPr="00EC694F">
              <w:rPr>
                <w:rFonts w:ascii="Arial" w:hAnsi="Arial" w:cs="Arial"/>
                <w:sz w:val="20"/>
                <w:szCs w:val="20"/>
              </w:rPr>
              <w:lastRenderedPageBreak/>
              <w:t>B.11 Pollution Prevention &amp; Abatement</w:t>
            </w:r>
          </w:p>
        </w:tc>
        <w:tc>
          <w:tcPr>
            <w:tcW w:w="4050" w:type="dxa"/>
          </w:tcPr>
          <w:p w:rsidRPr="00EC694F" w:rsidR="005E4DB9" w:rsidP="005E4DB9" w:rsidRDefault="005E4DB9" w14:paraId="603D5BCD" w14:textId="77777777">
            <w:pPr>
              <w:tabs>
                <w:tab w:val="left" w:pos="3200"/>
              </w:tabs>
              <w:jc w:val="both"/>
              <w:rPr>
                <w:rFonts w:ascii="Arial" w:hAnsi="Arial" w:cs="Arial"/>
                <w:sz w:val="20"/>
                <w:szCs w:val="20"/>
              </w:rPr>
            </w:pPr>
            <w:r>
              <w:rPr>
                <w:rFonts w:ascii="Arial" w:hAnsi="Arial" w:cs="Arial"/>
                <w:sz w:val="20"/>
                <w:szCs w:val="20"/>
              </w:rPr>
              <w:t>Compliance achievable through conditions in OR</w:t>
            </w:r>
          </w:p>
        </w:tc>
        <w:tc>
          <w:tcPr>
            <w:tcW w:w="6817" w:type="dxa"/>
          </w:tcPr>
          <w:p w:rsidRPr="00EC694F" w:rsidR="005E4DB9" w:rsidP="005E4DB9" w:rsidRDefault="005E4DB9" w14:paraId="2CF7A1EA" w14:textId="77777777">
            <w:pPr>
              <w:tabs>
                <w:tab w:val="left" w:pos="3200"/>
              </w:tabs>
              <w:jc w:val="both"/>
              <w:rPr>
                <w:rFonts w:ascii="Arial" w:hAnsi="Arial" w:cs="Arial"/>
                <w:sz w:val="20"/>
                <w:szCs w:val="20"/>
              </w:rPr>
            </w:pPr>
            <w:r>
              <w:rPr>
                <w:rFonts w:ascii="Arial" w:hAnsi="Arial" w:cs="Arial"/>
                <w:sz w:val="20"/>
                <w:szCs w:val="20"/>
              </w:rPr>
              <w:t xml:space="preserve">The </w:t>
            </w:r>
            <w:r w:rsidR="00927C8B">
              <w:rPr>
                <w:rFonts w:ascii="Arial" w:hAnsi="Arial" w:cs="Arial"/>
                <w:sz w:val="20"/>
                <w:szCs w:val="20"/>
              </w:rPr>
              <w:t>SBDC</w:t>
            </w:r>
            <w:r>
              <w:rPr>
                <w:rFonts w:ascii="Arial" w:hAnsi="Arial" w:cs="Arial"/>
                <w:sz w:val="20"/>
                <w:szCs w:val="20"/>
              </w:rPr>
              <w:t xml:space="preserve"> will require affidavit from the sub-borrower for appropriate disposal of waste</w:t>
            </w:r>
          </w:p>
        </w:tc>
      </w:tr>
      <w:tr w:rsidRPr="00EC694F" w:rsidR="005E4DB9" w:rsidTr="005E4DB9" w14:paraId="10A52366"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533D93D0" w14:textId="77777777">
            <w:pPr>
              <w:tabs>
                <w:tab w:val="left" w:pos="3200"/>
              </w:tabs>
              <w:rPr>
                <w:rFonts w:ascii="Arial" w:hAnsi="Arial" w:cs="Arial"/>
                <w:b/>
                <w:sz w:val="20"/>
                <w:szCs w:val="20"/>
              </w:rPr>
            </w:pPr>
            <w:r w:rsidRPr="00EC694F">
              <w:rPr>
                <w:rFonts w:ascii="Arial" w:hAnsi="Arial" w:cs="Arial"/>
                <w:sz w:val="20"/>
                <w:szCs w:val="20"/>
              </w:rPr>
              <w:t>B.12 Projects under Construction</w:t>
            </w:r>
          </w:p>
        </w:tc>
        <w:tc>
          <w:tcPr>
            <w:tcW w:w="4050" w:type="dxa"/>
          </w:tcPr>
          <w:p w:rsidRPr="00A53E28" w:rsidR="005E4DB9" w:rsidP="005E4DB9" w:rsidRDefault="005E4DB9" w14:paraId="7C5C63C8" w14:textId="77777777">
            <w:pPr>
              <w:tabs>
                <w:tab w:val="left" w:pos="3200"/>
              </w:tabs>
              <w:jc w:val="both"/>
              <w:rPr>
                <w:rFonts w:ascii="Arial" w:hAnsi="Arial" w:cs="Arial"/>
                <w:sz w:val="20"/>
                <w:szCs w:val="20"/>
              </w:rPr>
            </w:pPr>
            <w:r w:rsidRPr="00A53E28">
              <w:rPr>
                <w:rFonts w:ascii="Arial" w:hAnsi="Arial" w:cs="Arial"/>
                <w:sz w:val="20"/>
                <w:szCs w:val="20"/>
              </w:rPr>
              <w:t>NA</w:t>
            </w:r>
          </w:p>
        </w:tc>
        <w:tc>
          <w:tcPr>
            <w:tcW w:w="6817" w:type="dxa"/>
          </w:tcPr>
          <w:p w:rsidRPr="00A53E28" w:rsidR="005E4DB9" w:rsidP="005E4DB9" w:rsidRDefault="005E4DB9" w14:paraId="7F6CEBF5" w14:textId="77777777">
            <w:pPr>
              <w:tabs>
                <w:tab w:val="left" w:pos="3200"/>
              </w:tabs>
              <w:jc w:val="both"/>
              <w:rPr>
                <w:rFonts w:ascii="Arial" w:hAnsi="Arial" w:cs="Arial"/>
                <w:sz w:val="20"/>
                <w:szCs w:val="20"/>
              </w:rPr>
            </w:pPr>
            <w:r w:rsidRPr="00A53E28">
              <w:rPr>
                <w:rFonts w:ascii="Arial" w:hAnsi="Arial" w:cs="Arial"/>
                <w:sz w:val="20"/>
                <w:szCs w:val="20"/>
              </w:rPr>
              <w:t>NA</w:t>
            </w:r>
          </w:p>
        </w:tc>
      </w:tr>
      <w:tr w:rsidRPr="00EC694F" w:rsidR="005E4DB9" w:rsidTr="005E4DB9" w14:paraId="0E0B241E"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2A4BAA3E" w14:textId="77777777">
            <w:pPr>
              <w:tabs>
                <w:tab w:val="left" w:pos="3200"/>
              </w:tabs>
              <w:rPr>
                <w:rFonts w:ascii="Arial" w:hAnsi="Arial" w:cs="Arial"/>
                <w:b/>
                <w:sz w:val="20"/>
                <w:szCs w:val="20"/>
              </w:rPr>
            </w:pPr>
            <w:r w:rsidRPr="00EC694F">
              <w:rPr>
                <w:rFonts w:ascii="Arial" w:hAnsi="Arial" w:cs="Arial"/>
                <w:sz w:val="20"/>
                <w:szCs w:val="20"/>
              </w:rPr>
              <w:t>B.13 Noninvestment Lending and Flexible Lending Instruments</w:t>
            </w:r>
          </w:p>
        </w:tc>
        <w:tc>
          <w:tcPr>
            <w:tcW w:w="4050" w:type="dxa"/>
          </w:tcPr>
          <w:p w:rsidRPr="005E4DB9" w:rsidR="005E4DB9" w:rsidP="005E4DB9" w:rsidRDefault="005E4DB9" w14:paraId="33CECA1E" w14:textId="77777777">
            <w:pPr>
              <w:tabs>
                <w:tab w:val="left" w:pos="3200"/>
              </w:tabs>
              <w:jc w:val="both"/>
              <w:rPr>
                <w:rFonts w:ascii="Arial" w:hAnsi="Arial" w:cs="Arial"/>
                <w:sz w:val="20"/>
                <w:szCs w:val="20"/>
              </w:rPr>
            </w:pPr>
            <w:r w:rsidRPr="005E4DB9">
              <w:rPr>
                <w:rFonts w:ascii="Arial" w:hAnsi="Arial" w:cs="Arial"/>
                <w:sz w:val="20"/>
                <w:szCs w:val="20"/>
              </w:rPr>
              <w:t>Full compliance achieved</w:t>
            </w:r>
          </w:p>
        </w:tc>
        <w:tc>
          <w:tcPr>
            <w:tcW w:w="6817" w:type="dxa"/>
          </w:tcPr>
          <w:p w:rsidRPr="00A53E28" w:rsidR="005E4DB9" w:rsidP="005E4DB9" w:rsidRDefault="005E4DB9" w14:paraId="1F2CA037" w14:textId="77777777">
            <w:pPr>
              <w:tabs>
                <w:tab w:val="left" w:pos="3200"/>
              </w:tabs>
              <w:jc w:val="both"/>
              <w:rPr>
                <w:rFonts w:ascii="Arial" w:hAnsi="Arial" w:cs="Arial"/>
                <w:sz w:val="20"/>
                <w:szCs w:val="20"/>
              </w:rPr>
            </w:pPr>
            <w:r w:rsidRPr="00A53E28">
              <w:rPr>
                <w:rFonts w:ascii="Arial" w:hAnsi="Arial" w:cs="Arial"/>
                <w:sz w:val="20"/>
                <w:szCs w:val="20"/>
              </w:rPr>
              <w:t xml:space="preserve">Financial intermediation under B.13. The team assessed the E&amp;S risks of potential portfolio and EA capacity. An ESMS (set of requirements) has been designed and will be integrated in the </w:t>
            </w:r>
            <w:r w:rsidRPr="00D62154" w:rsidR="00D62154">
              <w:rPr>
                <w:rFonts w:ascii="Arial" w:hAnsi="Arial" w:cs="Arial"/>
                <w:sz w:val="20"/>
                <w:szCs w:val="20"/>
              </w:rPr>
              <w:t xml:space="preserve">Program </w:t>
            </w:r>
            <w:r w:rsidR="00927C8B">
              <w:rPr>
                <w:rFonts w:ascii="Arial" w:hAnsi="Arial" w:cs="Arial"/>
                <w:sz w:val="20"/>
                <w:szCs w:val="20"/>
              </w:rPr>
              <w:t>OR</w:t>
            </w:r>
            <w:r w:rsidRPr="00A53E28">
              <w:rPr>
                <w:rFonts w:ascii="Arial" w:hAnsi="Arial" w:cs="Arial"/>
                <w:sz w:val="20"/>
                <w:szCs w:val="20"/>
              </w:rPr>
              <w:t xml:space="preserve"> </w:t>
            </w:r>
          </w:p>
        </w:tc>
      </w:tr>
      <w:tr w:rsidRPr="00EC694F" w:rsidR="005E4DB9" w:rsidTr="005E4DB9" w14:paraId="5EF51D19"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5C7546F9" w14:textId="77777777">
            <w:pPr>
              <w:tabs>
                <w:tab w:val="left" w:pos="3200"/>
              </w:tabs>
              <w:rPr>
                <w:rFonts w:ascii="Arial" w:hAnsi="Arial" w:cs="Arial"/>
                <w:b/>
                <w:sz w:val="20"/>
                <w:szCs w:val="20"/>
              </w:rPr>
            </w:pPr>
            <w:r w:rsidRPr="00EC694F">
              <w:rPr>
                <w:rFonts w:ascii="Arial" w:hAnsi="Arial" w:cs="Arial"/>
                <w:sz w:val="20"/>
                <w:szCs w:val="20"/>
              </w:rPr>
              <w:t>B.14 Multiple Phase and Repeat Loans</w:t>
            </w:r>
          </w:p>
        </w:tc>
        <w:tc>
          <w:tcPr>
            <w:tcW w:w="4050" w:type="dxa"/>
          </w:tcPr>
          <w:p w:rsidRPr="005E4DB9" w:rsidR="005E4DB9" w:rsidP="005E4DB9" w:rsidRDefault="005E4DB9" w14:paraId="1A30A184" w14:textId="77777777">
            <w:pPr>
              <w:tabs>
                <w:tab w:val="left" w:pos="3200"/>
              </w:tabs>
              <w:jc w:val="both"/>
              <w:rPr>
                <w:rFonts w:ascii="Arial" w:hAnsi="Arial" w:cs="Arial"/>
                <w:sz w:val="20"/>
                <w:szCs w:val="20"/>
              </w:rPr>
            </w:pPr>
            <w:r w:rsidRPr="005E4DB9">
              <w:rPr>
                <w:rFonts w:ascii="Arial" w:hAnsi="Arial" w:cs="Arial"/>
                <w:sz w:val="20"/>
                <w:szCs w:val="20"/>
              </w:rPr>
              <w:t>NA</w:t>
            </w:r>
          </w:p>
        </w:tc>
        <w:tc>
          <w:tcPr>
            <w:tcW w:w="6817" w:type="dxa"/>
          </w:tcPr>
          <w:p w:rsidRPr="005E4DB9" w:rsidR="005E4DB9" w:rsidP="005E4DB9" w:rsidRDefault="005E4DB9" w14:paraId="56B0FD60" w14:textId="77777777">
            <w:pPr>
              <w:tabs>
                <w:tab w:val="left" w:pos="3200"/>
              </w:tabs>
              <w:jc w:val="both"/>
              <w:rPr>
                <w:rFonts w:ascii="Arial" w:hAnsi="Arial" w:cs="Arial"/>
                <w:sz w:val="20"/>
                <w:szCs w:val="20"/>
              </w:rPr>
            </w:pPr>
            <w:r w:rsidRPr="005E4DB9">
              <w:rPr>
                <w:rFonts w:ascii="Arial" w:hAnsi="Arial" w:cs="Arial"/>
                <w:sz w:val="20"/>
                <w:szCs w:val="20"/>
              </w:rPr>
              <w:t>NA</w:t>
            </w:r>
          </w:p>
        </w:tc>
      </w:tr>
      <w:tr w:rsidRPr="00EC694F" w:rsidR="005E4DB9" w:rsidTr="005E4DB9" w14:paraId="08C9BA69"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7C6A1E05" w14:textId="77777777">
            <w:pPr>
              <w:tabs>
                <w:tab w:val="left" w:pos="3200"/>
              </w:tabs>
              <w:rPr>
                <w:rFonts w:ascii="Arial" w:hAnsi="Arial" w:cs="Arial"/>
                <w:b/>
                <w:sz w:val="20"/>
                <w:szCs w:val="20"/>
              </w:rPr>
            </w:pPr>
            <w:r w:rsidRPr="00EC694F">
              <w:rPr>
                <w:rFonts w:ascii="Arial" w:hAnsi="Arial" w:cs="Arial"/>
                <w:sz w:val="20"/>
                <w:szCs w:val="20"/>
              </w:rPr>
              <w:t>B.15 Co-financing Operations</w:t>
            </w:r>
          </w:p>
        </w:tc>
        <w:tc>
          <w:tcPr>
            <w:tcW w:w="4050" w:type="dxa"/>
          </w:tcPr>
          <w:p w:rsidRPr="005E4DB9" w:rsidR="005E4DB9" w:rsidP="005E4DB9" w:rsidRDefault="005E4DB9" w14:paraId="0E0EB322" w14:textId="77777777">
            <w:pPr>
              <w:tabs>
                <w:tab w:val="left" w:pos="3200"/>
              </w:tabs>
              <w:jc w:val="both"/>
              <w:rPr>
                <w:rFonts w:ascii="Arial" w:hAnsi="Arial" w:cs="Arial"/>
                <w:sz w:val="20"/>
                <w:szCs w:val="20"/>
              </w:rPr>
            </w:pPr>
            <w:r w:rsidRPr="005E4DB9">
              <w:rPr>
                <w:rFonts w:ascii="Arial" w:hAnsi="Arial" w:cs="Arial"/>
                <w:sz w:val="20"/>
                <w:szCs w:val="20"/>
              </w:rPr>
              <w:t>NA</w:t>
            </w:r>
          </w:p>
        </w:tc>
        <w:tc>
          <w:tcPr>
            <w:tcW w:w="6817" w:type="dxa"/>
          </w:tcPr>
          <w:p w:rsidRPr="005E4DB9" w:rsidR="005E4DB9" w:rsidP="005E4DB9" w:rsidRDefault="005E4DB9" w14:paraId="64FAE901" w14:textId="77777777">
            <w:pPr>
              <w:tabs>
                <w:tab w:val="left" w:pos="3200"/>
              </w:tabs>
              <w:jc w:val="both"/>
              <w:rPr>
                <w:rFonts w:ascii="Arial" w:hAnsi="Arial" w:cs="Arial"/>
                <w:sz w:val="20"/>
                <w:szCs w:val="20"/>
              </w:rPr>
            </w:pPr>
            <w:r w:rsidRPr="005E4DB9">
              <w:rPr>
                <w:rFonts w:ascii="Arial" w:hAnsi="Arial" w:cs="Arial"/>
                <w:sz w:val="20"/>
                <w:szCs w:val="20"/>
              </w:rPr>
              <w:t>NA</w:t>
            </w:r>
          </w:p>
        </w:tc>
      </w:tr>
      <w:tr w:rsidRPr="00EC694F" w:rsidR="005E4DB9" w:rsidTr="005E4DB9" w14:paraId="62BA2F93"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3E0108F7" w14:textId="77777777">
            <w:pPr>
              <w:tabs>
                <w:tab w:val="left" w:pos="3200"/>
              </w:tabs>
              <w:rPr>
                <w:rFonts w:ascii="Arial" w:hAnsi="Arial" w:cs="Arial"/>
                <w:b/>
                <w:sz w:val="20"/>
                <w:szCs w:val="20"/>
              </w:rPr>
            </w:pPr>
            <w:r w:rsidRPr="00EC694F">
              <w:rPr>
                <w:rFonts w:ascii="Arial" w:hAnsi="Arial" w:cs="Arial"/>
                <w:sz w:val="20"/>
                <w:szCs w:val="20"/>
              </w:rPr>
              <w:t>B.16 In-Country Systems</w:t>
            </w:r>
          </w:p>
        </w:tc>
        <w:tc>
          <w:tcPr>
            <w:tcW w:w="4050" w:type="dxa"/>
          </w:tcPr>
          <w:p w:rsidRPr="005E4DB9" w:rsidR="005E4DB9" w:rsidP="005E4DB9" w:rsidRDefault="005E4DB9" w14:paraId="48C1B5C2" w14:textId="77777777">
            <w:pPr>
              <w:tabs>
                <w:tab w:val="left" w:pos="3200"/>
              </w:tabs>
              <w:jc w:val="both"/>
              <w:rPr>
                <w:rFonts w:ascii="Arial" w:hAnsi="Arial" w:cs="Arial"/>
                <w:sz w:val="20"/>
                <w:szCs w:val="20"/>
              </w:rPr>
            </w:pPr>
            <w:r w:rsidRPr="005E4DB9">
              <w:rPr>
                <w:rFonts w:ascii="Arial" w:hAnsi="Arial" w:cs="Arial"/>
                <w:sz w:val="20"/>
                <w:szCs w:val="20"/>
              </w:rPr>
              <w:t>NA</w:t>
            </w:r>
          </w:p>
        </w:tc>
        <w:tc>
          <w:tcPr>
            <w:tcW w:w="6817" w:type="dxa"/>
          </w:tcPr>
          <w:p w:rsidRPr="005E4DB9" w:rsidR="005E4DB9" w:rsidP="005E4DB9" w:rsidRDefault="005E4DB9" w14:paraId="4A66BF00" w14:textId="77777777">
            <w:pPr>
              <w:tabs>
                <w:tab w:val="left" w:pos="3200"/>
              </w:tabs>
              <w:jc w:val="both"/>
              <w:rPr>
                <w:rFonts w:ascii="Arial" w:hAnsi="Arial" w:cs="Arial"/>
                <w:sz w:val="20"/>
                <w:szCs w:val="20"/>
              </w:rPr>
            </w:pPr>
            <w:r w:rsidRPr="005E4DB9">
              <w:rPr>
                <w:rFonts w:ascii="Arial" w:hAnsi="Arial" w:cs="Arial"/>
                <w:sz w:val="20"/>
                <w:szCs w:val="20"/>
              </w:rPr>
              <w:t>NA</w:t>
            </w:r>
          </w:p>
        </w:tc>
      </w:tr>
      <w:tr w:rsidRPr="00EC694F" w:rsidR="005E4DB9" w:rsidTr="005E4DB9" w14:paraId="420592EA"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1BC00CAC" w14:textId="77777777">
            <w:pPr>
              <w:tabs>
                <w:tab w:val="left" w:pos="3200"/>
              </w:tabs>
              <w:rPr>
                <w:rFonts w:ascii="Arial" w:hAnsi="Arial" w:cs="Arial"/>
                <w:b/>
                <w:sz w:val="20"/>
                <w:szCs w:val="20"/>
              </w:rPr>
            </w:pPr>
            <w:r w:rsidRPr="00EC694F">
              <w:rPr>
                <w:rFonts w:ascii="Arial" w:hAnsi="Arial" w:cs="Arial"/>
                <w:sz w:val="20"/>
                <w:szCs w:val="20"/>
              </w:rPr>
              <w:t>B.17 Procurement</w:t>
            </w:r>
          </w:p>
        </w:tc>
        <w:tc>
          <w:tcPr>
            <w:tcW w:w="4050" w:type="dxa"/>
          </w:tcPr>
          <w:p w:rsidRPr="005E4DB9" w:rsidR="005E4DB9" w:rsidP="005E4DB9" w:rsidRDefault="005E4DB9" w14:paraId="31B2D609" w14:textId="77777777">
            <w:pPr>
              <w:tabs>
                <w:tab w:val="left" w:pos="3200"/>
              </w:tabs>
              <w:jc w:val="both"/>
              <w:rPr>
                <w:rFonts w:ascii="Arial" w:hAnsi="Arial" w:cs="Arial"/>
                <w:sz w:val="20"/>
                <w:szCs w:val="20"/>
              </w:rPr>
            </w:pPr>
            <w:r w:rsidRPr="005E4DB9">
              <w:rPr>
                <w:rFonts w:ascii="Arial" w:hAnsi="Arial" w:cs="Arial"/>
                <w:sz w:val="20"/>
                <w:szCs w:val="20"/>
              </w:rPr>
              <w:t>NA</w:t>
            </w:r>
          </w:p>
        </w:tc>
        <w:tc>
          <w:tcPr>
            <w:tcW w:w="6817" w:type="dxa"/>
          </w:tcPr>
          <w:p w:rsidRPr="005E4DB9" w:rsidR="005E4DB9" w:rsidP="005E4DB9" w:rsidRDefault="00927C8B" w14:paraId="34C9EFE9" w14:textId="77777777">
            <w:pPr>
              <w:tabs>
                <w:tab w:val="left" w:pos="3200"/>
              </w:tabs>
              <w:jc w:val="both"/>
              <w:rPr>
                <w:rFonts w:ascii="Arial" w:hAnsi="Arial" w:cs="Arial"/>
                <w:sz w:val="20"/>
                <w:szCs w:val="20"/>
              </w:rPr>
            </w:pPr>
            <w:r>
              <w:rPr>
                <w:rFonts w:ascii="Arial" w:hAnsi="Arial" w:cs="Arial"/>
                <w:sz w:val="20"/>
                <w:szCs w:val="20"/>
              </w:rPr>
              <w:t xml:space="preserve">Contracting processes for external advisors and accountants in </w:t>
            </w:r>
            <w:r w:rsidRPr="005E4DB9" w:rsidR="005E4DB9">
              <w:rPr>
                <w:rFonts w:ascii="Arial" w:hAnsi="Arial" w:cs="Arial"/>
                <w:sz w:val="20"/>
                <w:szCs w:val="20"/>
              </w:rPr>
              <w:t xml:space="preserve">Component </w:t>
            </w:r>
            <w:r>
              <w:rPr>
                <w:rFonts w:ascii="Arial" w:hAnsi="Arial" w:cs="Arial"/>
                <w:sz w:val="20"/>
                <w:szCs w:val="20"/>
              </w:rPr>
              <w:t>2 will comply with the IDB safeguards</w:t>
            </w:r>
            <w:r w:rsidRPr="005E4DB9" w:rsidR="005E4DB9">
              <w:rPr>
                <w:rFonts w:ascii="Arial" w:hAnsi="Arial" w:cs="Arial"/>
                <w:sz w:val="20"/>
                <w:szCs w:val="20"/>
              </w:rPr>
              <w:t xml:space="preserve">. </w:t>
            </w:r>
          </w:p>
        </w:tc>
      </w:tr>
      <w:tr w:rsidRPr="00EC694F" w:rsidR="005E4DB9" w:rsidTr="005E4DB9" w14:paraId="77CBCDE6" w14:textId="77777777">
        <w:trPr>
          <w:trHeight w:val="323"/>
        </w:trPr>
        <w:tc>
          <w:tcPr>
            <w:tcW w:w="13770" w:type="dxa"/>
            <w:gridSpan w:val="3"/>
            <w:shd w:val="clear" w:color="auto" w:fill="D9D9D9" w:themeFill="background1" w:themeFillShade="D9"/>
            <w:vAlign w:val="center"/>
          </w:tcPr>
          <w:p w:rsidRPr="00EC694F" w:rsidR="005E4DB9" w:rsidP="005E4DB9" w:rsidRDefault="005E4DB9" w14:paraId="6AE1E99B" w14:textId="77777777">
            <w:pPr>
              <w:tabs>
                <w:tab w:val="left" w:pos="3200"/>
              </w:tabs>
              <w:jc w:val="both"/>
              <w:rPr>
                <w:rFonts w:ascii="Arial" w:hAnsi="Arial" w:cs="Arial"/>
                <w:sz w:val="20"/>
                <w:szCs w:val="20"/>
              </w:rPr>
            </w:pPr>
            <w:r w:rsidRPr="00EC694F">
              <w:rPr>
                <w:rFonts w:ascii="Arial" w:hAnsi="Arial" w:cs="Arial"/>
                <w:b/>
                <w:sz w:val="20"/>
                <w:szCs w:val="20"/>
              </w:rPr>
              <w:t>OP-704 Natural Disaster Risk Management Policy</w:t>
            </w:r>
          </w:p>
        </w:tc>
      </w:tr>
      <w:tr w:rsidRPr="00EC694F" w:rsidR="005E4DB9" w:rsidTr="005E4DB9" w14:paraId="473433D3"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60A6F4A7" w14:textId="77777777">
            <w:pPr>
              <w:tabs>
                <w:tab w:val="left" w:pos="3200"/>
              </w:tabs>
              <w:rPr>
                <w:rFonts w:ascii="Arial" w:hAnsi="Arial" w:cs="Arial"/>
                <w:b/>
                <w:sz w:val="20"/>
                <w:szCs w:val="20"/>
              </w:rPr>
            </w:pPr>
            <w:r w:rsidRPr="00EC694F">
              <w:rPr>
                <w:rFonts w:ascii="Arial" w:hAnsi="Arial" w:cs="Arial"/>
                <w:sz w:val="20"/>
                <w:szCs w:val="20"/>
              </w:rPr>
              <w:t>A.2 Analysis and, if necessary, management of Type 2 risk</w:t>
            </w:r>
            <w:r w:rsidRPr="00EC694F">
              <w:rPr>
                <w:rStyle w:val="FootnoteReference"/>
                <w:rFonts w:ascii="Arial" w:hAnsi="Arial" w:cs="Arial"/>
                <w:sz w:val="20"/>
                <w:szCs w:val="20"/>
              </w:rPr>
              <w:footnoteReference w:id="5"/>
            </w:r>
            <w:r w:rsidRPr="00EC694F">
              <w:rPr>
                <w:rFonts w:ascii="Arial" w:hAnsi="Arial" w:cs="Arial"/>
                <w:sz w:val="20"/>
                <w:szCs w:val="20"/>
              </w:rPr>
              <w:t xml:space="preserve"> scenario</w:t>
            </w:r>
          </w:p>
        </w:tc>
        <w:tc>
          <w:tcPr>
            <w:tcW w:w="4050" w:type="dxa"/>
          </w:tcPr>
          <w:p w:rsidRPr="00EC694F" w:rsidR="005E4DB9" w:rsidP="005E4DB9" w:rsidRDefault="00A53E28" w14:paraId="00048D81" w14:textId="77777777">
            <w:pPr>
              <w:tabs>
                <w:tab w:val="left" w:pos="3200"/>
              </w:tabs>
              <w:jc w:val="both"/>
              <w:rPr>
                <w:rFonts w:ascii="Arial" w:hAnsi="Arial" w:cs="Arial"/>
                <w:i/>
                <w:sz w:val="20"/>
                <w:szCs w:val="20"/>
              </w:rPr>
            </w:pPr>
            <w:r>
              <w:rPr>
                <w:rFonts w:ascii="Arial" w:hAnsi="Arial" w:cs="Arial"/>
                <w:i/>
                <w:sz w:val="20"/>
                <w:szCs w:val="20"/>
              </w:rPr>
              <w:t>NA</w:t>
            </w:r>
          </w:p>
        </w:tc>
        <w:tc>
          <w:tcPr>
            <w:tcW w:w="6817" w:type="dxa"/>
          </w:tcPr>
          <w:p w:rsidRPr="00EC694F" w:rsidR="005E4DB9" w:rsidP="005E4DB9" w:rsidRDefault="00A53E28" w14:paraId="49B53161"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5E4DB9" w:rsidTr="005E4DB9" w14:paraId="5B57A0FC"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38B50855" w14:textId="77777777">
            <w:pPr>
              <w:tabs>
                <w:tab w:val="left" w:pos="3200"/>
              </w:tabs>
              <w:rPr>
                <w:rFonts w:ascii="Arial" w:hAnsi="Arial" w:cs="Arial"/>
                <w:b/>
                <w:sz w:val="20"/>
                <w:szCs w:val="20"/>
              </w:rPr>
            </w:pPr>
            <w:r w:rsidRPr="00EC694F">
              <w:rPr>
                <w:rFonts w:ascii="Arial" w:hAnsi="Arial" w:cs="Arial"/>
                <w:sz w:val="20"/>
                <w:szCs w:val="20"/>
              </w:rPr>
              <w:t>A.2 Contingency planning in case of emergencies (Emergency response plan, Community health and safety plan, Occupational health and safety plan)</w:t>
            </w:r>
          </w:p>
        </w:tc>
        <w:tc>
          <w:tcPr>
            <w:tcW w:w="4050" w:type="dxa"/>
          </w:tcPr>
          <w:p w:rsidRPr="00EC694F" w:rsidR="005E4DB9" w:rsidP="005E4DB9" w:rsidRDefault="00A53E28" w14:paraId="140D8730" w14:textId="77777777">
            <w:pPr>
              <w:tabs>
                <w:tab w:val="left" w:pos="3200"/>
              </w:tabs>
              <w:jc w:val="both"/>
              <w:rPr>
                <w:rFonts w:ascii="Arial" w:hAnsi="Arial" w:cs="Arial"/>
                <w:sz w:val="20"/>
                <w:szCs w:val="20"/>
              </w:rPr>
            </w:pPr>
            <w:r>
              <w:rPr>
                <w:rFonts w:ascii="Arial" w:hAnsi="Arial" w:cs="Arial"/>
                <w:sz w:val="20"/>
                <w:szCs w:val="20"/>
              </w:rPr>
              <w:t>NA</w:t>
            </w:r>
          </w:p>
        </w:tc>
        <w:tc>
          <w:tcPr>
            <w:tcW w:w="6817" w:type="dxa"/>
          </w:tcPr>
          <w:p w:rsidRPr="00EC694F" w:rsidR="005E4DB9" w:rsidP="005E4DB9" w:rsidRDefault="00A53E28" w14:paraId="6607FBE6"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5E4DB9" w:rsidTr="005E4DB9" w14:paraId="4D53DB9D" w14:textId="77777777">
        <w:trPr>
          <w:trHeight w:val="323"/>
        </w:trPr>
        <w:tc>
          <w:tcPr>
            <w:tcW w:w="13770" w:type="dxa"/>
            <w:gridSpan w:val="3"/>
            <w:shd w:val="clear" w:color="auto" w:fill="D9D9D9" w:themeFill="background1" w:themeFillShade="D9"/>
            <w:vAlign w:val="center"/>
          </w:tcPr>
          <w:p w:rsidRPr="00EC694F" w:rsidR="005E4DB9" w:rsidP="005E4DB9" w:rsidRDefault="005E4DB9" w14:paraId="4BC7DC1B" w14:textId="77777777">
            <w:pPr>
              <w:tabs>
                <w:tab w:val="left" w:pos="3200"/>
              </w:tabs>
              <w:jc w:val="both"/>
              <w:rPr>
                <w:rFonts w:ascii="Arial" w:hAnsi="Arial" w:cs="Arial"/>
                <w:sz w:val="20"/>
                <w:szCs w:val="20"/>
              </w:rPr>
            </w:pPr>
            <w:r w:rsidRPr="00EC694F">
              <w:rPr>
                <w:rFonts w:ascii="Arial" w:hAnsi="Arial" w:cs="Arial"/>
                <w:b/>
                <w:sz w:val="20"/>
                <w:szCs w:val="20"/>
              </w:rPr>
              <w:t>OP-710 Operational Policy on Involuntary Resettlement</w:t>
            </w:r>
          </w:p>
        </w:tc>
      </w:tr>
      <w:tr w:rsidRPr="00EC694F" w:rsidR="00A53E28" w:rsidTr="005E4DB9" w14:paraId="43DFB63E"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251CEDC7" w14:textId="77777777">
            <w:pPr>
              <w:tabs>
                <w:tab w:val="left" w:pos="3200"/>
              </w:tabs>
              <w:rPr>
                <w:rFonts w:ascii="Arial" w:hAnsi="Arial" w:cs="Arial"/>
                <w:b/>
                <w:sz w:val="20"/>
                <w:szCs w:val="20"/>
              </w:rPr>
            </w:pPr>
            <w:r w:rsidRPr="00EC694F">
              <w:rPr>
                <w:rFonts w:ascii="Arial" w:hAnsi="Arial" w:cs="Arial"/>
                <w:sz w:val="20"/>
                <w:szCs w:val="20"/>
              </w:rPr>
              <w:t>Resettlement Minimization</w:t>
            </w:r>
          </w:p>
        </w:tc>
        <w:tc>
          <w:tcPr>
            <w:tcW w:w="4050" w:type="dxa"/>
            <w:vMerge w:val="restart"/>
          </w:tcPr>
          <w:p w:rsidRPr="00EC694F" w:rsidR="00A53E28" w:rsidP="005E4DB9" w:rsidRDefault="00A53E28" w14:paraId="61DAB9AB" w14:textId="77777777">
            <w:pPr>
              <w:tabs>
                <w:tab w:val="left" w:pos="3200"/>
              </w:tabs>
              <w:jc w:val="both"/>
              <w:rPr>
                <w:rFonts w:ascii="Arial" w:hAnsi="Arial" w:cs="Arial"/>
                <w:sz w:val="20"/>
                <w:szCs w:val="20"/>
              </w:rPr>
            </w:pPr>
            <w:r>
              <w:rPr>
                <w:rFonts w:ascii="Arial" w:hAnsi="Arial" w:cs="Arial"/>
                <w:sz w:val="20"/>
                <w:szCs w:val="20"/>
              </w:rPr>
              <w:t>NA</w:t>
            </w:r>
          </w:p>
        </w:tc>
        <w:tc>
          <w:tcPr>
            <w:tcW w:w="6817" w:type="dxa"/>
            <w:vMerge w:val="restart"/>
          </w:tcPr>
          <w:p w:rsidRPr="00A53E28" w:rsidR="00A53E28" w:rsidP="00A53E28" w:rsidRDefault="00A53E28" w14:paraId="1F11AED0" w14:textId="77777777">
            <w:pPr>
              <w:tabs>
                <w:tab w:val="left" w:pos="3200"/>
              </w:tabs>
              <w:jc w:val="both"/>
              <w:rPr>
                <w:rFonts w:ascii="Arial" w:hAnsi="Arial" w:cs="Arial"/>
                <w:sz w:val="20"/>
                <w:szCs w:val="20"/>
              </w:rPr>
            </w:pPr>
            <w:r>
              <w:rPr>
                <w:rFonts w:ascii="Arial" w:hAnsi="Arial" w:cs="Arial"/>
                <w:sz w:val="20"/>
                <w:szCs w:val="20"/>
              </w:rPr>
              <w:t>S</w:t>
            </w:r>
            <w:r w:rsidRPr="00A53E28">
              <w:rPr>
                <w:rFonts w:ascii="Arial" w:hAnsi="Arial" w:cs="Arial"/>
                <w:sz w:val="20"/>
                <w:szCs w:val="20"/>
              </w:rPr>
              <w:t>ub-loans involving involuntary resettlement of population</w:t>
            </w:r>
          </w:p>
          <w:p w:rsidRPr="00EC694F" w:rsidR="00A53E28" w:rsidP="00A53E28" w:rsidRDefault="00A53E28" w14:paraId="046C254D" w14:textId="77777777">
            <w:pPr>
              <w:tabs>
                <w:tab w:val="left" w:pos="3200"/>
              </w:tabs>
              <w:jc w:val="both"/>
              <w:rPr>
                <w:rFonts w:ascii="Arial" w:hAnsi="Arial" w:cs="Arial"/>
                <w:sz w:val="20"/>
                <w:szCs w:val="20"/>
              </w:rPr>
            </w:pPr>
            <w:r>
              <w:rPr>
                <w:rFonts w:ascii="Arial" w:hAnsi="Arial" w:cs="Arial"/>
                <w:sz w:val="20"/>
                <w:szCs w:val="20"/>
              </w:rPr>
              <w:t xml:space="preserve">and/or </w:t>
            </w:r>
            <w:r w:rsidRPr="00A53E28">
              <w:rPr>
                <w:rFonts w:ascii="Arial" w:hAnsi="Arial" w:cs="Arial"/>
                <w:sz w:val="20"/>
                <w:szCs w:val="20"/>
              </w:rPr>
              <w:t>economic displacement of population</w:t>
            </w:r>
            <w:r>
              <w:rPr>
                <w:rFonts w:ascii="Arial" w:hAnsi="Arial" w:cs="Arial"/>
                <w:sz w:val="20"/>
                <w:szCs w:val="20"/>
              </w:rPr>
              <w:t xml:space="preserve"> are excluded from financing</w:t>
            </w:r>
          </w:p>
        </w:tc>
      </w:tr>
      <w:tr w:rsidRPr="00EC694F" w:rsidR="00A53E28" w:rsidTr="005E4DB9" w14:paraId="0A5C5DE9"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785F35FF" w14:textId="77777777">
            <w:pPr>
              <w:tabs>
                <w:tab w:val="left" w:pos="3200"/>
              </w:tabs>
              <w:rPr>
                <w:rFonts w:ascii="Arial" w:hAnsi="Arial" w:cs="Arial"/>
                <w:b/>
                <w:sz w:val="20"/>
                <w:szCs w:val="20"/>
              </w:rPr>
            </w:pPr>
            <w:r w:rsidRPr="00EC694F">
              <w:rPr>
                <w:rFonts w:ascii="Arial" w:hAnsi="Arial" w:cs="Arial"/>
                <w:sz w:val="20"/>
                <w:szCs w:val="20"/>
              </w:rPr>
              <w:t xml:space="preserve">Impoverishment Risk Analysis </w:t>
            </w:r>
          </w:p>
        </w:tc>
        <w:tc>
          <w:tcPr>
            <w:tcW w:w="4050" w:type="dxa"/>
            <w:vMerge/>
          </w:tcPr>
          <w:p w:rsidRPr="00EC694F" w:rsidR="00A53E28" w:rsidP="005E4DB9" w:rsidRDefault="00A53E28" w14:paraId="77A770CB"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6D9F1102" w14:textId="77777777">
            <w:pPr>
              <w:tabs>
                <w:tab w:val="left" w:pos="3200"/>
              </w:tabs>
              <w:jc w:val="both"/>
              <w:rPr>
                <w:rFonts w:ascii="Arial" w:hAnsi="Arial" w:cs="Arial"/>
                <w:sz w:val="20"/>
                <w:szCs w:val="20"/>
              </w:rPr>
            </w:pPr>
          </w:p>
        </w:tc>
      </w:tr>
      <w:tr w:rsidRPr="00EC694F" w:rsidR="00A53E28" w:rsidTr="005E4DB9" w14:paraId="23F44834" w14:textId="77777777">
        <w:trPr>
          <w:trHeight w:val="323"/>
        </w:trPr>
        <w:tc>
          <w:tcPr>
            <w:tcW w:w="2903" w:type="dxa"/>
            <w:shd w:val="clear" w:color="auto" w:fill="D9D9D9" w:themeFill="background1" w:themeFillShade="D9"/>
            <w:vAlign w:val="center"/>
          </w:tcPr>
          <w:p w:rsidRPr="00EC694F" w:rsidR="00A53E28" w:rsidP="005E4DB9" w:rsidRDefault="00A53E28" w14:paraId="148B6194" w14:textId="77777777">
            <w:pPr>
              <w:tabs>
                <w:tab w:val="left" w:pos="3200"/>
              </w:tabs>
              <w:rPr>
                <w:rFonts w:ascii="Arial" w:hAnsi="Arial" w:cs="Arial"/>
                <w:b/>
                <w:sz w:val="20"/>
                <w:szCs w:val="20"/>
              </w:rPr>
            </w:pPr>
            <w:r w:rsidRPr="00EC694F">
              <w:rPr>
                <w:rFonts w:ascii="Arial" w:hAnsi="Arial" w:cs="Arial"/>
                <w:sz w:val="20"/>
                <w:szCs w:val="20"/>
              </w:rPr>
              <w:t>Resettlement Plan and/or Resettlement Framework Requirement</w:t>
            </w:r>
            <w:r w:rsidRPr="00EC694F">
              <w:rPr>
                <w:rStyle w:val="FootnoteReference"/>
                <w:rFonts w:ascii="Arial" w:hAnsi="Arial" w:cs="Arial"/>
                <w:sz w:val="20"/>
                <w:szCs w:val="20"/>
              </w:rPr>
              <w:footnoteReference w:id="6"/>
            </w:r>
          </w:p>
        </w:tc>
        <w:tc>
          <w:tcPr>
            <w:tcW w:w="4050" w:type="dxa"/>
            <w:vMerge/>
          </w:tcPr>
          <w:p w:rsidRPr="00EC694F" w:rsidR="00A53E28" w:rsidP="005E4DB9" w:rsidRDefault="00A53E28" w14:paraId="422B2B81"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0D30CB4F" w14:textId="77777777">
            <w:pPr>
              <w:tabs>
                <w:tab w:val="left" w:pos="3200"/>
              </w:tabs>
              <w:jc w:val="both"/>
              <w:rPr>
                <w:rFonts w:ascii="Arial" w:hAnsi="Arial" w:cs="Arial"/>
                <w:sz w:val="20"/>
                <w:szCs w:val="20"/>
              </w:rPr>
            </w:pPr>
          </w:p>
        </w:tc>
      </w:tr>
      <w:tr w:rsidRPr="00EC694F" w:rsidR="00A53E28" w:rsidTr="005E4DB9" w14:paraId="622A37A3" w14:textId="77777777">
        <w:trPr>
          <w:trHeight w:val="323"/>
        </w:trPr>
        <w:tc>
          <w:tcPr>
            <w:tcW w:w="2903" w:type="dxa"/>
            <w:shd w:val="clear" w:color="auto" w:fill="D9D9D9" w:themeFill="background1" w:themeFillShade="D9"/>
            <w:vAlign w:val="center"/>
          </w:tcPr>
          <w:p w:rsidRPr="00EC694F" w:rsidR="00A53E28" w:rsidP="005E4DB9" w:rsidRDefault="00A53E28" w14:paraId="6D82B6B3" w14:textId="77777777">
            <w:pPr>
              <w:tabs>
                <w:tab w:val="left" w:pos="3200"/>
              </w:tabs>
              <w:rPr>
                <w:rFonts w:ascii="Arial" w:hAnsi="Arial" w:cs="Arial"/>
                <w:sz w:val="20"/>
                <w:szCs w:val="20"/>
              </w:rPr>
            </w:pPr>
            <w:r w:rsidRPr="00EC694F">
              <w:rPr>
                <w:rFonts w:ascii="Arial" w:hAnsi="Arial" w:cs="Arial"/>
                <w:sz w:val="20"/>
                <w:szCs w:val="20"/>
              </w:rPr>
              <w:t>Resettlement Plan Consultations</w:t>
            </w:r>
          </w:p>
        </w:tc>
        <w:tc>
          <w:tcPr>
            <w:tcW w:w="4050" w:type="dxa"/>
            <w:vMerge/>
          </w:tcPr>
          <w:p w:rsidRPr="00EC694F" w:rsidR="00A53E28" w:rsidP="005E4DB9" w:rsidRDefault="00A53E28" w14:paraId="4AA7D9A0"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2454BED8" w14:textId="77777777">
            <w:pPr>
              <w:tabs>
                <w:tab w:val="left" w:pos="3200"/>
              </w:tabs>
              <w:jc w:val="both"/>
              <w:rPr>
                <w:rFonts w:ascii="Arial" w:hAnsi="Arial" w:cs="Arial"/>
                <w:sz w:val="20"/>
                <w:szCs w:val="20"/>
              </w:rPr>
            </w:pPr>
          </w:p>
        </w:tc>
      </w:tr>
      <w:tr w:rsidRPr="00EC694F" w:rsidR="005E4DB9" w:rsidTr="005E4DB9" w14:paraId="4A75FBA2" w14:textId="77777777">
        <w:trPr>
          <w:trHeight w:val="323"/>
        </w:trPr>
        <w:tc>
          <w:tcPr>
            <w:tcW w:w="13770" w:type="dxa"/>
            <w:gridSpan w:val="3"/>
            <w:shd w:val="clear" w:color="auto" w:fill="D9D9D9" w:themeFill="background1" w:themeFillShade="D9"/>
            <w:vAlign w:val="center"/>
          </w:tcPr>
          <w:p w:rsidRPr="00EC694F" w:rsidR="005E4DB9" w:rsidP="005E4DB9" w:rsidRDefault="005E4DB9" w14:paraId="08A559E2" w14:textId="77777777">
            <w:pPr>
              <w:tabs>
                <w:tab w:val="left" w:pos="3200"/>
              </w:tabs>
              <w:jc w:val="both"/>
              <w:rPr>
                <w:rFonts w:ascii="Arial" w:hAnsi="Arial" w:cs="Arial"/>
                <w:sz w:val="20"/>
                <w:szCs w:val="20"/>
              </w:rPr>
            </w:pPr>
            <w:r w:rsidRPr="00EC694F">
              <w:rPr>
                <w:rFonts w:ascii="Arial" w:hAnsi="Arial" w:cs="Arial"/>
                <w:b/>
                <w:sz w:val="20"/>
                <w:szCs w:val="20"/>
              </w:rPr>
              <w:t>OP-765 Operational Policy on Indigenous Peoples</w:t>
            </w:r>
          </w:p>
        </w:tc>
      </w:tr>
      <w:tr w:rsidRPr="00EC694F" w:rsidR="00A53E28" w:rsidTr="005E4DB9" w14:paraId="1D678037"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2B434919" w14:textId="77777777">
            <w:pPr>
              <w:tabs>
                <w:tab w:val="left" w:pos="3200"/>
              </w:tabs>
              <w:rPr>
                <w:rFonts w:ascii="Arial" w:hAnsi="Arial" w:cs="Arial"/>
                <w:b/>
                <w:sz w:val="20"/>
                <w:szCs w:val="20"/>
              </w:rPr>
            </w:pPr>
            <w:r w:rsidRPr="00EC694F">
              <w:rPr>
                <w:rFonts w:ascii="Arial" w:hAnsi="Arial" w:cs="Arial"/>
                <w:sz w:val="20"/>
                <w:szCs w:val="20"/>
              </w:rPr>
              <w:lastRenderedPageBreak/>
              <w:t xml:space="preserve">Sociocultural Evaluation Requirement  </w:t>
            </w:r>
          </w:p>
        </w:tc>
        <w:tc>
          <w:tcPr>
            <w:tcW w:w="4050" w:type="dxa"/>
            <w:vMerge w:val="restart"/>
          </w:tcPr>
          <w:p w:rsidRPr="00EC694F" w:rsidR="00A53E28" w:rsidP="005E4DB9" w:rsidRDefault="00A53E28" w14:paraId="4F58165A" w14:textId="77777777">
            <w:pPr>
              <w:tabs>
                <w:tab w:val="left" w:pos="3200"/>
              </w:tabs>
              <w:jc w:val="both"/>
              <w:rPr>
                <w:rFonts w:ascii="Arial" w:hAnsi="Arial" w:cs="Arial"/>
                <w:sz w:val="20"/>
                <w:szCs w:val="20"/>
              </w:rPr>
            </w:pPr>
            <w:r>
              <w:rPr>
                <w:rFonts w:ascii="Arial" w:hAnsi="Arial" w:cs="Arial"/>
                <w:sz w:val="20"/>
                <w:szCs w:val="20"/>
              </w:rPr>
              <w:t>NA</w:t>
            </w:r>
          </w:p>
        </w:tc>
        <w:tc>
          <w:tcPr>
            <w:tcW w:w="6817" w:type="dxa"/>
            <w:vMerge w:val="restart"/>
          </w:tcPr>
          <w:p w:rsidRPr="00EC694F" w:rsidR="00A53E28" w:rsidP="005E4DB9" w:rsidRDefault="00927C8B" w14:paraId="015E6579"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A53E28" w:rsidTr="005E4DB9" w14:paraId="2F6262E9"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26AE8CBC" w14:textId="77777777">
            <w:pPr>
              <w:tabs>
                <w:tab w:val="left" w:pos="3200"/>
              </w:tabs>
              <w:jc w:val="both"/>
              <w:rPr>
                <w:rFonts w:ascii="Arial" w:hAnsi="Arial" w:cs="Arial"/>
                <w:b/>
                <w:sz w:val="20"/>
                <w:szCs w:val="20"/>
              </w:rPr>
            </w:pPr>
            <w:r w:rsidRPr="00EC694F">
              <w:rPr>
                <w:rFonts w:ascii="Arial" w:hAnsi="Arial" w:cs="Arial"/>
                <w:sz w:val="20"/>
                <w:szCs w:val="20"/>
              </w:rPr>
              <w:t>Good-faith Negotiations and proper documentation / agreements with Affected Indigenous Peoples</w:t>
            </w:r>
          </w:p>
        </w:tc>
        <w:tc>
          <w:tcPr>
            <w:tcW w:w="4050" w:type="dxa"/>
            <w:vMerge/>
          </w:tcPr>
          <w:p w:rsidRPr="00EC694F" w:rsidR="00A53E28" w:rsidP="005E4DB9" w:rsidRDefault="00A53E28" w14:paraId="1159C39B"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3BB1CF16" w14:textId="77777777">
            <w:pPr>
              <w:tabs>
                <w:tab w:val="left" w:pos="3200"/>
              </w:tabs>
              <w:jc w:val="both"/>
              <w:rPr>
                <w:rFonts w:ascii="Arial" w:hAnsi="Arial" w:cs="Arial"/>
                <w:sz w:val="20"/>
                <w:szCs w:val="20"/>
              </w:rPr>
            </w:pPr>
          </w:p>
        </w:tc>
      </w:tr>
      <w:tr w:rsidRPr="00EC694F" w:rsidR="00A53E28" w:rsidTr="005E4DB9" w14:paraId="185A667F"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6C79539E" w14:textId="77777777">
            <w:pPr>
              <w:tabs>
                <w:tab w:val="left" w:pos="3200"/>
              </w:tabs>
              <w:rPr>
                <w:rFonts w:ascii="Arial" w:hAnsi="Arial" w:cs="Arial"/>
                <w:b/>
                <w:sz w:val="20"/>
                <w:szCs w:val="20"/>
              </w:rPr>
            </w:pPr>
            <w:r w:rsidRPr="00EC694F">
              <w:rPr>
                <w:rFonts w:ascii="Arial" w:hAnsi="Arial" w:cs="Arial"/>
                <w:sz w:val="20"/>
                <w:szCs w:val="20"/>
              </w:rPr>
              <w:t>Indigenous Peoples Compensation, and Development Plan or Framework requirement</w:t>
            </w:r>
          </w:p>
        </w:tc>
        <w:tc>
          <w:tcPr>
            <w:tcW w:w="4050" w:type="dxa"/>
            <w:vMerge/>
          </w:tcPr>
          <w:p w:rsidRPr="00EC694F" w:rsidR="00A53E28" w:rsidP="005E4DB9" w:rsidRDefault="00A53E28" w14:paraId="0589BF7A"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10834E2A" w14:textId="77777777">
            <w:pPr>
              <w:tabs>
                <w:tab w:val="left" w:pos="3200"/>
              </w:tabs>
              <w:jc w:val="both"/>
              <w:rPr>
                <w:rFonts w:ascii="Arial" w:hAnsi="Arial" w:cs="Arial"/>
                <w:sz w:val="20"/>
                <w:szCs w:val="20"/>
              </w:rPr>
            </w:pPr>
          </w:p>
        </w:tc>
      </w:tr>
      <w:tr w:rsidRPr="00EC694F" w:rsidR="00A53E28" w:rsidTr="005E4DB9" w14:paraId="129282A3" w14:textId="77777777">
        <w:trPr>
          <w:trHeight w:val="323"/>
        </w:trPr>
        <w:tc>
          <w:tcPr>
            <w:tcW w:w="2903" w:type="dxa"/>
            <w:shd w:val="clear" w:color="auto" w:fill="D9D9D9" w:themeFill="background1" w:themeFillShade="D9"/>
            <w:vAlign w:val="center"/>
          </w:tcPr>
          <w:p w:rsidRPr="00EC694F" w:rsidR="00A53E28" w:rsidP="005E4DB9" w:rsidRDefault="00A53E28" w14:paraId="5F1AC351" w14:textId="77777777">
            <w:pPr>
              <w:tabs>
                <w:tab w:val="left" w:pos="3200"/>
              </w:tabs>
              <w:rPr>
                <w:rFonts w:ascii="Arial" w:hAnsi="Arial" w:cs="Arial"/>
                <w:sz w:val="20"/>
                <w:szCs w:val="20"/>
              </w:rPr>
            </w:pPr>
            <w:r w:rsidRPr="00EC694F">
              <w:rPr>
                <w:rFonts w:ascii="Arial" w:hAnsi="Arial" w:cs="Arial"/>
                <w:sz w:val="20"/>
                <w:szCs w:val="20"/>
              </w:rPr>
              <w:t xml:space="preserve">Discrimination and/or Exclusion Issues </w:t>
            </w:r>
          </w:p>
        </w:tc>
        <w:tc>
          <w:tcPr>
            <w:tcW w:w="4050" w:type="dxa"/>
            <w:vMerge/>
          </w:tcPr>
          <w:p w:rsidRPr="00EC694F" w:rsidR="00A53E28" w:rsidP="005E4DB9" w:rsidRDefault="00A53E28" w14:paraId="20C3E893"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16BE0355" w14:textId="77777777">
            <w:pPr>
              <w:tabs>
                <w:tab w:val="left" w:pos="3200"/>
              </w:tabs>
              <w:jc w:val="both"/>
              <w:rPr>
                <w:rFonts w:ascii="Arial" w:hAnsi="Arial" w:cs="Arial"/>
                <w:sz w:val="20"/>
                <w:szCs w:val="20"/>
              </w:rPr>
            </w:pPr>
          </w:p>
        </w:tc>
      </w:tr>
      <w:tr w:rsidRPr="00EC694F" w:rsidR="00A53E28" w:rsidTr="005E4DB9" w14:paraId="3DB56CBF" w14:textId="77777777">
        <w:trPr>
          <w:trHeight w:val="323"/>
        </w:trPr>
        <w:tc>
          <w:tcPr>
            <w:tcW w:w="2903" w:type="dxa"/>
            <w:shd w:val="clear" w:color="auto" w:fill="D9D9D9" w:themeFill="background1" w:themeFillShade="D9"/>
            <w:vAlign w:val="center"/>
          </w:tcPr>
          <w:p w:rsidRPr="00EC694F" w:rsidR="00A53E28" w:rsidP="005E4DB9" w:rsidRDefault="00A53E28" w14:paraId="19AA67E1" w14:textId="77777777">
            <w:pPr>
              <w:tabs>
                <w:tab w:val="left" w:pos="3200"/>
              </w:tabs>
              <w:rPr>
                <w:rFonts w:ascii="Arial" w:hAnsi="Arial" w:cs="Arial"/>
                <w:sz w:val="20"/>
                <w:szCs w:val="20"/>
              </w:rPr>
            </w:pPr>
            <w:r w:rsidRPr="00EC694F">
              <w:rPr>
                <w:rFonts w:ascii="Arial" w:hAnsi="Arial" w:cs="Arial"/>
                <w:sz w:val="20"/>
                <w:szCs w:val="20"/>
              </w:rPr>
              <w:t xml:space="preserve">Transborder Impacts </w:t>
            </w:r>
          </w:p>
        </w:tc>
        <w:tc>
          <w:tcPr>
            <w:tcW w:w="4050" w:type="dxa"/>
            <w:vMerge/>
          </w:tcPr>
          <w:p w:rsidRPr="00EC694F" w:rsidR="00A53E28" w:rsidP="005E4DB9" w:rsidRDefault="00A53E28" w14:paraId="395FF336"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31023B9B" w14:textId="77777777">
            <w:pPr>
              <w:tabs>
                <w:tab w:val="left" w:pos="3200"/>
              </w:tabs>
              <w:jc w:val="both"/>
              <w:rPr>
                <w:rFonts w:ascii="Arial" w:hAnsi="Arial" w:cs="Arial"/>
                <w:sz w:val="20"/>
                <w:szCs w:val="20"/>
              </w:rPr>
            </w:pPr>
          </w:p>
        </w:tc>
      </w:tr>
      <w:tr w:rsidRPr="00EC694F" w:rsidR="00A53E28" w:rsidTr="005E4DB9" w14:paraId="5332DF22" w14:textId="77777777">
        <w:trPr>
          <w:trHeight w:val="323"/>
        </w:trPr>
        <w:tc>
          <w:tcPr>
            <w:tcW w:w="2903" w:type="dxa"/>
            <w:shd w:val="clear" w:color="auto" w:fill="D9D9D9" w:themeFill="background1" w:themeFillShade="D9"/>
            <w:vAlign w:val="center"/>
          </w:tcPr>
          <w:p w:rsidRPr="00EC694F" w:rsidR="00A53E28" w:rsidP="005E4DB9" w:rsidRDefault="00A53E28" w14:paraId="7419A124" w14:textId="77777777">
            <w:pPr>
              <w:tabs>
                <w:tab w:val="left" w:pos="3200"/>
              </w:tabs>
              <w:rPr>
                <w:rFonts w:ascii="Arial" w:hAnsi="Arial" w:cs="Arial"/>
                <w:sz w:val="20"/>
                <w:szCs w:val="20"/>
              </w:rPr>
            </w:pPr>
            <w:r w:rsidRPr="00EC694F">
              <w:rPr>
                <w:rFonts w:ascii="Arial" w:hAnsi="Arial" w:cs="Arial"/>
                <w:sz w:val="20"/>
                <w:szCs w:val="20"/>
              </w:rPr>
              <w:t xml:space="preserve">Impacts on Isolated Indigenous Peoples </w:t>
            </w:r>
          </w:p>
        </w:tc>
        <w:tc>
          <w:tcPr>
            <w:tcW w:w="4050" w:type="dxa"/>
            <w:vMerge/>
          </w:tcPr>
          <w:p w:rsidRPr="00EC694F" w:rsidR="00A53E28" w:rsidP="005E4DB9" w:rsidRDefault="00A53E28" w14:paraId="1647E668"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5F5ECEDD" w14:textId="77777777">
            <w:pPr>
              <w:tabs>
                <w:tab w:val="left" w:pos="3200"/>
              </w:tabs>
              <w:jc w:val="both"/>
              <w:rPr>
                <w:rFonts w:ascii="Arial" w:hAnsi="Arial" w:cs="Arial"/>
                <w:sz w:val="20"/>
                <w:szCs w:val="20"/>
              </w:rPr>
            </w:pPr>
          </w:p>
        </w:tc>
      </w:tr>
      <w:tr w:rsidRPr="00EC694F" w:rsidR="005E4DB9" w:rsidTr="005E4DB9" w14:paraId="5D35E92E" w14:textId="77777777">
        <w:trPr>
          <w:trHeight w:val="323"/>
        </w:trPr>
        <w:tc>
          <w:tcPr>
            <w:tcW w:w="13770" w:type="dxa"/>
            <w:gridSpan w:val="3"/>
            <w:shd w:val="clear" w:color="auto" w:fill="D9D9D9" w:themeFill="background1" w:themeFillShade="D9"/>
            <w:vAlign w:val="center"/>
          </w:tcPr>
          <w:p w:rsidRPr="00EC694F" w:rsidR="005E4DB9" w:rsidP="005E4DB9" w:rsidRDefault="005E4DB9" w14:paraId="61A6F5F0" w14:textId="77777777">
            <w:pPr>
              <w:tabs>
                <w:tab w:val="left" w:pos="3200"/>
              </w:tabs>
              <w:jc w:val="both"/>
              <w:rPr>
                <w:rFonts w:ascii="Arial" w:hAnsi="Arial" w:cs="Arial"/>
                <w:sz w:val="20"/>
                <w:szCs w:val="20"/>
              </w:rPr>
            </w:pPr>
            <w:r w:rsidRPr="00EC694F">
              <w:rPr>
                <w:rFonts w:ascii="Arial" w:hAnsi="Arial" w:cs="Arial"/>
                <w:b/>
                <w:sz w:val="20"/>
                <w:szCs w:val="20"/>
              </w:rPr>
              <w:t>OP-761 Operational Policy on Gender Equality in Development</w:t>
            </w:r>
          </w:p>
        </w:tc>
      </w:tr>
      <w:tr w:rsidRPr="00EC694F" w:rsidR="005E4DB9" w:rsidTr="005E4DB9" w14:paraId="4D4F4C2C" w14:textId="77777777">
        <w:trPr>
          <w:trHeight w:val="323"/>
        </w:trPr>
        <w:tc>
          <w:tcPr>
            <w:tcW w:w="2903" w:type="dxa"/>
            <w:shd w:val="clear" w:color="auto" w:fill="D9D9D9" w:themeFill="background1" w:themeFillShade="D9"/>
            <w:vAlign w:val="center"/>
          </w:tcPr>
          <w:p w:rsidRPr="00EC694F" w:rsidR="005E4DB9" w:rsidP="005E4DB9" w:rsidRDefault="005E4DB9" w14:paraId="783F6040" w14:textId="77777777">
            <w:pPr>
              <w:tabs>
                <w:tab w:val="left" w:pos="3200"/>
              </w:tabs>
              <w:rPr>
                <w:rFonts w:ascii="Arial" w:hAnsi="Arial" w:cs="Arial"/>
                <w:b/>
                <w:sz w:val="20"/>
                <w:szCs w:val="20"/>
              </w:rPr>
            </w:pPr>
            <w:r w:rsidRPr="00EC694F">
              <w:rPr>
                <w:rFonts w:ascii="Arial" w:hAnsi="Arial" w:cs="Arial"/>
                <w:sz w:val="20"/>
                <w:szCs w:val="20"/>
              </w:rPr>
              <w:t>Consultation and effective participation of women and men</w:t>
            </w:r>
          </w:p>
        </w:tc>
        <w:tc>
          <w:tcPr>
            <w:tcW w:w="4050" w:type="dxa"/>
          </w:tcPr>
          <w:p w:rsidRPr="00EC694F" w:rsidR="005E4DB9" w:rsidP="005E4DB9" w:rsidRDefault="001B68E3" w14:paraId="325C6F96" w14:textId="77777777">
            <w:pPr>
              <w:tabs>
                <w:tab w:val="left" w:pos="3200"/>
              </w:tabs>
              <w:jc w:val="both"/>
              <w:rPr>
                <w:rFonts w:ascii="Arial" w:hAnsi="Arial" w:cs="Arial"/>
                <w:sz w:val="20"/>
                <w:szCs w:val="20"/>
              </w:rPr>
            </w:pPr>
            <w:r>
              <w:rPr>
                <w:rFonts w:ascii="Arial" w:hAnsi="Arial" w:cs="Arial"/>
                <w:sz w:val="20"/>
                <w:szCs w:val="20"/>
              </w:rPr>
              <w:t>NA (the Program does not create gender inequalities)</w:t>
            </w:r>
          </w:p>
        </w:tc>
        <w:tc>
          <w:tcPr>
            <w:tcW w:w="6817" w:type="dxa"/>
          </w:tcPr>
          <w:p w:rsidRPr="00EC694F" w:rsidR="005E4DB9" w:rsidP="005E4DB9" w:rsidRDefault="001B68E3" w14:paraId="1F319C8B" w14:textId="77777777">
            <w:pPr>
              <w:tabs>
                <w:tab w:val="left" w:pos="3200"/>
              </w:tabs>
              <w:jc w:val="both"/>
              <w:rPr>
                <w:rFonts w:ascii="Arial" w:hAnsi="Arial" w:cs="Arial"/>
                <w:sz w:val="20"/>
                <w:szCs w:val="20"/>
              </w:rPr>
            </w:pPr>
            <w:r>
              <w:rPr>
                <w:rFonts w:ascii="Arial" w:hAnsi="Arial" w:cs="Arial"/>
                <w:sz w:val="20"/>
                <w:szCs w:val="20"/>
              </w:rPr>
              <w:t>NA</w:t>
            </w:r>
          </w:p>
        </w:tc>
      </w:tr>
      <w:tr w:rsidRPr="00EC694F" w:rsidR="005E4DB9" w:rsidTr="005E4DB9" w14:paraId="4C76A82B" w14:textId="77777777">
        <w:trPr>
          <w:trHeight w:val="323"/>
        </w:trPr>
        <w:tc>
          <w:tcPr>
            <w:tcW w:w="2903" w:type="dxa"/>
            <w:shd w:val="clear" w:color="auto" w:fill="D9D9D9" w:themeFill="background1" w:themeFillShade="D9"/>
            <w:vAlign w:val="center"/>
          </w:tcPr>
          <w:p w:rsidRPr="00EC694F" w:rsidR="005E4DB9" w:rsidDel="00641735" w:rsidP="005E4DB9" w:rsidRDefault="005E4DB9" w14:paraId="762A1F5B" w14:textId="77777777">
            <w:pPr>
              <w:tabs>
                <w:tab w:val="left" w:pos="3200"/>
              </w:tabs>
              <w:rPr>
                <w:rFonts w:ascii="Arial" w:hAnsi="Arial" w:cs="Arial"/>
                <w:b/>
                <w:sz w:val="20"/>
                <w:szCs w:val="20"/>
              </w:rPr>
            </w:pPr>
            <w:r w:rsidRPr="00EC694F">
              <w:rPr>
                <w:rFonts w:ascii="Arial" w:hAnsi="Arial" w:cs="Arial"/>
                <w:sz w:val="20"/>
                <w:szCs w:val="20"/>
              </w:rPr>
              <w:t>Gender equality risk</w:t>
            </w:r>
            <w:r w:rsidRPr="00EC694F">
              <w:rPr>
                <w:rStyle w:val="FootnoteReference"/>
                <w:rFonts w:ascii="Arial" w:hAnsi="Arial" w:cs="Arial"/>
                <w:sz w:val="20"/>
                <w:szCs w:val="20"/>
              </w:rPr>
              <w:footnoteReference w:id="7"/>
            </w:r>
            <w:r w:rsidRPr="00EC694F">
              <w:rPr>
                <w:rFonts w:ascii="Arial" w:hAnsi="Arial" w:cs="Arial"/>
                <w:sz w:val="20"/>
                <w:szCs w:val="20"/>
              </w:rPr>
              <w:t xml:space="preserve"> analysis</w:t>
            </w:r>
          </w:p>
        </w:tc>
        <w:tc>
          <w:tcPr>
            <w:tcW w:w="4050" w:type="dxa"/>
          </w:tcPr>
          <w:p w:rsidRPr="00EC694F" w:rsidR="005E4DB9" w:rsidP="005E4DB9" w:rsidRDefault="005E4DB9" w14:paraId="4901CB10" w14:textId="77777777">
            <w:pPr>
              <w:tabs>
                <w:tab w:val="left" w:pos="3200"/>
              </w:tabs>
              <w:jc w:val="both"/>
              <w:rPr>
                <w:rFonts w:ascii="Arial" w:hAnsi="Arial" w:cs="Arial"/>
                <w:sz w:val="20"/>
                <w:szCs w:val="20"/>
              </w:rPr>
            </w:pPr>
          </w:p>
        </w:tc>
        <w:tc>
          <w:tcPr>
            <w:tcW w:w="6817" w:type="dxa"/>
          </w:tcPr>
          <w:p w:rsidRPr="00EC694F" w:rsidR="005E4DB9" w:rsidP="005E4DB9" w:rsidRDefault="005E4DB9" w14:paraId="64D7F8F4" w14:textId="77777777">
            <w:pPr>
              <w:tabs>
                <w:tab w:val="left" w:pos="3200"/>
              </w:tabs>
              <w:jc w:val="both"/>
              <w:rPr>
                <w:rFonts w:ascii="Arial" w:hAnsi="Arial" w:cs="Arial"/>
                <w:sz w:val="20"/>
                <w:szCs w:val="20"/>
              </w:rPr>
            </w:pPr>
          </w:p>
        </w:tc>
      </w:tr>
      <w:tr w:rsidRPr="00EC694F" w:rsidR="005E4DB9" w:rsidTr="005E4DB9" w14:paraId="4A54DD74" w14:textId="77777777">
        <w:trPr>
          <w:trHeight w:val="323"/>
        </w:trPr>
        <w:tc>
          <w:tcPr>
            <w:tcW w:w="13770" w:type="dxa"/>
            <w:gridSpan w:val="3"/>
            <w:shd w:val="clear" w:color="auto" w:fill="D9D9D9" w:themeFill="background1" w:themeFillShade="D9"/>
            <w:vAlign w:val="center"/>
          </w:tcPr>
          <w:p w:rsidRPr="00EC694F" w:rsidR="005E4DB9" w:rsidP="005E4DB9" w:rsidRDefault="005E4DB9" w14:paraId="7F1E594D" w14:textId="77777777">
            <w:pPr>
              <w:tabs>
                <w:tab w:val="left" w:pos="3200"/>
              </w:tabs>
              <w:jc w:val="both"/>
              <w:rPr>
                <w:rFonts w:ascii="Arial" w:hAnsi="Arial" w:cs="Arial"/>
                <w:sz w:val="20"/>
                <w:szCs w:val="20"/>
              </w:rPr>
            </w:pPr>
            <w:r w:rsidRPr="00EC694F">
              <w:rPr>
                <w:rFonts w:ascii="Arial" w:hAnsi="Arial" w:cs="Arial"/>
                <w:b/>
                <w:sz w:val="20"/>
                <w:szCs w:val="20"/>
              </w:rPr>
              <w:t>OP-102 Access to Information Policy</w:t>
            </w:r>
          </w:p>
        </w:tc>
      </w:tr>
      <w:tr w:rsidRPr="00EC694F" w:rsidR="00A53E28" w:rsidTr="005E4DB9" w14:paraId="111643F4"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34C075FF" w14:textId="77777777">
            <w:pPr>
              <w:tabs>
                <w:tab w:val="left" w:pos="3200"/>
              </w:tabs>
              <w:rPr>
                <w:rFonts w:ascii="Arial" w:hAnsi="Arial" w:cs="Arial"/>
                <w:b/>
                <w:sz w:val="20"/>
                <w:szCs w:val="20"/>
              </w:rPr>
            </w:pPr>
            <w:r w:rsidRPr="00EC694F">
              <w:rPr>
                <w:rFonts w:ascii="Arial" w:hAnsi="Arial" w:eastAsia="Arial" w:cs="Arial"/>
                <w:sz w:val="20"/>
                <w:szCs w:val="20"/>
              </w:rPr>
              <w:t>Disclosure of relevant Environmental and Social Assessments</w:t>
            </w:r>
            <w:r w:rsidRPr="00EC694F">
              <w:rPr>
                <w:rStyle w:val="FootnoteReference"/>
                <w:rFonts w:ascii="Arial" w:hAnsi="Arial" w:eastAsia="Arial" w:cs="Arial"/>
                <w:sz w:val="20"/>
                <w:szCs w:val="20"/>
              </w:rPr>
              <w:footnoteReference w:id="8"/>
            </w:r>
            <w:r w:rsidRPr="00EC694F">
              <w:rPr>
                <w:rFonts w:ascii="Arial" w:hAnsi="Arial" w:eastAsia="Arial" w:cs="Arial"/>
                <w:sz w:val="20"/>
                <w:szCs w:val="20"/>
              </w:rPr>
              <w:t xml:space="preserve"> Prior to Analysis Mission, QRR, OPC and submission of the operation for Board consideration</w:t>
            </w:r>
            <w:r w:rsidRPr="00EC694F">
              <w:rPr>
                <w:rStyle w:val="FootnoteReference"/>
                <w:rFonts w:ascii="Arial" w:hAnsi="Arial" w:eastAsia="Arial" w:cs="Arial"/>
                <w:sz w:val="20"/>
                <w:szCs w:val="20"/>
              </w:rPr>
              <w:footnoteReference w:id="9"/>
            </w:r>
          </w:p>
        </w:tc>
        <w:tc>
          <w:tcPr>
            <w:tcW w:w="4050" w:type="dxa"/>
            <w:vMerge w:val="restart"/>
          </w:tcPr>
          <w:p w:rsidRPr="00EC694F" w:rsidR="00A53E28" w:rsidP="005E4DB9" w:rsidRDefault="00A53E28" w14:paraId="567B7CB8" w14:textId="77777777">
            <w:pPr>
              <w:tabs>
                <w:tab w:val="left" w:pos="3200"/>
              </w:tabs>
              <w:jc w:val="both"/>
              <w:rPr>
                <w:rFonts w:ascii="Arial" w:hAnsi="Arial" w:cs="Arial"/>
                <w:sz w:val="20"/>
                <w:szCs w:val="20"/>
              </w:rPr>
            </w:pPr>
            <w:r>
              <w:rPr>
                <w:rFonts w:ascii="Arial" w:hAnsi="Arial" w:cs="Arial"/>
                <w:sz w:val="20"/>
                <w:szCs w:val="20"/>
              </w:rPr>
              <w:t>Full compliance achieved</w:t>
            </w:r>
          </w:p>
        </w:tc>
        <w:tc>
          <w:tcPr>
            <w:tcW w:w="6817" w:type="dxa"/>
            <w:vMerge w:val="restart"/>
          </w:tcPr>
          <w:p w:rsidRPr="00EC694F" w:rsidR="00A53E28" w:rsidP="005E4DB9" w:rsidRDefault="00A53E28" w14:paraId="5A6C8AD0" w14:textId="77777777">
            <w:pPr>
              <w:tabs>
                <w:tab w:val="left" w:pos="3200"/>
              </w:tabs>
              <w:jc w:val="both"/>
              <w:rPr>
                <w:rFonts w:ascii="Arial" w:hAnsi="Arial" w:cs="Arial"/>
                <w:sz w:val="20"/>
                <w:szCs w:val="20"/>
              </w:rPr>
            </w:pPr>
            <w:r>
              <w:rPr>
                <w:rFonts w:ascii="Arial" w:hAnsi="Arial" w:cs="Arial"/>
                <w:sz w:val="20"/>
                <w:szCs w:val="20"/>
              </w:rPr>
              <w:t>The project team will publish the E&amp;S documents in compliance with OP-102 for B.13 operations</w:t>
            </w:r>
          </w:p>
        </w:tc>
      </w:tr>
      <w:tr w:rsidRPr="00EC694F" w:rsidR="00A53E28" w:rsidTr="005E4DB9" w14:paraId="23057261" w14:textId="77777777">
        <w:trPr>
          <w:trHeight w:val="323"/>
        </w:trPr>
        <w:tc>
          <w:tcPr>
            <w:tcW w:w="2903" w:type="dxa"/>
            <w:shd w:val="clear" w:color="auto" w:fill="D9D9D9" w:themeFill="background1" w:themeFillShade="D9"/>
            <w:vAlign w:val="center"/>
          </w:tcPr>
          <w:p w:rsidRPr="00EC694F" w:rsidR="00A53E28" w:rsidDel="00641735" w:rsidP="005E4DB9" w:rsidRDefault="00A53E28" w14:paraId="1E399AD2" w14:textId="77777777">
            <w:pPr>
              <w:tabs>
                <w:tab w:val="left" w:pos="3200"/>
              </w:tabs>
              <w:rPr>
                <w:rFonts w:ascii="Arial" w:hAnsi="Arial" w:cs="Arial"/>
                <w:b/>
                <w:sz w:val="20"/>
                <w:szCs w:val="20"/>
              </w:rPr>
            </w:pPr>
            <w:r w:rsidRPr="00EC694F">
              <w:rPr>
                <w:rFonts w:ascii="Arial" w:hAnsi="Arial" w:cs="Arial"/>
                <w:sz w:val="20"/>
                <w:szCs w:val="20"/>
              </w:rPr>
              <w:t xml:space="preserve">Provisions for Disclosure of Environmental and Social </w:t>
            </w:r>
            <w:r w:rsidRPr="00EC694F">
              <w:rPr>
                <w:rFonts w:ascii="Arial" w:hAnsi="Arial" w:cs="Arial"/>
                <w:sz w:val="20"/>
                <w:szCs w:val="20"/>
              </w:rPr>
              <w:lastRenderedPageBreak/>
              <w:t>Documents during Project Implementation</w:t>
            </w:r>
          </w:p>
        </w:tc>
        <w:tc>
          <w:tcPr>
            <w:tcW w:w="4050" w:type="dxa"/>
            <w:vMerge/>
          </w:tcPr>
          <w:p w:rsidRPr="00EC694F" w:rsidR="00A53E28" w:rsidP="005E4DB9" w:rsidRDefault="00A53E28" w14:paraId="22F52017" w14:textId="77777777">
            <w:pPr>
              <w:tabs>
                <w:tab w:val="left" w:pos="3200"/>
              </w:tabs>
              <w:jc w:val="both"/>
              <w:rPr>
                <w:rFonts w:ascii="Arial" w:hAnsi="Arial" w:cs="Arial"/>
                <w:sz w:val="20"/>
                <w:szCs w:val="20"/>
              </w:rPr>
            </w:pPr>
          </w:p>
        </w:tc>
        <w:tc>
          <w:tcPr>
            <w:tcW w:w="6817" w:type="dxa"/>
            <w:vMerge/>
          </w:tcPr>
          <w:p w:rsidRPr="00EC694F" w:rsidR="00A53E28" w:rsidP="005E4DB9" w:rsidRDefault="00A53E28" w14:paraId="30DCD5DE" w14:textId="77777777">
            <w:pPr>
              <w:tabs>
                <w:tab w:val="left" w:pos="3200"/>
              </w:tabs>
              <w:jc w:val="both"/>
              <w:rPr>
                <w:rFonts w:ascii="Arial" w:hAnsi="Arial" w:cs="Arial"/>
                <w:sz w:val="20"/>
                <w:szCs w:val="20"/>
              </w:rPr>
            </w:pPr>
          </w:p>
        </w:tc>
      </w:tr>
    </w:tbl>
    <w:p w:rsidRPr="00EC694F" w:rsidR="00B01F04" w:rsidP="004B6155" w:rsidRDefault="00B01F04" w14:paraId="2301A6B7" w14:textId="77777777">
      <w:pPr>
        <w:widowControl w:val="0"/>
        <w:autoSpaceDE w:val="0"/>
        <w:autoSpaceDN w:val="0"/>
        <w:adjustRightInd w:val="0"/>
        <w:ind w:right="-720"/>
        <w:jc w:val="both"/>
        <w:rPr>
          <w:rFonts w:ascii="Arial" w:hAnsi="Arial" w:cs="Arial"/>
          <w:bCs/>
          <w:sz w:val="20"/>
          <w:szCs w:val="20"/>
        </w:rPr>
      </w:pPr>
    </w:p>
    <w:p w:rsidRPr="00EC694F" w:rsidR="00874CC0" w:rsidP="004B6155" w:rsidRDefault="00874CC0" w14:paraId="11658C28" w14:textId="77777777">
      <w:pPr>
        <w:widowControl w:val="0"/>
        <w:autoSpaceDE w:val="0"/>
        <w:autoSpaceDN w:val="0"/>
        <w:adjustRightInd w:val="0"/>
        <w:ind w:right="-720"/>
        <w:jc w:val="both"/>
        <w:rPr>
          <w:rFonts w:ascii="Arial" w:hAnsi="Arial" w:cs="Arial"/>
          <w:bCs/>
          <w:sz w:val="20"/>
          <w:szCs w:val="20"/>
        </w:rPr>
      </w:pPr>
    </w:p>
    <w:p w:rsidRPr="00EC694F" w:rsidR="00874CC0" w:rsidP="004B6155" w:rsidRDefault="00874CC0" w14:paraId="7FBE8D8E" w14:textId="77777777">
      <w:pPr>
        <w:widowControl w:val="0"/>
        <w:autoSpaceDE w:val="0"/>
        <w:autoSpaceDN w:val="0"/>
        <w:adjustRightInd w:val="0"/>
        <w:ind w:right="-720"/>
        <w:jc w:val="both"/>
        <w:rPr>
          <w:rFonts w:ascii="Arial" w:hAnsi="Arial" w:cs="Arial"/>
          <w:bCs/>
          <w:sz w:val="20"/>
          <w:szCs w:val="20"/>
        </w:rPr>
      </w:pPr>
    </w:p>
    <w:p w:rsidRPr="00EC694F" w:rsidR="00BE1ADE" w:rsidP="00BE1ADE" w:rsidRDefault="00874CC0" w14:paraId="4C49752D" w14:textId="77777777">
      <w:pPr>
        <w:rPr>
          <w:rFonts w:ascii="Arial" w:hAnsi="Arial" w:cs="Arial"/>
          <w:bCs/>
          <w:sz w:val="20"/>
          <w:szCs w:val="20"/>
        </w:rPr>
        <w:sectPr w:rsidRPr="00EC694F" w:rsidR="00BE1ADE" w:rsidSect="00883BA1">
          <w:pgSz w:w="15840" w:h="12240" w:orient="landscape"/>
          <w:pgMar w:top="1166" w:right="1440" w:bottom="1800" w:left="1440" w:header="720" w:footer="720" w:gutter="0"/>
          <w:cols w:space="720"/>
          <w:docGrid w:linePitch="360"/>
        </w:sectPr>
      </w:pPr>
      <w:r w:rsidRPr="00EC694F">
        <w:rPr>
          <w:rFonts w:ascii="Arial" w:hAnsi="Arial" w:cs="Arial"/>
          <w:bCs/>
          <w:sz w:val="20"/>
          <w:szCs w:val="20"/>
        </w:rPr>
        <w:br w:type="page"/>
      </w:r>
    </w:p>
    <w:p w:rsidRPr="00EC694F" w:rsidR="00BE1ADE" w:rsidP="00BE1ADE" w:rsidRDefault="00874CC0" w14:paraId="39210B1A" w14:textId="77777777">
      <w:pPr>
        <w:rPr>
          <w:rFonts w:ascii="Arial" w:hAnsi="Arial" w:cs="Arial"/>
          <w:b/>
          <w:sz w:val="20"/>
          <w:szCs w:val="20"/>
        </w:rPr>
      </w:pPr>
      <w:r w:rsidRPr="00EC694F">
        <w:rPr>
          <w:rFonts w:ascii="Arial" w:hAnsi="Arial" w:cs="Arial"/>
          <w:b/>
          <w:bCs/>
          <w:sz w:val="20"/>
          <w:szCs w:val="20"/>
        </w:rPr>
        <w:lastRenderedPageBreak/>
        <w:t>Annex B. ESHS Legal Requirements</w:t>
      </w:r>
      <w:r w:rsidRPr="00EC694F" w:rsidR="00BE1ADE">
        <w:rPr>
          <w:rFonts w:ascii="Arial" w:hAnsi="Arial" w:cs="Arial"/>
          <w:b/>
          <w:sz w:val="20"/>
          <w:szCs w:val="20"/>
        </w:rPr>
        <w:t xml:space="preserve"> </w:t>
      </w:r>
    </w:p>
    <w:p w:rsidRPr="00EC694F" w:rsidR="009F0069" w:rsidP="009F0069" w:rsidRDefault="009F0069" w14:paraId="43B3B06C" w14:textId="77777777">
      <w:pPr>
        <w:rPr>
          <w:rFonts w:ascii="Arial" w:hAnsi="Arial" w:cs="Arial"/>
          <w:b/>
          <w:sz w:val="20"/>
          <w:szCs w:val="20"/>
        </w:rPr>
      </w:pPr>
    </w:p>
    <w:tbl>
      <w:tblPr>
        <w:tblW w:w="9990" w:type="dxa"/>
        <w:tblInd w:w="-8"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9990"/>
      </w:tblGrid>
      <w:tr w:rsidRPr="00EC694F" w:rsidR="0053013B" w:rsidTr="253E5B67" w14:paraId="755E0583" w14:textId="77777777">
        <w:trPr>
          <w:trHeight w:val="236"/>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tcPr>
          <w:p w:rsidRPr="00EC694F" w:rsidR="0053013B" w:rsidP="00324FFD" w:rsidRDefault="0053013B" w14:paraId="6605536A" w14:textId="77777777">
            <w:pPr>
              <w:spacing w:before="120" w:after="120"/>
              <w:rPr>
                <w:rFonts w:ascii="Arial" w:hAnsi="Arial" w:cs="Arial"/>
                <w:b/>
                <w:sz w:val="20"/>
                <w:szCs w:val="20"/>
              </w:rPr>
            </w:pPr>
            <w:r w:rsidRPr="00EC694F">
              <w:rPr>
                <w:rFonts w:ascii="Arial" w:hAnsi="Arial" w:cs="Arial"/>
                <w:b/>
                <w:sz w:val="20"/>
                <w:szCs w:val="20"/>
              </w:rPr>
              <w:t>C.</w:t>
            </w:r>
            <w:r w:rsidRPr="00EC694F">
              <w:rPr>
                <w:rFonts w:ascii="Arial" w:hAnsi="Arial" w:cs="Arial"/>
                <w:b/>
                <w:sz w:val="20"/>
                <w:szCs w:val="20"/>
              </w:rPr>
              <w:tab/>
            </w:r>
            <w:r w:rsidRPr="00EC694F">
              <w:rPr>
                <w:rFonts w:ascii="Arial" w:hAnsi="Arial" w:cs="Arial"/>
                <w:b/>
                <w:sz w:val="20"/>
                <w:szCs w:val="20"/>
              </w:rPr>
              <w:t xml:space="preserve">Provisions to be included in the </w:t>
            </w:r>
            <w:r w:rsidRPr="00D62154" w:rsidR="00D62154">
              <w:rPr>
                <w:rFonts w:ascii="Arial" w:hAnsi="Arial" w:cs="Arial"/>
                <w:b/>
                <w:sz w:val="20"/>
                <w:szCs w:val="20"/>
              </w:rPr>
              <w:t xml:space="preserve">Program Operating Manual (POM) </w:t>
            </w:r>
          </w:p>
        </w:tc>
      </w:tr>
      <w:tr w:rsidRPr="00EC694F" w:rsidR="0053013B" w:rsidTr="253E5B67" w14:paraId="4235B13E" w14:textId="77777777">
        <w:trPr>
          <w:trHeight w:val="236"/>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00D62154" w:rsidP="253E5B67" w:rsidRDefault="00D62154" w14:paraId="1738610C" w14:textId="77777777" w14:noSpellErr="1">
            <w:pPr>
              <w:pStyle w:val="ListParagraph"/>
              <w:ind w:left="0"/>
              <w:rPr>
                <w:rFonts w:ascii="Arial" w:hAnsi="Arial" w:eastAsia="Times New Roman" w:cs="Arial"/>
                <w:color w:val="auto"/>
                <w:sz w:val="20"/>
                <w:szCs w:val="20"/>
                <w:lang w:val="en"/>
              </w:rPr>
            </w:pPr>
            <w:r w:rsidRPr="253E5B67" w:rsidR="253E5B67">
              <w:rPr>
                <w:rFonts w:ascii="Arial" w:hAnsi="Arial" w:eastAsia="Times New Roman" w:cs="Arial"/>
                <w:color w:val="auto"/>
                <w:sz w:val="20"/>
                <w:szCs w:val="20"/>
                <w:lang w:val="en"/>
              </w:rPr>
              <w:t xml:space="preserve">In order to meet the requirements of the Bank’s Environmental and Social Safeguard Policies, </w:t>
            </w:r>
            <w:r w:rsidRPr="253E5B67" w:rsidR="253E5B67">
              <w:rPr>
                <w:rFonts w:ascii="Arial" w:hAnsi="Arial" w:eastAsia="Times New Roman" w:cs="Arial"/>
                <w:color w:val="auto"/>
                <w:sz w:val="20"/>
                <w:szCs w:val="20"/>
                <w:lang w:val="en"/>
              </w:rPr>
              <w:t>SBDC</w:t>
            </w:r>
            <w:r w:rsidRPr="253E5B67" w:rsidR="253E5B67">
              <w:rPr>
                <w:rFonts w:ascii="Arial" w:hAnsi="Arial" w:eastAsia="Times New Roman" w:cs="Arial"/>
                <w:color w:val="auto"/>
                <w:sz w:val="20"/>
                <w:szCs w:val="20"/>
                <w:lang w:val="en"/>
              </w:rPr>
              <w:t xml:space="preserve"> will comply to the satisfaction of the Bank with the ESHS contractual terms and conditions set forth in </w:t>
            </w:r>
            <w:r w:rsidRPr="253E5B67" w:rsidR="253E5B67">
              <w:rPr>
                <w:rFonts w:ascii="Arial" w:hAnsi="Arial" w:eastAsia="Times New Roman" w:cs="Arial"/>
                <w:color w:val="auto"/>
                <w:sz w:val="20"/>
                <w:szCs w:val="20"/>
                <w:lang w:val="en"/>
              </w:rPr>
              <w:t xml:space="preserve">this </w:t>
            </w:r>
            <w:r w:rsidRPr="253E5B67" w:rsidR="253E5B67">
              <w:rPr>
                <w:rFonts w:ascii="Arial" w:hAnsi="Arial" w:eastAsia="Times New Roman" w:cs="Arial"/>
                <w:color w:val="auto"/>
                <w:sz w:val="20"/>
                <w:szCs w:val="20"/>
                <w:lang w:val="en"/>
              </w:rPr>
              <w:t xml:space="preserve">Annex B. These terms and conditions can only be modified with the prior written consent of the Bank, including clearance by ESG. </w:t>
            </w:r>
          </w:p>
          <w:p w:rsidR="00D62154" w:rsidP="253E5B67" w:rsidRDefault="00D62154" w14:paraId="68EFD08A" w14:textId="77777777" w14:noSpellErr="1">
            <w:pPr>
              <w:pStyle w:val="ListParagraph"/>
              <w:ind w:left="0"/>
              <w:rPr>
                <w:rFonts w:ascii="Arial" w:hAnsi="Arial" w:eastAsia="Times New Roman" w:cs="Arial"/>
                <w:color w:val="auto"/>
                <w:sz w:val="20"/>
                <w:szCs w:val="20"/>
                <w:lang w:val="en"/>
              </w:rPr>
            </w:pPr>
          </w:p>
          <w:p w:rsidR="0053013B" w:rsidP="253E5B67" w:rsidRDefault="00D62154" w14:paraId="53202D67" w14:textId="77777777" w14:noSpellErr="1">
            <w:pPr>
              <w:pStyle w:val="ListParagraph"/>
              <w:ind w:left="0"/>
              <w:rPr>
                <w:rFonts w:ascii="Arial" w:hAnsi="Arial" w:eastAsia="Times New Roman" w:cs="Arial"/>
                <w:color w:val="auto"/>
                <w:sz w:val="20"/>
                <w:szCs w:val="20"/>
                <w:lang w:val="en"/>
              </w:rPr>
            </w:pPr>
            <w:r w:rsidRPr="253E5B67" w:rsidR="253E5B67">
              <w:rPr>
                <w:rFonts w:ascii="Arial" w:hAnsi="Arial" w:eastAsia="Times New Roman" w:cs="Arial"/>
                <w:color w:val="auto"/>
                <w:sz w:val="20"/>
                <w:szCs w:val="20"/>
                <w:lang w:val="en"/>
              </w:rPr>
              <w:t xml:space="preserve">These include </w:t>
            </w:r>
            <w:r w:rsidRPr="253E5B67" w:rsidR="253E5B67">
              <w:rPr>
                <w:rFonts w:ascii="Arial" w:hAnsi="Arial" w:eastAsia="Times New Roman" w:cs="Arial"/>
                <w:color w:val="auto"/>
                <w:sz w:val="20"/>
                <w:szCs w:val="20"/>
                <w:lang w:val="en"/>
              </w:rPr>
              <w:t xml:space="preserve">the following </w:t>
            </w:r>
            <w:r w:rsidRPr="253E5B67" w:rsidR="253E5B67">
              <w:rPr>
                <w:rFonts w:ascii="Arial" w:hAnsi="Arial" w:eastAsia="Times New Roman" w:cs="Arial"/>
                <w:color w:val="auto"/>
                <w:sz w:val="20"/>
                <w:szCs w:val="20"/>
                <w:lang w:val="en"/>
              </w:rPr>
              <w:t xml:space="preserve">conditions to be included in the </w:t>
            </w:r>
            <w:r w:rsidRPr="253E5B67" w:rsidR="253E5B67">
              <w:rPr>
                <w:rFonts w:ascii="Arial" w:hAnsi="Arial" w:eastAsia="Times New Roman" w:cs="Arial"/>
                <w:color w:val="auto"/>
                <w:sz w:val="20"/>
                <w:szCs w:val="20"/>
                <w:lang w:val="en"/>
              </w:rPr>
              <w:t>Program</w:t>
            </w:r>
            <w:r w:rsidRPr="253E5B67" w:rsidR="253E5B67">
              <w:rPr>
                <w:rFonts w:ascii="Arial" w:hAnsi="Arial" w:eastAsia="Times New Roman" w:cs="Arial"/>
                <w:color w:val="auto"/>
                <w:sz w:val="20"/>
                <w:szCs w:val="20"/>
                <w:lang w:val="en"/>
              </w:rPr>
              <w:t xml:space="preserve"> OR</w:t>
            </w:r>
            <w:r w:rsidRPr="253E5B67" w:rsidR="253E5B67">
              <w:rPr>
                <w:rFonts w:ascii="Arial" w:hAnsi="Arial" w:eastAsia="Times New Roman" w:cs="Arial"/>
                <w:color w:val="auto"/>
                <w:sz w:val="20"/>
                <w:szCs w:val="20"/>
                <w:lang w:val="en"/>
              </w:rPr>
              <w:t xml:space="preserve">: </w:t>
            </w:r>
          </w:p>
          <w:p w:rsidRPr="00D62154" w:rsidR="00D62154" w:rsidP="253E5B67" w:rsidRDefault="00D62154" w14:paraId="3E2B811C" w14:textId="77777777" w14:noSpellErr="1">
            <w:pPr>
              <w:pStyle w:val="ListParagraph"/>
              <w:rPr>
                <w:rFonts w:ascii="Arial" w:hAnsi="Arial" w:eastAsia="Times New Roman" w:cs="Arial"/>
                <w:color w:val="auto"/>
                <w:sz w:val="20"/>
                <w:szCs w:val="20"/>
                <w:lang w:val="en"/>
              </w:rPr>
            </w:pPr>
          </w:p>
          <w:p w:rsidRPr="00D62154" w:rsidR="00D62154" w:rsidP="253E5B67" w:rsidRDefault="00D62154" w14:paraId="2604D575" w14:textId="77777777" w14:noSpellErr="1">
            <w:pPr>
              <w:pStyle w:val="ListParagraph"/>
              <w:ind w:left="0"/>
              <w:rPr>
                <w:rFonts w:ascii="Arial" w:hAnsi="Arial" w:eastAsia="Times New Roman" w:cs="Arial"/>
                <w:color w:val="auto"/>
                <w:sz w:val="20"/>
                <w:szCs w:val="20"/>
                <w:lang w:val="en"/>
              </w:rPr>
            </w:pPr>
            <w:r w:rsidRPr="253E5B67" w:rsidR="253E5B67">
              <w:rPr>
                <w:rFonts w:ascii="Arial" w:hAnsi="Arial" w:eastAsia="Times New Roman" w:cs="Arial"/>
                <w:color w:val="auto"/>
                <w:sz w:val="20"/>
                <w:szCs w:val="20"/>
                <w:lang w:val="en"/>
              </w:rPr>
              <w:t>For this Program, the Bank will require</w:t>
            </w:r>
            <w:r w:rsidRPr="253E5B67" w:rsidR="253E5B67">
              <w:rPr>
                <w:rFonts w:ascii="Arial" w:hAnsi="Arial" w:eastAsia="Times New Roman" w:cs="Arial"/>
                <w:color w:val="auto"/>
                <w:sz w:val="20"/>
                <w:szCs w:val="20"/>
                <w:lang w:val="en"/>
              </w:rPr>
              <w:t xml:space="preserve"> SBDC</w:t>
            </w:r>
            <w:r w:rsidRPr="253E5B67" w:rsidR="253E5B67">
              <w:rPr>
                <w:rFonts w:ascii="Arial" w:hAnsi="Arial" w:eastAsia="Times New Roman" w:cs="Arial"/>
                <w:color w:val="auto"/>
                <w:sz w:val="20"/>
                <w:szCs w:val="20"/>
                <w:lang w:val="en"/>
              </w:rPr>
              <w:t xml:space="preserve"> to:</w:t>
            </w:r>
          </w:p>
          <w:p w:rsidRPr="00D62154" w:rsidR="00D62154" w:rsidP="253E5B67" w:rsidRDefault="00D62154" w14:paraId="227DAB85" w14:textId="77777777" w14:noSpellErr="1">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1.</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Assign and maintain a focal point for the follow-up of the E&amp;S aspects of the program. Ensure that the assigned staff is trained through a program approved by the IDB. The training can be financed with resources form the program Component </w:t>
            </w:r>
            <w:r w:rsidRPr="253E5B67" w:rsidR="00927C8B">
              <w:rPr>
                <w:rFonts w:ascii="Arial" w:hAnsi="Arial" w:eastAsia="Times New Roman" w:cs="Arial"/>
                <w:color w:val="auto"/>
                <w:sz w:val="20"/>
                <w:szCs w:val="20"/>
                <w:lang w:val="en"/>
              </w:rPr>
              <w:t>2</w:t>
            </w:r>
            <w:r w:rsidRPr="253E5B67">
              <w:rPr>
                <w:rFonts w:ascii="Arial" w:hAnsi="Arial" w:eastAsia="Times New Roman" w:cs="Arial"/>
                <w:color w:val="auto"/>
                <w:sz w:val="20"/>
                <w:szCs w:val="20"/>
                <w:lang w:val="en"/>
              </w:rPr>
              <w:t>.</w:t>
            </w:r>
          </w:p>
          <w:p w:rsidRPr="00D62154" w:rsidR="00D62154" w:rsidP="253E5B67" w:rsidRDefault="00D62154" w14:paraId="4A29C1C4" w14:textId="77777777" w14:noSpellErr="1">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2.</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Comply with all applicable environmental, social, health and safety, and labor regulatory requirements of </w:t>
            </w:r>
            <w:r w:rsidRPr="253E5B67" w:rsidR="00B15768">
              <w:rPr>
                <w:rFonts w:ascii="Arial" w:hAnsi="Arial" w:eastAsia="Times New Roman" w:cs="Arial"/>
                <w:color w:val="auto"/>
                <w:sz w:val="20"/>
                <w:szCs w:val="20"/>
                <w:lang w:val="en"/>
              </w:rPr>
              <w:t>the Bahamas</w:t>
            </w:r>
            <w:r w:rsidRPr="253E5B67">
              <w:rPr>
                <w:rFonts w:ascii="Arial" w:hAnsi="Arial" w:eastAsia="Times New Roman" w:cs="Arial"/>
                <w:color w:val="auto"/>
                <w:sz w:val="20"/>
                <w:szCs w:val="20"/>
                <w:lang w:val="en"/>
              </w:rPr>
              <w:t>.</w:t>
            </w:r>
          </w:p>
          <w:p w:rsidRPr="00D62154" w:rsidR="00D62154" w:rsidP="253E5B67" w:rsidRDefault="00D62154" w14:paraId="3EFB5BBD" w14:textId="77777777" w14:noSpellErr="1">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3.</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Confirm that the participating Financial Institutions and the </w:t>
            </w:r>
            <w:r w:rsidRPr="253E5B67" w:rsidR="00927C8B">
              <w:rPr>
                <w:rFonts w:ascii="Arial" w:hAnsi="Arial" w:eastAsia="Times New Roman" w:cs="Arial"/>
                <w:color w:val="auto"/>
                <w:sz w:val="20"/>
                <w:szCs w:val="20"/>
                <w:lang w:val="en"/>
              </w:rPr>
              <w:t>guaranteed</w:t>
            </w:r>
            <w:r w:rsidRPr="253E5B67">
              <w:rPr>
                <w:rFonts w:ascii="Arial" w:hAnsi="Arial" w:eastAsia="Times New Roman" w:cs="Arial"/>
                <w:color w:val="auto"/>
                <w:sz w:val="20"/>
                <w:szCs w:val="20"/>
                <w:lang w:val="en"/>
              </w:rPr>
              <w:t xml:space="preserve"> sub-loans comply with all applicable environmental, social, health and safety, and labor regulatory requirements of </w:t>
            </w:r>
            <w:r w:rsidRPr="253E5B67" w:rsidR="00927C8B">
              <w:rPr>
                <w:rFonts w:ascii="Arial" w:hAnsi="Arial" w:eastAsia="Times New Roman" w:cs="Arial"/>
                <w:color w:val="auto"/>
                <w:sz w:val="20"/>
                <w:szCs w:val="20"/>
                <w:lang w:val="en"/>
              </w:rPr>
              <w:t>the Bahamas</w:t>
            </w:r>
            <w:r w:rsidRPr="253E5B67">
              <w:rPr>
                <w:rFonts w:ascii="Arial" w:hAnsi="Arial" w:eastAsia="Times New Roman" w:cs="Arial"/>
                <w:color w:val="auto"/>
                <w:sz w:val="20"/>
                <w:szCs w:val="20"/>
                <w:lang w:val="en"/>
              </w:rPr>
              <w:t>. This will be achieved by either amending the existing Agreements with the participating FIs or by signing any other legally binding document deemed necessary.</w:t>
            </w:r>
          </w:p>
          <w:p w:rsidRPr="00D62154" w:rsidR="00D62154" w:rsidP="253E5B67" w:rsidRDefault="00D62154" w14:paraId="4BFB2BD7" w14:textId="77777777" w14:noSpellErr="1">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4.</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Apply the IDB exclusions list (see Annex I). For the sake of clarity this list will exclude from financing:</w:t>
            </w:r>
          </w:p>
          <w:p w:rsidRPr="00D62154" w:rsidR="00D62154" w:rsidP="253E5B67" w:rsidRDefault="00D62154" w14:paraId="7DCDAA33"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a.</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sub-loans</w:t>
            </w:r>
            <w:r w:rsidRPr="253E5B67">
              <w:rPr>
                <w:rFonts w:ascii="Arial" w:hAnsi="Arial" w:eastAsia="Times New Roman" w:cs="Arial"/>
                <w:color w:val="auto"/>
                <w:sz w:val="20"/>
                <w:szCs w:val="20"/>
                <w:lang w:val="en"/>
              </w:rPr>
              <w:t xml:space="preserve"> above </w:t>
            </w:r>
            <w:r w:rsidRPr="253E5B67" w:rsidR="00927C8B">
              <w:rPr>
                <w:rFonts w:ascii="Arial" w:hAnsi="Arial" w:eastAsia="Times New Roman" w:cs="Arial"/>
                <w:color w:val="auto"/>
                <w:sz w:val="20"/>
                <w:szCs w:val="20"/>
                <w:lang w:val="en"/>
              </w:rPr>
              <w:t>540</w:t>
            </w:r>
            <w:r w:rsidRPr="253E5B67">
              <w:rPr>
                <w:rFonts w:ascii="Arial" w:hAnsi="Arial" w:eastAsia="Times New Roman" w:cs="Arial"/>
                <w:color w:val="auto"/>
                <w:sz w:val="20"/>
                <w:szCs w:val="20"/>
                <w:lang w:val="en"/>
              </w:rPr>
              <w:t>kUS$</w:t>
            </w:r>
          </w:p>
          <w:p w:rsidRPr="00D62154" w:rsidR="00D62154" w:rsidP="253E5B67" w:rsidRDefault="00D62154" w14:paraId="56075139"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b.</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sub-loans in </w:t>
            </w:r>
            <w:r w:rsidRPr="253E5B67" w:rsidR="00927C8B">
              <w:rPr>
                <w:rFonts w:ascii="Arial" w:hAnsi="Arial" w:eastAsia="Times New Roman" w:cs="Arial"/>
                <w:color w:val="auto"/>
                <w:sz w:val="20"/>
                <w:szCs w:val="20"/>
                <w:lang w:val="en"/>
              </w:rPr>
              <w:t>forestry, large scale farming and agriculture, energy production</w:t>
            </w:r>
            <w:r w:rsidRPr="253E5B67">
              <w:rPr>
                <w:rFonts w:ascii="Arial" w:hAnsi="Arial" w:eastAsia="Times New Roman" w:cs="Arial"/>
                <w:color w:val="auto"/>
                <w:sz w:val="20"/>
                <w:szCs w:val="20"/>
                <w:lang w:val="en"/>
              </w:rPr>
              <w:t xml:space="preserve"> sectors</w:t>
            </w:r>
            <w:r w:rsidRPr="253E5B67">
              <w:rPr>
                <w:rFonts w:ascii="Arial" w:hAnsi="Arial" w:eastAsia="Times New Roman" w:cs="Arial"/>
                <w:color w:val="auto"/>
                <w:sz w:val="20"/>
                <w:szCs w:val="20"/>
                <w:lang w:val="en"/>
              </w:rPr>
              <w:t xml:space="preserve"> </w:t>
            </w:r>
          </w:p>
          <w:p w:rsidRPr="00D62154" w:rsidR="00D62154" w:rsidP="253E5B67" w:rsidRDefault="00D62154" w14:paraId="71C3EAB8"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c.</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sub-loans located in established protected areas and cultural sites</w:t>
            </w:r>
          </w:p>
          <w:p w:rsidRPr="00D62154" w:rsidR="00D62154" w:rsidP="253E5B67" w:rsidRDefault="00D62154" w14:paraId="04108E15"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d.</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sub-loans involving the introduction of invasive species</w:t>
            </w:r>
          </w:p>
          <w:p w:rsidRPr="00D62154" w:rsidR="00D62154" w:rsidP="253E5B67" w:rsidRDefault="00D62154" w14:paraId="0A276B36"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e.</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sub-loans involving involuntary resettlement of population</w:t>
            </w:r>
          </w:p>
          <w:p w:rsidRPr="00D62154" w:rsidR="00D62154" w:rsidP="253E5B67" w:rsidRDefault="00D62154" w14:paraId="2548B735" w14:textId="77777777" w14:noSpellErr="1">
            <w:pPr>
              <w:pStyle w:val="ListParagraph"/>
              <w:ind w:left="144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f.</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sub-loans involving economic displacement of population</w:t>
            </w:r>
          </w:p>
          <w:p w:rsidRPr="00D62154" w:rsidR="00D62154" w:rsidP="253E5B67" w:rsidRDefault="00D62154" w14:paraId="71A935C1" w14:textId="77777777" w14:noSpellErr="1">
            <w:pPr>
              <w:pStyle w:val="ListParagraph"/>
              <w:ind w:left="1440"/>
              <w:rPr>
                <w:rFonts w:ascii="Arial" w:hAnsi="Arial" w:eastAsia="Times New Roman" w:cs="Arial"/>
                <w:color w:val="auto"/>
                <w:sz w:val="20"/>
                <w:szCs w:val="20"/>
                <w:lang w:val="en"/>
              </w:rPr>
            </w:pPr>
          </w:p>
          <w:p w:rsidRPr="00D62154" w:rsidR="00D62154" w:rsidP="253E5B67" w:rsidRDefault="00D62154" w14:paraId="03803496" w14:textId="77777777">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5.</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 xml:space="preserve">Require an affidavit from the borrower that he will comply with (i) the application of safety measures for workers including the use of PPE when relevant and the compliance with the Ministry of </w:t>
            </w:r>
            <w:proofErr w:type="spellStart"/>
            <w:r w:rsidRPr="253E5B67">
              <w:rPr>
                <w:rFonts w:ascii="Arial" w:hAnsi="Arial" w:eastAsia="Times New Roman" w:cs="Arial"/>
                <w:color w:val="auto"/>
                <w:sz w:val="20"/>
                <w:szCs w:val="20"/>
                <w:lang w:val="en"/>
              </w:rPr>
              <w:t>Labour</w:t>
            </w:r>
            <w:proofErr w:type="spellEnd"/>
            <w:r w:rsidRPr="253E5B67">
              <w:rPr>
                <w:rFonts w:ascii="Arial" w:hAnsi="Arial" w:eastAsia="Times New Roman" w:cs="Arial"/>
                <w:color w:val="auto"/>
                <w:sz w:val="20"/>
                <w:szCs w:val="20"/>
                <w:lang w:val="en"/>
              </w:rPr>
              <w:t xml:space="preserve"> policy related to Health and Safety and (ii) the appropriate disposition of solid and hazardous waste in authorized locations and discharge of waste water.</w:t>
            </w:r>
          </w:p>
          <w:p w:rsidRPr="00D62154" w:rsidR="00D62154" w:rsidP="253E5B67" w:rsidRDefault="00D62154" w14:paraId="686E218D" w14:textId="77777777" w14:noSpellErr="1">
            <w:pPr>
              <w:pStyle w:val="ListParagraph"/>
              <w:ind w:left="0"/>
              <w:rPr>
                <w:rFonts w:ascii="Arial" w:hAnsi="Arial" w:eastAsia="Times New Roman" w:cs="Arial"/>
                <w:color w:val="auto"/>
                <w:sz w:val="20"/>
                <w:szCs w:val="20"/>
                <w:lang w:val="en"/>
              </w:rPr>
            </w:pPr>
            <w:r w:rsidRPr="253E5B67">
              <w:rPr>
                <w:rFonts w:ascii="Arial" w:hAnsi="Arial" w:eastAsia="Times New Roman" w:cs="Arial"/>
                <w:color w:val="auto"/>
                <w:sz w:val="20"/>
                <w:szCs w:val="20"/>
                <w:lang w:val="en"/>
              </w:rPr>
              <w:t>6.</w:t>
            </w:r>
            <w:r w:rsidRPr="00D62154">
              <w:rPr>
                <w:rFonts w:ascii="Arial" w:hAnsi="Arial" w:eastAsia="Times New Roman" w:cs="Arial"/>
                <w:color w:val="0070C0"/>
                <w:sz w:val="20"/>
                <w:szCs w:val="20"/>
                <w:lang w:val="en"/>
              </w:rPr>
              <w:tab/>
            </w:r>
            <w:r w:rsidRPr="253E5B67">
              <w:rPr>
                <w:rFonts w:ascii="Arial" w:hAnsi="Arial" w:eastAsia="Times New Roman" w:cs="Arial"/>
                <w:color w:val="auto"/>
                <w:sz w:val="20"/>
                <w:szCs w:val="20"/>
                <w:lang w:val="en"/>
              </w:rPr>
              <w:t>Present to the IDB an Annual Environmental and Social Compliance Report (ESCR) with information on the financed portfolio and any particular risk issues identified, mitigation measures agreed with clients as well as compliance status.</w:t>
            </w:r>
          </w:p>
          <w:p w:rsidRPr="00D62154" w:rsidR="00D62154" w:rsidP="253E5B67" w:rsidRDefault="00D62154" w14:paraId="640A0DDD" w14:textId="77777777" w14:noSpellErr="1">
            <w:pPr>
              <w:pStyle w:val="ListParagraph"/>
              <w:ind w:left="0"/>
              <w:rPr>
                <w:rFonts w:ascii="Arial" w:hAnsi="Arial" w:eastAsia="Times New Roman" w:cs="Arial"/>
                <w:color w:val="auto"/>
                <w:sz w:val="20"/>
                <w:szCs w:val="20"/>
                <w:lang w:val="en"/>
              </w:rPr>
            </w:pPr>
          </w:p>
          <w:p w:rsidRPr="00D62154" w:rsidR="00D62154" w:rsidP="253E5B67" w:rsidRDefault="00D62154" w14:paraId="7BC67F9E" w14:textId="77777777" w14:noSpellErr="1">
            <w:pPr>
              <w:pStyle w:val="ListParagraph"/>
              <w:ind w:left="0"/>
              <w:rPr>
                <w:rFonts w:ascii="Arial" w:hAnsi="Arial" w:eastAsia="Times New Roman" w:cs="Arial"/>
                <w:color w:val="auto"/>
                <w:sz w:val="20"/>
                <w:szCs w:val="20"/>
                <w:lang w:val="en"/>
              </w:rPr>
            </w:pPr>
            <w:r w:rsidRPr="253E5B67" w:rsidR="253E5B67">
              <w:rPr>
                <w:rFonts w:ascii="Arial" w:hAnsi="Arial" w:eastAsia="Times New Roman" w:cs="Arial"/>
                <w:color w:val="auto"/>
                <w:sz w:val="20"/>
                <w:szCs w:val="20"/>
                <w:lang w:val="en"/>
              </w:rPr>
              <w:t>Th</w:t>
            </w:r>
            <w:r w:rsidRPr="253E5B67" w:rsidR="253E5B67">
              <w:rPr>
                <w:rFonts w:ascii="Arial" w:hAnsi="Arial" w:eastAsia="Times New Roman" w:cs="Arial"/>
                <w:color w:val="auto"/>
                <w:sz w:val="20"/>
                <w:szCs w:val="20"/>
                <w:lang w:val="en"/>
              </w:rPr>
              <w:t>e IDB will supervise the ESHS and labor aspe</w:t>
            </w:r>
            <w:r w:rsidRPr="253E5B67" w:rsidR="253E5B67">
              <w:rPr>
                <w:rFonts w:ascii="Arial" w:hAnsi="Arial" w:eastAsia="Times New Roman" w:cs="Arial"/>
                <w:color w:val="auto"/>
                <w:sz w:val="20"/>
                <w:szCs w:val="20"/>
                <w:lang w:val="en"/>
              </w:rPr>
              <w:t xml:space="preserve">cts related to the use of the proceeds of the IDB loan, as necessary either by an IDB in-house specialist or with external consultants, hired by the IDB.  To this end, the </w:t>
            </w:r>
            <w:r w:rsidRPr="253E5B67" w:rsidR="253E5B67">
              <w:rPr>
                <w:rFonts w:ascii="Arial" w:hAnsi="Arial" w:eastAsia="Times New Roman" w:cs="Arial"/>
                <w:color w:val="auto"/>
                <w:sz w:val="20"/>
                <w:szCs w:val="20"/>
                <w:lang w:val="en"/>
              </w:rPr>
              <w:t>SBDC</w:t>
            </w:r>
            <w:r w:rsidRPr="253E5B67" w:rsidR="253E5B67">
              <w:rPr>
                <w:rFonts w:ascii="Arial" w:hAnsi="Arial" w:eastAsia="Times New Roman" w:cs="Arial"/>
                <w:color w:val="auto"/>
                <w:sz w:val="20"/>
                <w:szCs w:val="20"/>
                <w:lang w:val="en"/>
              </w:rPr>
              <w:t xml:space="preserve"> will provide and facilitate access by IDB to all relevant documentation, personnel and guaranteed sub-loans facilities. </w:t>
            </w:r>
          </w:p>
          <w:p w:rsidRPr="00D62154" w:rsidR="00D62154" w:rsidP="253E5B67" w:rsidRDefault="00D62154" w14:paraId="091ABEEC" w14:textId="77777777" w14:noSpellErr="1">
            <w:pPr>
              <w:pStyle w:val="ListParagraph"/>
              <w:ind w:left="0"/>
              <w:rPr>
                <w:rFonts w:ascii="Arial" w:hAnsi="Arial" w:eastAsia="Times New Roman" w:cs="Arial"/>
                <w:color w:val="auto"/>
                <w:sz w:val="20"/>
                <w:szCs w:val="20"/>
                <w:lang w:val="en"/>
              </w:rPr>
            </w:pPr>
          </w:p>
          <w:p w:rsidRPr="00D62154" w:rsidR="00D62154" w:rsidP="253E5B67" w:rsidRDefault="00D62154" w14:paraId="621B1436" w14:textId="77777777" w14:noSpellErr="1">
            <w:pPr>
              <w:pStyle w:val="ListParagraph"/>
              <w:ind w:left="0"/>
              <w:rPr>
                <w:rFonts w:ascii="Arial" w:hAnsi="Arial" w:eastAsia="Times New Roman" w:cs="Arial"/>
                <w:color w:val="auto"/>
                <w:sz w:val="20"/>
                <w:szCs w:val="20"/>
                <w:lang w:val="en"/>
              </w:rPr>
            </w:pPr>
            <w:r w:rsidRPr="253E5B67" w:rsidR="253E5B67">
              <w:rPr>
                <w:rFonts w:ascii="Arial" w:hAnsi="Arial" w:eastAsia="Times New Roman" w:cs="Arial"/>
                <w:color w:val="auto"/>
                <w:sz w:val="20"/>
                <w:szCs w:val="20"/>
                <w:lang w:val="en"/>
              </w:rPr>
              <w:t xml:space="preserve">If necessary, IDB and the </w:t>
            </w:r>
            <w:r w:rsidRPr="253E5B67" w:rsidR="253E5B67">
              <w:rPr>
                <w:rFonts w:ascii="Arial" w:hAnsi="Arial" w:eastAsia="Times New Roman" w:cs="Arial"/>
                <w:color w:val="auto"/>
                <w:sz w:val="20"/>
                <w:szCs w:val="20"/>
                <w:lang w:val="en"/>
              </w:rPr>
              <w:t>SBDC</w:t>
            </w:r>
            <w:r w:rsidRPr="253E5B67" w:rsidR="253E5B67">
              <w:rPr>
                <w:rFonts w:ascii="Arial" w:hAnsi="Arial" w:eastAsia="Times New Roman" w:cs="Arial"/>
                <w:color w:val="auto"/>
                <w:sz w:val="20"/>
                <w:szCs w:val="20"/>
                <w:lang w:val="en"/>
              </w:rPr>
              <w:t xml:space="preserve"> will agree on corrective actions or measures necessary to address impacts and risks and/or to enhance their management.</w:t>
            </w:r>
          </w:p>
          <w:p w:rsidRPr="00D62154" w:rsidR="00D62154" w:rsidP="253E5B67" w:rsidRDefault="00D62154" w14:paraId="43E34976" w14:textId="77777777" w14:noSpellErr="1">
            <w:pPr>
              <w:pStyle w:val="ListParagraph"/>
              <w:ind w:left="0"/>
              <w:rPr>
                <w:rFonts w:ascii="Arial" w:hAnsi="Arial" w:eastAsia="Times New Roman" w:cs="Arial"/>
                <w:color w:val="auto"/>
                <w:sz w:val="20"/>
                <w:szCs w:val="20"/>
                <w:lang w:val="en"/>
              </w:rPr>
            </w:pPr>
          </w:p>
          <w:p w:rsidRPr="00EC694F" w:rsidR="00D62154" w:rsidP="253E5B67" w:rsidRDefault="00D62154" w14:paraId="27675507" w14:textId="598AACA8">
            <w:pPr>
              <w:pStyle w:val="ListParagraph"/>
              <w:ind w:left="0"/>
              <w:rPr>
                <w:rFonts w:ascii="Arial" w:hAnsi="Arial" w:eastAsia="Times New Roman" w:cs="Arial"/>
                <w:color w:val="0070C0"/>
                <w:sz w:val="20"/>
                <w:szCs w:val="20"/>
                <w:lang w:val="en"/>
              </w:rPr>
            </w:pPr>
            <w:r w:rsidRPr="253E5B67" w:rsidR="253E5B67">
              <w:rPr>
                <w:rFonts w:ascii="Arial" w:hAnsi="Arial" w:eastAsia="Times New Roman" w:cs="Arial"/>
                <w:color w:val="auto"/>
                <w:sz w:val="20"/>
                <w:szCs w:val="20"/>
                <w:lang w:val="en"/>
              </w:rPr>
              <w:t>If and when</w:t>
            </w:r>
            <w:r w:rsidRPr="253E5B67" w:rsidR="253E5B67">
              <w:rPr>
                <w:rFonts w:ascii="Arial" w:hAnsi="Arial" w:eastAsia="Times New Roman" w:cs="Arial"/>
                <w:color w:val="auto"/>
                <w:sz w:val="20"/>
                <w:szCs w:val="20"/>
                <w:lang w:val="en"/>
              </w:rPr>
              <w:t xml:space="preserve"> the </w:t>
            </w:r>
            <w:r w:rsidRPr="253E5B67" w:rsidR="253E5B67">
              <w:rPr>
                <w:rFonts w:ascii="Arial" w:hAnsi="Arial" w:eastAsia="Times New Roman" w:cs="Arial"/>
                <w:color w:val="auto"/>
                <w:sz w:val="20"/>
                <w:szCs w:val="20"/>
                <w:lang w:val="en"/>
              </w:rPr>
              <w:t>SBDC</w:t>
            </w:r>
            <w:r w:rsidRPr="253E5B67" w:rsidR="253E5B67">
              <w:rPr>
                <w:rFonts w:ascii="Arial" w:hAnsi="Arial" w:eastAsia="Times New Roman" w:cs="Arial"/>
                <w:color w:val="auto"/>
                <w:sz w:val="20"/>
                <w:szCs w:val="20"/>
                <w:lang w:val="en"/>
              </w:rPr>
              <w:t xml:space="preserve"> wants to include sub-loans to sectors not eligible, request the IDB non-objection.</w:t>
            </w:r>
            <w:r w:rsidRPr="253E5B67" w:rsidR="253E5B67">
              <w:rPr>
                <w:rFonts w:ascii="Arial" w:hAnsi="Arial" w:eastAsia="Times New Roman" w:cs="Arial"/>
                <w:color w:val="0070C0"/>
                <w:sz w:val="20"/>
                <w:szCs w:val="20"/>
                <w:lang w:val="en"/>
              </w:rPr>
              <w:t xml:space="preserve"> </w:t>
            </w:r>
          </w:p>
        </w:tc>
      </w:tr>
    </w:tbl>
    <w:p w:rsidRPr="00EC694F" w:rsidR="0053013B" w:rsidP="0053013B" w:rsidRDefault="0053013B" w14:paraId="20DD627E" w14:textId="77777777">
      <w:pPr>
        <w:rPr>
          <w:rFonts w:ascii="Arial" w:hAnsi="Arial" w:cs="Arial"/>
          <w:bCs/>
          <w:sz w:val="20"/>
          <w:szCs w:val="20"/>
        </w:rPr>
      </w:pPr>
    </w:p>
    <w:p w:rsidR="00927C8B" w:rsidRDefault="00927C8B" w14:paraId="6818382A" w14:textId="215D6410">
      <w:pPr>
        <w:rPr>
          <w:rFonts w:ascii="Arial" w:hAnsi="Arial" w:cs="Arial"/>
          <w:bCs/>
          <w:sz w:val="20"/>
          <w:szCs w:val="20"/>
        </w:rPr>
      </w:pPr>
      <w:bookmarkStart w:name="_GoBack" w:id="1"/>
      <w:bookmarkEnd w:id="1"/>
    </w:p>
    <w:sectPr w:rsidR="00927C8B" w:rsidSect="009F0069">
      <w:pgSz w:w="12240" w:h="15840" w:orient="portrait"/>
      <w:pgMar w:top="1440" w:right="11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B1A" w:rsidP="00953C33" w:rsidRDefault="001C3B1A" w14:paraId="2DDB84BF" w14:textId="77777777">
      <w:r>
        <w:separator/>
      </w:r>
    </w:p>
  </w:endnote>
  <w:endnote w:type="continuationSeparator" w:id="0">
    <w:p w:rsidR="001C3B1A" w:rsidP="00953C33" w:rsidRDefault="001C3B1A" w14:paraId="2D1F307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325" w:rsidP="00837A8F" w:rsidRDefault="00563325" w14:paraId="044D33B2" w14:textId="77777777">
    <w:pPr>
      <w:pStyle w:val="Footer"/>
      <w:pBdr>
        <w:bottom w:val="single" w:color="auto" w:sz="6" w:space="1"/>
      </w:pBdr>
      <w:ind w:right="-630"/>
    </w:pPr>
  </w:p>
  <w:p w:rsidRPr="00C74332" w:rsidR="00563325" w:rsidP="00B757F7" w:rsidRDefault="00563325" w14:paraId="20C4F12F" w14:textId="77777777">
    <w:pPr>
      <w:pStyle w:val="Footer"/>
      <w:jc w:val="center"/>
      <w:rPr>
        <w:rFonts w:ascii="Arial" w:hAnsi="Arial" w:cs="Arial"/>
        <w:sz w:val="16"/>
        <w:szCs w:val="16"/>
      </w:rPr>
    </w:pPr>
    <w:r w:rsidRPr="00C74332">
      <w:rPr>
        <w:rFonts w:ascii="Arial" w:hAnsi="Arial" w:cs="Arial"/>
        <w:sz w:val="16"/>
        <w:szCs w:val="16"/>
      </w:rPr>
      <w:t>IDB Environmental and Social Management Report (ESMR)</w:t>
    </w:r>
    <w:r w:rsidRPr="00C74332">
      <w:rPr>
        <w:rFonts w:ascii="Arial" w:hAnsi="Arial" w:cs="Arial"/>
        <w:sz w:val="16"/>
        <w:szCs w:val="16"/>
      </w:rPr>
      <w:tab/>
    </w:r>
    <w:r w:rsidRPr="00C74332">
      <w:rPr>
        <w:rFonts w:ascii="Arial" w:hAnsi="Arial" w:cs="Arial"/>
        <w:sz w:val="16"/>
        <w:szCs w:val="16"/>
      </w:rPr>
      <w:fldChar w:fldCharType="begin"/>
    </w:r>
    <w:r w:rsidRPr="00C74332">
      <w:rPr>
        <w:rFonts w:ascii="Arial" w:hAnsi="Arial" w:cs="Arial"/>
        <w:sz w:val="16"/>
        <w:szCs w:val="16"/>
      </w:rPr>
      <w:instrText xml:space="preserve"> PAGE   \* MERGEFORMAT </w:instrText>
    </w:r>
    <w:r w:rsidRPr="00C74332">
      <w:rPr>
        <w:rFonts w:ascii="Arial" w:hAnsi="Arial" w:cs="Arial"/>
        <w:sz w:val="16"/>
        <w:szCs w:val="16"/>
      </w:rPr>
      <w:fldChar w:fldCharType="separate"/>
    </w:r>
    <w:r w:rsidRPr="00C74332">
      <w:rPr>
        <w:rFonts w:ascii="Arial" w:hAnsi="Arial" w:cs="Arial"/>
        <w:noProof/>
        <w:sz w:val="16"/>
        <w:szCs w:val="16"/>
      </w:rPr>
      <w:t>20</w:t>
    </w:r>
    <w:r w:rsidRPr="00C7433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B1A" w:rsidP="00953C33" w:rsidRDefault="001C3B1A" w14:paraId="25ABCDC3" w14:textId="77777777">
      <w:r>
        <w:separator/>
      </w:r>
    </w:p>
  </w:footnote>
  <w:footnote w:type="continuationSeparator" w:id="0">
    <w:p w:rsidR="001C3B1A" w:rsidP="00953C33" w:rsidRDefault="001C3B1A" w14:paraId="1380F918" w14:textId="77777777">
      <w:r>
        <w:continuationSeparator/>
      </w:r>
    </w:p>
  </w:footnote>
  <w:footnote w:id="1">
    <w:p w:rsidRPr="00F93383" w:rsidR="00C05206" w:rsidP="00C05206" w:rsidRDefault="00C05206" w14:paraId="2F2F1F1D" w14:textId="77777777">
      <w:pPr>
        <w:pStyle w:val="FootnoteText"/>
        <w:rPr>
          <w:rFonts w:ascii="Arial" w:hAnsi="Arial" w:cs="Arial"/>
          <w:sz w:val="16"/>
          <w:szCs w:val="16"/>
        </w:rPr>
      </w:pPr>
      <w:r w:rsidRPr="00F93383">
        <w:rPr>
          <w:rStyle w:val="FootnoteReference"/>
          <w:rFonts w:ascii="Arial" w:hAnsi="Arial" w:cs="Arial"/>
          <w:sz w:val="16"/>
          <w:szCs w:val="16"/>
        </w:rPr>
        <w:footnoteRef/>
      </w:r>
      <w:r w:rsidRPr="00F93383">
        <w:rPr>
          <w:rFonts w:ascii="Arial" w:hAnsi="Arial" w:cs="Arial"/>
          <w:sz w:val="16"/>
          <w:szCs w:val="16"/>
        </w:rPr>
        <w:t xml:space="preserve"> The SBDC is part of a network of similar programs in the United States, Latin America and Caribbean, that has been supported by</w:t>
      </w:r>
      <w:r w:rsidRPr="00F93383">
        <w:rPr>
          <w:rFonts w:ascii="Arial" w:hAnsi="Arial" w:cs="Arial"/>
          <w:color w:val="000000"/>
          <w:sz w:val="16"/>
          <w:szCs w:val="16"/>
          <w:shd w:val="clear" w:color="auto" w:fill="F5F6F7"/>
        </w:rPr>
        <w:t xml:space="preserve"> the US government and </w:t>
      </w:r>
      <w:r w:rsidRPr="00F93383">
        <w:rPr>
          <w:rFonts w:ascii="Arial" w:hAnsi="Arial" w:cs="Arial"/>
          <w:sz w:val="16"/>
          <w:szCs w:val="16"/>
        </w:rPr>
        <w:t>regional agencies, such as the OAS (</w:t>
      </w:r>
      <w:hyperlink w:history="1" r:id="rId1">
        <w:r w:rsidRPr="00F93383">
          <w:rPr>
            <w:rStyle w:val="Hyperlink"/>
            <w:rFonts w:ascii="Arial" w:hAnsi="Arial" w:cs="Arial"/>
            <w:sz w:val="16"/>
            <w:szCs w:val="16"/>
          </w:rPr>
          <w:t>https://www.sbdcglobal.com</w:t>
        </w:r>
      </w:hyperlink>
      <w:r w:rsidRPr="00F93383">
        <w:rPr>
          <w:rFonts w:ascii="Arial" w:hAnsi="Arial" w:cs="Arial"/>
          <w:sz w:val="16"/>
          <w:szCs w:val="16"/>
        </w:rPr>
        <w:t>). The network has been instrumental in its capacity building.</w:t>
      </w:r>
    </w:p>
  </w:footnote>
  <w:footnote w:id="2">
    <w:p w:rsidRPr="00F93383" w:rsidR="00F93383" w:rsidRDefault="00F93383" w14:paraId="3DC96FFB" w14:textId="77777777">
      <w:pPr>
        <w:pStyle w:val="FootnoteText"/>
        <w:rPr>
          <w:rFonts w:ascii="Arial" w:hAnsi="Arial" w:cs="Arial"/>
          <w:sz w:val="16"/>
          <w:szCs w:val="16"/>
        </w:rPr>
      </w:pPr>
      <w:r w:rsidRPr="00F93383">
        <w:rPr>
          <w:rStyle w:val="FootnoteReference"/>
          <w:rFonts w:ascii="Arial" w:hAnsi="Arial" w:cs="Arial"/>
          <w:sz w:val="16"/>
          <w:szCs w:val="16"/>
        </w:rPr>
        <w:footnoteRef/>
      </w:r>
      <w:r w:rsidRPr="00F93383">
        <w:rPr>
          <w:rFonts w:ascii="Arial" w:hAnsi="Arial" w:cs="Arial"/>
          <w:sz w:val="16"/>
          <w:szCs w:val="16"/>
        </w:rPr>
        <w:t xml:space="preserve"> Other intermediaries may include microfinance institutions and credit unions</w:t>
      </w:r>
    </w:p>
  </w:footnote>
  <w:footnote w:id="3">
    <w:p w:rsidR="009C3740" w:rsidRDefault="009C3740" w14:paraId="73D9BEDB" w14:textId="77777777">
      <w:pPr>
        <w:pStyle w:val="FootnoteText"/>
      </w:pPr>
      <w:r>
        <w:rPr>
          <w:rStyle w:val="FootnoteReference"/>
        </w:rPr>
        <w:footnoteRef/>
      </w:r>
      <w:r>
        <w:t xml:space="preserve"> </w:t>
      </w:r>
      <w:r w:rsidRPr="009C3740">
        <w:rPr>
          <w:rFonts w:ascii="Arial" w:hAnsi="Arial" w:cs="Arial"/>
          <w:sz w:val="16"/>
          <w:szCs w:val="16"/>
        </w:rPr>
        <w:t>See http://bahamasprotected.com/bpaf-act/</w:t>
      </w:r>
    </w:p>
  </w:footnote>
  <w:footnote w:id="4">
    <w:p w:rsidRPr="00C74332" w:rsidR="007F4412" w:rsidRDefault="007F4412" w14:paraId="037BCD20" w14:textId="77777777">
      <w:pPr>
        <w:pStyle w:val="FootnoteText"/>
        <w:rPr>
          <w:rFonts w:ascii="Arial" w:hAnsi="Arial" w:cs="Arial"/>
          <w:sz w:val="16"/>
          <w:szCs w:val="16"/>
        </w:rPr>
      </w:pPr>
      <w:r w:rsidRPr="00C74332">
        <w:rPr>
          <w:rStyle w:val="FootnoteReference"/>
          <w:rFonts w:ascii="Arial" w:hAnsi="Arial" w:cs="Arial"/>
          <w:sz w:val="16"/>
          <w:szCs w:val="16"/>
        </w:rPr>
        <w:footnoteRef/>
      </w:r>
      <w:r w:rsidRPr="00C74332">
        <w:rPr>
          <w:rFonts w:ascii="Arial" w:hAnsi="Arial" w:cs="Arial"/>
          <w:sz w:val="16"/>
          <w:szCs w:val="16"/>
        </w:rPr>
        <w:t xml:space="preserve"> OP-703 applies when livelihood impacts are not significant and don’t lead to physical displacement (see </w:t>
      </w:r>
      <w:r w:rsidRPr="00C74332">
        <w:rPr>
          <w:rFonts w:ascii="Arial" w:hAnsi="Arial" w:cs="Arial"/>
          <w:i/>
          <w:sz w:val="16"/>
          <w:szCs w:val="16"/>
        </w:rPr>
        <w:t>Transitional Guidance in instruments for Physical Displacement, Economic Displacement and Economic Losses under OP-710 and OP-703</w:t>
      </w:r>
      <w:r w:rsidRPr="00C74332">
        <w:rPr>
          <w:rFonts w:ascii="Arial" w:hAnsi="Arial" w:cs="Arial"/>
          <w:sz w:val="16"/>
          <w:szCs w:val="16"/>
        </w:rPr>
        <w:t xml:space="preserve"> (TG-005) for more information)</w:t>
      </w:r>
    </w:p>
  </w:footnote>
  <w:footnote w:id="5">
    <w:p w:rsidRPr="00FE139C" w:rsidR="005E4DB9" w:rsidP="00AE199A" w:rsidRDefault="005E4DB9" w14:paraId="3F78F7F4" w14:textId="77777777">
      <w:pPr>
        <w:pStyle w:val="FootnoteText"/>
        <w:rPr>
          <w:rFonts w:ascii="Arial" w:hAnsi="Arial" w:cs="Arial"/>
          <w:sz w:val="16"/>
          <w:szCs w:val="16"/>
        </w:rPr>
      </w:pPr>
      <w:r w:rsidRPr="00FE139C">
        <w:rPr>
          <w:rStyle w:val="FootnoteReference"/>
          <w:rFonts w:ascii="Arial" w:hAnsi="Arial" w:cs="Arial"/>
          <w:sz w:val="16"/>
          <w:szCs w:val="16"/>
        </w:rPr>
        <w:footnoteRef/>
      </w:r>
      <w:r w:rsidRPr="00FE139C">
        <w:rPr>
          <w:rFonts w:ascii="Arial" w:hAnsi="Arial" w:cs="Arial"/>
          <w:sz w:val="16"/>
          <w:szCs w:val="16"/>
        </w:rPr>
        <w:t xml:space="preserve"> Type 2 risk scenario occurs when the operation has a potential to exacerbate hazard risk to human life, property, the environment and the project itself.</w:t>
      </w:r>
    </w:p>
  </w:footnote>
  <w:footnote w:id="6">
    <w:p w:rsidRPr="00AB4A05" w:rsidR="00A53E28" w:rsidP="00832AFF" w:rsidRDefault="00A53E28" w14:paraId="1ECD0F61" w14:textId="77777777">
      <w:pPr>
        <w:pStyle w:val="FootnoteText"/>
        <w:rPr>
          <w:rFonts w:ascii="Arial" w:hAnsi="Arial" w:cs="Arial"/>
          <w:sz w:val="16"/>
          <w:szCs w:val="16"/>
        </w:rPr>
      </w:pPr>
      <w:r w:rsidRPr="00AB4A05">
        <w:rPr>
          <w:rStyle w:val="FootnoteReference"/>
          <w:rFonts w:ascii="Arial" w:hAnsi="Arial" w:cs="Arial"/>
          <w:sz w:val="16"/>
          <w:szCs w:val="16"/>
        </w:rPr>
        <w:footnoteRef/>
      </w:r>
      <w:r w:rsidRPr="00AB4A05">
        <w:rPr>
          <w:rFonts w:ascii="Arial" w:hAnsi="Arial" w:cs="Arial"/>
          <w:sz w:val="16"/>
          <w:szCs w:val="16"/>
        </w:rPr>
        <w:t xml:space="preserve"> OP-710 applies when livelihood impacts lead to physical displacement (see </w:t>
      </w:r>
      <w:r w:rsidRPr="00AB4A05">
        <w:rPr>
          <w:rFonts w:ascii="Arial" w:hAnsi="Arial" w:cs="Arial"/>
          <w:i/>
          <w:sz w:val="16"/>
          <w:szCs w:val="16"/>
        </w:rPr>
        <w:t>Transitional Guidance in instruments for Physical Displacement, Economic Displacement and Economic Losses under OP-710 and OP-703</w:t>
      </w:r>
      <w:r w:rsidRPr="00AB4A05">
        <w:rPr>
          <w:rFonts w:ascii="Arial" w:hAnsi="Arial" w:cs="Arial"/>
          <w:sz w:val="16"/>
          <w:szCs w:val="16"/>
        </w:rPr>
        <w:t xml:space="preserve"> (TG-005) for more information)</w:t>
      </w:r>
    </w:p>
  </w:footnote>
  <w:footnote w:id="7">
    <w:p w:rsidRPr="003B61B6" w:rsidR="005E4DB9" w:rsidP="003B61B6" w:rsidRDefault="005E4DB9" w14:paraId="3BD3B782" w14:textId="77777777">
      <w:pPr>
        <w:pStyle w:val="FootnoteText"/>
        <w:jc w:val="both"/>
        <w:rPr>
          <w:rFonts w:ascii="Arial" w:hAnsi="Arial" w:cs="Arial"/>
          <w:sz w:val="18"/>
          <w:szCs w:val="18"/>
        </w:rPr>
      </w:pPr>
      <w:r w:rsidRPr="003B61B6">
        <w:rPr>
          <w:rStyle w:val="FootnoteReference"/>
          <w:rFonts w:ascii="Arial" w:hAnsi="Arial" w:cs="Arial"/>
          <w:sz w:val="18"/>
          <w:szCs w:val="18"/>
        </w:rPr>
        <w:footnoteRef/>
      </w:r>
      <w:r w:rsidRPr="003B61B6">
        <w:rPr>
          <w:rFonts w:ascii="Arial" w:hAnsi="Arial" w:cs="Arial"/>
          <w:sz w:val="18"/>
          <w:szCs w:val="18"/>
        </w:rPr>
        <w:t xml:space="preserve"> Risks may include: (i) Unequal access to project benefits/ compensation measures, (ii) Men or women disproportionally affected due to gender factors, (iii) Non-compliance with applicable legislation related to equality between men and women, (iv) Increased risk of gender-based violence, including sexual exploitation, human trafficking and sexually transmitted diseases, and (v) Disregard of women’s ownership rights.</w:t>
      </w:r>
    </w:p>
  </w:footnote>
  <w:footnote w:id="8">
    <w:p w:rsidRPr="003B61B6" w:rsidR="00A53E28" w:rsidP="003B61B6" w:rsidRDefault="00A53E28" w14:paraId="4433C3B4" w14:textId="77777777">
      <w:pPr>
        <w:pStyle w:val="FootnoteText"/>
        <w:jc w:val="both"/>
        <w:rPr>
          <w:rFonts w:ascii="Arial" w:hAnsi="Arial" w:cs="Arial"/>
          <w:sz w:val="18"/>
          <w:szCs w:val="18"/>
        </w:rPr>
      </w:pPr>
      <w:r w:rsidRPr="003B61B6">
        <w:rPr>
          <w:rStyle w:val="FootnoteReference"/>
          <w:rFonts w:ascii="Arial" w:hAnsi="Arial" w:cs="Arial"/>
          <w:sz w:val="18"/>
          <w:szCs w:val="18"/>
        </w:rPr>
        <w:footnoteRef/>
      </w:r>
      <w:r w:rsidRPr="003B61B6">
        <w:rPr>
          <w:rFonts w:ascii="Arial" w:hAnsi="Arial" w:cs="Arial"/>
          <w:sz w:val="18"/>
          <w:szCs w:val="18"/>
        </w:rPr>
        <w:t xml:space="preserve"> Environmental and Social Assessments include ESIAs, ESMPs, RPs, RFs, and ESMFs.</w:t>
      </w:r>
    </w:p>
  </w:footnote>
  <w:footnote w:id="9">
    <w:p w:rsidR="00A53E28" w:rsidP="003B61B6" w:rsidRDefault="00A53E28" w14:paraId="10E7A331" w14:textId="77777777">
      <w:pPr>
        <w:pStyle w:val="FootnoteText"/>
        <w:jc w:val="both"/>
      </w:pPr>
      <w:r w:rsidRPr="003B61B6">
        <w:rPr>
          <w:rStyle w:val="FootnoteReference"/>
          <w:rFonts w:ascii="Arial" w:hAnsi="Arial" w:cs="Arial"/>
          <w:sz w:val="18"/>
          <w:szCs w:val="18"/>
        </w:rPr>
        <w:footnoteRef/>
      </w:r>
      <w:r w:rsidRPr="003B61B6">
        <w:rPr>
          <w:rFonts w:ascii="Arial" w:hAnsi="Arial" w:cs="Arial"/>
          <w:sz w:val="18"/>
          <w:szCs w:val="18"/>
        </w:rPr>
        <w:t xml:space="preserve"> Please refer to the Protocols for ESHS Documentation and Information Disclosure for more details on the disclosure timing of the different Environmental and Social Assessments.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74332" w:rsidR="00563325" w:rsidP="005354FC" w:rsidRDefault="001B68E3" w14:paraId="216C3744" w14:textId="77777777">
    <w:pPr>
      <w:pStyle w:val="Header"/>
      <w:pBdr>
        <w:bottom w:val="single" w:color="auto" w:sz="6" w:space="2"/>
      </w:pBdr>
      <w:tabs>
        <w:tab w:val="clear" w:pos="4320"/>
        <w:tab w:val="clear" w:pos="8640"/>
        <w:tab w:val="left" w:pos="4019"/>
      </w:tabs>
      <w:ind w:right="-720"/>
      <w:rPr>
        <w:rFonts w:ascii="Arial" w:hAnsi="Arial" w:cs="Arial"/>
        <w:sz w:val="22"/>
        <w:szCs w:val="22"/>
      </w:rPr>
    </w:pPr>
    <w:r>
      <w:rPr>
        <w:rFonts w:ascii="Arial" w:hAnsi="Arial" w:cs="Arial"/>
        <w:sz w:val="22"/>
        <w:szCs w:val="22"/>
      </w:rPr>
      <w:t xml:space="preserve">ESMR </w:t>
    </w:r>
    <w:r w:rsidR="0090744C">
      <w:rPr>
        <w:rFonts w:ascii="Arial" w:hAnsi="Arial" w:cs="Arial"/>
        <w:sz w:val="22"/>
        <w:szCs w:val="22"/>
      </w:rPr>
      <w:t>–</w:t>
    </w:r>
    <w:r>
      <w:rPr>
        <w:rFonts w:ascii="Arial" w:hAnsi="Arial" w:cs="Arial"/>
        <w:sz w:val="22"/>
        <w:szCs w:val="22"/>
      </w:rPr>
      <w:t xml:space="preserve"> </w:t>
    </w:r>
    <w:r w:rsidR="0090744C">
      <w:rPr>
        <w:rFonts w:ascii="Arial" w:hAnsi="Arial" w:cs="Arial"/>
        <w:sz w:val="22"/>
        <w:szCs w:val="22"/>
      </w:rPr>
      <w:t>BH-L1046</w:t>
    </w:r>
    <w:r w:rsidRPr="00C74332" w:rsidR="00563325">
      <w:rPr>
        <w:rFonts w:ascii="Arial" w:hAnsi="Arial"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1198658"/>
      <w:docPartObj>
        <w:docPartGallery w:val="Watermarks"/>
        <w:docPartUnique/>
      </w:docPartObj>
    </w:sdtPr>
    <w:sdtEndPr/>
    <w:sdtContent>
      <w:p w:rsidR="00563325" w:rsidRDefault="001C3B1A" w14:paraId="4FCB097D" w14:textId="77777777">
        <w:pPr>
          <w:pStyle w:val="Header"/>
        </w:pPr>
        <w:r>
          <w:rPr>
            <w:noProof/>
          </w:rPr>
          <w:pict w14:anchorId="09B906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style="position:absolute;margin-left:0;margin-top:0;width:468pt;height:280.8pt;z-index:-251658752;mso-position-horizontal:center;mso-position-horizontal-relative:margin;mso-position-vertical:center;mso-position-vertical-relative:margin" o:spid="_x0000_s2050" o:allowincell="f" fillcolor="silver" stroked="f" type="#_x0000_t136">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35969"/>
    <w:multiLevelType w:val="hybridMultilevel"/>
    <w:tmpl w:val="A8C06192"/>
    <w:lvl w:ilvl="0" w:tplc="CCA43550">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7D4C1853"/>
    <w:multiLevelType w:val="hybridMultilevel"/>
    <w:tmpl w:val="014E8E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8"/>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1E17"/>
    <w:rsid w:val="0002506E"/>
    <w:rsid w:val="000361A6"/>
    <w:rsid w:val="00050AE5"/>
    <w:rsid w:val="0005202F"/>
    <w:rsid w:val="000534AF"/>
    <w:rsid w:val="00056EE2"/>
    <w:rsid w:val="000643AB"/>
    <w:rsid w:val="00066214"/>
    <w:rsid w:val="00067751"/>
    <w:rsid w:val="000709EE"/>
    <w:rsid w:val="00076E4F"/>
    <w:rsid w:val="000840FB"/>
    <w:rsid w:val="000904E1"/>
    <w:rsid w:val="000907E3"/>
    <w:rsid w:val="000A20D3"/>
    <w:rsid w:val="000B5B2B"/>
    <w:rsid w:val="000C15CB"/>
    <w:rsid w:val="000D72FE"/>
    <w:rsid w:val="000E1497"/>
    <w:rsid w:val="000F2A9E"/>
    <w:rsid w:val="000F3843"/>
    <w:rsid w:val="00105850"/>
    <w:rsid w:val="001105D9"/>
    <w:rsid w:val="00110ABE"/>
    <w:rsid w:val="001110C6"/>
    <w:rsid w:val="0011347D"/>
    <w:rsid w:val="001136F7"/>
    <w:rsid w:val="00121D10"/>
    <w:rsid w:val="00122626"/>
    <w:rsid w:val="0012275D"/>
    <w:rsid w:val="00122A70"/>
    <w:rsid w:val="00132D6F"/>
    <w:rsid w:val="0013691E"/>
    <w:rsid w:val="001409FA"/>
    <w:rsid w:val="00143751"/>
    <w:rsid w:val="00147412"/>
    <w:rsid w:val="00152334"/>
    <w:rsid w:val="00153E03"/>
    <w:rsid w:val="00163990"/>
    <w:rsid w:val="001661A8"/>
    <w:rsid w:val="001661F1"/>
    <w:rsid w:val="00170727"/>
    <w:rsid w:val="00174444"/>
    <w:rsid w:val="00175AD2"/>
    <w:rsid w:val="00182417"/>
    <w:rsid w:val="00184DF3"/>
    <w:rsid w:val="00186BF5"/>
    <w:rsid w:val="001A2C1E"/>
    <w:rsid w:val="001A33FA"/>
    <w:rsid w:val="001B0819"/>
    <w:rsid w:val="001B11C3"/>
    <w:rsid w:val="001B210B"/>
    <w:rsid w:val="001B2B5C"/>
    <w:rsid w:val="001B389A"/>
    <w:rsid w:val="001B68E3"/>
    <w:rsid w:val="001C38FF"/>
    <w:rsid w:val="001C3B1A"/>
    <w:rsid w:val="001C57BE"/>
    <w:rsid w:val="001C5972"/>
    <w:rsid w:val="001D0317"/>
    <w:rsid w:val="001D2104"/>
    <w:rsid w:val="001D350E"/>
    <w:rsid w:val="001D5036"/>
    <w:rsid w:val="001D7E4F"/>
    <w:rsid w:val="001E0483"/>
    <w:rsid w:val="001E2EE3"/>
    <w:rsid w:val="001E40BC"/>
    <w:rsid w:val="0020183C"/>
    <w:rsid w:val="00206D50"/>
    <w:rsid w:val="00214B90"/>
    <w:rsid w:val="00221A3B"/>
    <w:rsid w:val="00224C01"/>
    <w:rsid w:val="00227122"/>
    <w:rsid w:val="002279B4"/>
    <w:rsid w:val="00231844"/>
    <w:rsid w:val="00231A1E"/>
    <w:rsid w:val="002323BA"/>
    <w:rsid w:val="00232DCD"/>
    <w:rsid w:val="0023640D"/>
    <w:rsid w:val="0024298E"/>
    <w:rsid w:val="00243F29"/>
    <w:rsid w:val="00245EEB"/>
    <w:rsid w:val="0024716F"/>
    <w:rsid w:val="00264BE5"/>
    <w:rsid w:val="00267C2D"/>
    <w:rsid w:val="00267CCE"/>
    <w:rsid w:val="00271A00"/>
    <w:rsid w:val="00271B38"/>
    <w:rsid w:val="00291788"/>
    <w:rsid w:val="0029521C"/>
    <w:rsid w:val="00296B9E"/>
    <w:rsid w:val="0029724D"/>
    <w:rsid w:val="002A0934"/>
    <w:rsid w:val="002A37BB"/>
    <w:rsid w:val="002A684C"/>
    <w:rsid w:val="002B009D"/>
    <w:rsid w:val="002C120B"/>
    <w:rsid w:val="002C3DCE"/>
    <w:rsid w:val="002C4ED0"/>
    <w:rsid w:val="002D69A9"/>
    <w:rsid w:val="002E1E0C"/>
    <w:rsid w:val="002E2928"/>
    <w:rsid w:val="002E3A02"/>
    <w:rsid w:val="002F2CFD"/>
    <w:rsid w:val="002F43B3"/>
    <w:rsid w:val="003068FA"/>
    <w:rsid w:val="00307D0B"/>
    <w:rsid w:val="00314064"/>
    <w:rsid w:val="00314AF9"/>
    <w:rsid w:val="00315A55"/>
    <w:rsid w:val="00315D7B"/>
    <w:rsid w:val="00315E3A"/>
    <w:rsid w:val="0032091F"/>
    <w:rsid w:val="00324FFD"/>
    <w:rsid w:val="003305DE"/>
    <w:rsid w:val="0033584F"/>
    <w:rsid w:val="0034627F"/>
    <w:rsid w:val="00346EF5"/>
    <w:rsid w:val="00356737"/>
    <w:rsid w:val="00356C72"/>
    <w:rsid w:val="003575D4"/>
    <w:rsid w:val="003641A9"/>
    <w:rsid w:val="00371712"/>
    <w:rsid w:val="003768D3"/>
    <w:rsid w:val="00394F91"/>
    <w:rsid w:val="0039544B"/>
    <w:rsid w:val="003A3CAA"/>
    <w:rsid w:val="003A4B89"/>
    <w:rsid w:val="003A5214"/>
    <w:rsid w:val="003B569D"/>
    <w:rsid w:val="003B61B6"/>
    <w:rsid w:val="003C2590"/>
    <w:rsid w:val="003C2881"/>
    <w:rsid w:val="003D6ABA"/>
    <w:rsid w:val="003D6C2F"/>
    <w:rsid w:val="003F281E"/>
    <w:rsid w:val="003F36C8"/>
    <w:rsid w:val="003F6879"/>
    <w:rsid w:val="00400171"/>
    <w:rsid w:val="00406A07"/>
    <w:rsid w:val="00411723"/>
    <w:rsid w:val="004127F6"/>
    <w:rsid w:val="00413E8A"/>
    <w:rsid w:val="00414AD4"/>
    <w:rsid w:val="0041502F"/>
    <w:rsid w:val="00416E08"/>
    <w:rsid w:val="004229C8"/>
    <w:rsid w:val="00424483"/>
    <w:rsid w:val="00425A6B"/>
    <w:rsid w:val="0043617D"/>
    <w:rsid w:val="00442BBB"/>
    <w:rsid w:val="004434A8"/>
    <w:rsid w:val="00443B0C"/>
    <w:rsid w:val="004455E1"/>
    <w:rsid w:val="004553C2"/>
    <w:rsid w:val="0045636E"/>
    <w:rsid w:val="00465336"/>
    <w:rsid w:val="004711E3"/>
    <w:rsid w:val="00472AA5"/>
    <w:rsid w:val="0047677D"/>
    <w:rsid w:val="00482877"/>
    <w:rsid w:val="00484A18"/>
    <w:rsid w:val="00484B4D"/>
    <w:rsid w:val="00491FF2"/>
    <w:rsid w:val="004A09B4"/>
    <w:rsid w:val="004A1086"/>
    <w:rsid w:val="004A4CB1"/>
    <w:rsid w:val="004A5D54"/>
    <w:rsid w:val="004B2AA9"/>
    <w:rsid w:val="004B6155"/>
    <w:rsid w:val="004C2CEB"/>
    <w:rsid w:val="004D0F8C"/>
    <w:rsid w:val="004D3CD1"/>
    <w:rsid w:val="004E347E"/>
    <w:rsid w:val="004F07A2"/>
    <w:rsid w:val="004F0CA4"/>
    <w:rsid w:val="004F752B"/>
    <w:rsid w:val="00502116"/>
    <w:rsid w:val="00506D5A"/>
    <w:rsid w:val="0051060D"/>
    <w:rsid w:val="00513A75"/>
    <w:rsid w:val="00525149"/>
    <w:rsid w:val="0053013B"/>
    <w:rsid w:val="0053035D"/>
    <w:rsid w:val="005308ED"/>
    <w:rsid w:val="00531F36"/>
    <w:rsid w:val="005354FC"/>
    <w:rsid w:val="00546E2F"/>
    <w:rsid w:val="005508EF"/>
    <w:rsid w:val="005571DC"/>
    <w:rsid w:val="00563325"/>
    <w:rsid w:val="00563673"/>
    <w:rsid w:val="005668FB"/>
    <w:rsid w:val="00570022"/>
    <w:rsid w:val="005732ED"/>
    <w:rsid w:val="0057400B"/>
    <w:rsid w:val="00575C55"/>
    <w:rsid w:val="0057636F"/>
    <w:rsid w:val="00580E87"/>
    <w:rsid w:val="005A0628"/>
    <w:rsid w:val="005A4921"/>
    <w:rsid w:val="005B5337"/>
    <w:rsid w:val="005B5997"/>
    <w:rsid w:val="005C1EA8"/>
    <w:rsid w:val="005C32AE"/>
    <w:rsid w:val="005C6976"/>
    <w:rsid w:val="005C716B"/>
    <w:rsid w:val="005E2A5F"/>
    <w:rsid w:val="005E413E"/>
    <w:rsid w:val="005E49D4"/>
    <w:rsid w:val="005E4DB9"/>
    <w:rsid w:val="005E4F6E"/>
    <w:rsid w:val="0060308B"/>
    <w:rsid w:val="00611432"/>
    <w:rsid w:val="00620F9D"/>
    <w:rsid w:val="00622BC4"/>
    <w:rsid w:val="00627A8D"/>
    <w:rsid w:val="00634BCA"/>
    <w:rsid w:val="00637CEB"/>
    <w:rsid w:val="00641735"/>
    <w:rsid w:val="00650F60"/>
    <w:rsid w:val="0065343D"/>
    <w:rsid w:val="00655E63"/>
    <w:rsid w:val="006606C8"/>
    <w:rsid w:val="00683D28"/>
    <w:rsid w:val="006847F7"/>
    <w:rsid w:val="00686DDF"/>
    <w:rsid w:val="006A1488"/>
    <w:rsid w:val="006A158F"/>
    <w:rsid w:val="006A2D12"/>
    <w:rsid w:val="006A73FD"/>
    <w:rsid w:val="006B2D50"/>
    <w:rsid w:val="006D1E7C"/>
    <w:rsid w:val="006D542E"/>
    <w:rsid w:val="006E5D9E"/>
    <w:rsid w:val="006F2D51"/>
    <w:rsid w:val="006F315E"/>
    <w:rsid w:val="006F7063"/>
    <w:rsid w:val="007046A7"/>
    <w:rsid w:val="00716E39"/>
    <w:rsid w:val="00724EC9"/>
    <w:rsid w:val="00727ECC"/>
    <w:rsid w:val="00740EB7"/>
    <w:rsid w:val="00741739"/>
    <w:rsid w:val="007541F9"/>
    <w:rsid w:val="0075612D"/>
    <w:rsid w:val="00757D77"/>
    <w:rsid w:val="00761155"/>
    <w:rsid w:val="007637EB"/>
    <w:rsid w:val="007647C0"/>
    <w:rsid w:val="00765479"/>
    <w:rsid w:val="007723BB"/>
    <w:rsid w:val="00776871"/>
    <w:rsid w:val="007870E3"/>
    <w:rsid w:val="00790993"/>
    <w:rsid w:val="007A5905"/>
    <w:rsid w:val="007B07F2"/>
    <w:rsid w:val="007B77F1"/>
    <w:rsid w:val="007C0236"/>
    <w:rsid w:val="007D36C8"/>
    <w:rsid w:val="007E78E5"/>
    <w:rsid w:val="007F4412"/>
    <w:rsid w:val="007F6142"/>
    <w:rsid w:val="007F7531"/>
    <w:rsid w:val="008005B7"/>
    <w:rsid w:val="008035AA"/>
    <w:rsid w:val="008075B3"/>
    <w:rsid w:val="00826BCF"/>
    <w:rsid w:val="00832AFF"/>
    <w:rsid w:val="008374C7"/>
    <w:rsid w:val="00837A8F"/>
    <w:rsid w:val="0084091F"/>
    <w:rsid w:val="00841D04"/>
    <w:rsid w:val="00844A93"/>
    <w:rsid w:val="008454C2"/>
    <w:rsid w:val="00850E52"/>
    <w:rsid w:val="00860AC2"/>
    <w:rsid w:val="008613E6"/>
    <w:rsid w:val="00873B30"/>
    <w:rsid w:val="00874CC0"/>
    <w:rsid w:val="008819D1"/>
    <w:rsid w:val="00883BA1"/>
    <w:rsid w:val="00883BCA"/>
    <w:rsid w:val="008874FC"/>
    <w:rsid w:val="008913A1"/>
    <w:rsid w:val="00891D1A"/>
    <w:rsid w:val="00891FBA"/>
    <w:rsid w:val="00892C06"/>
    <w:rsid w:val="00895915"/>
    <w:rsid w:val="008966A4"/>
    <w:rsid w:val="008969CF"/>
    <w:rsid w:val="008A763A"/>
    <w:rsid w:val="008B7545"/>
    <w:rsid w:val="008C24D2"/>
    <w:rsid w:val="008C2E0F"/>
    <w:rsid w:val="008D6AD5"/>
    <w:rsid w:val="008E0C2F"/>
    <w:rsid w:val="008E2AB9"/>
    <w:rsid w:val="008E71A0"/>
    <w:rsid w:val="008E7356"/>
    <w:rsid w:val="008F11AC"/>
    <w:rsid w:val="008F1F71"/>
    <w:rsid w:val="008F2588"/>
    <w:rsid w:val="008F3A1B"/>
    <w:rsid w:val="008F3E00"/>
    <w:rsid w:val="008F53B1"/>
    <w:rsid w:val="008F59F6"/>
    <w:rsid w:val="008F7EFA"/>
    <w:rsid w:val="00904F75"/>
    <w:rsid w:val="0090744C"/>
    <w:rsid w:val="00907CAE"/>
    <w:rsid w:val="00921754"/>
    <w:rsid w:val="00927C8B"/>
    <w:rsid w:val="009430B3"/>
    <w:rsid w:val="00943CC9"/>
    <w:rsid w:val="009444D9"/>
    <w:rsid w:val="0095293F"/>
    <w:rsid w:val="00953C33"/>
    <w:rsid w:val="009554A9"/>
    <w:rsid w:val="00957524"/>
    <w:rsid w:val="00966D25"/>
    <w:rsid w:val="009677F2"/>
    <w:rsid w:val="00971D7D"/>
    <w:rsid w:val="0097208F"/>
    <w:rsid w:val="009733CD"/>
    <w:rsid w:val="009747CE"/>
    <w:rsid w:val="0097565E"/>
    <w:rsid w:val="009912D8"/>
    <w:rsid w:val="009A1DBA"/>
    <w:rsid w:val="009A77A6"/>
    <w:rsid w:val="009C3740"/>
    <w:rsid w:val="009C48D5"/>
    <w:rsid w:val="009D3ADF"/>
    <w:rsid w:val="009E2C8A"/>
    <w:rsid w:val="009F0069"/>
    <w:rsid w:val="009F339F"/>
    <w:rsid w:val="00A00C5A"/>
    <w:rsid w:val="00A1031E"/>
    <w:rsid w:val="00A11ACD"/>
    <w:rsid w:val="00A12A3B"/>
    <w:rsid w:val="00A15318"/>
    <w:rsid w:val="00A27A68"/>
    <w:rsid w:val="00A27E96"/>
    <w:rsid w:val="00A41E00"/>
    <w:rsid w:val="00A464C6"/>
    <w:rsid w:val="00A47DBA"/>
    <w:rsid w:val="00A53E28"/>
    <w:rsid w:val="00A6597E"/>
    <w:rsid w:val="00A66ECD"/>
    <w:rsid w:val="00A81618"/>
    <w:rsid w:val="00A97D37"/>
    <w:rsid w:val="00AA1CCD"/>
    <w:rsid w:val="00AA1CE9"/>
    <w:rsid w:val="00AA33E7"/>
    <w:rsid w:val="00AA4CB9"/>
    <w:rsid w:val="00AB201A"/>
    <w:rsid w:val="00AB569A"/>
    <w:rsid w:val="00AD342C"/>
    <w:rsid w:val="00AD70DF"/>
    <w:rsid w:val="00AD7EC6"/>
    <w:rsid w:val="00AE199A"/>
    <w:rsid w:val="00AE60E4"/>
    <w:rsid w:val="00AF0DA7"/>
    <w:rsid w:val="00AF5C47"/>
    <w:rsid w:val="00B0100F"/>
    <w:rsid w:val="00B01F04"/>
    <w:rsid w:val="00B060C6"/>
    <w:rsid w:val="00B10247"/>
    <w:rsid w:val="00B13DDA"/>
    <w:rsid w:val="00B15768"/>
    <w:rsid w:val="00B16655"/>
    <w:rsid w:val="00B20556"/>
    <w:rsid w:val="00B27027"/>
    <w:rsid w:val="00B3466C"/>
    <w:rsid w:val="00B40D0A"/>
    <w:rsid w:val="00B44DDA"/>
    <w:rsid w:val="00B505FD"/>
    <w:rsid w:val="00B5080B"/>
    <w:rsid w:val="00B51A3B"/>
    <w:rsid w:val="00B55812"/>
    <w:rsid w:val="00B5668A"/>
    <w:rsid w:val="00B629C6"/>
    <w:rsid w:val="00B757F7"/>
    <w:rsid w:val="00B81ABB"/>
    <w:rsid w:val="00B84043"/>
    <w:rsid w:val="00B94DC6"/>
    <w:rsid w:val="00B95FCB"/>
    <w:rsid w:val="00BA6C02"/>
    <w:rsid w:val="00BB0493"/>
    <w:rsid w:val="00BB311B"/>
    <w:rsid w:val="00BC0D6F"/>
    <w:rsid w:val="00BC1DF2"/>
    <w:rsid w:val="00BC2662"/>
    <w:rsid w:val="00BC41F1"/>
    <w:rsid w:val="00BC7021"/>
    <w:rsid w:val="00BD26E4"/>
    <w:rsid w:val="00BE1ADE"/>
    <w:rsid w:val="00BF59CB"/>
    <w:rsid w:val="00C01215"/>
    <w:rsid w:val="00C0290B"/>
    <w:rsid w:val="00C042B5"/>
    <w:rsid w:val="00C04F56"/>
    <w:rsid w:val="00C05206"/>
    <w:rsid w:val="00C226D0"/>
    <w:rsid w:val="00C24EBA"/>
    <w:rsid w:val="00C33F71"/>
    <w:rsid w:val="00C34D0E"/>
    <w:rsid w:val="00C34DAA"/>
    <w:rsid w:val="00C356AC"/>
    <w:rsid w:val="00C37E79"/>
    <w:rsid w:val="00C4031A"/>
    <w:rsid w:val="00C45819"/>
    <w:rsid w:val="00C47EFB"/>
    <w:rsid w:val="00C50C3E"/>
    <w:rsid w:val="00C51F87"/>
    <w:rsid w:val="00C53ABB"/>
    <w:rsid w:val="00C5418F"/>
    <w:rsid w:val="00C55E62"/>
    <w:rsid w:val="00C673AE"/>
    <w:rsid w:val="00C7006C"/>
    <w:rsid w:val="00C72A68"/>
    <w:rsid w:val="00C74332"/>
    <w:rsid w:val="00C84ACB"/>
    <w:rsid w:val="00C92B2A"/>
    <w:rsid w:val="00C97C3C"/>
    <w:rsid w:val="00CA0933"/>
    <w:rsid w:val="00CA14CC"/>
    <w:rsid w:val="00CA1EE4"/>
    <w:rsid w:val="00CA4D2B"/>
    <w:rsid w:val="00CB257F"/>
    <w:rsid w:val="00CB7D48"/>
    <w:rsid w:val="00CC21AF"/>
    <w:rsid w:val="00CD70DC"/>
    <w:rsid w:val="00CE3105"/>
    <w:rsid w:val="00CF1CA2"/>
    <w:rsid w:val="00CF4E9E"/>
    <w:rsid w:val="00D0191E"/>
    <w:rsid w:val="00D055D3"/>
    <w:rsid w:val="00D05EB3"/>
    <w:rsid w:val="00D0694A"/>
    <w:rsid w:val="00D22380"/>
    <w:rsid w:val="00D22AF7"/>
    <w:rsid w:val="00D4457C"/>
    <w:rsid w:val="00D50B80"/>
    <w:rsid w:val="00D50C95"/>
    <w:rsid w:val="00D56917"/>
    <w:rsid w:val="00D62154"/>
    <w:rsid w:val="00D632E9"/>
    <w:rsid w:val="00D64FD1"/>
    <w:rsid w:val="00D761E8"/>
    <w:rsid w:val="00D859A6"/>
    <w:rsid w:val="00D862C2"/>
    <w:rsid w:val="00D9059D"/>
    <w:rsid w:val="00D9409F"/>
    <w:rsid w:val="00DA0A4C"/>
    <w:rsid w:val="00DA2315"/>
    <w:rsid w:val="00DA2BA7"/>
    <w:rsid w:val="00DB4E6C"/>
    <w:rsid w:val="00DB7B2E"/>
    <w:rsid w:val="00DC0A71"/>
    <w:rsid w:val="00DC296B"/>
    <w:rsid w:val="00DF2FF7"/>
    <w:rsid w:val="00E15822"/>
    <w:rsid w:val="00E215A9"/>
    <w:rsid w:val="00E22AC3"/>
    <w:rsid w:val="00E236F9"/>
    <w:rsid w:val="00E2602E"/>
    <w:rsid w:val="00E32C43"/>
    <w:rsid w:val="00E51AF1"/>
    <w:rsid w:val="00E528CA"/>
    <w:rsid w:val="00E65933"/>
    <w:rsid w:val="00E8034C"/>
    <w:rsid w:val="00E813AD"/>
    <w:rsid w:val="00E81E75"/>
    <w:rsid w:val="00E86DA3"/>
    <w:rsid w:val="00E9041C"/>
    <w:rsid w:val="00E9436B"/>
    <w:rsid w:val="00E94898"/>
    <w:rsid w:val="00EA1EF5"/>
    <w:rsid w:val="00EA3BF1"/>
    <w:rsid w:val="00EA45C9"/>
    <w:rsid w:val="00EA6F04"/>
    <w:rsid w:val="00EA710C"/>
    <w:rsid w:val="00EB364C"/>
    <w:rsid w:val="00EC694F"/>
    <w:rsid w:val="00EC7B70"/>
    <w:rsid w:val="00ED2779"/>
    <w:rsid w:val="00ED475D"/>
    <w:rsid w:val="00ED4E72"/>
    <w:rsid w:val="00EE20EB"/>
    <w:rsid w:val="00EE6E4B"/>
    <w:rsid w:val="00EE794C"/>
    <w:rsid w:val="00EE7DAC"/>
    <w:rsid w:val="00EF071D"/>
    <w:rsid w:val="00EF085B"/>
    <w:rsid w:val="00EF155A"/>
    <w:rsid w:val="00EF164A"/>
    <w:rsid w:val="00EF5A23"/>
    <w:rsid w:val="00EF64FB"/>
    <w:rsid w:val="00F00582"/>
    <w:rsid w:val="00F018B3"/>
    <w:rsid w:val="00F01D96"/>
    <w:rsid w:val="00F051E3"/>
    <w:rsid w:val="00F130D4"/>
    <w:rsid w:val="00F14FB5"/>
    <w:rsid w:val="00F17196"/>
    <w:rsid w:val="00F21A2D"/>
    <w:rsid w:val="00F22DD8"/>
    <w:rsid w:val="00F37896"/>
    <w:rsid w:val="00F4150E"/>
    <w:rsid w:val="00F45CA4"/>
    <w:rsid w:val="00F46383"/>
    <w:rsid w:val="00F515CD"/>
    <w:rsid w:val="00F54393"/>
    <w:rsid w:val="00F55055"/>
    <w:rsid w:val="00F62EFD"/>
    <w:rsid w:val="00F7215A"/>
    <w:rsid w:val="00F84B8B"/>
    <w:rsid w:val="00F921C7"/>
    <w:rsid w:val="00F93383"/>
    <w:rsid w:val="00FA1C53"/>
    <w:rsid w:val="00FA27DF"/>
    <w:rsid w:val="00FB0D4A"/>
    <w:rsid w:val="00FB6202"/>
    <w:rsid w:val="00FC0D31"/>
    <w:rsid w:val="00FC5E36"/>
    <w:rsid w:val="00FD295A"/>
    <w:rsid w:val="00FD4BB2"/>
    <w:rsid w:val="00FE0773"/>
    <w:rsid w:val="00FF0438"/>
    <w:rsid w:val="00FF34D7"/>
    <w:rsid w:val="00FF48F6"/>
    <w:rsid w:val="00FF60BC"/>
    <w:rsid w:val="105536DE"/>
    <w:rsid w:val="2013580E"/>
    <w:rsid w:val="253E5B67"/>
    <w:rsid w:val="35503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233B700"/>
  <w15:docId w15:val="{D43CFD93-441C-4664-AEE0-0C8B009909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rsid w:val="00C34D0E"/>
    <w:rPr>
      <w:rFonts w:ascii="Times New Roman" w:hAnsi="Times New Roman" w:eastAsia="Times New Roman" w:cs="Times New Roman"/>
      <w:sz w:val="20"/>
      <w:szCs w:val="20"/>
      <w:lang w:val="it-IT" w:eastAsia="it-IT"/>
    </w:rPr>
  </w:style>
  <w:style w:type="paragraph" w:styleId="Paragraph" w:customStyle="1">
    <w:name w:val="Paragraph"/>
    <w:basedOn w:val="Normal"/>
    <w:link w:val="ParagraphChar"/>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texto de nota al pie,Texto nota pie Car Car Car Car Car Car Car Car,Texto nota pie Car Car Car,Texto nota pie Car Car Car Car Car"/>
    <w:basedOn w:val="Normal"/>
    <w:link w:val="FootnoteTextChar"/>
    <w:uiPriority w:val="99"/>
    <w:unhideWhenUsed/>
    <w:rsid w:val="00356C72"/>
  </w:style>
  <w:style w:type="character" w:styleId="FootnoteTextChar" w:customStyle="1">
    <w:name w:val="Footnote Text Char"/>
    <w:aliases w:val="Car Char,footnote text1 Char,single space Char,F Char,Style 25 Char,newfootnotetext Char,fn Char,Char Char Char,ft Char,footnote Char,Texto nota pie IIRS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Footnote Referencefra,Ref. de nota al pie.,Footnote Reference Number,Footnote Reference_LVL6,pie pddes"/>
    <w:basedOn w:val="DefaultParagraphFont"/>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BE1ADE"/>
  </w:style>
  <w:style w:type="character" w:styleId="UnresolvedMention">
    <w:name w:val="Unresolved Mention"/>
    <w:basedOn w:val="DefaultParagraphFont"/>
    <w:uiPriority w:val="99"/>
    <w:semiHidden/>
    <w:unhideWhenUsed/>
    <w:rsid w:val="00DC0A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25324391">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ahamas.gov.bs/wps/wcm/connect/f63c4369-0d62-41d7-8abb-4a8fe638eb73/MULTILATERAL+TREATY+REGISTER.pdf?MOD=AJPERES"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6.xml" Id="rId21" /><Relationship Type="http://schemas.openxmlformats.org/officeDocument/2006/relationships/settings" Target="settings.xml" Id="rId7" /><Relationship Type="http://schemas.openxmlformats.org/officeDocument/2006/relationships/hyperlink" Target="https://www.bahamas.gov.bs/wps/portal/public/gov/government/contacts/agencies/government%20ministries/ministry%20of%20the%20environment%20and%20housing/!ut/p/b1/vZTLkqJAEEW_xQ-wqSqeLlGQtzwLCzaEgspDBBS1ra8fnc1MTER3z2J6KlcVeTNP3LtIJmUIk542t-qwGavutDm-_qmQsUBzZJmTHI0HAjCwZ8ueqCNpyT8FyccClwN_Nw8-ePKX82uG2Am0lYtxV9Tw1jSIxLl1ktMk72boAPVl2Embvj0uTIQcyxKl1EtY2Mn7w3UMzBkHTTe6H3KwvtahxluC67doD88Bi42qqWRh6VPzkoTrR1xZJ1xssixbJvygDKU_8h2NMu8SF9G-JNXgEmi0zm4ByE7lFXJLsMu6bLemdI5MMUh2N0mOL3ZxoGVS9-ezKhI-A4qt8vr-MJk8vaSf2XUt9IXgFfdPwSd5rvSu3THJUyb-tieKATAgkIMQ-kAKeCZiCOCysH70Bm1oUNPAXjXQHZXAAhjAqBHDFT6uolW8ipSlA6P42R-tkDqso2DqrDyviAM8l-VQzt_hn0AXRbMncAEFC_Mg1NB3AzXelZ5JiZEn8wiAxX8Hwu8Caq7jL16RRvNXpKyuy4LNSoD730DhnwNNJq227ds9b9_AG5oBXoISKyARSIhn4joR3rcHp1TVICuT5FHWQzFl73LRemNObnp4XtiJDk-ZiN451u-Jw0YbJRDscxnhgd3D4zUTs-u8P1kGHh7ZMafFdOyb8cRp8y0ko8I974UlSPfxKnQ2DNKtfRV3u6Dean66oLsi8YuAzqvybs4F9KgxTjfQNYb1KML1dKrB1jHryNAo4Vlf98xLC1UhuzpTp-ghF43DMu_DU9MUeY8F6nd6wJ4Hpa_YQ7DMREy8ktAk9uDeRvnTF2nUW_q6E32L8a1X9wqhv0qeTH4Ay5EZSw!!/dl4/d5/L2dBISEvZ0FBIS9nQSEh/"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lo.org/dyn/normlex/en/f?p=1000:11200:0::NO:11200:P11200_COUNTRY_ID:103215" TargetMode="External" Id="rId14" /><Relationship Type="http://schemas.openxmlformats.org/officeDocument/2006/relationships/customXml" Target="../customXml/item7.xml" Id="rId22" /><Relationship Type="http://schemas.openxmlformats.org/officeDocument/2006/relationships/glossaryDocument" Target="/word/glossary/document.xml" Id="R5fb20845895b403b" /></Relationships>
</file>

<file path=word/_rels/footnotes.xml.rels><?xml version="1.0" encoding="UTF-8" standalone="yes"?>
<Relationships xmlns="http://schemas.openxmlformats.org/package/2006/relationships"><Relationship Id="rId1" Type="http://schemas.openxmlformats.org/officeDocument/2006/relationships/hyperlink" Target="https://www.sbdcglobal.com"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cb18bd1-c349-4b0d-957c-74ff7ce57515}"/>
      </w:docPartPr>
      <w:docPartBody>
        <w:p w14:paraId="5C8A802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Fernando de Olloqui</Other_x0020_Author>
    <Migration_x0020_Info xmlns="cdc7663a-08f0-4737-9e8c-148ce897a09c" xsi:nil="true"/>
    <Approval_x0020_Number xmlns="cdc7663a-08f0-4737-9e8c-148ce897a09c">4846/OC-BH;</Approval_x0020_Number>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92</Value>
      <Value>26</Value>
      <Value>93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BH-L1046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EZSHARE-1891893787-6</_dlc_DocId>
    <_dlc_DocIdUrl xmlns="cdc7663a-08f0-4737-9e8c-148ce897a09c">
      <Url>https://idbg.sharepoint.com/teams/EZ-BH-LON/BH-L1046/_layouts/15/DocIdRedir.aspx?ID=EZSHARE-1891893787-6</Url>
      <Description>EZSHARE-1891893787-6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DB2EC8CACAF4E468EFC4DFF4A5914DD" ma:contentTypeVersion="1269" ma:contentTypeDescription="A content type to manage public (operations) IDB documents" ma:contentTypeScope="" ma:versionID="206ef5e3319b057b178e2ebbbb54dc61">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2.xml><?xml version="1.0" encoding="utf-8"?>
<ds:datastoreItem xmlns:ds="http://schemas.openxmlformats.org/officeDocument/2006/customXml" ds:itemID="{B2AC612B-893F-4318-B7E6-4E172B9822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799F52-D382-4303-8570-DDE99275ACB6}"/>
</file>

<file path=customXml/itemProps4.xml><?xml version="1.0" encoding="utf-8"?>
<ds:datastoreItem xmlns:ds="http://schemas.openxmlformats.org/officeDocument/2006/customXml" ds:itemID="{C646900A-AFDA-42DC-81DE-9C4C31F8795B}">
  <ds:schemaRefs>
    <ds:schemaRef ds:uri="http://schemas.openxmlformats.org/officeDocument/2006/bibliography"/>
  </ds:schemaRefs>
</ds:datastoreItem>
</file>

<file path=customXml/itemProps5.xml><?xml version="1.0" encoding="utf-8"?>
<ds:datastoreItem xmlns:ds="http://schemas.openxmlformats.org/officeDocument/2006/customXml" ds:itemID="{CC779630-4D1F-42A5-861C-FA6B97682C05}"/>
</file>

<file path=customXml/itemProps6.xml><?xml version="1.0" encoding="utf-8"?>
<ds:datastoreItem xmlns:ds="http://schemas.openxmlformats.org/officeDocument/2006/customXml" ds:itemID="{2ED64434-6DC8-4244-8965-C1F3934020C5}"/>
</file>

<file path=customXml/itemProps7.xml><?xml version="1.0" encoding="utf-8"?>
<ds:datastoreItem xmlns:ds="http://schemas.openxmlformats.org/officeDocument/2006/customXml" ds:itemID="{5E04B04E-4FD8-425B-88FB-BB44E21060C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keywords/>
  <cp:lastModifiedBy>Arauz Herrera, Alison</cp:lastModifiedBy>
  <cp:revision>9</cp:revision>
  <cp:lastPrinted>2018-06-26T16:21:00Z</cp:lastPrinted>
  <dcterms:created xsi:type="dcterms:W3CDTF">2019-04-03T21:15:00Z</dcterms:created>
  <dcterms:modified xsi:type="dcterms:W3CDTF">2019-06-25T19:49:04Z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93;#SMALL AND MEDIUM ENTERPRISE|dc60e909-07f3-41c5-be67-c26ad544a0ce</vt:lpwstr>
  </property>
  <property fmtid="{D5CDD505-2E9C-101B-9397-08002B2CF9AE}" pid="7" name="Fund IDB">
    <vt:lpwstr/>
  </property>
  <property fmtid="{D5CDD505-2E9C-101B-9397-08002B2CF9AE}" pid="8" name="Country">
    <vt:lpwstr>26;#Bahamas|7662ea91-358d-4300-9a3d-1bdfe066f698</vt:lpwstr>
  </property>
  <property fmtid="{D5CDD505-2E9C-101B-9397-08002B2CF9AE}" pid="9" name="Sector IDB">
    <vt:lpwstr>92;#PRIVATE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08860b59-e22c-41a4-a000-69b1f278cc60</vt:lpwstr>
  </property>
  <property fmtid="{D5CDD505-2E9C-101B-9397-08002B2CF9AE}" pid="12" name="Disclosure Activity">
    <vt:lpwstr>Loan Proposal</vt:lpwstr>
  </property>
  <property fmtid="{D5CDD505-2E9C-101B-9397-08002B2CF9AE}" pid="13" name="ContentTypeId">
    <vt:lpwstr>0x0101001A458A224826124E8B45B1D613300CFC00DDB2EC8CACAF4E468EFC4DFF4A5914DD</vt:lpwstr>
  </property>
</Properties>
</file>