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0652C0" w:rsidR="00A21590" w:rsidP="00A21590" w:rsidRDefault="00A21590" w14:paraId="5DDEF201" w14:textId="77777777">
      <w:pPr>
        <w:jc w:val="center"/>
        <w:rPr>
          <w:rFonts w:ascii="Arial" w:hAnsi="Arial" w:eastAsia="Arial" w:cs="Arial"/>
          <w:smallCaps/>
          <w:sz w:val="22"/>
          <w:szCs w:val="22"/>
        </w:rPr>
      </w:pPr>
      <w:r w:rsidRPr="000652C0">
        <w:rPr>
          <w:rFonts w:ascii="Arial" w:hAnsi="Arial" w:eastAsia="Arial" w:cs="Arial"/>
          <w:smallCaps/>
          <w:sz w:val="22"/>
          <w:szCs w:val="22"/>
        </w:rPr>
        <w:t>Document of the Inter-American Development Bank</w:t>
      </w:r>
    </w:p>
    <w:p w:rsidRPr="000652C0" w:rsidR="00A21590" w:rsidP="00A21590" w:rsidRDefault="00A21590" w14:paraId="4CF6F5BE" w14:textId="77777777">
      <w:pPr>
        <w:jc w:val="center"/>
        <w:rPr>
          <w:rFonts w:ascii="Arial" w:hAnsi="Arial" w:cs="Arial"/>
          <w:sz w:val="22"/>
          <w:szCs w:val="22"/>
        </w:rPr>
      </w:pPr>
    </w:p>
    <w:p w:rsidRPr="000652C0" w:rsidR="00A21590" w:rsidP="00A21590" w:rsidRDefault="00A21590" w14:paraId="393E4AA6" w14:textId="77777777">
      <w:pPr>
        <w:jc w:val="center"/>
        <w:rPr>
          <w:rFonts w:ascii="Arial" w:hAnsi="Arial" w:cs="Arial"/>
          <w:sz w:val="22"/>
          <w:szCs w:val="22"/>
        </w:rPr>
      </w:pPr>
    </w:p>
    <w:p w:rsidRPr="000652C0" w:rsidR="00A21590" w:rsidP="00A21590" w:rsidRDefault="00A21590" w14:paraId="25C286DE" w14:textId="77777777">
      <w:pPr>
        <w:jc w:val="center"/>
        <w:rPr>
          <w:rFonts w:ascii="Arial" w:hAnsi="Arial" w:cs="Arial"/>
          <w:sz w:val="22"/>
          <w:szCs w:val="22"/>
        </w:rPr>
      </w:pPr>
    </w:p>
    <w:p w:rsidRPr="000652C0" w:rsidR="00A21590" w:rsidP="00A21590" w:rsidRDefault="00A21590" w14:paraId="32BCADD8" w14:textId="77777777">
      <w:pPr>
        <w:jc w:val="center"/>
        <w:rPr>
          <w:rFonts w:ascii="Arial" w:hAnsi="Arial" w:cs="Arial"/>
          <w:sz w:val="22"/>
          <w:szCs w:val="22"/>
        </w:rPr>
      </w:pPr>
    </w:p>
    <w:p w:rsidRPr="000652C0" w:rsidR="00A21590" w:rsidP="00A21590" w:rsidRDefault="00A21590" w14:paraId="0B65FDFB" w14:textId="77777777">
      <w:pPr>
        <w:jc w:val="center"/>
        <w:rPr>
          <w:rFonts w:ascii="Arial" w:hAnsi="Arial" w:cs="Arial"/>
          <w:sz w:val="22"/>
          <w:szCs w:val="22"/>
        </w:rPr>
      </w:pPr>
    </w:p>
    <w:p w:rsidRPr="000652C0" w:rsidR="00A21590" w:rsidP="00A21590" w:rsidRDefault="00A21590" w14:paraId="62CD36BC" w14:textId="77777777">
      <w:pPr>
        <w:jc w:val="center"/>
        <w:rPr>
          <w:rFonts w:ascii="Arial" w:hAnsi="Arial" w:cs="Arial"/>
          <w:sz w:val="22"/>
          <w:szCs w:val="22"/>
        </w:rPr>
      </w:pPr>
    </w:p>
    <w:p w:rsidRPr="000652C0" w:rsidR="00A21590" w:rsidP="00A21590" w:rsidRDefault="00A21590" w14:paraId="75B9BF1B" w14:textId="77777777">
      <w:pPr>
        <w:jc w:val="center"/>
        <w:rPr>
          <w:rFonts w:ascii="Arial" w:hAnsi="Arial" w:cs="Arial"/>
          <w:sz w:val="22"/>
          <w:szCs w:val="22"/>
        </w:rPr>
      </w:pPr>
    </w:p>
    <w:p w:rsidRPr="000652C0" w:rsidR="00A21590" w:rsidP="00A21590" w:rsidRDefault="00A21590" w14:paraId="71E575D4" w14:textId="77777777">
      <w:pPr>
        <w:jc w:val="center"/>
        <w:rPr>
          <w:rFonts w:ascii="Arial" w:hAnsi="Arial" w:cs="Arial"/>
          <w:sz w:val="22"/>
          <w:szCs w:val="22"/>
        </w:rPr>
      </w:pPr>
    </w:p>
    <w:p w:rsidRPr="000652C0" w:rsidR="00A21590" w:rsidP="00A21590" w:rsidRDefault="00A21590" w14:paraId="0AE62C25" w14:textId="77777777">
      <w:pPr>
        <w:jc w:val="center"/>
        <w:rPr>
          <w:rFonts w:ascii="Arial" w:hAnsi="Arial" w:cs="Arial"/>
          <w:sz w:val="22"/>
          <w:szCs w:val="22"/>
        </w:rPr>
      </w:pPr>
    </w:p>
    <w:p w:rsidRPr="000652C0" w:rsidR="00A21590" w:rsidP="00A21590" w:rsidRDefault="00A21590" w14:paraId="3B385119" w14:textId="77777777">
      <w:pPr>
        <w:jc w:val="center"/>
        <w:rPr>
          <w:rFonts w:ascii="Arial" w:hAnsi="Arial" w:eastAsia="Arial" w:cs="Arial"/>
          <w:b/>
          <w:bCs/>
          <w:smallCaps/>
          <w:sz w:val="28"/>
          <w:szCs w:val="28"/>
        </w:rPr>
      </w:pPr>
      <w:r w:rsidRPr="000652C0">
        <w:rPr>
          <w:rFonts w:ascii="Arial" w:hAnsi="Arial" w:eastAsia="Arial" w:cs="Arial"/>
          <w:b/>
          <w:bCs/>
          <w:smallCaps/>
          <w:sz w:val="28"/>
          <w:szCs w:val="28"/>
        </w:rPr>
        <w:t>The Bahamas</w:t>
      </w:r>
    </w:p>
    <w:p w:rsidRPr="000652C0" w:rsidR="00A21590" w:rsidP="00A21590" w:rsidRDefault="00A21590" w14:paraId="7A8BF4C2" w14:textId="77777777">
      <w:pPr>
        <w:jc w:val="center"/>
        <w:rPr>
          <w:rFonts w:ascii="Arial" w:hAnsi="Arial" w:cs="Arial"/>
          <w:sz w:val="22"/>
          <w:szCs w:val="22"/>
        </w:rPr>
      </w:pPr>
    </w:p>
    <w:p w:rsidRPr="000652C0" w:rsidR="00A21590" w:rsidP="00A21590" w:rsidRDefault="00A21590" w14:paraId="6639BE05" w14:textId="77777777">
      <w:pPr>
        <w:jc w:val="center"/>
        <w:rPr>
          <w:rFonts w:ascii="Arial" w:hAnsi="Arial" w:cs="Arial"/>
          <w:sz w:val="22"/>
          <w:szCs w:val="22"/>
        </w:rPr>
      </w:pPr>
    </w:p>
    <w:p w:rsidRPr="000652C0" w:rsidR="00A21590" w:rsidP="00A21590" w:rsidRDefault="00A21590" w14:paraId="503BB648" w14:textId="77777777">
      <w:pPr>
        <w:jc w:val="center"/>
        <w:rPr>
          <w:rFonts w:ascii="Arial" w:hAnsi="Arial" w:cs="Arial"/>
          <w:sz w:val="22"/>
          <w:szCs w:val="22"/>
        </w:rPr>
      </w:pPr>
    </w:p>
    <w:p w:rsidRPr="000652C0" w:rsidR="00A21590" w:rsidP="00A21590" w:rsidRDefault="00A21590" w14:paraId="1DCCDAA6" w14:textId="77777777">
      <w:pPr>
        <w:jc w:val="center"/>
        <w:rPr>
          <w:rFonts w:ascii="Arial" w:hAnsi="Arial" w:cs="Arial"/>
          <w:sz w:val="22"/>
          <w:szCs w:val="22"/>
        </w:rPr>
      </w:pPr>
    </w:p>
    <w:p w:rsidRPr="000652C0" w:rsidR="00A21590" w:rsidP="00A21590" w:rsidRDefault="00A21590" w14:paraId="56ECDAC2" w14:textId="77777777">
      <w:pPr>
        <w:jc w:val="center"/>
        <w:rPr>
          <w:rFonts w:ascii="Arial" w:hAnsi="Arial" w:cs="Arial"/>
          <w:sz w:val="22"/>
          <w:szCs w:val="22"/>
        </w:rPr>
      </w:pPr>
    </w:p>
    <w:p w:rsidRPr="000652C0" w:rsidR="00A21590" w:rsidP="00A21590" w:rsidRDefault="00A21590" w14:paraId="5791371E" w14:textId="77777777">
      <w:pPr>
        <w:jc w:val="center"/>
        <w:rPr>
          <w:rFonts w:ascii="Arial" w:hAnsi="Arial" w:eastAsia="Arial" w:cs="Arial"/>
          <w:sz w:val="28"/>
          <w:szCs w:val="28"/>
        </w:rPr>
      </w:pPr>
      <w:r w:rsidRPr="000652C0">
        <w:rPr>
          <w:rFonts w:ascii="Arial" w:hAnsi="Arial" w:eastAsia="Arial" w:cs="Arial"/>
          <w:b/>
          <w:bCs/>
          <w:smallCaps/>
          <w:sz w:val="28"/>
          <w:szCs w:val="28"/>
        </w:rPr>
        <w:t xml:space="preserve">Credit Enhancement Program for Micro, Small and Medium Enterprises </w:t>
      </w:r>
    </w:p>
    <w:p w:rsidRPr="000652C0" w:rsidR="00A21590" w:rsidP="00A21590" w:rsidRDefault="00A21590" w14:paraId="78FC504A" w14:textId="77777777">
      <w:pPr>
        <w:jc w:val="center"/>
        <w:rPr>
          <w:rFonts w:ascii="Arial" w:hAnsi="Arial" w:cs="Arial"/>
          <w:sz w:val="22"/>
          <w:szCs w:val="22"/>
        </w:rPr>
      </w:pPr>
    </w:p>
    <w:p w:rsidRPr="000652C0" w:rsidR="00A21590" w:rsidP="00A21590" w:rsidRDefault="00A21590" w14:paraId="02A11149" w14:textId="77777777">
      <w:pPr>
        <w:jc w:val="center"/>
        <w:rPr>
          <w:rFonts w:ascii="Arial" w:hAnsi="Arial" w:eastAsia="Arial" w:cs="Arial"/>
          <w:b/>
          <w:bCs/>
          <w:smallCaps/>
          <w:sz w:val="28"/>
          <w:szCs w:val="28"/>
        </w:rPr>
      </w:pPr>
      <w:bookmarkStart w:name="Text7" w:id="0"/>
      <w:r w:rsidRPr="000652C0">
        <w:rPr>
          <w:rFonts w:ascii="Arial" w:hAnsi="Arial" w:eastAsia="Arial" w:cs="Arial"/>
          <w:b/>
          <w:bCs/>
          <w:smallCaps/>
          <w:sz w:val="28"/>
          <w:szCs w:val="28"/>
        </w:rPr>
        <w:t>(</w:t>
      </w:r>
      <w:bookmarkEnd w:id="0"/>
      <w:r w:rsidRPr="000652C0">
        <w:rPr>
          <w:rFonts w:ascii="Arial" w:hAnsi="Arial" w:eastAsia="Arial" w:cs="Arial"/>
          <w:b/>
          <w:bCs/>
          <w:smallCaps/>
          <w:sz w:val="28"/>
          <w:szCs w:val="28"/>
        </w:rPr>
        <w:t>BH-L1046)</w:t>
      </w:r>
    </w:p>
    <w:p w:rsidRPr="000652C0" w:rsidR="00A21590" w:rsidP="00A21590" w:rsidRDefault="00A21590" w14:paraId="7820CE4B" w14:textId="77777777">
      <w:pPr>
        <w:jc w:val="center"/>
        <w:rPr>
          <w:rFonts w:ascii="Arial" w:hAnsi="Arial" w:cs="Arial"/>
          <w:sz w:val="22"/>
          <w:szCs w:val="22"/>
        </w:rPr>
      </w:pPr>
    </w:p>
    <w:p w:rsidRPr="000652C0" w:rsidR="00A21590" w:rsidP="00A21590" w:rsidRDefault="00A21590" w14:paraId="1D971CF8" w14:textId="77777777">
      <w:pPr>
        <w:jc w:val="center"/>
        <w:rPr>
          <w:rFonts w:ascii="Arial" w:hAnsi="Arial" w:cs="Arial"/>
          <w:sz w:val="22"/>
          <w:szCs w:val="22"/>
        </w:rPr>
      </w:pPr>
    </w:p>
    <w:p w:rsidRPr="000652C0" w:rsidR="00A21590" w:rsidP="00A21590" w:rsidRDefault="00A21590" w14:paraId="493F1B1A" w14:textId="77777777">
      <w:pPr>
        <w:jc w:val="center"/>
        <w:rPr>
          <w:rFonts w:ascii="Arial" w:hAnsi="Arial" w:cs="Arial"/>
          <w:sz w:val="22"/>
          <w:szCs w:val="22"/>
        </w:rPr>
      </w:pPr>
    </w:p>
    <w:p w:rsidRPr="000652C0" w:rsidR="00A21590" w:rsidP="00A21590" w:rsidRDefault="00A21590" w14:paraId="14FF9974" w14:textId="77777777">
      <w:pPr>
        <w:jc w:val="center"/>
        <w:rPr>
          <w:rFonts w:ascii="Arial" w:hAnsi="Arial" w:cs="Arial"/>
          <w:sz w:val="22"/>
          <w:szCs w:val="22"/>
        </w:rPr>
      </w:pPr>
    </w:p>
    <w:p w:rsidRPr="000652C0" w:rsidR="00A21590" w:rsidP="00A21590" w:rsidRDefault="00A21590" w14:paraId="2CAEA4EC" w14:textId="77777777">
      <w:pPr>
        <w:jc w:val="center"/>
        <w:rPr>
          <w:rFonts w:ascii="Arial" w:hAnsi="Arial" w:cs="Arial"/>
          <w:sz w:val="22"/>
          <w:szCs w:val="22"/>
        </w:rPr>
      </w:pPr>
    </w:p>
    <w:p w:rsidRPr="000652C0" w:rsidR="00A21590" w:rsidP="00A21590" w:rsidRDefault="00A21590" w14:paraId="42F9CAE6" w14:textId="77777777">
      <w:pPr>
        <w:jc w:val="center"/>
        <w:rPr>
          <w:rFonts w:ascii="Arial" w:hAnsi="Arial" w:cs="Arial"/>
          <w:sz w:val="22"/>
          <w:szCs w:val="22"/>
        </w:rPr>
      </w:pPr>
    </w:p>
    <w:p w:rsidRPr="000652C0" w:rsidR="00A21590" w:rsidP="00A21590" w:rsidRDefault="00A21590" w14:paraId="03E9B93E" w14:textId="77777777">
      <w:pPr>
        <w:jc w:val="center"/>
        <w:rPr>
          <w:rFonts w:ascii="Arial" w:hAnsi="Arial" w:cs="Arial"/>
          <w:sz w:val="22"/>
          <w:szCs w:val="22"/>
        </w:rPr>
      </w:pPr>
    </w:p>
    <w:p w:rsidRPr="000652C0" w:rsidR="00A21590" w:rsidP="00A21590" w:rsidRDefault="00A21590" w14:paraId="38743147" w14:textId="77777777">
      <w:pPr>
        <w:tabs>
          <w:tab w:val="left" w:pos="1440"/>
          <w:tab w:val="left" w:pos="3060"/>
        </w:tabs>
        <w:jc w:val="center"/>
        <w:rPr>
          <w:rFonts w:ascii="Arial" w:hAnsi="Arial" w:cs="Arial"/>
          <w:smallCaps/>
          <w:sz w:val="22"/>
          <w:szCs w:val="22"/>
        </w:rPr>
      </w:pPr>
    </w:p>
    <w:p w:rsidRPr="000652C0" w:rsidR="00A21590" w:rsidP="00A21590" w:rsidRDefault="008C05D9" w14:paraId="5C933BA5" w14:textId="32BE9BCE">
      <w:pPr>
        <w:jc w:val="center"/>
        <w:rPr>
          <w:rFonts w:ascii="Arial" w:hAnsi="Arial" w:cs="Arial"/>
          <w:szCs w:val="24"/>
        </w:rPr>
      </w:pPr>
      <w:r w:rsidRPr="000652C0">
        <w:rPr>
          <w:rFonts w:ascii="Arial" w:hAnsi="Arial" w:eastAsia="Arial" w:cs="Arial"/>
          <w:b/>
          <w:bCs/>
          <w:smallCaps/>
          <w:szCs w:val="24"/>
        </w:rPr>
        <w:t>Demand Analysis</w:t>
      </w:r>
    </w:p>
    <w:p w:rsidRPr="000652C0" w:rsidR="00A21590" w:rsidP="00A21590" w:rsidRDefault="00A21590" w14:paraId="17641464" w14:textId="77777777">
      <w:pPr>
        <w:jc w:val="center"/>
        <w:rPr>
          <w:rFonts w:ascii="Arial" w:hAnsi="Arial" w:cs="Arial"/>
          <w:sz w:val="22"/>
          <w:szCs w:val="22"/>
        </w:rPr>
      </w:pPr>
    </w:p>
    <w:p w:rsidRPr="000652C0" w:rsidR="00A21590" w:rsidP="00A21590" w:rsidRDefault="00A21590" w14:paraId="756F05EF" w14:textId="77777777">
      <w:pPr>
        <w:jc w:val="center"/>
        <w:rPr>
          <w:rFonts w:ascii="Arial" w:hAnsi="Arial" w:cs="Arial"/>
          <w:sz w:val="22"/>
          <w:szCs w:val="22"/>
        </w:rPr>
      </w:pPr>
    </w:p>
    <w:p w:rsidRPr="000652C0" w:rsidR="00A21590" w:rsidP="00A21590" w:rsidRDefault="00A21590" w14:paraId="3F439836" w14:textId="77777777">
      <w:pPr>
        <w:jc w:val="center"/>
        <w:rPr>
          <w:rFonts w:ascii="Arial" w:hAnsi="Arial" w:cs="Arial"/>
          <w:sz w:val="22"/>
          <w:szCs w:val="22"/>
        </w:rPr>
      </w:pPr>
    </w:p>
    <w:p w:rsidRPr="000652C0" w:rsidR="00A21590" w:rsidP="00A21590" w:rsidRDefault="00A21590" w14:paraId="1F332929" w14:textId="77777777">
      <w:pPr>
        <w:jc w:val="center"/>
        <w:rPr>
          <w:rFonts w:ascii="Arial" w:hAnsi="Arial" w:cs="Arial"/>
          <w:sz w:val="22"/>
          <w:szCs w:val="22"/>
        </w:rPr>
      </w:pPr>
    </w:p>
    <w:p w:rsidRPr="000652C0" w:rsidR="00A21590" w:rsidP="00A21590" w:rsidRDefault="00A21590" w14:paraId="08BEBFB2" w14:textId="77777777">
      <w:pPr>
        <w:jc w:val="center"/>
        <w:rPr>
          <w:rFonts w:ascii="Arial" w:hAnsi="Arial" w:cs="Arial"/>
          <w:sz w:val="22"/>
          <w:szCs w:val="22"/>
        </w:rPr>
      </w:pPr>
    </w:p>
    <w:p w:rsidRPr="000652C0" w:rsidR="00A21590" w:rsidP="00A21590" w:rsidRDefault="00A21590" w14:paraId="18CCD32D" w14:textId="77777777">
      <w:pPr>
        <w:jc w:val="center"/>
        <w:rPr>
          <w:rFonts w:ascii="Arial" w:hAnsi="Arial" w:cs="Arial"/>
          <w:sz w:val="22"/>
          <w:szCs w:val="22"/>
        </w:rPr>
      </w:pPr>
    </w:p>
    <w:p w:rsidRPr="000652C0" w:rsidR="00A21590" w:rsidP="00A21590" w:rsidRDefault="00A21590" w14:paraId="04CE3214" w14:textId="77777777">
      <w:pPr>
        <w:jc w:val="center"/>
        <w:rPr>
          <w:rFonts w:ascii="Arial" w:hAnsi="Arial" w:cs="Arial"/>
          <w:sz w:val="22"/>
          <w:szCs w:val="22"/>
        </w:rPr>
      </w:pPr>
    </w:p>
    <w:p w:rsidRPr="000652C0" w:rsidR="00A21590" w:rsidP="00A21590" w:rsidRDefault="00A21590" w14:paraId="7563DCBD" w14:textId="77777777">
      <w:pPr>
        <w:jc w:val="center"/>
        <w:rPr>
          <w:rFonts w:ascii="Arial" w:hAnsi="Arial" w:cs="Arial"/>
          <w:sz w:val="22"/>
          <w:szCs w:val="22"/>
        </w:rPr>
      </w:pPr>
    </w:p>
    <w:p w:rsidRPr="000652C0" w:rsidR="00A21590" w:rsidP="00A21590" w:rsidRDefault="00A21590" w14:paraId="131836B3" w14:textId="77777777">
      <w:pPr>
        <w:jc w:val="center"/>
        <w:rPr>
          <w:rFonts w:ascii="Arial" w:hAnsi="Arial" w:cs="Arial"/>
          <w:sz w:val="22"/>
          <w:szCs w:val="22"/>
        </w:rPr>
      </w:pPr>
    </w:p>
    <w:p w:rsidRPr="000652C0" w:rsidR="00A21590" w:rsidP="00A21590" w:rsidRDefault="00A21590" w14:paraId="22F72435" w14:textId="77777777">
      <w:pPr>
        <w:jc w:val="center"/>
        <w:rPr>
          <w:rFonts w:ascii="Arial" w:hAnsi="Arial" w:cs="Arial"/>
          <w:sz w:val="22"/>
          <w:szCs w:val="22"/>
        </w:rPr>
      </w:pPr>
    </w:p>
    <w:p w:rsidRPr="000652C0" w:rsidR="00A21590" w:rsidP="00476B8E" w:rsidRDefault="00A21590" w14:paraId="7E34BB0D" w14:textId="33B2209E">
      <w:pPr>
        <w:pBdr>
          <w:top w:val="single" w:color="auto" w:sz="4" w:space="1"/>
          <w:left w:val="single" w:color="auto" w:sz="4" w:space="4"/>
          <w:bottom w:val="single" w:color="auto" w:sz="4" w:space="6"/>
          <w:right w:val="single" w:color="auto" w:sz="4" w:space="0"/>
        </w:pBdr>
        <w:jc w:val="both"/>
        <w:rPr>
          <w:rFonts w:ascii="Arial" w:hAnsi="Arial" w:eastAsia="Arial" w:cs="Arial"/>
          <w:sz w:val="20"/>
        </w:rPr>
      </w:pPr>
      <w:r w:rsidRPr="000652C0">
        <w:rPr>
          <w:rFonts w:ascii="Arial" w:hAnsi="Arial" w:eastAsia="Arial" w:cs="Arial"/>
          <w:sz w:val="20"/>
        </w:rPr>
        <w:t>This document was prepared by Sebastian Vargas (IFD/CMF)</w:t>
      </w:r>
    </w:p>
    <w:p w:rsidRPr="000652C0" w:rsidR="00447358" w:rsidRDefault="00447358" w14:paraId="5E86743F" w14:textId="539A17E0"/>
    <w:p w:rsidRPr="000652C0" w:rsidR="00A21590" w:rsidRDefault="00A21590" w14:paraId="5992DB58" w14:textId="71F5992E"/>
    <w:p w:rsidRPr="000652C0" w:rsidR="00A21590" w:rsidRDefault="00A21590" w14:paraId="76026E39" w14:textId="564B6BEE"/>
    <w:p w:rsidRPr="000652C0" w:rsidR="00A21590" w:rsidRDefault="00A21590" w14:paraId="2678609B" w14:textId="731ED74C"/>
    <w:p w:rsidRPr="000652C0" w:rsidR="00A21590" w:rsidRDefault="00A21590" w14:paraId="01367945" w14:textId="21D70CE2"/>
    <w:p w:rsidRPr="000652C0" w:rsidR="00A21590" w:rsidRDefault="00A21590" w14:paraId="5215F226" w14:textId="2EF77C0D"/>
    <w:p w:rsidRPr="000652C0" w:rsidR="00A21590" w:rsidRDefault="00A21590" w14:paraId="675ED197" w14:textId="3B9B8A03"/>
    <w:p w:rsidRPr="000652C0" w:rsidR="00A21590" w:rsidRDefault="00A21590" w14:paraId="2DEECFFD" w14:textId="220E2D90"/>
    <w:p w:rsidRPr="000652C0" w:rsidR="00A21590" w:rsidP="003C4250" w:rsidRDefault="00A21590" w14:paraId="72993264" w14:textId="77DE45DC">
      <w:pPr>
        <w:spacing w:line="360" w:lineRule="auto"/>
        <w:jc w:val="center"/>
        <w:rPr>
          <w:rFonts w:ascii="Arial" w:hAnsi="Arial" w:cs="Arial"/>
        </w:rPr>
      </w:pPr>
      <w:r w:rsidRPr="000652C0">
        <w:rPr>
          <w:rFonts w:ascii="Arial" w:hAnsi="Arial" w:cs="Arial"/>
          <w:u w:val="single"/>
        </w:rPr>
        <w:lastRenderedPageBreak/>
        <w:t>Analysis of the Demand of Credit for MSME in The Bahamas</w:t>
      </w:r>
    </w:p>
    <w:p w:rsidRPr="000652C0" w:rsidR="00A21590" w:rsidP="003C4250" w:rsidRDefault="00A21590" w14:paraId="7A2F234E" w14:textId="77777777">
      <w:pPr>
        <w:spacing w:line="360" w:lineRule="auto"/>
        <w:rPr>
          <w:rFonts w:ascii="Arial" w:hAnsi="Arial" w:cs="Arial"/>
        </w:rPr>
      </w:pPr>
    </w:p>
    <w:p w:rsidRPr="000652C0" w:rsidR="00A21590" w:rsidP="003C4250" w:rsidRDefault="00A21590" w14:paraId="79CE8362" w14:textId="245F370E">
      <w:pPr>
        <w:pStyle w:val="ListParagraph"/>
        <w:numPr>
          <w:ilvl w:val="1"/>
          <w:numId w:val="1"/>
        </w:numPr>
        <w:contextualSpacing w:val="0"/>
        <w:jc w:val="both"/>
        <w:rPr>
          <w:lang w:val="en-US"/>
        </w:rPr>
      </w:pPr>
      <w:r w:rsidRPr="000652C0">
        <w:rPr>
          <w:rFonts w:ascii="Arial" w:hAnsi="Arial" w:cs="Arial"/>
          <w:lang w:val="en-US"/>
        </w:rPr>
        <w:t xml:space="preserve">The present analysis </w:t>
      </w:r>
      <w:r w:rsidRPr="000652C0" w:rsidR="0067538F">
        <w:rPr>
          <w:rFonts w:ascii="Arial" w:hAnsi="Arial" w:cs="Arial"/>
          <w:lang w:val="en-US"/>
        </w:rPr>
        <w:t>provides an estimate o</w:t>
      </w:r>
      <w:r w:rsidRPr="000652C0" w:rsidR="0037079D">
        <w:rPr>
          <w:rFonts w:ascii="Arial" w:hAnsi="Arial" w:cs="Arial"/>
          <w:lang w:val="en-US"/>
        </w:rPr>
        <w:t xml:space="preserve">f the size of the program’s targeted population and </w:t>
      </w:r>
      <w:r w:rsidRPr="000652C0" w:rsidR="00642481">
        <w:rPr>
          <w:rFonts w:ascii="Arial" w:hAnsi="Arial" w:cs="Arial"/>
          <w:lang w:val="en-US"/>
        </w:rPr>
        <w:t>an estimate of the amou</w:t>
      </w:r>
      <w:r w:rsidR="000652C0">
        <w:rPr>
          <w:rFonts w:ascii="Arial" w:hAnsi="Arial" w:cs="Arial"/>
          <w:lang w:val="en-US"/>
        </w:rPr>
        <w:t>n</w:t>
      </w:r>
      <w:r w:rsidRPr="000652C0" w:rsidR="00642481">
        <w:rPr>
          <w:rFonts w:ascii="Arial" w:hAnsi="Arial" w:cs="Arial"/>
          <w:lang w:val="en-US"/>
        </w:rPr>
        <w:t>t of potential demand that the project is facing.</w:t>
      </w:r>
      <w:r w:rsidRPr="000652C0" w:rsidR="0067538F">
        <w:rPr>
          <w:rFonts w:ascii="Arial" w:hAnsi="Arial" w:cs="Arial"/>
          <w:lang w:val="en-US"/>
        </w:rPr>
        <w:t xml:space="preserve"> </w:t>
      </w:r>
      <w:r w:rsidRPr="000652C0" w:rsidR="00EF0C53">
        <w:rPr>
          <w:rFonts w:ascii="Arial" w:hAnsi="Arial" w:cs="Arial"/>
          <w:lang w:val="en-US"/>
        </w:rPr>
        <w:t>For this purpose, we rely on survey and business registry data for Bahamas.</w:t>
      </w:r>
    </w:p>
    <w:p w:rsidRPr="000652C0" w:rsidR="002A7C3B" w:rsidP="002A7C3B" w:rsidRDefault="00475E9A" w14:paraId="5A2CB35C" w14:textId="419936A7">
      <w:pPr>
        <w:pStyle w:val="ListParagraph"/>
        <w:numPr>
          <w:ilvl w:val="1"/>
          <w:numId w:val="1"/>
        </w:numPr>
        <w:contextualSpacing w:val="0"/>
        <w:jc w:val="both"/>
        <w:rPr>
          <w:lang w:val="en-US"/>
        </w:rPr>
      </w:pPr>
      <w:r w:rsidRPr="000652C0">
        <w:rPr>
          <w:rFonts w:ascii="Arial" w:hAnsi="Arial" w:cs="Arial"/>
          <w:b/>
          <w:lang w:val="en-US"/>
        </w:rPr>
        <w:t>Source</w:t>
      </w:r>
      <w:r w:rsidRPr="000652C0" w:rsidR="00FC34D4">
        <w:rPr>
          <w:rFonts w:ascii="Arial" w:hAnsi="Arial" w:cs="Arial"/>
          <w:b/>
          <w:lang w:val="en-US"/>
        </w:rPr>
        <w:t>s</w:t>
      </w:r>
      <w:r w:rsidRPr="000652C0">
        <w:rPr>
          <w:rFonts w:ascii="Arial" w:hAnsi="Arial" w:cs="Arial"/>
          <w:lang w:val="en-US"/>
        </w:rPr>
        <w:t>. The source</w:t>
      </w:r>
      <w:r w:rsidRPr="000652C0" w:rsidR="00FC34D4">
        <w:rPr>
          <w:rFonts w:ascii="Arial" w:hAnsi="Arial" w:cs="Arial"/>
          <w:lang w:val="en-US"/>
        </w:rPr>
        <w:t>s</w:t>
      </w:r>
      <w:r w:rsidRPr="000652C0">
        <w:rPr>
          <w:rFonts w:ascii="Arial" w:hAnsi="Arial" w:cs="Arial"/>
          <w:lang w:val="en-US"/>
        </w:rPr>
        <w:t xml:space="preserve"> for </w:t>
      </w:r>
      <w:r w:rsidRPr="000652C0" w:rsidR="00D31A34">
        <w:rPr>
          <w:rFonts w:ascii="Arial" w:hAnsi="Arial" w:cs="Arial"/>
          <w:lang w:val="en-US"/>
        </w:rPr>
        <w:t>the present document</w:t>
      </w:r>
      <w:r w:rsidRPr="000652C0" w:rsidR="00FC34D4">
        <w:rPr>
          <w:rFonts w:ascii="Arial" w:hAnsi="Arial" w:cs="Arial"/>
          <w:lang w:val="en-US"/>
        </w:rPr>
        <w:t xml:space="preserve"> are</w:t>
      </w:r>
      <w:r w:rsidRPr="000652C0" w:rsidR="00332362">
        <w:rPr>
          <w:rFonts w:ascii="Arial" w:hAnsi="Arial" w:cs="Arial"/>
          <w:lang w:val="en-US"/>
        </w:rPr>
        <w:t xml:space="preserve"> </w:t>
      </w:r>
      <w:r w:rsidRPr="000652C0" w:rsidR="00090808">
        <w:rPr>
          <w:rFonts w:ascii="Arial" w:hAnsi="Arial" w:cs="Arial"/>
          <w:lang w:val="en-US"/>
        </w:rPr>
        <w:t>the Small Business Devel</w:t>
      </w:r>
      <w:r w:rsidRPr="000652C0" w:rsidR="00332362">
        <w:rPr>
          <w:rFonts w:ascii="Arial" w:hAnsi="Arial" w:cs="Arial"/>
          <w:lang w:val="en-US"/>
        </w:rPr>
        <w:t>opment Centr</w:t>
      </w:r>
      <w:r w:rsidRPr="000652C0" w:rsidR="00994D72">
        <w:rPr>
          <w:rFonts w:ascii="Arial" w:hAnsi="Arial" w:cs="Arial"/>
          <w:lang w:val="en-US"/>
        </w:rPr>
        <w:t>e</w:t>
      </w:r>
      <w:r w:rsidRPr="000652C0" w:rsidR="00E95033">
        <w:rPr>
          <w:rFonts w:ascii="Arial" w:hAnsi="Arial" w:cs="Arial"/>
          <w:lang w:val="en-US"/>
        </w:rPr>
        <w:t xml:space="preserve"> </w:t>
      </w:r>
      <w:r w:rsidR="00B71491">
        <w:rPr>
          <w:rFonts w:ascii="Arial" w:hAnsi="Arial" w:cs="Arial"/>
          <w:lang w:val="en-US"/>
        </w:rPr>
        <w:t xml:space="preserve">of Bahamas </w:t>
      </w:r>
      <w:r w:rsidRPr="000652C0" w:rsidR="00E95033">
        <w:rPr>
          <w:rFonts w:ascii="Arial" w:hAnsi="Arial" w:cs="Arial"/>
          <w:lang w:val="en-US"/>
        </w:rPr>
        <w:t>(SBDC)</w:t>
      </w:r>
      <w:r w:rsidRPr="000652C0" w:rsidR="00A71849">
        <w:rPr>
          <w:rFonts w:ascii="Arial" w:hAnsi="Arial" w:cs="Arial"/>
          <w:lang w:val="en-US"/>
        </w:rPr>
        <w:t xml:space="preserve"> </w:t>
      </w:r>
      <w:r w:rsidRPr="000652C0" w:rsidR="00CD5BC3">
        <w:rPr>
          <w:rFonts w:ascii="Arial" w:hAnsi="Arial" w:cs="Arial"/>
          <w:lang w:val="en-US"/>
        </w:rPr>
        <w:t xml:space="preserve">and the </w:t>
      </w:r>
      <w:r w:rsidRPr="000652C0" w:rsidR="00BC1BD8">
        <w:rPr>
          <w:rFonts w:ascii="Arial" w:hAnsi="Arial" w:cs="Arial"/>
          <w:lang w:val="en-US"/>
        </w:rPr>
        <w:t xml:space="preserve">Productivity, </w:t>
      </w:r>
      <w:r w:rsidRPr="000652C0" w:rsidR="00E95033">
        <w:rPr>
          <w:rFonts w:ascii="Arial" w:hAnsi="Arial" w:cs="Arial"/>
          <w:lang w:val="en-US"/>
        </w:rPr>
        <w:t>Technology and Innovation (</w:t>
      </w:r>
      <w:proofErr w:type="spellStart"/>
      <w:r w:rsidRPr="000652C0" w:rsidR="006E1BA2">
        <w:rPr>
          <w:rFonts w:ascii="Arial" w:hAnsi="Arial" w:cs="Arial"/>
          <w:lang w:val="en-US"/>
        </w:rPr>
        <w:t>PROTEqIN</w:t>
      </w:r>
      <w:proofErr w:type="spellEnd"/>
      <w:r w:rsidRPr="000652C0" w:rsidR="006E1BA2">
        <w:rPr>
          <w:rFonts w:ascii="Arial" w:hAnsi="Arial" w:cs="Arial"/>
          <w:lang w:val="en-US"/>
        </w:rPr>
        <w:t>) survey</w:t>
      </w:r>
      <w:r w:rsidRPr="000652C0" w:rsidR="006769E3">
        <w:rPr>
          <w:rStyle w:val="FootnoteReference"/>
          <w:rFonts w:ascii="Arial" w:hAnsi="Arial" w:cs="Arial"/>
          <w:lang w:val="en-US"/>
        </w:rPr>
        <w:footnoteReference w:id="1"/>
      </w:r>
      <w:r w:rsidRPr="000652C0" w:rsidR="00E95033">
        <w:rPr>
          <w:rFonts w:ascii="Arial" w:hAnsi="Arial" w:cs="Arial"/>
          <w:lang w:val="en-US"/>
        </w:rPr>
        <w:t xml:space="preserve">. </w:t>
      </w:r>
      <w:r w:rsidRPr="000652C0" w:rsidR="00B437CD">
        <w:rPr>
          <w:rFonts w:ascii="Arial" w:hAnsi="Arial" w:cs="Arial"/>
          <w:lang w:val="en-US"/>
        </w:rPr>
        <w:t xml:space="preserve">SBDC is </w:t>
      </w:r>
      <w:r w:rsidR="00B71491">
        <w:rPr>
          <w:rFonts w:ascii="Arial" w:hAnsi="Arial" w:cs="Arial"/>
          <w:lang w:val="en-US"/>
        </w:rPr>
        <w:t xml:space="preserve">the executing agency </w:t>
      </w:r>
      <w:r w:rsidRPr="000652C0" w:rsidR="00B437CD">
        <w:rPr>
          <w:rFonts w:ascii="Arial" w:hAnsi="Arial" w:cs="Arial"/>
          <w:lang w:val="en-US"/>
        </w:rPr>
        <w:t xml:space="preserve">for this program. </w:t>
      </w:r>
      <w:r w:rsidRPr="000652C0" w:rsidR="00E00458">
        <w:rPr>
          <w:rFonts w:ascii="Arial" w:hAnsi="Arial" w:cs="Arial"/>
          <w:lang w:val="en-US"/>
        </w:rPr>
        <w:t xml:space="preserve">Data on the number of business </w:t>
      </w:r>
      <w:r w:rsidRPr="000652C0" w:rsidR="000652C0">
        <w:rPr>
          <w:rFonts w:ascii="Arial" w:hAnsi="Arial" w:cs="Arial"/>
          <w:lang w:val="en-US"/>
        </w:rPr>
        <w:t>licenses</w:t>
      </w:r>
      <w:r w:rsidRPr="000652C0" w:rsidR="00E00458">
        <w:rPr>
          <w:rFonts w:ascii="Arial" w:hAnsi="Arial" w:cs="Arial"/>
          <w:lang w:val="en-US"/>
        </w:rPr>
        <w:t xml:space="preserve"> in Bahamas (our best available measure for the number of MSME in the country)</w:t>
      </w:r>
      <w:r w:rsidRPr="000652C0" w:rsidR="00247D0D">
        <w:rPr>
          <w:rFonts w:ascii="Arial" w:hAnsi="Arial" w:cs="Arial"/>
          <w:lang w:val="en-US"/>
        </w:rPr>
        <w:t xml:space="preserve"> comes </w:t>
      </w:r>
      <w:r w:rsidR="000652C0">
        <w:rPr>
          <w:rFonts w:ascii="Arial" w:hAnsi="Arial" w:cs="Arial"/>
          <w:lang w:val="en-US"/>
        </w:rPr>
        <w:t>from</w:t>
      </w:r>
      <w:r w:rsidRPr="000652C0" w:rsidR="00247D0D">
        <w:rPr>
          <w:rFonts w:ascii="Arial" w:hAnsi="Arial" w:cs="Arial"/>
          <w:lang w:val="en-US"/>
        </w:rPr>
        <w:t xml:space="preserve"> SBDC’s internal </w:t>
      </w:r>
      <w:r w:rsidRPr="000652C0" w:rsidR="005514F2">
        <w:rPr>
          <w:rFonts w:ascii="Arial" w:hAnsi="Arial" w:cs="Arial"/>
          <w:lang w:val="en-US"/>
        </w:rPr>
        <w:t>calculations</w:t>
      </w:r>
      <w:r w:rsidRPr="000652C0" w:rsidR="00AF3CDF">
        <w:rPr>
          <w:rFonts w:ascii="Arial" w:hAnsi="Arial" w:cs="Arial"/>
          <w:lang w:val="en-US"/>
        </w:rPr>
        <w:t xml:space="preserve"> which in turn are based on data from the </w:t>
      </w:r>
      <w:r w:rsidRPr="000652C0" w:rsidR="001A61B5">
        <w:rPr>
          <w:rFonts w:ascii="Arial" w:hAnsi="Arial" w:cs="Arial"/>
          <w:lang w:val="en-US"/>
        </w:rPr>
        <w:t>Department of Inland Revenue</w:t>
      </w:r>
      <w:r w:rsidRPr="000652C0" w:rsidR="00247D0D">
        <w:rPr>
          <w:rFonts w:ascii="Arial" w:hAnsi="Arial" w:cs="Arial"/>
          <w:lang w:val="en-US"/>
        </w:rPr>
        <w:t xml:space="preserve">. </w:t>
      </w:r>
      <w:proofErr w:type="spellStart"/>
      <w:r w:rsidRPr="000652C0" w:rsidR="00E22E44">
        <w:rPr>
          <w:rFonts w:ascii="Arial" w:hAnsi="Arial" w:cs="Arial"/>
          <w:lang w:val="en-US"/>
        </w:rPr>
        <w:t>PROTEqIN</w:t>
      </w:r>
      <w:proofErr w:type="spellEnd"/>
      <w:r w:rsidRPr="000652C0" w:rsidR="00E22E44">
        <w:rPr>
          <w:rFonts w:ascii="Arial" w:hAnsi="Arial" w:cs="Arial"/>
          <w:lang w:val="en-US"/>
        </w:rPr>
        <w:t xml:space="preserve"> </w:t>
      </w:r>
      <w:r w:rsidRPr="000652C0" w:rsidR="00B21045">
        <w:rPr>
          <w:rFonts w:ascii="Arial" w:hAnsi="Arial" w:cs="Arial"/>
          <w:lang w:val="en-US"/>
        </w:rPr>
        <w:t xml:space="preserve">is a survey that was conducted in 2014 for </w:t>
      </w:r>
      <w:r w:rsidRPr="000652C0" w:rsidR="000E167F">
        <w:rPr>
          <w:rFonts w:ascii="Arial" w:hAnsi="Arial" w:cs="Arial"/>
          <w:lang w:val="en-US"/>
        </w:rPr>
        <w:t>14 Caribbean territories. This survey, among other topics</w:t>
      </w:r>
      <w:r w:rsidRPr="000652C0" w:rsidR="004C6D5F">
        <w:rPr>
          <w:rStyle w:val="FootnoteReference"/>
          <w:rFonts w:ascii="Arial" w:hAnsi="Arial" w:cs="Arial"/>
          <w:lang w:val="en-US"/>
        </w:rPr>
        <w:footnoteReference w:id="2"/>
      </w:r>
      <w:r w:rsidRPr="000652C0" w:rsidR="000E167F">
        <w:rPr>
          <w:rFonts w:ascii="Arial" w:hAnsi="Arial" w:cs="Arial"/>
          <w:lang w:val="en-US"/>
        </w:rPr>
        <w:t>, provides data at the firm level</w:t>
      </w:r>
      <w:r w:rsidRPr="000652C0" w:rsidR="004C6D5F">
        <w:rPr>
          <w:rFonts w:ascii="Arial" w:hAnsi="Arial" w:cs="Arial"/>
          <w:lang w:val="en-US"/>
        </w:rPr>
        <w:t xml:space="preserve"> on business financ</w:t>
      </w:r>
      <w:r w:rsidRPr="000652C0" w:rsidR="00595967">
        <w:rPr>
          <w:rFonts w:ascii="Arial" w:hAnsi="Arial" w:cs="Arial"/>
          <w:lang w:val="en-US"/>
        </w:rPr>
        <w:t>ing</w:t>
      </w:r>
      <w:r w:rsidRPr="000652C0" w:rsidR="004C6D5F">
        <w:rPr>
          <w:rFonts w:ascii="Arial" w:hAnsi="Arial" w:cs="Arial"/>
          <w:lang w:val="en-US"/>
        </w:rPr>
        <w:t>.</w:t>
      </w:r>
    </w:p>
    <w:p w:rsidRPr="00302E3C" w:rsidR="000652C0" w:rsidP="243140B2" w:rsidRDefault="007301A5" w14:paraId="5D014AB0" w14:textId="2CE88074">
      <w:pPr>
        <w:pStyle w:val="ListParagraph"/>
        <w:numPr>
          <w:ilvl w:val="1"/>
          <w:numId w:val="1"/>
        </w:numPr>
        <w:contextualSpacing w:val="0"/>
        <w:jc w:val="both"/>
        <w:rPr>
          <w:lang w:val="en-US"/>
        </w:rPr>
      </w:pPr>
      <w:r w:rsidRPr="243140B2">
        <w:rPr>
          <w:rFonts w:ascii="Arial" w:hAnsi="Arial" w:cs="Arial"/>
          <w:b w:val="1"/>
          <w:bCs w:val="1"/>
          <w:lang w:val="en-US"/>
        </w:rPr>
        <w:t xml:space="preserve">Number of MSME. </w:t>
      </w:r>
      <w:r w:rsidR="000652C0">
        <w:rPr>
          <w:rFonts w:ascii="Arial" w:hAnsi="Arial" w:cs="Arial"/>
          <w:lang w:val="en-US"/>
        </w:rPr>
        <w:t>We can approximate the number of MSME in The Bahamas by</w:t>
      </w:r>
      <w:r w:rsidR="005649E3">
        <w:rPr>
          <w:rFonts w:ascii="Arial" w:hAnsi="Arial" w:cs="Arial"/>
          <w:lang w:val="en-US"/>
        </w:rPr>
        <w:t xml:space="preserve"> utilizing the information on registered business licenses in the country. Table 1 summarizes the information provided by SBDC</w:t>
      </w:r>
      <w:r w:rsidR="00BF3AEB">
        <w:rPr>
          <w:rFonts w:ascii="Arial" w:hAnsi="Arial" w:cs="Arial"/>
          <w:lang w:val="en-US"/>
        </w:rPr>
        <w:t>. The classification of MSME is based on SBDC definition</w:t>
      </w:r>
      <w:r w:rsidR="00FE44C7">
        <w:rPr>
          <w:rStyle w:val="FootnoteReference"/>
          <w:rFonts w:ascii="Arial" w:hAnsi="Arial" w:cs="Arial"/>
          <w:lang w:val="en-US"/>
        </w:rPr>
        <w:footnoteReference w:id="3"/>
      </w:r>
      <w:r w:rsidR="00FE44C7">
        <w:rPr>
          <w:rFonts w:ascii="Arial" w:hAnsi="Arial" w:cs="Arial"/>
          <w:lang w:val="en-US"/>
        </w:rPr>
        <w:t>.</w:t>
      </w:r>
      <w:r w:rsidRPr="000652C0" w:rsidR="000652C0">
        <w:rPr>
          <w:rFonts w:ascii="Arial" w:hAnsi="Arial" w:cs="Arial"/>
          <w:lang w:val="en-US"/>
        </w:rPr>
        <w:t xml:space="preserve"> </w:t>
      </w:r>
      <w:r w:rsidR="0054738E">
        <w:rPr>
          <w:rFonts w:ascii="Arial" w:hAnsi="Arial" w:cs="Arial"/>
          <w:lang w:val="en-US"/>
        </w:rPr>
        <w:t>From this, we can infer that</w:t>
      </w:r>
      <w:r w:rsidR="003325F5">
        <w:rPr>
          <w:rFonts w:ascii="Arial" w:hAnsi="Arial" w:cs="Arial"/>
          <w:lang w:val="en-US"/>
        </w:rPr>
        <w:t xml:space="preserve"> our target population of MSME</w:t>
      </w:r>
      <w:r w:rsidR="00282A4F">
        <w:rPr>
          <w:rFonts w:ascii="Arial" w:hAnsi="Arial" w:cs="Arial"/>
          <w:lang w:val="en-US"/>
        </w:rPr>
        <w:t xml:space="preserve"> (regardless of whether they need financing or not) has a size of 22.516 firms for 2018.</w:t>
      </w:r>
      <w:r w:rsidR="003325F5">
        <w:rPr>
          <w:rFonts w:ascii="Arial" w:hAnsi="Arial" w:cs="Arial"/>
          <w:lang w:val="en-US"/>
        </w:rPr>
        <w:t xml:space="preserve"> </w:t>
      </w:r>
    </w:p>
    <w:p w:rsidRPr="00F356B1" w:rsidR="00302E3C" w:rsidP="00302E3C" w:rsidRDefault="00302E3C" w14:paraId="6E94ADAA" w14:textId="77777777">
      <w:pPr>
        <w:pStyle w:val="ListParagraph"/>
        <w:contextualSpacing w:val="0"/>
        <w:jc w:val="both"/>
        <w:rPr>
          <w:lang w:val="en-US"/>
        </w:rPr>
      </w:pPr>
    </w:p>
    <w:p w:rsidRPr="007729F2" w:rsidR="00F356B1" w:rsidP="00F356B1" w:rsidRDefault="00F356B1" w14:paraId="338F4D3E" w14:textId="52BCB0E7">
      <w:pPr>
        <w:pStyle w:val="ListParagraph"/>
        <w:contextualSpacing w:val="0"/>
        <w:jc w:val="center"/>
        <w:rPr>
          <w:rFonts w:ascii="Arial" w:hAnsi="Arial" w:cs="Arial"/>
          <w:b/>
          <w:sz w:val="18"/>
          <w:lang w:val="en-US"/>
        </w:rPr>
      </w:pPr>
      <w:r w:rsidRPr="007729F2">
        <w:rPr>
          <w:rFonts w:ascii="Arial" w:hAnsi="Arial" w:cs="Arial"/>
          <w:b/>
          <w:sz w:val="18"/>
          <w:lang w:val="en-US"/>
        </w:rPr>
        <w:t>Table 1. Number of registered business licenses in The Bahamas</w:t>
      </w:r>
    </w:p>
    <w:tbl>
      <w:tblPr>
        <w:tblStyle w:val="TableGrid"/>
        <w:tblW w:w="0" w:type="auto"/>
        <w:tblInd w:w="143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441"/>
        <w:gridCol w:w="2158"/>
        <w:gridCol w:w="2158"/>
        <w:gridCol w:w="2158"/>
      </w:tblGrid>
      <w:tr w:rsidRPr="007729F2" w:rsidR="00F356B1" w:rsidTr="00F356B1" w14:paraId="0686EE56" w14:textId="673269CB">
        <w:tc>
          <w:tcPr>
            <w:tcW w:w="1441" w:type="dxa"/>
            <w:shd w:val="clear" w:color="auto" w:fill="auto"/>
          </w:tcPr>
          <w:p w:rsidRPr="007729F2" w:rsidR="00F356B1" w:rsidP="00F356B1" w:rsidRDefault="00F356B1" w14:paraId="695CF1C1" w14:textId="77777777">
            <w:pPr>
              <w:jc w:val="center"/>
              <w:rPr>
                <w:rFonts w:asciiTheme="minorHAnsi" w:hAnsiTheme="minorHAnsi" w:cstheme="minorHAnsi"/>
                <w:sz w:val="20"/>
              </w:rPr>
            </w:pPr>
          </w:p>
        </w:tc>
        <w:tc>
          <w:tcPr>
            <w:tcW w:w="2158" w:type="dxa"/>
            <w:tcBorders>
              <w:bottom w:val="single" w:color="auto" w:sz="4" w:space="0"/>
            </w:tcBorders>
            <w:shd w:val="clear" w:color="auto" w:fill="auto"/>
          </w:tcPr>
          <w:p w:rsidRPr="007729F2" w:rsidR="00F356B1" w:rsidP="00F356B1" w:rsidRDefault="00F356B1" w14:paraId="2DB360BE" w14:textId="2E3183C6">
            <w:pPr>
              <w:jc w:val="center"/>
              <w:rPr>
                <w:rFonts w:asciiTheme="minorHAnsi" w:hAnsiTheme="minorHAnsi" w:cstheme="minorHAnsi"/>
                <w:b/>
                <w:sz w:val="20"/>
              </w:rPr>
            </w:pPr>
            <w:r w:rsidRPr="007729F2">
              <w:rPr>
                <w:rFonts w:asciiTheme="minorHAnsi" w:hAnsiTheme="minorHAnsi" w:cstheme="minorHAnsi"/>
                <w:b/>
                <w:sz w:val="20"/>
              </w:rPr>
              <w:t>2016</w:t>
            </w:r>
          </w:p>
        </w:tc>
        <w:tc>
          <w:tcPr>
            <w:tcW w:w="2158" w:type="dxa"/>
            <w:tcBorders>
              <w:bottom w:val="single" w:color="auto" w:sz="4" w:space="0"/>
            </w:tcBorders>
            <w:shd w:val="clear" w:color="auto" w:fill="auto"/>
          </w:tcPr>
          <w:p w:rsidRPr="007729F2" w:rsidR="00F356B1" w:rsidP="00F356B1" w:rsidRDefault="00F356B1" w14:paraId="55931484" w14:textId="1CC78C85">
            <w:pPr>
              <w:jc w:val="center"/>
              <w:rPr>
                <w:rFonts w:asciiTheme="minorHAnsi" w:hAnsiTheme="minorHAnsi" w:cstheme="minorHAnsi"/>
                <w:b/>
                <w:sz w:val="20"/>
              </w:rPr>
            </w:pPr>
            <w:r w:rsidRPr="007729F2">
              <w:rPr>
                <w:rFonts w:asciiTheme="minorHAnsi" w:hAnsiTheme="minorHAnsi" w:cstheme="minorHAnsi"/>
                <w:b/>
                <w:sz w:val="20"/>
              </w:rPr>
              <w:t>2017</w:t>
            </w:r>
          </w:p>
        </w:tc>
        <w:tc>
          <w:tcPr>
            <w:tcW w:w="2158" w:type="dxa"/>
            <w:tcBorders>
              <w:bottom w:val="single" w:color="auto" w:sz="4" w:space="0"/>
            </w:tcBorders>
            <w:shd w:val="clear" w:color="auto" w:fill="auto"/>
          </w:tcPr>
          <w:p w:rsidRPr="007729F2" w:rsidR="00F356B1" w:rsidP="00F356B1" w:rsidRDefault="00F356B1" w14:paraId="141174C7" w14:textId="361EA355">
            <w:pPr>
              <w:jc w:val="center"/>
              <w:rPr>
                <w:rFonts w:asciiTheme="minorHAnsi" w:hAnsiTheme="minorHAnsi" w:cstheme="minorHAnsi"/>
                <w:b/>
                <w:sz w:val="20"/>
              </w:rPr>
            </w:pPr>
            <w:r w:rsidRPr="007729F2">
              <w:rPr>
                <w:rFonts w:asciiTheme="minorHAnsi" w:hAnsiTheme="minorHAnsi" w:cstheme="minorHAnsi"/>
                <w:b/>
                <w:sz w:val="20"/>
              </w:rPr>
              <w:t>2018</w:t>
            </w:r>
          </w:p>
        </w:tc>
      </w:tr>
      <w:tr w:rsidRPr="007729F2" w:rsidR="00F356B1" w:rsidTr="00F356B1" w14:paraId="556A89FF" w14:textId="77F61C2E">
        <w:tc>
          <w:tcPr>
            <w:tcW w:w="1441" w:type="dxa"/>
            <w:shd w:val="clear" w:color="auto" w:fill="auto"/>
          </w:tcPr>
          <w:p w:rsidRPr="007729F2" w:rsidR="00F356B1" w:rsidP="00F356B1" w:rsidRDefault="00F356B1" w14:paraId="01721FAE" w14:textId="65BF4DFB">
            <w:pPr>
              <w:rPr>
                <w:rFonts w:asciiTheme="minorHAnsi" w:hAnsiTheme="minorHAnsi" w:cstheme="minorHAnsi"/>
                <w:sz w:val="20"/>
              </w:rPr>
            </w:pPr>
            <w:r w:rsidRPr="007729F2">
              <w:rPr>
                <w:rFonts w:asciiTheme="minorHAnsi" w:hAnsiTheme="minorHAnsi" w:cstheme="minorHAnsi"/>
                <w:sz w:val="20"/>
              </w:rPr>
              <w:t>MSME</w:t>
            </w:r>
          </w:p>
        </w:tc>
        <w:tc>
          <w:tcPr>
            <w:tcW w:w="2158" w:type="dxa"/>
            <w:tcBorders>
              <w:top w:val="single" w:color="auto" w:sz="4" w:space="0"/>
            </w:tcBorders>
            <w:shd w:val="clear" w:color="auto" w:fill="auto"/>
          </w:tcPr>
          <w:p w:rsidRPr="007729F2" w:rsidR="00F356B1" w:rsidP="00F356B1" w:rsidRDefault="00F356B1" w14:paraId="1235FFCD" w14:textId="792E5467">
            <w:pPr>
              <w:jc w:val="center"/>
              <w:rPr>
                <w:rFonts w:asciiTheme="minorHAnsi" w:hAnsiTheme="minorHAnsi" w:cstheme="minorHAnsi"/>
                <w:sz w:val="20"/>
              </w:rPr>
            </w:pPr>
            <w:r w:rsidRPr="007729F2">
              <w:rPr>
                <w:rFonts w:asciiTheme="minorHAnsi" w:hAnsiTheme="minorHAnsi" w:cstheme="minorHAnsi"/>
                <w:sz w:val="20"/>
              </w:rPr>
              <w:t>18.670</w:t>
            </w:r>
          </w:p>
        </w:tc>
        <w:tc>
          <w:tcPr>
            <w:tcW w:w="2158" w:type="dxa"/>
            <w:tcBorders>
              <w:top w:val="single" w:color="auto" w:sz="4" w:space="0"/>
            </w:tcBorders>
            <w:shd w:val="clear" w:color="auto" w:fill="auto"/>
          </w:tcPr>
          <w:p w:rsidRPr="007729F2" w:rsidR="00F356B1" w:rsidP="00F356B1" w:rsidRDefault="00F356B1" w14:paraId="3CA307AF" w14:textId="0EB27BFD">
            <w:pPr>
              <w:jc w:val="center"/>
              <w:rPr>
                <w:rFonts w:asciiTheme="minorHAnsi" w:hAnsiTheme="minorHAnsi" w:cstheme="minorHAnsi"/>
                <w:sz w:val="20"/>
              </w:rPr>
            </w:pPr>
            <w:r w:rsidRPr="007729F2">
              <w:rPr>
                <w:rFonts w:asciiTheme="minorHAnsi" w:hAnsiTheme="minorHAnsi" w:cstheme="minorHAnsi"/>
                <w:sz w:val="20"/>
              </w:rPr>
              <w:t>23.465</w:t>
            </w:r>
          </w:p>
        </w:tc>
        <w:tc>
          <w:tcPr>
            <w:tcW w:w="2158" w:type="dxa"/>
            <w:tcBorders>
              <w:top w:val="single" w:color="auto" w:sz="4" w:space="0"/>
            </w:tcBorders>
            <w:shd w:val="clear" w:color="auto" w:fill="auto"/>
          </w:tcPr>
          <w:p w:rsidRPr="007729F2" w:rsidR="00F356B1" w:rsidP="00F356B1" w:rsidRDefault="00F356B1" w14:paraId="37A3F74A" w14:textId="1A16C023">
            <w:pPr>
              <w:jc w:val="center"/>
              <w:rPr>
                <w:rFonts w:asciiTheme="minorHAnsi" w:hAnsiTheme="minorHAnsi" w:cstheme="minorHAnsi"/>
                <w:sz w:val="20"/>
              </w:rPr>
            </w:pPr>
            <w:r w:rsidRPr="007729F2">
              <w:rPr>
                <w:rFonts w:asciiTheme="minorHAnsi" w:hAnsiTheme="minorHAnsi" w:cstheme="minorHAnsi"/>
                <w:sz w:val="20"/>
              </w:rPr>
              <w:t>22.516</w:t>
            </w:r>
          </w:p>
        </w:tc>
      </w:tr>
      <w:tr w:rsidRPr="007729F2" w:rsidR="00F356B1" w:rsidTr="00F356B1" w14:paraId="67D0113B" w14:textId="08C9A4B8">
        <w:tc>
          <w:tcPr>
            <w:tcW w:w="1441" w:type="dxa"/>
            <w:shd w:val="clear" w:color="auto" w:fill="auto"/>
          </w:tcPr>
          <w:p w:rsidRPr="007729F2" w:rsidR="00F356B1" w:rsidP="00F356B1" w:rsidRDefault="00F356B1" w14:paraId="733CCD75" w14:textId="39B17414">
            <w:pPr>
              <w:rPr>
                <w:rFonts w:asciiTheme="minorHAnsi" w:hAnsiTheme="minorHAnsi" w:cstheme="minorHAnsi"/>
                <w:sz w:val="20"/>
              </w:rPr>
            </w:pPr>
            <w:r w:rsidRPr="007729F2">
              <w:rPr>
                <w:rFonts w:asciiTheme="minorHAnsi" w:hAnsiTheme="minorHAnsi" w:cstheme="minorHAnsi"/>
                <w:sz w:val="20"/>
              </w:rPr>
              <w:t>Large</w:t>
            </w:r>
          </w:p>
        </w:tc>
        <w:tc>
          <w:tcPr>
            <w:tcW w:w="2158" w:type="dxa"/>
            <w:tcBorders>
              <w:bottom w:val="single" w:color="auto" w:sz="4" w:space="0"/>
            </w:tcBorders>
            <w:shd w:val="clear" w:color="auto" w:fill="auto"/>
          </w:tcPr>
          <w:p w:rsidRPr="007729F2" w:rsidR="00F356B1" w:rsidP="00F356B1" w:rsidRDefault="00F356B1" w14:paraId="7EA2E8D4" w14:textId="46FF6110">
            <w:pPr>
              <w:jc w:val="center"/>
              <w:rPr>
                <w:rFonts w:asciiTheme="minorHAnsi" w:hAnsiTheme="minorHAnsi" w:cstheme="minorHAnsi"/>
                <w:sz w:val="20"/>
              </w:rPr>
            </w:pPr>
            <w:r w:rsidRPr="007729F2">
              <w:rPr>
                <w:rFonts w:asciiTheme="minorHAnsi" w:hAnsiTheme="minorHAnsi" w:cstheme="minorHAnsi"/>
                <w:sz w:val="20"/>
              </w:rPr>
              <w:t>404</w:t>
            </w:r>
          </w:p>
        </w:tc>
        <w:tc>
          <w:tcPr>
            <w:tcW w:w="2158" w:type="dxa"/>
            <w:tcBorders>
              <w:bottom w:val="single" w:color="auto" w:sz="4" w:space="0"/>
            </w:tcBorders>
            <w:shd w:val="clear" w:color="auto" w:fill="auto"/>
          </w:tcPr>
          <w:p w:rsidRPr="007729F2" w:rsidR="00F356B1" w:rsidP="00F356B1" w:rsidRDefault="00F356B1" w14:paraId="4ACAF970" w14:textId="01299B44">
            <w:pPr>
              <w:jc w:val="center"/>
              <w:rPr>
                <w:rFonts w:asciiTheme="minorHAnsi" w:hAnsiTheme="minorHAnsi" w:cstheme="minorHAnsi"/>
                <w:sz w:val="20"/>
              </w:rPr>
            </w:pPr>
            <w:r w:rsidRPr="007729F2">
              <w:rPr>
                <w:rFonts w:asciiTheme="minorHAnsi" w:hAnsiTheme="minorHAnsi" w:cstheme="minorHAnsi"/>
                <w:sz w:val="20"/>
              </w:rPr>
              <w:t>409</w:t>
            </w:r>
          </w:p>
        </w:tc>
        <w:tc>
          <w:tcPr>
            <w:tcW w:w="2158" w:type="dxa"/>
            <w:tcBorders>
              <w:bottom w:val="single" w:color="auto" w:sz="4" w:space="0"/>
            </w:tcBorders>
            <w:shd w:val="clear" w:color="auto" w:fill="auto"/>
          </w:tcPr>
          <w:p w:rsidRPr="007729F2" w:rsidR="00F356B1" w:rsidP="00F356B1" w:rsidRDefault="00F356B1" w14:paraId="3AC0DBBE" w14:textId="57236F41">
            <w:pPr>
              <w:jc w:val="center"/>
              <w:rPr>
                <w:rFonts w:asciiTheme="minorHAnsi" w:hAnsiTheme="minorHAnsi" w:cstheme="minorHAnsi"/>
                <w:sz w:val="20"/>
              </w:rPr>
            </w:pPr>
            <w:r w:rsidRPr="007729F2">
              <w:rPr>
                <w:rFonts w:asciiTheme="minorHAnsi" w:hAnsiTheme="minorHAnsi" w:cstheme="minorHAnsi"/>
                <w:sz w:val="20"/>
              </w:rPr>
              <w:t>435</w:t>
            </w:r>
          </w:p>
        </w:tc>
      </w:tr>
      <w:tr w:rsidRPr="007729F2" w:rsidR="00F356B1" w:rsidTr="00F356B1" w14:paraId="56A006F0" w14:textId="2EC1830E">
        <w:tc>
          <w:tcPr>
            <w:tcW w:w="1441" w:type="dxa"/>
            <w:shd w:val="clear" w:color="auto" w:fill="auto"/>
          </w:tcPr>
          <w:p w:rsidRPr="007729F2" w:rsidR="00F356B1" w:rsidP="00F356B1" w:rsidRDefault="00F356B1" w14:paraId="4A4829EB" w14:textId="12CD7DBB">
            <w:pPr>
              <w:rPr>
                <w:rFonts w:asciiTheme="minorHAnsi" w:hAnsiTheme="minorHAnsi" w:cstheme="minorHAnsi"/>
                <w:sz w:val="20"/>
              </w:rPr>
            </w:pPr>
            <w:r w:rsidRPr="007729F2">
              <w:rPr>
                <w:rFonts w:asciiTheme="minorHAnsi" w:hAnsiTheme="minorHAnsi" w:cstheme="minorHAnsi"/>
                <w:sz w:val="20"/>
              </w:rPr>
              <w:t>Total</w:t>
            </w:r>
          </w:p>
        </w:tc>
        <w:tc>
          <w:tcPr>
            <w:tcW w:w="2158" w:type="dxa"/>
            <w:tcBorders>
              <w:top w:val="single" w:color="auto" w:sz="4" w:space="0"/>
            </w:tcBorders>
            <w:shd w:val="clear" w:color="auto" w:fill="auto"/>
          </w:tcPr>
          <w:p w:rsidRPr="007729F2" w:rsidR="00F356B1" w:rsidP="00F356B1" w:rsidRDefault="00F356B1" w14:paraId="4D7CECD8" w14:textId="534E2D1F">
            <w:pPr>
              <w:jc w:val="center"/>
              <w:rPr>
                <w:rFonts w:asciiTheme="minorHAnsi" w:hAnsiTheme="minorHAnsi" w:cstheme="minorHAnsi"/>
                <w:sz w:val="20"/>
              </w:rPr>
            </w:pPr>
            <w:r w:rsidRPr="007729F2">
              <w:rPr>
                <w:rFonts w:asciiTheme="minorHAnsi" w:hAnsiTheme="minorHAnsi" w:cstheme="minorHAnsi"/>
                <w:sz w:val="20"/>
              </w:rPr>
              <w:t>19.074</w:t>
            </w:r>
          </w:p>
        </w:tc>
        <w:tc>
          <w:tcPr>
            <w:tcW w:w="2158" w:type="dxa"/>
            <w:tcBorders>
              <w:top w:val="single" w:color="auto" w:sz="4" w:space="0"/>
            </w:tcBorders>
            <w:shd w:val="clear" w:color="auto" w:fill="auto"/>
          </w:tcPr>
          <w:p w:rsidRPr="007729F2" w:rsidR="00F356B1" w:rsidP="00F356B1" w:rsidRDefault="00F356B1" w14:paraId="4C96F774" w14:textId="60927E0C">
            <w:pPr>
              <w:jc w:val="center"/>
              <w:rPr>
                <w:rFonts w:asciiTheme="minorHAnsi" w:hAnsiTheme="minorHAnsi" w:cstheme="minorHAnsi"/>
                <w:sz w:val="20"/>
              </w:rPr>
            </w:pPr>
            <w:r w:rsidRPr="007729F2">
              <w:rPr>
                <w:rFonts w:asciiTheme="minorHAnsi" w:hAnsiTheme="minorHAnsi" w:cstheme="minorHAnsi"/>
                <w:sz w:val="20"/>
              </w:rPr>
              <w:t>23.874</w:t>
            </w:r>
          </w:p>
        </w:tc>
        <w:tc>
          <w:tcPr>
            <w:tcW w:w="2158" w:type="dxa"/>
            <w:tcBorders>
              <w:top w:val="single" w:color="auto" w:sz="4" w:space="0"/>
            </w:tcBorders>
            <w:shd w:val="clear" w:color="auto" w:fill="auto"/>
          </w:tcPr>
          <w:p w:rsidRPr="007729F2" w:rsidR="00F356B1" w:rsidP="00F356B1" w:rsidRDefault="00F356B1" w14:paraId="50CD85A7" w14:textId="6FD9A9F7">
            <w:pPr>
              <w:jc w:val="center"/>
              <w:rPr>
                <w:rFonts w:asciiTheme="minorHAnsi" w:hAnsiTheme="minorHAnsi" w:cstheme="minorHAnsi"/>
                <w:sz w:val="20"/>
              </w:rPr>
            </w:pPr>
            <w:r w:rsidRPr="007729F2">
              <w:rPr>
                <w:rFonts w:asciiTheme="minorHAnsi" w:hAnsiTheme="minorHAnsi" w:cstheme="minorHAnsi"/>
                <w:sz w:val="20"/>
              </w:rPr>
              <w:t>22.951</w:t>
            </w:r>
          </w:p>
        </w:tc>
      </w:tr>
      <w:tr w:rsidRPr="007729F2" w:rsidR="00F356B1" w:rsidTr="00F356B1" w14:paraId="2094F1AA" w14:textId="77777777">
        <w:tc>
          <w:tcPr>
            <w:tcW w:w="1441" w:type="dxa"/>
            <w:shd w:val="clear" w:color="auto" w:fill="auto"/>
          </w:tcPr>
          <w:p w:rsidRPr="007729F2" w:rsidR="00F356B1" w:rsidP="00F356B1" w:rsidRDefault="00F356B1" w14:paraId="246D298C" w14:textId="77777777">
            <w:pPr>
              <w:rPr>
                <w:rFonts w:asciiTheme="minorHAnsi" w:hAnsiTheme="minorHAnsi" w:cstheme="minorHAnsi"/>
                <w:sz w:val="20"/>
              </w:rPr>
            </w:pPr>
          </w:p>
        </w:tc>
        <w:tc>
          <w:tcPr>
            <w:tcW w:w="2158" w:type="dxa"/>
            <w:shd w:val="clear" w:color="auto" w:fill="auto"/>
          </w:tcPr>
          <w:p w:rsidRPr="007729F2" w:rsidR="00F356B1" w:rsidP="00F356B1" w:rsidRDefault="00F356B1" w14:paraId="0ADFB8CE" w14:textId="77777777">
            <w:pPr>
              <w:jc w:val="center"/>
              <w:rPr>
                <w:rFonts w:asciiTheme="minorHAnsi" w:hAnsiTheme="minorHAnsi" w:cstheme="minorHAnsi"/>
                <w:sz w:val="20"/>
              </w:rPr>
            </w:pPr>
          </w:p>
        </w:tc>
        <w:tc>
          <w:tcPr>
            <w:tcW w:w="2158" w:type="dxa"/>
            <w:shd w:val="clear" w:color="auto" w:fill="auto"/>
          </w:tcPr>
          <w:p w:rsidRPr="007729F2" w:rsidR="00F356B1" w:rsidP="00F356B1" w:rsidRDefault="00F356B1" w14:paraId="43C15B40" w14:textId="77777777">
            <w:pPr>
              <w:jc w:val="center"/>
              <w:rPr>
                <w:rFonts w:asciiTheme="minorHAnsi" w:hAnsiTheme="minorHAnsi" w:cstheme="minorHAnsi"/>
                <w:sz w:val="20"/>
              </w:rPr>
            </w:pPr>
          </w:p>
        </w:tc>
        <w:tc>
          <w:tcPr>
            <w:tcW w:w="2158" w:type="dxa"/>
            <w:shd w:val="clear" w:color="auto" w:fill="auto"/>
          </w:tcPr>
          <w:p w:rsidRPr="007729F2" w:rsidR="00F356B1" w:rsidP="00F356B1" w:rsidRDefault="00F356B1" w14:paraId="6BD68ABA" w14:textId="77777777">
            <w:pPr>
              <w:jc w:val="center"/>
              <w:rPr>
                <w:rFonts w:asciiTheme="minorHAnsi" w:hAnsiTheme="minorHAnsi" w:cstheme="minorHAnsi"/>
                <w:sz w:val="20"/>
              </w:rPr>
            </w:pPr>
          </w:p>
        </w:tc>
      </w:tr>
    </w:tbl>
    <w:p w:rsidRPr="007729F2" w:rsidR="00D76524" w:rsidP="00F356B1" w:rsidRDefault="00F356B1" w14:paraId="0669EC28" w14:textId="35E58729">
      <w:pPr>
        <w:pStyle w:val="ListParagraph"/>
        <w:ind w:firstLine="696"/>
        <w:contextualSpacing w:val="0"/>
        <w:jc w:val="both"/>
        <w:rPr>
          <w:rFonts w:asciiTheme="minorHAnsi" w:hAnsiTheme="minorHAnsi" w:cstheme="minorHAnsi"/>
          <w:sz w:val="18"/>
          <w:lang w:val="en-US"/>
        </w:rPr>
      </w:pPr>
      <w:r w:rsidRPr="007729F2">
        <w:rPr>
          <w:rFonts w:asciiTheme="minorHAnsi" w:hAnsiTheme="minorHAnsi" w:cstheme="minorHAnsi"/>
          <w:sz w:val="18"/>
          <w:lang w:val="en-US"/>
        </w:rPr>
        <w:t xml:space="preserve">   Source: SBDC</w:t>
      </w:r>
    </w:p>
    <w:p w:rsidRPr="00302E3C" w:rsidR="00302E3C" w:rsidP="00302E3C" w:rsidRDefault="00302E3C" w14:paraId="582072E8" w14:textId="77777777">
      <w:pPr>
        <w:pStyle w:val="ListParagraph"/>
        <w:contextualSpacing w:val="0"/>
        <w:jc w:val="both"/>
        <w:rPr>
          <w:rFonts w:ascii="Arial" w:hAnsi="Arial" w:cs="Arial"/>
          <w:lang w:val="en-US"/>
        </w:rPr>
      </w:pPr>
    </w:p>
    <w:p w:rsidR="002F457A" w:rsidP="003C4250" w:rsidRDefault="003C4250" w14:paraId="4B9AE4D7" w14:textId="74B9EEC4">
      <w:pPr>
        <w:pStyle w:val="ListParagraph"/>
        <w:numPr>
          <w:ilvl w:val="1"/>
          <w:numId w:val="1"/>
        </w:numPr>
        <w:contextualSpacing w:val="0"/>
        <w:jc w:val="both"/>
        <w:rPr>
          <w:rFonts w:ascii="Arial" w:hAnsi="Arial" w:cs="Arial"/>
          <w:lang w:val="en-US"/>
        </w:rPr>
      </w:pPr>
      <w:r w:rsidRPr="000652C0">
        <w:rPr>
          <w:rFonts w:ascii="Arial" w:hAnsi="Arial" w:cs="Arial"/>
          <w:b/>
          <w:lang w:val="en-US"/>
        </w:rPr>
        <w:t>Demand of Credit.</w:t>
      </w:r>
      <w:r w:rsidRPr="000652C0">
        <w:rPr>
          <w:rFonts w:ascii="Arial" w:hAnsi="Arial" w:cs="Arial"/>
          <w:lang w:val="en-US"/>
        </w:rPr>
        <w:t xml:space="preserve">  For the estimation of the </w:t>
      </w:r>
      <w:r w:rsidR="002F457A">
        <w:rPr>
          <w:rFonts w:ascii="Arial" w:hAnsi="Arial" w:cs="Arial"/>
          <w:lang w:val="en-US"/>
        </w:rPr>
        <w:t>potential demand for credit</w:t>
      </w:r>
      <w:r w:rsidR="00F94F22">
        <w:rPr>
          <w:rFonts w:ascii="Arial" w:hAnsi="Arial" w:cs="Arial"/>
          <w:lang w:val="en-US"/>
        </w:rPr>
        <w:t xml:space="preserve"> we combine the estimates of total number of MSME with the results of the finance module of the </w:t>
      </w:r>
      <w:proofErr w:type="spellStart"/>
      <w:r w:rsidR="00F94F22">
        <w:rPr>
          <w:rFonts w:ascii="Arial" w:hAnsi="Arial" w:cs="Arial"/>
          <w:lang w:val="en-US"/>
        </w:rPr>
        <w:t>PROTEqIN</w:t>
      </w:r>
      <w:proofErr w:type="spellEnd"/>
      <w:r w:rsidR="00F94F22">
        <w:rPr>
          <w:rFonts w:ascii="Arial" w:hAnsi="Arial" w:cs="Arial"/>
          <w:lang w:val="en-US"/>
        </w:rPr>
        <w:t xml:space="preserve"> survey.</w:t>
      </w:r>
      <w:r w:rsidR="008F329F">
        <w:rPr>
          <w:rFonts w:ascii="Arial" w:hAnsi="Arial" w:cs="Arial"/>
          <w:lang w:val="en-US"/>
        </w:rPr>
        <w:t xml:space="preserve"> </w:t>
      </w:r>
      <w:r w:rsidR="00AB0811">
        <w:rPr>
          <w:rFonts w:ascii="Arial" w:hAnsi="Arial" w:cs="Arial"/>
          <w:lang w:val="en-US"/>
        </w:rPr>
        <w:t>The statistics from the survey have been constructed using SBDC definition of MSME.</w:t>
      </w:r>
    </w:p>
    <w:p w:rsidR="002F457A" w:rsidP="003C4250" w:rsidRDefault="00F94F22" w14:paraId="7F9114DD" w14:textId="7404A9A3">
      <w:pPr>
        <w:pStyle w:val="ListParagraph"/>
        <w:numPr>
          <w:ilvl w:val="1"/>
          <w:numId w:val="1"/>
        </w:numPr>
        <w:contextualSpacing w:val="0"/>
        <w:jc w:val="both"/>
        <w:rPr>
          <w:rFonts w:ascii="Arial" w:hAnsi="Arial" w:cs="Arial"/>
          <w:lang w:val="en-US"/>
        </w:rPr>
      </w:pPr>
      <w:r>
        <w:rPr>
          <w:rFonts w:ascii="Arial" w:hAnsi="Arial" w:cs="Arial"/>
          <w:lang w:val="en-US"/>
        </w:rPr>
        <w:t xml:space="preserve">Given that we are looking to estimate the number of MSME that require financing but are unable to access to credit due to market failure, we select some results from </w:t>
      </w:r>
      <w:proofErr w:type="spellStart"/>
      <w:r>
        <w:rPr>
          <w:rFonts w:ascii="Arial" w:hAnsi="Arial" w:cs="Arial"/>
          <w:lang w:val="en-US"/>
        </w:rPr>
        <w:t>PROTEqIN</w:t>
      </w:r>
      <w:proofErr w:type="spellEnd"/>
      <w:r>
        <w:rPr>
          <w:rFonts w:ascii="Arial" w:hAnsi="Arial" w:cs="Arial"/>
          <w:lang w:val="en-US"/>
        </w:rPr>
        <w:t xml:space="preserve"> that can help us identify this portion of the total population. </w:t>
      </w:r>
      <w:r w:rsidR="008F329F">
        <w:rPr>
          <w:rFonts w:ascii="Arial" w:hAnsi="Arial" w:cs="Arial"/>
          <w:lang w:val="en-US"/>
        </w:rPr>
        <w:t xml:space="preserve">To monetize the value of the demand we will use as an assumption an average loan amount of US$62.680, which </w:t>
      </w:r>
      <w:r w:rsidR="008F329F">
        <w:rPr>
          <w:rFonts w:ascii="Arial" w:hAnsi="Arial" w:cs="Arial"/>
          <w:lang w:val="en-US"/>
        </w:rPr>
        <w:lastRenderedPageBreak/>
        <w:t>corresponds to the estimate provided by SBDC for our pro</w:t>
      </w:r>
      <w:r w:rsidR="00B71491">
        <w:rPr>
          <w:rFonts w:ascii="Arial" w:hAnsi="Arial" w:cs="Arial"/>
          <w:lang w:val="en-US"/>
        </w:rPr>
        <w:t>gram</w:t>
      </w:r>
      <w:r w:rsidR="00B849C9">
        <w:rPr>
          <w:rStyle w:val="FootnoteReference"/>
          <w:rFonts w:ascii="Arial" w:hAnsi="Arial" w:cs="Arial"/>
          <w:lang w:val="en-US"/>
        </w:rPr>
        <w:footnoteReference w:id="4"/>
      </w:r>
      <w:r w:rsidR="008F329F">
        <w:rPr>
          <w:rFonts w:ascii="Arial" w:hAnsi="Arial" w:cs="Arial"/>
          <w:lang w:val="en-US"/>
        </w:rPr>
        <w:t xml:space="preserve">. </w:t>
      </w:r>
      <w:r>
        <w:rPr>
          <w:rFonts w:ascii="Arial" w:hAnsi="Arial" w:cs="Arial"/>
          <w:lang w:val="en-US"/>
        </w:rPr>
        <w:t>Table 2 resumes our estimates.</w:t>
      </w:r>
    </w:p>
    <w:p w:rsidR="00D4331B" w:rsidP="003C4250" w:rsidRDefault="00F94F22" w14:paraId="247A48FC" w14:textId="6193BDEE">
      <w:pPr>
        <w:pStyle w:val="ListParagraph"/>
        <w:numPr>
          <w:ilvl w:val="1"/>
          <w:numId w:val="1"/>
        </w:numPr>
        <w:contextualSpacing w:val="0"/>
        <w:jc w:val="both"/>
        <w:rPr>
          <w:rFonts w:ascii="Arial" w:hAnsi="Arial" w:cs="Arial"/>
          <w:lang w:val="en-US"/>
        </w:rPr>
      </w:pPr>
      <w:r>
        <w:rPr>
          <w:rFonts w:ascii="Arial" w:hAnsi="Arial" w:cs="Arial"/>
          <w:lang w:val="en-US"/>
        </w:rPr>
        <w:t xml:space="preserve">In first place, we see that 50% of </w:t>
      </w:r>
      <w:r w:rsidR="00AB0811">
        <w:rPr>
          <w:rFonts w:ascii="Arial" w:hAnsi="Arial" w:cs="Arial"/>
          <w:lang w:val="en-US"/>
        </w:rPr>
        <w:t>MSME</w:t>
      </w:r>
      <w:r>
        <w:rPr>
          <w:rFonts w:ascii="Arial" w:hAnsi="Arial" w:cs="Arial"/>
          <w:lang w:val="en-US"/>
        </w:rPr>
        <w:t xml:space="preserve"> declare not having applied for a loan or credit line in the last year </w:t>
      </w:r>
      <w:r w:rsidR="008F329F">
        <w:rPr>
          <w:rFonts w:ascii="Arial" w:hAnsi="Arial" w:cs="Arial"/>
          <w:lang w:val="en-US"/>
        </w:rPr>
        <w:t>before</w:t>
      </w:r>
      <w:r>
        <w:rPr>
          <w:rFonts w:ascii="Arial" w:hAnsi="Arial" w:cs="Arial"/>
          <w:lang w:val="en-US"/>
        </w:rPr>
        <w:t xml:space="preserve"> the survey.</w:t>
      </w:r>
      <w:r w:rsidR="008F329F">
        <w:rPr>
          <w:rFonts w:ascii="Arial" w:hAnsi="Arial" w:cs="Arial"/>
          <w:lang w:val="en-US"/>
        </w:rPr>
        <w:t xml:space="preserve"> From this group, 72% declared not doing so because perceived financing constraints</w:t>
      </w:r>
      <w:r w:rsidR="008F329F">
        <w:rPr>
          <w:rStyle w:val="FootnoteReference"/>
          <w:rFonts w:ascii="Arial" w:hAnsi="Arial" w:cs="Arial"/>
          <w:lang w:val="en-US"/>
        </w:rPr>
        <w:footnoteReference w:id="5"/>
      </w:r>
      <w:r w:rsidR="008F329F">
        <w:rPr>
          <w:rFonts w:ascii="Arial" w:hAnsi="Arial" w:cs="Arial"/>
          <w:lang w:val="en-US"/>
        </w:rPr>
        <w:t>. This</w:t>
      </w:r>
      <w:r w:rsidR="00E1646B">
        <w:rPr>
          <w:rFonts w:ascii="Arial" w:hAnsi="Arial" w:cs="Arial"/>
          <w:lang w:val="en-US"/>
        </w:rPr>
        <w:t xml:space="preserve"> accounts for</w:t>
      </w:r>
      <w:r w:rsidR="008F329F">
        <w:rPr>
          <w:rFonts w:ascii="Arial" w:hAnsi="Arial" w:cs="Arial"/>
          <w:lang w:val="en-US"/>
        </w:rPr>
        <w:t xml:space="preserve"> 8.157 MSME that</w:t>
      </w:r>
      <w:r w:rsidR="00E1646B">
        <w:rPr>
          <w:rFonts w:ascii="Arial" w:hAnsi="Arial" w:cs="Arial"/>
          <w:lang w:val="en-US"/>
        </w:rPr>
        <w:t xml:space="preserve">, using our average amount of credit per firm, yields to a potential demand of US$ 511 </w:t>
      </w:r>
      <w:r w:rsidR="00D4331B">
        <w:rPr>
          <w:rFonts w:ascii="Arial" w:hAnsi="Arial" w:cs="Arial"/>
          <w:lang w:val="en-US"/>
        </w:rPr>
        <w:t>million</w:t>
      </w:r>
      <w:r w:rsidR="00E1646B">
        <w:rPr>
          <w:rFonts w:ascii="Arial" w:hAnsi="Arial" w:cs="Arial"/>
          <w:lang w:val="en-US"/>
        </w:rPr>
        <w:t>.</w:t>
      </w:r>
      <w:r w:rsidR="00B849C9">
        <w:rPr>
          <w:rFonts w:ascii="Arial" w:hAnsi="Arial" w:cs="Arial"/>
          <w:lang w:val="en-US"/>
        </w:rPr>
        <w:t xml:space="preserve"> However, as a conservative measure we will assume that only a 50% of those MSME are interested in applying for a loan. Hence our potential demand estimate reduces to US$ 256 million.</w:t>
      </w:r>
    </w:p>
    <w:p w:rsidR="00F94F22" w:rsidP="003C4250" w:rsidRDefault="00D4331B" w14:paraId="2A0D66BB" w14:textId="248D0C3B">
      <w:pPr>
        <w:pStyle w:val="ListParagraph"/>
        <w:numPr>
          <w:ilvl w:val="1"/>
          <w:numId w:val="1"/>
        </w:numPr>
        <w:contextualSpacing w:val="0"/>
        <w:jc w:val="both"/>
        <w:rPr>
          <w:rFonts w:ascii="Arial" w:hAnsi="Arial" w:cs="Arial"/>
          <w:lang w:val="en-US"/>
        </w:rPr>
      </w:pPr>
      <w:r>
        <w:rPr>
          <w:rFonts w:ascii="Arial" w:hAnsi="Arial" w:cs="Arial"/>
          <w:lang w:val="en-US"/>
        </w:rPr>
        <w:t xml:space="preserve">We can also approach the estimation from the perspective of the firms that finance their investments and working capital from other sources rather that banks. Although the structure of the survey does not make it clear whether </w:t>
      </w:r>
      <w:r w:rsidR="00AB0811">
        <w:rPr>
          <w:rFonts w:ascii="Arial" w:hAnsi="Arial" w:cs="Arial"/>
          <w:lang w:val="en-US"/>
        </w:rPr>
        <w:t>all</w:t>
      </w:r>
      <w:r>
        <w:rPr>
          <w:rFonts w:ascii="Arial" w:hAnsi="Arial" w:cs="Arial"/>
          <w:lang w:val="en-US"/>
        </w:rPr>
        <w:t xml:space="preserve"> this firms would seek bank financing if they where provided the right conditions</w:t>
      </w:r>
      <w:r w:rsidR="00AB0811">
        <w:rPr>
          <w:rFonts w:ascii="Arial" w:hAnsi="Arial" w:cs="Arial"/>
          <w:lang w:val="en-US"/>
        </w:rPr>
        <w:t>, we can use the estimates from this approach to build a range of a possible potential demand for our project.</w:t>
      </w:r>
    </w:p>
    <w:p w:rsidR="00AB0811" w:rsidP="003C4250" w:rsidRDefault="00AB0811" w14:paraId="39043E0C" w14:textId="24AA8C83">
      <w:pPr>
        <w:pStyle w:val="ListParagraph"/>
        <w:numPr>
          <w:ilvl w:val="1"/>
          <w:numId w:val="1"/>
        </w:numPr>
        <w:contextualSpacing w:val="0"/>
        <w:jc w:val="both"/>
        <w:rPr>
          <w:rFonts w:ascii="Arial" w:hAnsi="Arial" w:cs="Arial"/>
          <w:lang w:val="en-US"/>
        </w:rPr>
      </w:pPr>
      <w:r>
        <w:rPr>
          <w:rFonts w:ascii="Arial" w:hAnsi="Arial" w:cs="Arial"/>
          <w:lang w:val="en-US"/>
        </w:rPr>
        <w:t xml:space="preserve">Thus, </w:t>
      </w:r>
      <w:proofErr w:type="spellStart"/>
      <w:r>
        <w:rPr>
          <w:rFonts w:ascii="Arial" w:hAnsi="Arial" w:cs="Arial"/>
          <w:lang w:val="en-US"/>
        </w:rPr>
        <w:t>PROTEqIN</w:t>
      </w:r>
      <w:proofErr w:type="spellEnd"/>
      <w:r>
        <w:rPr>
          <w:rFonts w:ascii="Arial" w:hAnsi="Arial" w:cs="Arial"/>
          <w:lang w:val="en-US"/>
        </w:rPr>
        <w:t xml:space="preserve"> results indicate that 38% of MSME invested in the last year </w:t>
      </w:r>
      <w:proofErr w:type="gramStart"/>
      <w:r>
        <w:rPr>
          <w:rFonts w:ascii="Arial" w:hAnsi="Arial" w:cs="Arial"/>
          <w:lang w:val="en-US"/>
        </w:rPr>
        <w:t>previous to</w:t>
      </w:r>
      <w:proofErr w:type="gramEnd"/>
      <w:r>
        <w:rPr>
          <w:rFonts w:ascii="Arial" w:hAnsi="Arial" w:cs="Arial"/>
          <w:lang w:val="en-US"/>
        </w:rPr>
        <w:t xml:space="preserve"> the survey. Of this group, 79% financed them from internal funds or credit from suppliers and advances from customers. This implies </w:t>
      </w:r>
      <w:r w:rsidR="003D46E4">
        <w:rPr>
          <w:rFonts w:ascii="Arial" w:hAnsi="Arial" w:cs="Arial"/>
          <w:lang w:val="en-US"/>
        </w:rPr>
        <w:t xml:space="preserve">that </w:t>
      </w:r>
      <w:r>
        <w:rPr>
          <w:rFonts w:ascii="Arial" w:hAnsi="Arial" w:cs="Arial"/>
          <w:lang w:val="en-US"/>
        </w:rPr>
        <w:t xml:space="preserve">a total of 6.875 MSME could potentially seek to finance their investment from banks, with and a corresponding potential demand of US$ 431 million. </w:t>
      </w:r>
      <w:r w:rsidR="00B849C9">
        <w:rPr>
          <w:rFonts w:ascii="Arial" w:hAnsi="Arial" w:cs="Arial"/>
          <w:lang w:val="en-US"/>
        </w:rPr>
        <w:t>Like the previous estimate, we will assume that only a 50% of those MSME are interested in applying for a loan to finance their investments. Hence our potential demand estimate reduces to US$ 215 million.</w:t>
      </w:r>
    </w:p>
    <w:p w:rsidRPr="00497123" w:rsidR="003D46E4" w:rsidP="00E87C63" w:rsidRDefault="003D46E4" w14:paraId="34FA344B" w14:textId="2FF9F8C0">
      <w:pPr>
        <w:pStyle w:val="ListParagraph"/>
        <w:numPr>
          <w:ilvl w:val="1"/>
          <w:numId w:val="1"/>
        </w:numPr>
        <w:contextualSpacing w:val="0"/>
        <w:jc w:val="both"/>
        <w:rPr>
          <w:rFonts w:ascii="Arial" w:hAnsi="Arial" w:cs="Arial"/>
          <w:lang w:val="en-US"/>
        </w:rPr>
      </w:pPr>
      <w:r w:rsidRPr="00497123">
        <w:rPr>
          <w:rFonts w:ascii="Arial" w:hAnsi="Arial" w:cs="Arial"/>
          <w:lang w:val="en-US"/>
        </w:rPr>
        <w:t xml:space="preserve">Similarly, the survey indicates that </w:t>
      </w:r>
      <w:r w:rsidRPr="00497123" w:rsidR="00E91541">
        <w:rPr>
          <w:rFonts w:ascii="Arial" w:hAnsi="Arial" w:cs="Arial"/>
          <w:lang w:val="en-US"/>
        </w:rPr>
        <w:t>86% of MSME finance their working capital from internal funds or credit from suppliers and advances from customers. This implies a pool of 19.319 MSME that could potentially seek to finance their working capital from banks, which implies a potential demand of US$ 1.211 million.</w:t>
      </w:r>
      <w:r w:rsidRPr="00497123" w:rsidR="00497123">
        <w:rPr>
          <w:rFonts w:ascii="Arial" w:hAnsi="Arial" w:cs="Arial"/>
          <w:lang w:val="en-US"/>
        </w:rPr>
        <w:t xml:space="preserve"> </w:t>
      </w:r>
      <w:proofErr w:type="gramStart"/>
      <w:r w:rsidRPr="00497123" w:rsidR="00497123">
        <w:rPr>
          <w:rFonts w:ascii="Arial" w:hAnsi="Arial" w:cs="Arial"/>
          <w:lang w:val="en-US"/>
        </w:rPr>
        <w:t>Assuming that</w:t>
      </w:r>
      <w:proofErr w:type="gramEnd"/>
      <w:r w:rsidRPr="00497123" w:rsidR="00497123">
        <w:rPr>
          <w:rFonts w:ascii="Arial" w:hAnsi="Arial" w:cs="Arial"/>
          <w:lang w:val="en-US"/>
        </w:rPr>
        <w:t xml:space="preserve"> only a 50% of those MSME are interested in applying for a loan to finance their investments, our potential demand estimate reduces to US$ 605 million.</w:t>
      </w:r>
    </w:p>
    <w:p w:rsidRPr="00E91541" w:rsidR="00E91541" w:rsidP="00E91541" w:rsidRDefault="00E91541" w14:paraId="0CDFF165" w14:textId="45F753AF"/>
    <w:p w:rsidRPr="00E91541" w:rsidR="00E91541" w:rsidP="00E91541" w:rsidRDefault="00E91541" w14:paraId="3C5238EA" w14:textId="395E48C4"/>
    <w:p w:rsidRPr="00E91541" w:rsidR="00E91541" w:rsidP="00E91541" w:rsidRDefault="00E91541" w14:paraId="711A6649" w14:textId="1CD2EB9E"/>
    <w:p w:rsidRPr="00E91541" w:rsidR="00E91541" w:rsidP="00E91541" w:rsidRDefault="00E91541" w14:paraId="62A5D1DB" w14:textId="0E70A703"/>
    <w:p w:rsidRPr="00E91541" w:rsidR="00E91541" w:rsidP="00E91541" w:rsidRDefault="00E91541" w14:paraId="12C3D983" w14:textId="7E7C2BA3"/>
    <w:p w:rsidRPr="00E91541" w:rsidR="00E91541" w:rsidP="00E91541" w:rsidRDefault="00E91541" w14:paraId="7CA2FD21" w14:textId="13D5D101"/>
    <w:p w:rsidRPr="00E91541" w:rsidR="00E91541" w:rsidP="00E91541" w:rsidRDefault="00E91541" w14:paraId="0CBFCA24" w14:textId="34BA7217"/>
    <w:p w:rsidRPr="00E91541" w:rsidR="00E91541" w:rsidP="00E91541" w:rsidRDefault="00E91541" w14:paraId="6FB799DE" w14:textId="7196DEB8"/>
    <w:p w:rsidRPr="00E91541" w:rsidR="00E91541" w:rsidP="00E91541" w:rsidRDefault="00E91541" w14:paraId="43EB2976" w14:textId="2FA26E02"/>
    <w:p w:rsidRPr="00E91541" w:rsidR="00E91541" w:rsidP="00E91541" w:rsidRDefault="00E91541" w14:paraId="056309EA" w14:textId="437FF88D"/>
    <w:p w:rsidRPr="00E91541" w:rsidR="00E91541" w:rsidP="00E91541" w:rsidRDefault="00E91541" w14:paraId="1F6F08F3" w14:textId="01B70FF3"/>
    <w:p w:rsidRPr="00E91541" w:rsidR="00E91541" w:rsidP="00E91541" w:rsidRDefault="00E91541" w14:paraId="66EB7D32" w14:textId="732ECF8A"/>
    <w:p w:rsidRPr="00E91541" w:rsidR="00E91541" w:rsidP="00E91541" w:rsidRDefault="00E91541" w14:paraId="65DCD2F2" w14:textId="63958AD1"/>
    <w:p w:rsidR="00E91541" w:rsidP="00E91541" w:rsidRDefault="00E91541" w14:paraId="53F7E79B" w14:textId="63D54BF5">
      <w:pPr>
        <w:tabs>
          <w:tab w:val="left" w:pos="1875"/>
        </w:tabs>
        <w:jc w:val="center"/>
        <w:rPr>
          <w:rFonts w:ascii="Arial" w:hAnsi="Arial" w:cs="Arial"/>
          <w:b/>
          <w:sz w:val="18"/>
        </w:rPr>
      </w:pPr>
      <w:r w:rsidRPr="00E91541">
        <w:rPr>
          <w:rFonts w:ascii="Arial" w:hAnsi="Arial" w:cs="Arial"/>
          <w:b/>
          <w:sz w:val="18"/>
        </w:rPr>
        <w:lastRenderedPageBreak/>
        <w:t>Table 2. Potential Demand Estimates</w:t>
      </w:r>
    </w:p>
    <w:p w:rsidRPr="00E91541" w:rsidR="00E91541" w:rsidP="00E91541" w:rsidRDefault="00E91541" w14:paraId="08CFE2E1" w14:textId="77777777">
      <w:pPr>
        <w:tabs>
          <w:tab w:val="left" w:pos="1875"/>
        </w:tabs>
        <w:jc w:val="center"/>
        <w:rPr>
          <w:rFonts w:ascii="Arial" w:hAnsi="Arial" w:cs="Arial"/>
          <w:b/>
          <w:sz w:val="18"/>
        </w:rPr>
      </w:pPr>
    </w:p>
    <w:p w:rsidR="00E91541" w:rsidP="00851E93" w:rsidRDefault="00851E93" w14:paraId="2578D649" w14:textId="1EB5FF39">
      <w:pPr>
        <w:pStyle w:val="ListParagraph"/>
        <w:contextualSpacing w:val="0"/>
        <w:rPr>
          <w:rFonts w:ascii="Arial" w:hAnsi="Arial" w:cs="Arial"/>
          <w:lang w:val="en-US"/>
        </w:rPr>
      </w:pPr>
      <w:r w:rsidRPr="00851E93">
        <w:rPr>
          <w:noProof/>
        </w:rPr>
        <w:drawing>
          <wp:inline distT="0" distB="0" distL="0" distR="0" wp14:anchorId="04949E8E" wp14:editId="5F715AE7">
            <wp:extent cx="5274782" cy="4658264"/>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9036" cy="4662020"/>
                    </a:xfrm>
                    <a:prstGeom prst="rect">
                      <a:avLst/>
                    </a:prstGeom>
                    <a:noFill/>
                    <a:ln>
                      <a:noFill/>
                    </a:ln>
                  </pic:spPr>
                </pic:pic>
              </a:graphicData>
            </a:graphic>
          </wp:inline>
        </w:drawing>
      </w:r>
    </w:p>
    <w:p w:rsidRPr="00602E18" w:rsidR="00602E18" w:rsidP="003724BF" w:rsidRDefault="00E30D86" w14:paraId="19291810" w14:textId="7C947231">
      <w:pPr>
        <w:pStyle w:val="ListParagraph"/>
        <w:numPr>
          <w:ilvl w:val="1"/>
          <w:numId w:val="1"/>
        </w:numPr>
        <w:contextualSpacing w:val="0"/>
        <w:jc w:val="both"/>
        <w:rPr>
          <w:rFonts w:ascii="Arial" w:hAnsi="Arial" w:cs="Arial"/>
          <w:lang w:val="en-US"/>
        </w:rPr>
      </w:pPr>
      <w:r>
        <w:rPr>
          <w:rFonts w:ascii="Arial" w:hAnsi="Arial" w:cs="Arial"/>
          <w:lang w:val="en-US"/>
        </w:rPr>
        <w:t>Hence, we</w:t>
      </w:r>
      <w:r w:rsidR="0060047D">
        <w:rPr>
          <w:rFonts w:ascii="Arial" w:hAnsi="Arial" w:cs="Arial"/>
          <w:lang w:val="en-US"/>
        </w:rPr>
        <w:t xml:space="preserve"> have a range of a potential demand that could go from US$</w:t>
      </w:r>
      <w:r w:rsidR="00390E2D">
        <w:rPr>
          <w:rFonts w:ascii="Arial" w:hAnsi="Arial" w:cs="Arial"/>
          <w:lang w:val="en-US"/>
        </w:rPr>
        <w:t>215</w:t>
      </w:r>
      <w:r w:rsidR="0060047D">
        <w:rPr>
          <w:rFonts w:ascii="Arial" w:hAnsi="Arial" w:cs="Arial"/>
          <w:lang w:val="en-US"/>
        </w:rPr>
        <w:t xml:space="preserve"> million to US$</w:t>
      </w:r>
      <w:r w:rsidR="00390E2D">
        <w:rPr>
          <w:rFonts w:ascii="Arial" w:hAnsi="Arial" w:cs="Arial"/>
          <w:lang w:val="en-US"/>
        </w:rPr>
        <w:t>605</w:t>
      </w:r>
      <w:r w:rsidR="0060047D">
        <w:rPr>
          <w:rFonts w:ascii="Arial" w:hAnsi="Arial" w:cs="Arial"/>
          <w:lang w:val="en-US"/>
        </w:rPr>
        <w:t xml:space="preserve"> million. </w:t>
      </w:r>
      <w:r>
        <w:rPr>
          <w:rFonts w:ascii="Arial" w:hAnsi="Arial" w:cs="Arial"/>
          <w:lang w:val="en-US"/>
        </w:rPr>
        <w:t xml:space="preserve">Following a conservative approach, we opt to consider for this analysis </w:t>
      </w:r>
      <w:r w:rsidR="00A32432">
        <w:rPr>
          <w:rFonts w:ascii="Arial" w:hAnsi="Arial" w:cs="Arial"/>
          <w:lang w:val="en-US"/>
        </w:rPr>
        <w:t xml:space="preserve">the smallest amount, noticing that is smaller than the one derived from the most direct question regarding credit constraints. </w:t>
      </w:r>
      <w:r w:rsidR="0060047D">
        <w:rPr>
          <w:rFonts w:ascii="Arial" w:hAnsi="Arial" w:cs="Arial"/>
          <w:lang w:val="en-US"/>
        </w:rPr>
        <w:t xml:space="preserve"> </w:t>
      </w:r>
    </w:p>
    <w:p w:rsidRPr="000652C0" w:rsidR="009B6831" w:rsidP="243140B2" w:rsidRDefault="009B6831" w14:paraId="78DCF1A5" w14:textId="6B830BC5">
      <w:pPr>
        <w:pStyle w:val="ListParagraph"/>
        <w:numPr>
          <w:ilvl w:val="1"/>
          <w:numId w:val="1"/>
        </w:numPr>
        <w:contextualSpacing w:val="0"/>
        <w:jc w:val="both"/>
        <w:rPr>
          <w:rFonts w:ascii="Arial" w:hAnsi="Arial" w:cs="Arial"/>
          <w:lang w:val="en-US"/>
        </w:rPr>
      </w:pPr>
      <w:r w:rsidRPr="243140B2" w:rsidR="243140B2">
        <w:rPr>
          <w:rFonts w:ascii="Arial" w:hAnsi="Arial" w:cs="Arial"/>
          <w:b w:val="1"/>
          <w:bCs w:val="1"/>
          <w:lang w:val="en-US"/>
        </w:rPr>
        <w:t>Conclusions - Dimensioning the Program</w:t>
      </w:r>
      <w:r w:rsidRPr="243140B2" w:rsidR="243140B2">
        <w:rPr>
          <w:rFonts w:ascii="Arial" w:hAnsi="Arial" w:cs="Arial"/>
          <w:lang w:val="en-US"/>
        </w:rPr>
        <w:t>. Given these calculations, we see that the US$</w:t>
      </w:r>
      <w:r w:rsidRPr="243140B2" w:rsidR="243140B2">
        <w:rPr>
          <w:rFonts w:ascii="Arial" w:hAnsi="Arial" w:cs="Arial"/>
          <w:lang w:val="en-US"/>
        </w:rPr>
        <w:t>35.7</w:t>
      </w:r>
      <w:r w:rsidRPr="243140B2" w:rsidR="243140B2">
        <w:rPr>
          <w:rFonts w:ascii="Arial" w:hAnsi="Arial" w:cs="Arial"/>
          <w:lang w:val="en-US"/>
        </w:rPr>
        <w:t xml:space="preserve"> million that the program will </w:t>
      </w:r>
      <w:r w:rsidRPr="243140B2" w:rsidR="243140B2">
        <w:rPr>
          <w:rFonts w:ascii="Arial" w:hAnsi="Arial" w:cs="Arial"/>
          <w:lang w:val="en-US"/>
        </w:rPr>
        <w:t xml:space="preserve">mobilize (backed by the US$22 million destined </w:t>
      </w:r>
      <w:r w:rsidRPr="243140B2" w:rsidR="243140B2">
        <w:rPr>
          <w:rFonts w:ascii="Arial" w:hAnsi="Arial" w:cs="Arial"/>
          <w:lang w:val="en-US"/>
        </w:rPr>
        <w:t>for guaranteeing loans to MSME</w:t>
      </w:r>
      <w:r w:rsidRPr="243140B2" w:rsidR="243140B2">
        <w:rPr>
          <w:rFonts w:ascii="Arial" w:hAnsi="Arial" w:cs="Arial"/>
          <w:lang w:val="en-US"/>
        </w:rPr>
        <w:t>)</w:t>
      </w:r>
      <w:r w:rsidRPr="243140B2" w:rsidR="243140B2">
        <w:rPr>
          <w:rFonts w:ascii="Arial" w:hAnsi="Arial" w:cs="Arial"/>
          <w:lang w:val="en-US"/>
        </w:rPr>
        <w:t xml:space="preserve"> would correspond to 1</w:t>
      </w:r>
      <w:r w:rsidRPr="243140B2" w:rsidR="243140B2">
        <w:rPr>
          <w:rFonts w:ascii="Arial" w:hAnsi="Arial" w:cs="Arial"/>
          <w:lang w:val="en-US"/>
        </w:rPr>
        <w:t>6.6</w:t>
      </w:r>
      <w:r w:rsidRPr="243140B2" w:rsidR="243140B2">
        <w:rPr>
          <w:rFonts w:ascii="Arial" w:hAnsi="Arial" w:cs="Arial"/>
          <w:lang w:val="en-US"/>
        </w:rPr>
        <w:t>% of the potential demand of US$215 million. Thus, we can conclude that there is enough demand for the funds of the program and that there remains a considerable finance gap to be addressed by the financial system in The Bahamas.</w:t>
      </w:r>
      <w:bookmarkStart w:name="_GoBack" w:id="1"/>
      <w:bookmarkEnd w:id="1"/>
    </w:p>
    <w:sectPr w:rsidRPr="000652C0" w:rsidR="009B6831" w:rsidSect="00E63D93">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6EA7" w:rsidP="00A21590" w:rsidRDefault="00886EA7" w14:paraId="42933CD1" w14:textId="77777777">
      <w:r>
        <w:separator/>
      </w:r>
    </w:p>
  </w:endnote>
  <w:endnote w:type="continuationSeparator" w:id="0">
    <w:p w:rsidR="00886EA7" w:rsidP="00A21590" w:rsidRDefault="00886EA7" w14:paraId="45446E7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6EA7" w:rsidP="00A21590" w:rsidRDefault="00886EA7" w14:paraId="4E90A368" w14:textId="77777777">
      <w:r>
        <w:separator/>
      </w:r>
    </w:p>
  </w:footnote>
  <w:footnote w:type="continuationSeparator" w:id="0">
    <w:p w:rsidR="00886EA7" w:rsidP="00A21590" w:rsidRDefault="00886EA7" w14:paraId="424CEE43" w14:textId="77777777">
      <w:r>
        <w:continuationSeparator/>
      </w:r>
    </w:p>
  </w:footnote>
  <w:footnote w:id="1">
    <w:p w:rsidRPr="00476B8E" w:rsidR="006769E3" w:rsidP="00476B8E" w:rsidRDefault="006769E3" w14:paraId="082860BB" w14:textId="1F23F0B9">
      <w:pPr>
        <w:pStyle w:val="FootnoteText"/>
        <w:tabs>
          <w:tab w:val="left" w:pos="270"/>
        </w:tabs>
        <w:rPr>
          <w:rFonts w:ascii="Arial" w:hAnsi="Arial" w:cs="Arial"/>
          <w:sz w:val="18"/>
          <w:szCs w:val="18"/>
          <w:lang w:val="en-US"/>
        </w:rPr>
      </w:pPr>
      <w:r w:rsidRPr="00476B8E">
        <w:rPr>
          <w:rStyle w:val="FootnoteReference"/>
          <w:rFonts w:ascii="Arial" w:hAnsi="Arial" w:cs="Arial"/>
          <w:sz w:val="18"/>
          <w:szCs w:val="18"/>
        </w:rPr>
        <w:footnoteRef/>
      </w:r>
      <w:r w:rsidRPr="00476B8E">
        <w:rPr>
          <w:rFonts w:ascii="Arial" w:hAnsi="Arial" w:cs="Arial"/>
          <w:sz w:val="18"/>
          <w:szCs w:val="18"/>
          <w:lang w:val="en-US"/>
        </w:rPr>
        <w:t xml:space="preserve"> </w:t>
      </w:r>
      <w:r w:rsidR="00476B8E">
        <w:rPr>
          <w:rFonts w:ascii="Arial" w:hAnsi="Arial" w:cs="Arial"/>
          <w:sz w:val="18"/>
          <w:szCs w:val="18"/>
          <w:lang w:val="en-US"/>
        </w:rPr>
        <w:tab/>
      </w:r>
      <w:r w:rsidRPr="00476B8E">
        <w:rPr>
          <w:rFonts w:ascii="Arial" w:hAnsi="Arial" w:cs="Arial"/>
          <w:sz w:val="18"/>
          <w:szCs w:val="18"/>
          <w:lang w:val="en-US"/>
        </w:rPr>
        <w:t>http://competecaribbean.org/proteqin/</w:t>
      </w:r>
    </w:p>
  </w:footnote>
  <w:footnote w:id="2">
    <w:p w:rsidRPr="00476B8E" w:rsidR="004C6D5F" w:rsidP="00476B8E" w:rsidRDefault="004C6D5F" w14:paraId="7152226E" w14:textId="0A24204B">
      <w:pPr>
        <w:pStyle w:val="FootnoteText"/>
        <w:tabs>
          <w:tab w:val="left" w:pos="270"/>
        </w:tabs>
        <w:ind w:left="270" w:hanging="270"/>
        <w:rPr>
          <w:rFonts w:ascii="Arial" w:hAnsi="Arial" w:cs="Arial"/>
          <w:sz w:val="18"/>
          <w:szCs w:val="18"/>
          <w:lang w:val="en-US"/>
        </w:rPr>
      </w:pPr>
      <w:r w:rsidRPr="00476B8E">
        <w:rPr>
          <w:rStyle w:val="FootnoteReference"/>
          <w:rFonts w:ascii="Arial" w:hAnsi="Arial" w:cs="Arial"/>
          <w:sz w:val="18"/>
          <w:szCs w:val="18"/>
        </w:rPr>
        <w:footnoteRef/>
      </w:r>
      <w:r w:rsidRPr="00476B8E">
        <w:rPr>
          <w:rFonts w:ascii="Arial" w:hAnsi="Arial" w:cs="Arial"/>
          <w:sz w:val="18"/>
          <w:szCs w:val="18"/>
          <w:lang w:val="en-US"/>
        </w:rPr>
        <w:t xml:space="preserve"> </w:t>
      </w:r>
      <w:r w:rsidR="00476B8E">
        <w:rPr>
          <w:rFonts w:ascii="Arial" w:hAnsi="Arial" w:cs="Arial"/>
          <w:sz w:val="18"/>
          <w:szCs w:val="18"/>
          <w:lang w:val="en-US"/>
        </w:rPr>
        <w:tab/>
      </w:r>
      <w:r w:rsidRPr="00476B8E" w:rsidR="002C3122">
        <w:rPr>
          <w:rFonts w:ascii="Arial" w:hAnsi="Arial" w:cs="Arial"/>
          <w:sz w:val="18"/>
          <w:szCs w:val="18"/>
          <w:lang w:val="en-US"/>
        </w:rPr>
        <w:t>Sales, supplies, foreign trade and competition, innovation, conflict resolution, crime prevention, business environment and government relations, labour and skills, performance among others.</w:t>
      </w:r>
    </w:p>
  </w:footnote>
  <w:footnote w:id="3">
    <w:p w:rsidRPr="00FE44C7" w:rsidR="00FE44C7" w:rsidP="00476B8E" w:rsidRDefault="00FE44C7" w14:paraId="2ACE1A14" w14:textId="6B21A4F6">
      <w:pPr>
        <w:pStyle w:val="FootnoteText"/>
        <w:tabs>
          <w:tab w:val="left" w:pos="270"/>
        </w:tabs>
        <w:rPr>
          <w:lang w:val="en-US"/>
        </w:rPr>
      </w:pPr>
      <w:r w:rsidRPr="00476B8E">
        <w:rPr>
          <w:rStyle w:val="FootnoteReference"/>
          <w:rFonts w:ascii="Arial" w:hAnsi="Arial" w:cs="Arial"/>
          <w:sz w:val="18"/>
          <w:szCs w:val="18"/>
        </w:rPr>
        <w:footnoteRef/>
      </w:r>
      <w:r w:rsidRPr="00476B8E">
        <w:rPr>
          <w:rFonts w:ascii="Arial" w:hAnsi="Arial" w:cs="Arial"/>
          <w:sz w:val="18"/>
          <w:szCs w:val="18"/>
          <w:lang w:val="en-US"/>
        </w:rPr>
        <w:t xml:space="preserve"> </w:t>
      </w:r>
      <w:r w:rsidR="00476B8E">
        <w:rPr>
          <w:rFonts w:ascii="Arial" w:hAnsi="Arial" w:cs="Arial"/>
          <w:sz w:val="18"/>
          <w:szCs w:val="18"/>
          <w:lang w:val="en-US"/>
        </w:rPr>
        <w:tab/>
      </w:r>
      <w:r w:rsidRPr="00476B8E" w:rsidR="00854B8A">
        <w:rPr>
          <w:rFonts w:ascii="Arial" w:hAnsi="Arial" w:cs="Arial"/>
          <w:sz w:val="18"/>
          <w:szCs w:val="18"/>
          <w:lang w:val="en-US"/>
        </w:rPr>
        <w:t>Under US$5 million in annual revenue and less than 50 employees.</w:t>
      </w:r>
    </w:p>
  </w:footnote>
  <w:footnote w:id="4">
    <w:p w:rsidRPr="00476B8E" w:rsidR="00B849C9" w:rsidP="00476B8E" w:rsidRDefault="00B849C9" w14:paraId="331D6670" w14:textId="71003EC4">
      <w:pPr>
        <w:pStyle w:val="FootnoteText"/>
        <w:tabs>
          <w:tab w:val="left" w:pos="270"/>
        </w:tabs>
        <w:rPr>
          <w:sz w:val="18"/>
          <w:szCs w:val="18"/>
          <w:lang w:val="en-US"/>
        </w:rPr>
      </w:pPr>
      <w:r w:rsidRPr="00476B8E">
        <w:rPr>
          <w:rStyle w:val="FootnoteReference"/>
          <w:sz w:val="18"/>
          <w:szCs w:val="18"/>
        </w:rPr>
        <w:footnoteRef/>
      </w:r>
      <w:r w:rsidRPr="00476B8E">
        <w:rPr>
          <w:sz w:val="18"/>
          <w:szCs w:val="18"/>
          <w:lang w:val="en-US"/>
        </w:rPr>
        <w:t xml:space="preserve"> </w:t>
      </w:r>
      <w:r w:rsidR="00476B8E">
        <w:rPr>
          <w:sz w:val="18"/>
          <w:szCs w:val="18"/>
          <w:lang w:val="en-US"/>
        </w:rPr>
        <w:tab/>
      </w:r>
      <w:r w:rsidRPr="00476B8E">
        <w:rPr>
          <w:sz w:val="18"/>
          <w:szCs w:val="18"/>
          <w:lang w:val="en-US"/>
        </w:rPr>
        <w:t>See the Economic Analysis of the operation.</w:t>
      </w:r>
    </w:p>
  </w:footnote>
  <w:footnote w:id="5">
    <w:p w:rsidRPr="008F329F" w:rsidR="008F329F" w:rsidP="00476B8E" w:rsidRDefault="008F329F" w14:paraId="4B2912B1" w14:textId="5656C414">
      <w:pPr>
        <w:pStyle w:val="FootnoteText"/>
        <w:tabs>
          <w:tab w:val="left" w:pos="270"/>
        </w:tabs>
        <w:rPr>
          <w:lang w:val="en-US"/>
        </w:rPr>
      </w:pPr>
      <w:r w:rsidRPr="00476B8E">
        <w:rPr>
          <w:rStyle w:val="FootnoteReference"/>
          <w:sz w:val="18"/>
          <w:szCs w:val="18"/>
        </w:rPr>
        <w:footnoteRef/>
      </w:r>
      <w:r w:rsidRPr="00476B8E">
        <w:rPr>
          <w:sz w:val="18"/>
          <w:szCs w:val="18"/>
          <w:lang w:val="en-US"/>
        </w:rPr>
        <w:t xml:space="preserve"> </w:t>
      </w:r>
      <w:r w:rsidR="00476B8E">
        <w:rPr>
          <w:sz w:val="18"/>
          <w:szCs w:val="18"/>
          <w:lang w:val="en-US"/>
        </w:rPr>
        <w:tab/>
      </w:r>
      <w:r w:rsidRPr="00476B8E">
        <w:rPr>
          <w:sz w:val="18"/>
          <w:szCs w:val="18"/>
          <w:lang w:val="en-US"/>
        </w:rPr>
        <w:t>The other 28%</w:t>
      </w:r>
      <w:r w:rsidRPr="00476B8E" w:rsidR="00E1646B">
        <w:rPr>
          <w:sz w:val="18"/>
          <w:szCs w:val="18"/>
          <w:lang w:val="en-US"/>
        </w:rPr>
        <w:t xml:space="preserve"> declared not needing financing.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3F23FB"/>
    <w:multiLevelType w:val="multilevel"/>
    <w:tmpl w:val="43D81EB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ascii="Arial" w:hAnsi="Arial" w:cs="Arial"/>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590"/>
    <w:rsid w:val="00012FE0"/>
    <w:rsid w:val="000652C0"/>
    <w:rsid w:val="00090808"/>
    <w:rsid w:val="000C0C13"/>
    <w:rsid w:val="000E167F"/>
    <w:rsid w:val="00130F35"/>
    <w:rsid w:val="001A61B5"/>
    <w:rsid w:val="001F55CE"/>
    <w:rsid w:val="00247D0D"/>
    <w:rsid w:val="00250605"/>
    <w:rsid w:val="00282A4F"/>
    <w:rsid w:val="002A7C3B"/>
    <w:rsid w:val="002C3122"/>
    <w:rsid w:val="002F457A"/>
    <w:rsid w:val="00302E3C"/>
    <w:rsid w:val="00332362"/>
    <w:rsid w:val="003325F5"/>
    <w:rsid w:val="00354E6B"/>
    <w:rsid w:val="0037079D"/>
    <w:rsid w:val="003724BF"/>
    <w:rsid w:val="00390E2D"/>
    <w:rsid w:val="003C4250"/>
    <w:rsid w:val="003D46E4"/>
    <w:rsid w:val="00447358"/>
    <w:rsid w:val="00475E9A"/>
    <w:rsid w:val="00476B8E"/>
    <w:rsid w:val="00497123"/>
    <w:rsid w:val="00497B88"/>
    <w:rsid w:val="004C6D5F"/>
    <w:rsid w:val="0054738E"/>
    <w:rsid w:val="005514F2"/>
    <w:rsid w:val="005649E3"/>
    <w:rsid w:val="00595967"/>
    <w:rsid w:val="0060047D"/>
    <w:rsid w:val="00602E18"/>
    <w:rsid w:val="00606B4B"/>
    <w:rsid w:val="00642481"/>
    <w:rsid w:val="0067538F"/>
    <w:rsid w:val="006769E3"/>
    <w:rsid w:val="006E1BA2"/>
    <w:rsid w:val="007301A5"/>
    <w:rsid w:val="007729F2"/>
    <w:rsid w:val="007C09EC"/>
    <w:rsid w:val="0080366E"/>
    <w:rsid w:val="00851E93"/>
    <w:rsid w:val="00854B8A"/>
    <w:rsid w:val="00886EA7"/>
    <w:rsid w:val="008C05D9"/>
    <w:rsid w:val="008F329F"/>
    <w:rsid w:val="00994D72"/>
    <w:rsid w:val="009A14DD"/>
    <w:rsid w:val="009B5FEB"/>
    <w:rsid w:val="009B6831"/>
    <w:rsid w:val="00A21590"/>
    <w:rsid w:val="00A32432"/>
    <w:rsid w:val="00A71849"/>
    <w:rsid w:val="00A71F2E"/>
    <w:rsid w:val="00AB0811"/>
    <w:rsid w:val="00AF3CDF"/>
    <w:rsid w:val="00B21045"/>
    <w:rsid w:val="00B437CD"/>
    <w:rsid w:val="00B71491"/>
    <w:rsid w:val="00B76DEF"/>
    <w:rsid w:val="00B849C9"/>
    <w:rsid w:val="00B96600"/>
    <w:rsid w:val="00BC1BD8"/>
    <w:rsid w:val="00BF2448"/>
    <w:rsid w:val="00BF3AEB"/>
    <w:rsid w:val="00C21FDF"/>
    <w:rsid w:val="00C803EC"/>
    <w:rsid w:val="00CD5BC3"/>
    <w:rsid w:val="00D30CF4"/>
    <w:rsid w:val="00D31A34"/>
    <w:rsid w:val="00D4331B"/>
    <w:rsid w:val="00D61178"/>
    <w:rsid w:val="00D76524"/>
    <w:rsid w:val="00DA7166"/>
    <w:rsid w:val="00DF4BFB"/>
    <w:rsid w:val="00E00458"/>
    <w:rsid w:val="00E1646B"/>
    <w:rsid w:val="00E22E44"/>
    <w:rsid w:val="00E248D8"/>
    <w:rsid w:val="00E30D86"/>
    <w:rsid w:val="00E63D93"/>
    <w:rsid w:val="00E91541"/>
    <w:rsid w:val="00E95033"/>
    <w:rsid w:val="00EF0C53"/>
    <w:rsid w:val="00F356B1"/>
    <w:rsid w:val="00F5416A"/>
    <w:rsid w:val="00F94F22"/>
    <w:rsid w:val="00FC34D4"/>
    <w:rsid w:val="00FE44C7"/>
    <w:rsid w:val="243140B2"/>
    <w:rsid w:val="3129C2B7"/>
  </w:rsids>
  <m:mathPr>
    <m:mathFont m:val="Cambria Math"/>
    <m:brkBin m:val="before"/>
    <m:brkBinSub m:val="--"/>
    <m:smallFrac m:val="0"/>
    <m:dispDef/>
    <m:lMargin m:val="0"/>
    <m:rMargin m:val="0"/>
    <m:defJc m:val="centerGroup"/>
    <m:wrapIndent m:val="1440"/>
    <m:intLim m:val="subSup"/>
    <m:naryLim m:val="undOvr"/>
  </m:mathPr>
  <w:themeFontLang w:val="en-US" w:eastAsia="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E162C"/>
  <w15:chartTrackingRefBased/>
  <w15:docId w15:val="{44DF9351-8C61-4217-AB29-98B5BEAF1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21590"/>
    <w:pPr>
      <w:spacing w:after="0" w:line="240" w:lineRule="auto"/>
    </w:pPr>
    <w:rPr>
      <w:rFonts w:ascii="Times New Roman" w:hAnsi="Times New Roman" w:eastAsia="Times New Roman" w:cs="Times New Roman"/>
      <w:sz w:val="24"/>
      <w:szCs w:val="20"/>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A21590"/>
    <w:pPr>
      <w:spacing w:after="200" w:line="276" w:lineRule="auto"/>
      <w:ind w:left="720"/>
      <w:contextualSpacing/>
    </w:pPr>
    <w:rPr>
      <w:rFonts w:ascii="Calibri" w:hAnsi="Calibri" w:eastAsia="Calibri"/>
      <w:sz w:val="22"/>
      <w:szCs w:val="22"/>
      <w:lang w:val="es-ES"/>
    </w:rPr>
  </w:style>
  <w:style w:type="paragraph" w:styleId="FootnoteText">
    <w:name w:val="footnote text"/>
    <w:basedOn w:val="Normal"/>
    <w:link w:val="FootnoteTextChar"/>
    <w:uiPriority w:val="99"/>
    <w:semiHidden/>
    <w:unhideWhenUsed/>
    <w:rsid w:val="00A21590"/>
    <w:rPr>
      <w:rFonts w:ascii="Calibri" w:hAnsi="Calibri" w:eastAsia="Calibri"/>
      <w:sz w:val="20"/>
      <w:lang w:val="es-ES"/>
    </w:rPr>
  </w:style>
  <w:style w:type="character" w:styleId="FootnoteTextChar" w:customStyle="1">
    <w:name w:val="Footnote Text Char"/>
    <w:basedOn w:val="DefaultParagraphFont"/>
    <w:link w:val="FootnoteText"/>
    <w:uiPriority w:val="99"/>
    <w:semiHidden/>
    <w:rsid w:val="00A21590"/>
    <w:rPr>
      <w:rFonts w:ascii="Calibri" w:hAnsi="Calibri" w:eastAsia="Calibri" w:cs="Times New Roman"/>
      <w:sz w:val="20"/>
      <w:szCs w:val="20"/>
      <w:lang w:val="es-ES"/>
    </w:rPr>
  </w:style>
  <w:style w:type="character" w:styleId="FootnoteReference">
    <w:name w:val="footnote reference"/>
    <w:basedOn w:val="DefaultParagraphFont"/>
    <w:uiPriority w:val="99"/>
    <w:semiHidden/>
    <w:unhideWhenUsed/>
    <w:rsid w:val="00A21590"/>
    <w:rPr>
      <w:vertAlign w:val="superscript"/>
    </w:rPr>
  </w:style>
  <w:style w:type="character" w:styleId="PlaceholderText">
    <w:name w:val="Placeholder Text"/>
    <w:basedOn w:val="DefaultParagraphFont"/>
    <w:uiPriority w:val="99"/>
    <w:semiHidden/>
    <w:rsid w:val="001F55CE"/>
    <w:rPr>
      <w:color w:val="808080"/>
    </w:rPr>
  </w:style>
  <w:style w:type="table" w:styleId="TableGrid">
    <w:name w:val="Table Grid"/>
    <w:basedOn w:val="TableNormal"/>
    <w:uiPriority w:val="39"/>
    <w:rsid w:val="00F356B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E91541"/>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91541"/>
    <w:rPr>
      <w:rFonts w:ascii="Segoe UI" w:hAnsi="Segoe UI" w:eastAsia="Times New Roman"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3733378">
      <w:bodyDiv w:val="1"/>
      <w:marLeft w:val="0"/>
      <w:marRight w:val="0"/>
      <w:marTop w:val="0"/>
      <w:marBottom w:val="0"/>
      <w:divBdr>
        <w:top w:val="none" w:sz="0" w:space="0" w:color="auto"/>
        <w:left w:val="none" w:sz="0" w:space="0" w:color="auto"/>
        <w:bottom w:val="none" w:sz="0" w:space="0" w:color="auto"/>
        <w:right w:val="none" w:sz="0" w:space="0" w:color="auto"/>
      </w:divBdr>
    </w:div>
    <w:div w:id="1104954635">
      <w:bodyDiv w:val="1"/>
      <w:marLeft w:val="0"/>
      <w:marRight w:val="0"/>
      <w:marTop w:val="0"/>
      <w:marBottom w:val="0"/>
      <w:divBdr>
        <w:top w:val="none" w:sz="0" w:space="0" w:color="auto"/>
        <w:left w:val="none" w:sz="0" w:space="0" w:color="auto"/>
        <w:bottom w:val="none" w:sz="0" w:space="0" w:color="auto"/>
        <w:right w:val="none" w:sz="0" w:space="0" w:color="auto"/>
      </w:divBdr>
    </w:div>
    <w:div w:id="1235045631">
      <w:bodyDiv w:val="1"/>
      <w:marLeft w:val="0"/>
      <w:marRight w:val="0"/>
      <w:marTop w:val="0"/>
      <w:marBottom w:val="0"/>
      <w:divBdr>
        <w:top w:val="none" w:sz="0" w:space="0" w:color="auto"/>
        <w:left w:val="none" w:sz="0" w:space="0" w:color="auto"/>
        <w:bottom w:val="none" w:sz="0" w:space="0" w:color="auto"/>
        <w:right w:val="none" w:sz="0" w:space="0" w:color="auto"/>
      </w:divBdr>
    </w:div>
    <w:div w:id="213289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17"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58ABE155E5B18E4EB0D59C9F276E6115" ma:contentTypeVersion="1269" ma:contentTypeDescription="The base project type from which other project content types inherit their information." ma:contentTypeScope="" ma:versionID="c39398bb53133c17566f3a68f9cbd4de">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DB2EC8CACAF4E468EFC4DFF4A5914DD" ma:contentTypeVersion="1269" ma:contentTypeDescription="A content type to manage public (operations) IDB documents" ma:contentTypeScope="" ma:versionID="206ef5e3319b057b178e2ebbbb54dc61">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IDBDocs_x0020_Number xmlns="cdc7663a-08f0-4737-9e8c-148ce897a09c" xsi:nil="true"/>
    <Document_x0020_Author xmlns="cdc7663a-08f0-4737-9e8c-148ce897a09c">Bernedo, Cecilia</Document_x0020_Author>
    <_dlc_DocId xmlns="cdc7663a-08f0-4737-9e8c-148ce897a09c">EZSHARE-1891893787-9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Bahamas</TermName>
          <TermId xmlns="http://schemas.microsoft.com/office/infopath/2007/PartnerControls">7662ea91-358d-4300-9a3d-1bdfe066f698</TermId>
        </TermInfo>
      </Terms>
    </ic46d7e087fd4a108fb86518ca413cc6>
    <TaxCatchAll xmlns="cdc7663a-08f0-4737-9e8c-148ce897a09c">
      <Value>92</Value>
      <Value>26</Value>
      <Value>29</Value>
      <Value>93</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BH-L1046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4846/OC-BH;</Approval_x0020_Number>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SMALL AND MEDIUM ENTERPRISE</TermName>
          <TermId xmlns="http://schemas.microsoft.com/office/infopath/2007/PartnerControls">dc60e909-07f3-41c5-be67-c26ad544a0ce</TermId>
        </TermInfo>
      </Terms>
    </b2ec7cfb18674cb8803df6b262e8b107>
    <Document_x0020_Language_x0020_IDB xmlns="cdc7663a-08f0-4737-9e8c-148ce897a09c">English</Document_x0020_Language_x0020_IDB>
    <_dlc_DocIdUrl xmlns="cdc7663a-08f0-4737-9e8c-148ce897a09c">
      <Url>https://idbg.sharepoint.com/teams/EZ-BH-LON/BH-L1046/_layouts/15/DocIdRedir.aspx?ID=EZSHARE-1891893787-9</Url>
      <Description>EZSHARE-1891893787-9</Description>
    </_dlc_DocIdUrl>
    <Phase xmlns="cdc7663a-08f0-4737-9e8c-148ce897a09c" xsi:nil="true"/>
    <Other_x0020_Author xmlns="cdc7663a-08f0-4737-9e8c-148ce897a09c">Fernando de Olloqui</Other_x0020_Autho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1F788B08-CBBC-42AC-892A-BAAAEE9CA2A8}">
  <ds:schemaRefs>
    <ds:schemaRef ds:uri="http://schemas.openxmlformats.org/officeDocument/2006/bibliography"/>
  </ds:schemaRefs>
</ds:datastoreItem>
</file>

<file path=customXml/itemProps2.xml><?xml version="1.0" encoding="utf-8"?>
<ds:datastoreItem xmlns:ds="http://schemas.openxmlformats.org/officeDocument/2006/customXml" ds:itemID="{8AE16023-C535-4B05-B2E4-E4EB0C4D2D7A}"/>
</file>

<file path=customXml/itemProps3.xml><?xml version="1.0" encoding="utf-8"?>
<ds:datastoreItem xmlns:ds="http://schemas.openxmlformats.org/officeDocument/2006/customXml" ds:itemID="{87EB3F9A-677B-47F3-9F6C-6BFF8676C835}"/>
</file>

<file path=customXml/itemProps4.xml><?xml version="1.0" encoding="utf-8"?>
<ds:datastoreItem xmlns:ds="http://schemas.openxmlformats.org/officeDocument/2006/customXml" ds:itemID="{1B7624FC-523F-4478-9E17-C664447F3CD2}"/>
</file>

<file path=customXml/itemProps5.xml><?xml version="1.0" encoding="utf-8"?>
<ds:datastoreItem xmlns:ds="http://schemas.openxmlformats.org/officeDocument/2006/customXml" ds:itemID="{F454D470-E0B9-42AB-9202-2AB2A88B1BDE}"/>
</file>

<file path=customXml/itemProps6.xml><?xml version="1.0" encoding="utf-8"?>
<ds:datastoreItem xmlns:ds="http://schemas.openxmlformats.org/officeDocument/2006/customXml" ds:itemID="{DC9C5087-93D7-473C-A467-4BD63EE15534}"/>
</file>

<file path=customXml/itemProps7.xml><?xml version="1.0" encoding="utf-8"?>
<ds:datastoreItem xmlns:ds="http://schemas.openxmlformats.org/officeDocument/2006/customXml" ds:itemID="{BC93B896-04BD-4429-AB94-23B76E5DD6F4}"/>
</file>

<file path=customXml/itemProps8.xml><?xml version="1.0" encoding="utf-8"?>
<ds:datastoreItem xmlns:ds="http://schemas.openxmlformats.org/officeDocument/2006/customXml" ds:itemID="{48225154-4195-4459-9D04-2F6CAC5BF5F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Vargas Macedo, Sebastian</dc:creator>
  <cp:keywords/>
  <dc:description/>
  <cp:lastModifiedBy>Vargas Macedo, Sebastian</cp:lastModifiedBy>
  <cp:revision>7</cp:revision>
  <dcterms:created xsi:type="dcterms:W3CDTF">2019-04-15T21:00:00Z</dcterms:created>
  <dcterms:modified xsi:type="dcterms:W3CDTF">2019-06-14T14:01:44Z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93;#SMALL AND MEDIUM ENTERPRISE|dc60e909-07f3-41c5-be67-c26ad544a0ce</vt:lpwstr>
  </property>
  <property fmtid="{D5CDD505-2E9C-101B-9397-08002B2CF9AE}" pid="7" name="Country">
    <vt:lpwstr>26;#Bahamas|7662ea91-358d-4300-9a3d-1bdfe066f698</vt:lpwstr>
  </property>
  <property fmtid="{D5CDD505-2E9C-101B-9397-08002B2CF9AE}" pid="8" name="Fund IDB">
    <vt:lpwstr>29;#ORC|c028a4b2-ad8b-4cf4-9cac-a2ae6a778e23</vt:lpwstr>
  </property>
  <property fmtid="{D5CDD505-2E9C-101B-9397-08002B2CF9AE}" pid="9" name="_dlc_DocIdItemGuid">
    <vt:lpwstr>42eebe88-0791-4f7a-adb2-7b0010904f5a</vt:lpwstr>
  </property>
  <property fmtid="{D5CDD505-2E9C-101B-9397-08002B2CF9AE}" pid="10" name="Sector IDB">
    <vt:lpwstr>92;#PRIVATE FIRMS AND SME DEVELOPMENT|c1e6207a-501c-43c6-a42a-7c1a019b2e26</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0x0101001A458A224826124E8B45B1D613300CFC00DDB2EC8CACAF4E468EFC4DFF4A5914DD</vt:lpwstr>
  </property>
</Properties>
</file>