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7.xml" ContentType="application/vnd.openxmlformats-officedocument.customXmlProperties+xml"/>
  <Override PartName="/word/fontTable.xml" ContentType="application/vnd.openxmlformats-officedocument.wordprocessingml.fontTable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B1774" w14:textId="5E3024F7" w:rsidR="00101F44" w:rsidRPr="00744231" w:rsidRDefault="00101F44" w:rsidP="00253D5A">
      <w:pPr>
        <w:rPr>
          <w:rFonts w:ascii="Arial" w:hAnsi="Arial" w:cs="Arial"/>
          <w:b/>
          <w:bCs/>
          <w:sz w:val="22"/>
          <w:szCs w:val="22"/>
          <w:lang w:val="es-ES_tradnl"/>
        </w:rPr>
      </w:pPr>
      <w:r w:rsidRPr="00744231">
        <w:rPr>
          <w:rFonts w:ascii="Arial" w:hAnsi="Arial" w:cs="Arial"/>
          <w:b/>
          <w:bCs/>
          <w:sz w:val="22"/>
          <w:szCs w:val="22"/>
          <w:lang w:val="es-ES_tradnl"/>
        </w:rPr>
        <w:t>ANEXO A</w:t>
      </w:r>
    </w:p>
    <w:p w14:paraId="50BF83CD" w14:textId="77777777" w:rsidR="00101F44" w:rsidRPr="00744231" w:rsidRDefault="00101F44" w:rsidP="00253D5A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281E5DF8" w14:textId="1AA72D05" w:rsidR="00202CC0" w:rsidRPr="00744231" w:rsidRDefault="000D2BEA" w:rsidP="00253D5A">
      <w:pPr>
        <w:rPr>
          <w:rFonts w:ascii="Arial" w:hAnsi="Arial" w:cs="Arial"/>
          <w:b/>
          <w:bCs/>
          <w:sz w:val="22"/>
          <w:szCs w:val="22"/>
          <w:lang w:val="es-ES_tradnl"/>
        </w:rPr>
      </w:pPr>
      <w:r>
        <w:rPr>
          <w:rFonts w:ascii="Arial" w:hAnsi="Arial" w:cs="Arial"/>
          <w:b/>
          <w:bCs/>
          <w:sz w:val="22"/>
          <w:szCs w:val="22"/>
          <w:lang w:val="es-ES_tradnl"/>
        </w:rPr>
        <w:t>Regional</w:t>
      </w:r>
    </w:p>
    <w:p w14:paraId="75C5B37A" w14:textId="77777777" w:rsidR="00673AD4" w:rsidRPr="00744231" w:rsidRDefault="00673AD4" w:rsidP="00253D5A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3007B555" w14:textId="292118EB" w:rsidR="00202CC0" w:rsidRPr="00744231" w:rsidRDefault="00BC3050" w:rsidP="00253D5A">
      <w:pPr>
        <w:rPr>
          <w:rFonts w:ascii="Arial" w:hAnsi="Arial" w:cs="Arial"/>
          <w:b/>
          <w:bCs/>
          <w:sz w:val="22"/>
          <w:szCs w:val="22"/>
          <w:lang w:val="es-ES_tradnl"/>
        </w:rPr>
      </w:pPr>
      <w:r w:rsidRPr="00744231">
        <w:rPr>
          <w:rFonts w:ascii="Arial" w:hAnsi="Arial" w:cs="Arial"/>
          <w:b/>
          <w:bCs/>
          <w:sz w:val="22"/>
          <w:szCs w:val="22"/>
          <w:lang w:val="es-ES_tradnl"/>
        </w:rPr>
        <w:t>INE/WSA</w:t>
      </w:r>
    </w:p>
    <w:p w14:paraId="32C4473C" w14:textId="77777777" w:rsidR="00202CC0" w:rsidRPr="00744231" w:rsidRDefault="00202CC0" w:rsidP="00253D5A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365A9DCE" w14:textId="5D592673" w:rsidR="00EB5F2B" w:rsidRPr="00CE6EB9" w:rsidRDefault="00BC3050" w:rsidP="00253D5A">
      <w:pPr>
        <w:rPr>
          <w:rFonts w:ascii="Arial" w:hAnsi="Arial" w:cs="Arial"/>
          <w:iCs/>
          <w:sz w:val="22"/>
          <w:szCs w:val="22"/>
          <w:lang w:val="es-ES"/>
        </w:rPr>
      </w:pPr>
      <w:r w:rsidRPr="00B81C19">
        <w:rPr>
          <w:rFonts w:ascii="Arial" w:hAnsi="Arial" w:cs="Arial"/>
          <w:b/>
          <w:bCs/>
          <w:sz w:val="22"/>
          <w:szCs w:val="22"/>
          <w:lang w:val="es-ES"/>
        </w:rPr>
        <w:t xml:space="preserve">Estudio </w:t>
      </w:r>
      <w:r w:rsidR="00FB497C" w:rsidRPr="00B81C19">
        <w:rPr>
          <w:rFonts w:ascii="Arial" w:hAnsi="Arial" w:cs="Arial"/>
          <w:b/>
          <w:bCs/>
          <w:sz w:val="22"/>
          <w:szCs w:val="22"/>
          <w:lang w:val="es-ES"/>
        </w:rPr>
        <w:t>diagnóstico</w:t>
      </w:r>
      <w:r w:rsidR="00B81C19">
        <w:rPr>
          <w:rFonts w:ascii="Arial" w:hAnsi="Arial" w:cs="Arial"/>
          <w:b/>
          <w:bCs/>
          <w:sz w:val="22"/>
          <w:szCs w:val="22"/>
          <w:lang w:val="es-ES"/>
        </w:rPr>
        <w:t xml:space="preserve"> de </w:t>
      </w:r>
      <w:bookmarkStart w:id="0" w:name="_GoBack"/>
      <w:bookmarkEnd w:id="0"/>
      <w:r w:rsidR="00B81C19">
        <w:rPr>
          <w:rFonts w:ascii="Arial" w:hAnsi="Arial" w:cs="Arial"/>
          <w:b/>
          <w:bCs/>
          <w:sz w:val="22"/>
          <w:szCs w:val="22"/>
          <w:lang w:val="es-ES"/>
        </w:rPr>
        <w:t>Pérdidas y Desperdicios de Alimentos (PDA)</w:t>
      </w:r>
    </w:p>
    <w:p w14:paraId="6A4EF10B" w14:textId="77777777" w:rsidR="00202CC0" w:rsidRPr="00CE6EB9" w:rsidRDefault="00202CC0" w:rsidP="00253D5A">
      <w:pPr>
        <w:rPr>
          <w:rFonts w:ascii="Arial" w:hAnsi="Arial" w:cs="Arial"/>
          <w:iCs/>
          <w:sz w:val="22"/>
          <w:szCs w:val="22"/>
          <w:lang w:val="es-ES"/>
        </w:rPr>
      </w:pPr>
    </w:p>
    <w:p w14:paraId="4CF3291E" w14:textId="77777777" w:rsidR="00AE2BDA" w:rsidRPr="00726484" w:rsidRDefault="00AE2BDA" w:rsidP="00202CC0">
      <w:pPr>
        <w:rPr>
          <w:rFonts w:ascii="Arial" w:hAnsi="Arial" w:cs="Arial"/>
          <w:b/>
          <w:bCs/>
          <w:sz w:val="22"/>
          <w:szCs w:val="22"/>
          <w:lang w:val="es-ES_tradnl"/>
        </w:rPr>
      </w:pPr>
      <w:r w:rsidRPr="00726484">
        <w:rPr>
          <w:rFonts w:ascii="Arial" w:hAnsi="Arial" w:cs="Arial"/>
          <w:b/>
          <w:bCs/>
          <w:sz w:val="22"/>
          <w:szCs w:val="22"/>
          <w:lang w:val="es-ES_tradnl"/>
        </w:rPr>
        <w:t>TERM</w:t>
      </w:r>
      <w:r w:rsidR="00D956AD" w:rsidRPr="00726484">
        <w:rPr>
          <w:rFonts w:ascii="Arial" w:hAnsi="Arial" w:cs="Arial"/>
          <w:b/>
          <w:bCs/>
          <w:sz w:val="22"/>
          <w:szCs w:val="22"/>
          <w:lang w:val="es-ES_tradnl"/>
        </w:rPr>
        <w:t>INO</w:t>
      </w:r>
      <w:r w:rsidRPr="00726484">
        <w:rPr>
          <w:rFonts w:ascii="Arial" w:hAnsi="Arial" w:cs="Arial"/>
          <w:b/>
          <w:bCs/>
          <w:sz w:val="22"/>
          <w:szCs w:val="22"/>
          <w:lang w:val="es-ES_tradnl"/>
        </w:rPr>
        <w:t xml:space="preserve">S </w:t>
      </w:r>
      <w:r w:rsidR="00D956AD" w:rsidRPr="00726484">
        <w:rPr>
          <w:rFonts w:ascii="Arial" w:hAnsi="Arial" w:cs="Arial"/>
          <w:b/>
          <w:bCs/>
          <w:sz w:val="22"/>
          <w:szCs w:val="22"/>
          <w:lang w:val="es-ES_tradnl"/>
        </w:rPr>
        <w:t>DE</w:t>
      </w:r>
      <w:r w:rsidRPr="00726484">
        <w:rPr>
          <w:rFonts w:ascii="Arial" w:hAnsi="Arial" w:cs="Arial"/>
          <w:b/>
          <w:bCs/>
          <w:sz w:val="22"/>
          <w:szCs w:val="22"/>
          <w:lang w:val="es-ES_tradnl"/>
        </w:rPr>
        <w:t xml:space="preserve"> REFERENC</w:t>
      </w:r>
      <w:r w:rsidR="00D956AD" w:rsidRPr="00726484">
        <w:rPr>
          <w:rFonts w:ascii="Arial" w:hAnsi="Arial" w:cs="Arial"/>
          <w:b/>
          <w:bCs/>
          <w:sz w:val="22"/>
          <w:szCs w:val="22"/>
          <w:lang w:val="es-ES_tradnl"/>
        </w:rPr>
        <w:t>IA</w:t>
      </w:r>
    </w:p>
    <w:p w14:paraId="4D64BE4D" w14:textId="77777777" w:rsidR="00EB5F2B" w:rsidRPr="00726484" w:rsidRDefault="00EB5F2B" w:rsidP="00202CC0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4CF3291F" w14:textId="77777777" w:rsidR="00AE2BDA" w:rsidRPr="00726484" w:rsidRDefault="00AE2BDA" w:rsidP="00253D5A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368CDD95" w14:textId="7B1EE69B" w:rsidR="00202CC0" w:rsidRPr="00726484" w:rsidRDefault="00202CC0" w:rsidP="00253D5A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726484">
        <w:rPr>
          <w:rFonts w:ascii="Arial" w:hAnsi="Arial" w:cs="Arial"/>
          <w:b/>
          <w:bCs/>
          <w:sz w:val="22"/>
          <w:szCs w:val="22"/>
          <w:lang w:val="es-ES_tradnl"/>
        </w:rPr>
        <w:t>Antecedentes</w:t>
      </w:r>
    </w:p>
    <w:p w14:paraId="6B81C583" w14:textId="77777777" w:rsidR="00CE6EB9" w:rsidRPr="00726484" w:rsidRDefault="00CE6EB9" w:rsidP="00253D5A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6C832082" w14:textId="21FBE0C9" w:rsidR="00CE6EB9" w:rsidRDefault="00726484" w:rsidP="00CE6EB9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726484">
        <w:rPr>
          <w:rFonts w:ascii="Arial" w:hAnsi="Arial" w:cs="Arial"/>
          <w:sz w:val="22"/>
          <w:szCs w:val="22"/>
          <w:lang w:val="es-ES_tradnl"/>
        </w:rPr>
        <w:t>Establecido en 1959, el Banco</w:t>
      </w:r>
      <w:r w:rsidR="00BC3050">
        <w:rPr>
          <w:rFonts w:ascii="Arial" w:hAnsi="Arial" w:cs="Arial"/>
          <w:sz w:val="22"/>
          <w:szCs w:val="22"/>
          <w:lang w:val="es-ES_tradnl"/>
        </w:rPr>
        <w:t xml:space="preserve"> Interamericano de Desarrollo (</w:t>
      </w:r>
      <w:r w:rsidRPr="00726484">
        <w:rPr>
          <w:rFonts w:ascii="Arial" w:hAnsi="Arial" w:cs="Arial"/>
          <w:sz w:val="22"/>
          <w:szCs w:val="22"/>
          <w:lang w:val="es-ES_tradnl"/>
        </w:rPr>
        <w:t>" BID " o " Banco") es la principal fuente de financiamien</w:t>
      </w:r>
      <w:r w:rsidR="00703E70">
        <w:rPr>
          <w:rFonts w:ascii="Arial" w:hAnsi="Arial" w:cs="Arial"/>
          <w:sz w:val="22"/>
          <w:szCs w:val="22"/>
          <w:lang w:val="es-ES_tradnl"/>
        </w:rPr>
        <w:t>to para el desarrollo económico</w:t>
      </w:r>
      <w:r w:rsidRPr="00726484">
        <w:rPr>
          <w:rFonts w:ascii="Arial" w:hAnsi="Arial" w:cs="Arial"/>
          <w:sz w:val="22"/>
          <w:szCs w:val="22"/>
          <w:lang w:val="es-ES_tradnl"/>
        </w:rPr>
        <w:t>, social e institucional en América Latina y el Caribe. Proporciona préstamos, subvenciones, garantías, asesoramiento sobre políticas y asistencia técnica a los sectores público y privado de sus países prestatarios</w:t>
      </w:r>
      <w:r>
        <w:rPr>
          <w:rFonts w:ascii="Arial" w:hAnsi="Arial" w:cs="Arial"/>
          <w:sz w:val="22"/>
          <w:szCs w:val="22"/>
          <w:lang w:val="es-ES_tradnl"/>
        </w:rPr>
        <w:t>.</w:t>
      </w:r>
    </w:p>
    <w:p w14:paraId="50F25E93" w14:textId="77777777" w:rsidR="00726484" w:rsidRPr="00726484" w:rsidRDefault="00726484" w:rsidP="00CE6EB9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0A1D3C17" w14:textId="06CAE9C7" w:rsidR="00B81C19" w:rsidRDefault="00B81C19" w:rsidP="00B81C19">
      <w:p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B81C19">
        <w:rPr>
          <w:rFonts w:ascii="Arial" w:hAnsi="Arial" w:cs="Arial"/>
          <w:bCs/>
          <w:sz w:val="22"/>
          <w:szCs w:val="22"/>
          <w:lang w:val="es-ES"/>
        </w:rPr>
        <w:t xml:space="preserve">En América Latina y el Caribe (ALC) se pierden y desperdician cada año 127 millones de toneladas de alimentos, lo que representa el 34% de todo lo producido (223 kg per cápita). Este fenómeno acontece en un contexto donde 42 millones de personas padecen hambre (sub-alimentación aguda). Las Pérdidas y Desperdicios de Alimentos (PDA) en la región ocurren en todas las fases de la cadena: producción (28%), manejo y almacenamiento (21%), procesamiento (6%), distribución y mercadeo (17%) y consumo (28%). Algunas cadenas presentan niveles de PDA por encima del 30%. El 55% de las frutas y hortalizas, el 40% de las raíces y tubérculos y el 33% de los pescados y mariscos. </w:t>
      </w:r>
    </w:p>
    <w:p w14:paraId="22466D58" w14:textId="77777777" w:rsidR="00B81C19" w:rsidRDefault="00B81C19" w:rsidP="00B81C19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1B60FA58" w14:textId="31773483" w:rsidR="00B81C19" w:rsidRDefault="00B81C19" w:rsidP="00B81C19">
      <w:p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B81C19">
        <w:rPr>
          <w:rFonts w:ascii="Arial" w:hAnsi="Arial" w:cs="Arial"/>
          <w:bCs/>
          <w:sz w:val="22"/>
          <w:szCs w:val="22"/>
          <w:lang w:val="es-ES"/>
        </w:rPr>
        <w:t xml:space="preserve">Las causas de las PDA tienen origen en aspectos técnicos, financieros y normativos. Las mismas se asocian mayormente a: i) técnicas de cosecha ineficientes, ii) instalaciones y equipos de transporte que no disponen de refrigeración adecuada, un elemento importante en climas cálidos y húmedos como los que predominan en la región; iii) acuerdos de venta entre productores y compradores que generan pérdidas de cultivos a nivel de granja; iv) estándares estéticos demasiado exigentes que derivan en el rechazo de productos que no cumplen con cierta forma o apariencia, a pesar de ser seguros para su consumo; v) normativas de caducidad que generan confusión en los consumidores al no diferenciar “fecha de vencimiento" con la de "consumo preferente"; y iv) por los bajos costos de disposición final de residuos sólidos. </w:t>
      </w:r>
    </w:p>
    <w:p w14:paraId="45265F6B" w14:textId="77777777" w:rsidR="00B81C19" w:rsidRPr="00B81C19" w:rsidRDefault="00B81C19" w:rsidP="00B81C19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60577300" w14:textId="4B2F64F4" w:rsidR="00BC3050" w:rsidRPr="00AA7A0A" w:rsidRDefault="00B81C19" w:rsidP="00BC3050">
      <w:pPr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La región cuenta con limitada información sobre las PDA para tipos de alimentos específicos. </w:t>
      </w:r>
      <w:r w:rsidR="00BC3050">
        <w:rPr>
          <w:rFonts w:ascii="Arial" w:hAnsi="Arial" w:cs="Arial"/>
          <w:bCs/>
          <w:sz w:val="22"/>
          <w:szCs w:val="22"/>
          <w:lang w:val="es-ES"/>
        </w:rPr>
        <w:t>Por lo tanto, es de interés de</w:t>
      </w:r>
      <w:r>
        <w:rPr>
          <w:rFonts w:ascii="Arial" w:hAnsi="Arial" w:cs="Arial"/>
          <w:bCs/>
          <w:sz w:val="22"/>
          <w:szCs w:val="22"/>
          <w:lang w:val="es-ES"/>
        </w:rPr>
        <w:t xml:space="preserve">l BID </w:t>
      </w:r>
      <w:r w:rsidR="00BC3050">
        <w:rPr>
          <w:rFonts w:ascii="Arial" w:hAnsi="Arial" w:cs="Arial"/>
          <w:bCs/>
          <w:sz w:val="22"/>
          <w:szCs w:val="22"/>
          <w:lang w:val="es-ES"/>
        </w:rPr>
        <w:t xml:space="preserve">realizar un estudio que permita identificar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las PDA para </w:t>
      </w:r>
      <w:r w:rsidRPr="00AA7A0A">
        <w:rPr>
          <w:rFonts w:ascii="Arial" w:hAnsi="Arial" w:cs="Arial"/>
          <w:bCs/>
          <w:i/>
          <w:sz w:val="22"/>
          <w:szCs w:val="22"/>
          <w:lang w:val="es-ES"/>
        </w:rPr>
        <w:t>(alimento)</w:t>
      </w:r>
      <w:r w:rsidRPr="00AA7A0A">
        <w:rPr>
          <w:rFonts w:ascii="Arial" w:hAnsi="Arial" w:cs="Arial"/>
          <w:bCs/>
          <w:sz w:val="22"/>
          <w:szCs w:val="22"/>
          <w:lang w:val="es-ES"/>
        </w:rPr>
        <w:t xml:space="preserve"> en </w:t>
      </w:r>
      <w:r w:rsidRPr="00AA7A0A">
        <w:rPr>
          <w:rFonts w:ascii="Arial" w:hAnsi="Arial" w:cs="Arial"/>
          <w:bCs/>
          <w:i/>
          <w:sz w:val="22"/>
          <w:szCs w:val="22"/>
          <w:lang w:val="es-ES"/>
        </w:rPr>
        <w:t>(país)</w:t>
      </w:r>
      <w:r w:rsidRPr="00AA7A0A">
        <w:rPr>
          <w:rFonts w:ascii="Arial" w:hAnsi="Arial" w:cs="Arial"/>
          <w:bCs/>
          <w:sz w:val="22"/>
          <w:szCs w:val="22"/>
          <w:lang w:val="es-ES"/>
        </w:rPr>
        <w:t xml:space="preserve"> a lo largo de la cadena de producción, manejo y almacenamiento, procesamiento y distribución y mercadeo. </w:t>
      </w:r>
      <w:r w:rsidR="005D2E32" w:rsidRPr="00AA7A0A">
        <w:rPr>
          <w:rFonts w:ascii="Arial" w:hAnsi="Arial" w:cs="Arial"/>
          <w:bCs/>
          <w:sz w:val="22"/>
          <w:szCs w:val="22"/>
          <w:lang w:val="es-ES"/>
        </w:rPr>
        <w:t xml:space="preserve">El diagnostico también identificará </w:t>
      </w:r>
      <w:r w:rsidR="00AB4A77" w:rsidRPr="00AA7A0A">
        <w:rPr>
          <w:rFonts w:ascii="Arial" w:hAnsi="Arial" w:cs="Arial"/>
          <w:bCs/>
          <w:sz w:val="22"/>
          <w:szCs w:val="22"/>
          <w:lang w:val="es-ES"/>
        </w:rPr>
        <w:t>fallas de mercado que explican el fenómeno</w:t>
      </w:r>
      <w:r w:rsidR="00125BF5" w:rsidRPr="00AA7A0A">
        <w:rPr>
          <w:rFonts w:ascii="Arial" w:hAnsi="Arial" w:cs="Arial"/>
          <w:bCs/>
          <w:sz w:val="22"/>
          <w:szCs w:val="22"/>
          <w:lang w:val="es-ES"/>
        </w:rPr>
        <w:t>, estimará beneficios financieros/económicos asociados con la reducción de PDA</w:t>
      </w:r>
      <w:r w:rsidR="00AB4A77" w:rsidRPr="00AA7A0A">
        <w:rPr>
          <w:rFonts w:ascii="Arial" w:hAnsi="Arial" w:cs="Arial"/>
          <w:bCs/>
          <w:sz w:val="22"/>
          <w:szCs w:val="22"/>
          <w:lang w:val="es-ES"/>
        </w:rPr>
        <w:t xml:space="preserve"> y </w:t>
      </w:r>
      <w:r w:rsidR="00125BF5" w:rsidRPr="00AA7A0A">
        <w:rPr>
          <w:rFonts w:ascii="Arial" w:hAnsi="Arial" w:cs="Arial"/>
          <w:bCs/>
          <w:sz w:val="22"/>
          <w:szCs w:val="22"/>
          <w:lang w:val="es-ES"/>
        </w:rPr>
        <w:t xml:space="preserve">realizará </w:t>
      </w:r>
      <w:r w:rsidR="005D2E32" w:rsidRPr="00AA7A0A">
        <w:rPr>
          <w:rFonts w:ascii="Arial" w:hAnsi="Arial" w:cs="Arial"/>
          <w:bCs/>
          <w:sz w:val="22"/>
          <w:szCs w:val="22"/>
          <w:lang w:val="es-ES"/>
        </w:rPr>
        <w:t xml:space="preserve">recomendaciones iniciales sobre </w:t>
      </w:r>
      <w:r w:rsidR="00BC3050" w:rsidRPr="00AA7A0A">
        <w:rPr>
          <w:rFonts w:ascii="Arial" w:hAnsi="Arial" w:cs="Arial"/>
          <w:bCs/>
          <w:sz w:val="22"/>
          <w:szCs w:val="22"/>
          <w:lang w:val="es-ES"/>
        </w:rPr>
        <w:t>mejores prácticas de</w:t>
      </w:r>
      <w:r w:rsidR="005D2E32" w:rsidRPr="00AA7A0A">
        <w:rPr>
          <w:rFonts w:ascii="Arial" w:hAnsi="Arial" w:cs="Arial"/>
          <w:bCs/>
          <w:sz w:val="22"/>
          <w:szCs w:val="22"/>
          <w:lang w:val="es-ES"/>
        </w:rPr>
        <w:t xml:space="preserve"> manejo</w:t>
      </w:r>
      <w:r w:rsidR="00BC3050" w:rsidRPr="00AA7A0A">
        <w:rPr>
          <w:rFonts w:ascii="Arial" w:hAnsi="Arial" w:cs="Arial"/>
          <w:bCs/>
          <w:sz w:val="22"/>
          <w:szCs w:val="22"/>
          <w:lang w:val="es-ES"/>
        </w:rPr>
        <w:t>.</w:t>
      </w:r>
      <w:r w:rsidR="00833F25" w:rsidRPr="00AA7A0A">
        <w:rPr>
          <w:rFonts w:ascii="Arial" w:hAnsi="Arial" w:cs="Arial"/>
          <w:bCs/>
          <w:sz w:val="22"/>
          <w:szCs w:val="22"/>
          <w:lang w:val="es-ES"/>
        </w:rPr>
        <w:t xml:space="preserve"> La naturaleza de este estudio apunta a generar información que tenga validez para toda la región de LAC.</w:t>
      </w:r>
    </w:p>
    <w:p w14:paraId="74285059" w14:textId="77777777" w:rsidR="0080549B" w:rsidRPr="00AA7A0A" w:rsidRDefault="0080549B" w:rsidP="00253D5A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4CF32923" w14:textId="669AB791" w:rsidR="00B10C07" w:rsidRPr="00AA7A0A" w:rsidRDefault="00D956AD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AA7A0A">
        <w:rPr>
          <w:rFonts w:ascii="Arial" w:hAnsi="Arial" w:cs="Arial"/>
          <w:b/>
          <w:bCs/>
          <w:sz w:val="22"/>
          <w:szCs w:val="22"/>
          <w:lang w:val="es-ES"/>
        </w:rPr>
        <w:t>O</w:t>
      </w:r>
      <w:r w:rsidR="00202CC0" w:rsidRPr="00AA7A0A">
        <w:rPr>
          <w:rFonts w:ascii="Arial" w:hAnsi="Arial" w:cs="Arial"/>
          <w:b/>
          <w:bCs/>
          <w:sz w:val="22"/>
          <w:szCs w:val="22"/>
          <w:lang w:val="es-ES"/>
        </w:rPr>
        <w:t>bjetivo(s) de la Consultoría</w:t>
      </w:r>
    </w:p>
    <w:p w14:paraId="588115BC" w14:textId="77777777" w:rsidR="00202CC0" w:rsidRPr="00AA7A0A" w:rsidRDefault="00202CC0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1DD09B9B" w14:textId="4D1A9561" w:rsidR="0080549B" w:rsidRDefault="00CB6B5A" w:rsidP="00253D5A">
      <w:p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AA7A0A">
        <w:rPr>
          <w:rFonts w:ascii="Arial" w:hAnsi="Arial" w:cs="Arial"/>
          <w:bCs/>
          <w:sz w:val="22"/>
          <w:szCs w:val="22"/>
          <w:lang w:val="es-ES"/>
        </w:rPr>
        <w:t xml:space="preserve">Elaborar un diagnóstico </w:t>
      </w:r>
      <w:r w:rsidR="00F34385">
        <w:rPr>
          <w:rFonts w:ascii="Arial" w:hAnsi="Arial" w:cs="Arial"/>
          <w:bCs/>
          <w:sz w:val="22"/>
          <w:szCs w:val="22"/>
          <w:lang w:val="es-ES"/>
        </w:rPr>
        <w:t xml:space="preserve">e identificar oportunidades </w:t>
      </w:r>
      <w:r w:rsidRPr="00AA7A0A">
        <w:rPr>
          <w:rFonts w:ascii="Arial" w:hAnsi="Arial" w:cs="Arial"/>
          <w:bCs/>
          <w:sz w:val="22"/>
          <w:szCs w:val="22"/>
          <w:lang w:val="es-ES"/>
        </w:rPr>
        <w:t xml:space="preserve">para </w:t>
      </w:r>
      <w:r w:rsidR="00F34385">
        <w:rPr>
          <w:rFonts w:ascii="Arial" w:hAnsi="Arial" w:cs="Arial"/>
          <w:bCs/>
          <w:sz w:val="22"/>
          <w:szCs w:val="22"/>
          <w:lang w:val="es-ES"/>
        </w:rPr>
        <w:t>reducir</w:t>
      </w:r>
      <w:r w:rsidRPr="00AA7A0A">
        <w:rPr>
          <w:rFonts w:ascii="Arial" w:hAnsi="Arial" w:cs="Arial"/>
          <w:bCs/>
          <w:sz w:val="22"/>
          <w:szCs w:val="22"/>
          <w:lang w:val="es-ES"/>
        </w:rPr>
        <w:t xml:space="preserve"> las PDA para </w:t>
      </w:r>
      <w:r w:rsidRPr="00AA7A0A">
        <w:rPr>
          <w:rFonts w:ascii="Arial" w:hAnsi="Arial" w:cs="Arial"/>
          <w:bCs/>
          <w:i/>
          <w:sz w:val="22"/>
          <w:szCs w:val="22"/>
          <w:lang w:val="es-ES"/>
        </w:rPr>
        <w:t>(alimento)</w:t>
      </w:r>
      <w:r w:rsidRPr="00AA7A0A">
        <w:rPr>
          <w:rFonts w:ascii="Arial" w:hAnsi="Arial" w:cs="Arial"/>
          <w:bCs/>
          <w:sz w:val="22"/>
          <w:szCs w:val="22"/>
          <w:lang w:val="es-ES"/>
        </w:rPr>
        <w:t xml:space="preserve"> en </w:t>
      </w:r>
      <w:r w:rsidRPr="00AA7A0A">
        <w:rPr>
          <w:rFonts w:ascii="Arial" w:hAnsi="Arial" w:cs="Arial"/>
          <w:bCs/>
          <w:i/>
          <w:sz w:val="22"/>
          <w:szCs w:val="22"/>
          <w:lang w:val="es-ES"/>
        </w:rPr>
        <w:t>(país)</w:t>
      </w:r>
      <w:r w:rsidRPr="00AA7A0A">
        <w:rPr>
          <w:rFonts w:ascii="Arial" w:hAnsi="Arial" w:cs="Arial"/>
          <w:bCs/>
          <w:sz w:val="22"/>
          <w:szCs w:val="22"/>
          <w:lang w:val="es-ES"/>
        </w:rPr>
        <w:t xml:space="preserve"> a lo largo de la cadena de producción, manejo y almacenamiento, procesamiento y distribución y </w:t>
      </w:r>
      <w:r w:rsidRPr="00CB6B5A">
        <w:rPr>
          <w:rFonts w:ascii="Arial" w:hAnsi="Arial" w:cs="Arial"/>
          <w:bCs/>
          <w:sz w:val="22"/>
          <w:szCs w:val="22"/>
          <w:lang w:val="es-ES"/>
        </w:rPr>
        <w:t>mercadeo.</w:t>
      </w:r>
    </w:p>
    <w:p w14:paraId="5D4E2D19" w14:textId="77777777" w:rsidR="00703E70" w:rsidRPr="00CE6EB9" w:rsidRDefault="00703E70" w:rsidP="00253D5A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4CF32926" w14:textId="0795E918" w:rsidR="003C6E41" w:rsidRPr="00CE6EB9" w:rsidRDefault="00381358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A</w:t>
      </w:r>
      <w:r w:rsidR="00202CC0" w:rsidRPr="00CE6EB9">
        <w:rPr>
          <w:rFonts w:ascii="Arial" w:hAnsi="Arial" w:cs="Arial"/>
          <w:b/>
          <w:bCs/>
          <w:sz w:val="22"/>
          <w:szCs w:val="22"/>
          <w:lang w:val="es-ES"/>
        </w:rPr>
        <w:t>ctividades Principales</w:t>
      </w:r>
    </w:p>
    <w:p w14:paraId="1D1BF372" w14:textId="77777777" w:rsidR="00202CC0" w:rsidRPr="00CE6EB9" w:rsidRDefault="00202CC0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69EFB4F2" w14:textId="6ADE340F" w:rsidR="0080549B" w:rsidRPr="00CE6EB9" w:rsidRDefault="0080549B" w:rsidP="00CE6EB9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Cs/>
          <w:sz w:val="22"/>
          <w:szCs w:val="22"/>
          <w:lang w:val="es-ES"/>
        </w:rPr>
        <w:t>El candidato seleccionado deberá:</w:t>
      </w:r>
    </w:p>
    <w:p w14:paraId="412C7EA3" w14:textId="77777777" w:rsidR="00202CC0" w:rsidRPr="00CE6EB9" w:rsidRDefault="00202CC0" w:rsidP="00CE6EB9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2BB0BBFB" w14:textId="7D45BDDF" w:rsidR="00A26680" w:rsidRPr="00EA5CBD" w:rsidRDefault="00744231" w:rsidP="00EA5CBD">
      <w:pPr>
        <w:pStyle w:val="ListParagraph"/>
        <w:numPr>
          <w:ilvl w:val="0"/>
          <w:numId w:val="10"/>
        </w:numPr>
        <w:ind w:left="36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Establecer de manera consensuada con los actores locales, la metodología a utilizar para llevar a cabo el levantamiento de información para el diagnóstico</w:t>
      </w:r>
      <w:r w:rsidR="006C752F">
        <w:rPr>
          <w:rFonts w:ascii="Arial" w:hAnsi="Arial" w:cs="Arial"/>
          <w:bCs/>
          <w:sz w:val="22"/>
          <w:szCs w:val="22"/>
          <w:lang w:val="es-ES"/>
        </w:rPr>
        <w:t xml:space="preserve"> y en base a los lineamientos del </w:t>
      </w:r>
      <w:r w:rsidR="006C752F" w:rsidRPr="006C752F">
        <w:rPr>
          <w:rFonts w:ascii="Arial" w:hAnsi="Arial" w:cs="Arial"/>
          <w:bCs/>
          <w:sz w:val="22"/>
          <w:szCs w:val="22"/>
          <w:lang w:val="es-ES"/>
        </w:rPr>
        <w:t xml:space="preserve">Estándar de Contabilización y Reportes Sobre </w:t>
      </w:r>
      <w:r w:rsidR="00B64080">
        <w:rPr>
          <w:rFonts w:ascii="Arial" w:hAnsi="Arial" w:cs="Arial"/>
          <w:bCs/>
          <w:sz w:val="22"/>
          <w:szCs w:val="22"/>
          <w:lang w:val="es-ES"/>
        </w:rPr>
        <w:t>PDA</w:t>
      </w:r>
      <w:r w:rsidR="006C752F" w:rsidRPr="00B64080">
        <w:rPr>
          <w:rFonts w:ascii="Arial" w:hAnsi="Arial" w:cs="Arial"/>
          <w:bCs/>
          <w:sz w:val="22"/>
          <w:szCs w:val="22"/>
          <w:lang w:val="es-ES"/>
        </w:rPr>
        <w:t xml:space="preserve"> (Estándar de PDA</w:t>
      </w:r>
      <w:r w:rsidR="00076059">
        <w:rPr>
          <w:rStyle w:val="FootnoteReference"/>
          <w:rFonts w:ascii="Arial" w:hAnsi="Arial" w:cs="Arial"/>
          <w:bCs/>
          <w:sz w:val="22"/>
          <w:szCs w:val="22"/>
          <w:lang w:val="es-ES"/>
        </w:rPr>
        <w:footnoteReference w:id="1"/>
      </w:r>
      <w:r w:rsidR="006C752F" w:rsidRPr="00B64080">
        <w:rPr>
          <w:rFonts w:ascii="Arial" w:hAnsi="Arial" w:cs="Arial"/>
          <w:bCs/>
          <w:sz w:val="22"/>
          <w:szCs w:val="22"/>
          <w:lang w:val="es-ES"/>
        </w:rPr>
        <w:t>)</w:t>
      </w:r>
      <w:r w:rsidRPr="00B64080">
        <w:rPr>
          <w:rFonts w:ascii="Arial" w:hAnsi="Arial" w:cs="Arial"/>
          <w:bCs/>
          <w:sz w:val="22"/>
          <w:szCs w:val="22"/>
          <w:lang w:val="es-ES"/>
        </w:rPr>
        <w:t>.</w:t>
      </w:r>
      <w:r w:rsidR="00EA5CBD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A26680" w:rsidRPr="00EA5CBD">
        <w:rPr>
          <w:rFonts w:ascii="Arial" w:hAnsi="Arial" w:cs="Arial"/>
          <w:bCs/>
          <w:sz w:val="22"/>
          <w:szCs w:val="22"/>
          <w:lang w:val="es-NI"/>
        </w:rPr>
        <w:t>Establecer</w:t>
      </w:r>
      <w:r w:rsidR="00EA5CBD">
        <w:rPr>
          <w:rFonts w:ascii="Arial" w:hAnsi="Arial" w:cs="Arial"/>
          <w:bCs/>
          <w:sz w:val="22"/>
          <w:szCs w:val="22"/>
          <w:lang w:val="es-NI"/>
        </w:rPr>
        <w:t xml:space="preserve"> también</w:t>
      </w:r>
      <w:r w:rsidR="00A26680" w:rsidRPr="00EA5CBD">
        <w:rPr>
          <w:rFonts w:ascii="Arial" w:hAnsi="Arial" w:cs="Arial"/>
          <w:bCs/>
          <w:sz w:val="22"/>
          <w:szCs w:val="22"/>
          <w:lang w:val="es-NI"/>
        </w:rPr>
        <w:t xml:space="preserve"> el alcance</w:t>
      </w:r>
      <w:r w:rsidR="00EA5CBD">
        <w:rPr>
          <w:rFonts w:ascii="Arial" w:hAnsi="Arial" w:cs="Arial"/>
          <w:bCs/>
          <w:sz w:val="22"/>
          <w:szCs w:val="22"/>
          <w:lang w:val="es-NI"/>
        </w:rPr>
        <w:t xml:space="preserve"> (lo cual</w:t>
      </w:r>
      <w:r w:rsidR="00A26680" w:rsidRPr="00EA5CBD">
        <w:rPr>
          <w:rFonts w:ascii="Arial" w:hAnsi="Arial" w:cs="Arial"/>
          <w:bCs/>
          <w:sz w:val="22"/>
          <w:szCs w:val="22"/>
          <w:lang w:val="es-NI"/>
        </w:rPr>
        <w:t xml:space="preserve"> implica determinar el calendario, tipo de materiales, destino(s) y limite que será cubierto por el inventario de PDA</w:t>
      </w:r>
      <w:r w:rsidR="00EA5CBD">
        <w:rPr>
          <w:rFonts w:ascii="Arial" w:hAnsi="Arial" w:cs="Arial"/>
          <w:bCs/>
          <w:sz w:val="22"/>
          <w:szCs w:val="22"/>
          <w:lang w:val="es-NI"/>
        </w:rPr>
        <w:t>)</w:t>
      </w:r>
      <w:r w:rsidR="00A26680" w:rsidRPr="00EA5CBD">
        <w:rPr>
          <w:rFonts w:ascii="Arial" w:hAnsi="Arial" w:cs="Arial"/>
          <w:bCs/>
          <w:sz w:val="22"/>
          <w:szCs w:val="22"/>
          <w:lang w:val="es-NI"/>
        </w:rPr>
        <w:t>.</w:t>
      </w:r>
    </w:p>
    <w:p w14:paraId="6697B853" w14:textId="77777777" w:rsidR="00A26680" w:rsidRDefault="00A26680" w:rsidP="00A26680">
      <w:pPr>
        <w:pStyle w:val="ListParagraph"/>
        <w:ind w:left="360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199BEFD8" w14:textId="45158B8F" w:rsidR="00373B1F" w:rsidRDefault="00703E70" w:rsidP="003871E3">
      <w:pPr>
        <w:pStyle w:val="ListParagraph"/>
        <w:numPr>
          <w:ilvl w:val="0"/>
          <w:numId w:val="10"/>
        </w:numPr>
        <w:ind w:left="36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703E70">
        <w:rPr>
          <w:rFonts w:ascii="Arial" w:hAnsi="Arial" w:cs="Arial"/>
          <w:bCs/>
          <w:sz w:val="22"/>
          <w:szCs w:val="22"/>
          <w:lang w:val="es-ES"/>
        </w:rPr>
        <w:t xml:space="preserve">Realizar </w:t>
      </w:r>
      <w:r w:rsidR="00744231">
        <w:rPr>
          <w:rFonts w:ascii="Arial" w:hAnsi="Arial" w:cs="Arial"/>
          <w:bCs/>
          <w:sz w:val="22"/>
          <w:szCs w:val="22"/>
          <w:lang w:val="es-ES"/>
        </w:rPr>
        <w:t>el</w:t>
      </w:r>
      <w:r w:rsidRPr="00703E70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3500A6">
        <w:rPr>
          <w:rFonts w:ascii="Arial" w:hAnsi="Arial" w:cs="Arial"/>
          <w:bCs/>
          <w:sz w:val="22"/>
          <w:szCs w:val="22"/>
          <w:lang w:val="es-ES"/>
        </w:rPr>
        <w:t>levantamiento de información</w:t>
      </w:r>
      <w:r w:rsidR="00744231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3500A6">
        <w:rPr>
          <w:rFonts w:ascii="Arial" w:hAnsi="Arial" w:cs="Arial"/>
          <w:bCs/>
          <w:sz w:val="22"/>
          <w:szCs w:val="22"/>
          <w:lang w:val="es-ES"/>
        </w:rPr>
        <w:t>a nivel nacional a lo largo de la cadena de producción</w:t>
      </w:r>
      <w:r w:rsidR="003500A6" w:rsidRPr="00AA7A0A">
        <w:rPr>
          <w:rFonts w:ascii="Arial" w:hAnsi="Arial" w:cs="Arial"/>
          <w:bCs/>
          <w:sz w:val="22"/>
          <w:szCs w:val="22"/>
          <w:lang w:val="es-ES"/>
        </w:rPr>
        <w:t>, manejo y almacenamiento, procesamiento y distribución y mercadeo</w:t>
      </w:r>
      <w:r w:rsidR="003500A6">
        <w:rPr>
          <w:rFonts w:ascii="Arial" w:hAnsi="Arial" w:cs="Arial"/>
          <w:bCs/>
          <w:sz w:val="22"/>
          <w:szCs w:val="22"/>
          <w:lang w:val="es-ES"/>
        </w:rPr>
        <w:t xml:space="preserve"> en (</w:t>
      </w:r>
      <w:r w:rsidR="003500A6" w:rsidRPr="003500A6">
        <w:rPr>
          <w:rFonts w:ascii="Arial" w:hAnsi="Arial" w:cs="Arial"/>
          <w:bCs/>
          <w:i/>
          <w:sz w:val="22"/>
          <w:szCs w:val="22"/>
          <w:lang w:val="es-ES"/>
        </w:rPr>
        <w:t>país)</w:t>
      </w:r>
      <w:r w:rsidR="003500A6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EC73A3">
        <w:rPr>
          <w:rFonts w:ascii="Arial" w:hAnsi="Arial" w:cs="Arial"/>
          <w:bCs/>
          <w:sz w:val="22"/>
          <w:szCs w:val="22"/>
          <w:lang w:val="es-ES"/>
        </w:rPr>
        <w:t>enfocándose</w:t>
      </w:r>
      <w:r w:rsidR="003500A6">
        <w:rPr>
          <w:rFonts w:ascii="Arial" w:hAnsi="Arial" w:cs="Arial"/>
          <w:bCs/>
          <w:sz w:val="22"/>
          <w:szCs w:val="22"/>
          <w:lang w:val="es-ES"/>
        </w:rPr>
        <w:t xml:space="preserve"> en </w:t>
      </w:r>
      <w:r w:rsidR="00EC73A3">
        <w:rPr>
          <w:rFonts w:ascii="Arial" w:hAnsi="Arial" w:cs="Arial"/>
          <w:bCs/>
          <w:sz w:val="22"/>
          <w:szCs w:val="22"/>
          <w:lang w:val="es-ES"/>
        </w:rPr>
        <w:t xml:space="preserve">el </w:t>
      </w:r>
      <w:r w:rsidR="003500A6" w:rsidRPr="00AA7A0A">
        <w:rPr>
          <w:rFonts w:ascii="Arial" w:hAnsi="Arial" w:cs="Arial"/>
          <w:bCs/>
          <w:i/>
          <w:sz w:val="22"/>
          <w:szCs w:val="22"/>
          <w:lang w:val="es-ES"/>
        </w:rPr>
        <w:t>(alimento)</w:t>
      </w:r>
      <w:r w:rsidR="00744231">
        <w:rPr>
          <w:rFonts w:ascii="Arial" w:hAnsi="Arial" w:cs="Arial"/>
          <w:bCs/>
          <w:sz w:val="22"/>
          <w:szCs w:val="22"/>
          <w:lang w:val="es-ES"/>
        </w:rPr>
        <w:t xml:space="preserve">, </w:t>
      </w:r>
      <w:proofErr w:type="gramStart"/>
      <w:r w:rsidR="00744231">
        <w:rPr>
          <w:rFonts w:ascii="Arial" w:hAnsi="Arial" w:cs="Arial"/>
          <w:bCs/>
          <w:sz w:val="22"/>
          <w:szCs w:val="22"/>
          <w:lang w:val="es-ES"/>
        </w:rPr>
        <w:t>de acuerdo a</w:t>
      </w:r>
      <w:proofErr w:type="gramEnd"/>
      <w:r w:rsidR="00744231">
        <w:rPr>
          <w:rFonts w:ascii="Arial" w:hAnsi="Arial" w:cs="Arial"/>
          <w:bCs/>
          <w:sz w:val="22"/>
          <w:szCs w:val="22"/>
          <w:lang w:val="es-ES"/>
        </w:rPr>
        <w:t xml:space="preserve"> la metodología definida en el numeral 1</w:t>
      </w:r>
      <w:r w:rsidR="003500A6">
        <w:rPr>
          <w:rFonts w:ascii="Arial" w:hAnsi="Arial" w:cs="Arial"/>
          <w:bCs/>
          <w:i/>
          <w:sz w:val="22"/>
          <w:szCs w:val="22"/>
          <w:lang w:val="es-ES"/>
        </w:rPr>
        <w:t>.</w:t>
      </w:r>
      <w:r w:rsidR="00373B1F">
        <w:rPr>
          <w:rFonts w:ascii="Arial" w:hAnsi="Arial" w:cs="Arial"/>
          <w:bCs/>
          <w:i/>
          <w:sz w:val="22"/>
          <w:szCs w:val="22"/>
          <w:lang w:val="es-ES"/>
        </w:rPr>
        <w:t xml:space="preserve"> </w:t>
      </w:r>
    </w:p>
    <w:p w14:paraId="3CB502A9" w14:textId="77777777" w:rsidR="006418B2" w:rsidRDefault="006418B2" w:rsidP="006418B2">
      <w:pPr>
        <w:pStyle w:val="ListParagraph"/>
        <w:ind w:left="360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05620A7F" w14:textId="467DB263" w:rsidR="003500A6" w:rsidRDefault="00373B1F" w:rsidP="003871E3">
      <w:pPr>
        <w:pStyle w:val="ListParagraph"/>
        <w:numPr>
          <w:ilvl w:val="0"/>
          <w:numId w:val="10"/>
        </w:numPr>
        <w:ind w:left="36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Identificar y contactar a los gremios u asociaciones que tengan la información requerida de acuerdo con la </w:t>
      </w:r>
      <w:r w:rsidR="00744231">
        <w:rPr>
          <w:rFonts w:ascii="Arial" w:hAnsi="Arial" w:cs="Arial"/>
          <w:bCs/>
          <w:sz w:val="22"/>
          <w:szCs w:val="22"/>
          <w:lang w:val="es-ES"/>
        </w:rPr>
        <w:t>metodología definida</w:t>
      </w:r>
      <w:r>
        <w:rPr>
          <w:rFonts w:ascii="Arial" w:hAnsi="Arial" w:cs="Arial"/>
          <w:bCs/>
          <w:sz w:val="22"/>
          <w:szCs w:val="22"/>
          <w:lang w:val="es-ES"/>
        </w:rPr>
        <w:t xml:space="preserve">. Su representatividad en el mercado nacional deberá ser calculada para garantizar que el estudio se haga sobre una muestra significativa del </w:t>
      </w:r>
      <w:r w:rsidRPr="00AA7A0A">
        <w:rPr>
          <w:rFonts w:ascii="Arial" w:hAnsi="Arial" w:cs="Arial"/>
          <w:bCs/>
          <w:i/>
          <w:sz w:val="22"/>
          <w:szCs w:val="22"/>
          <w:lang w:val="es-ES"/>
        </w:rPr>
        <w:t>(alimento)</w:t>
      </w:r>
      <w:r>
        <w:rPr>
          <w:rFonts w:ascii="Arial" w:hAnsi="Arial" w:cs="Arial"/>
          <w:bCs/>
          <w:i/>
          <w:sz w:val="22"/>
          <w:szCs w:val="22"/>
          <w:lang w:val="es-ES"/>
        </w:rPr>
        <w:t xml:space="preserve"> </w:t>
      </w:r>
      <w:r w:rsidRPr="00373B1F">
        <w:rPr>
          <w:rFonts w:ascii="Arial" w:hAnsi="Arial" w:cs="Arial"/>
          <w:bCs/>
          <w:sz w:val="22"/>
          <w:szCs w:val="22"/>
          <w:lang w:val="es-ES"/>
        </w:rPr>
        <w:t>que se consume en</w:t>
      </w:r>
      <w:r>
        <w:rPr>
          <w:rFonts w:ascii="Arial" w:hAnsi="Arial" w:cs="Arial"/>
          <w:bCs/>
          <w:i/>
          <w:sz w:val="22"/>
          <w:szCs w:val="22"/>
          <w:lang w:val="es-ES"/>
        </w:rPr>
        <w:t xml:space="preserve"> (país)</w:t>
      </w:r>
      <w:r>
        <w:rPr>
          <w:rFonts w:ascii="Arial" w:hAnsi="Arial" w:cs="Arial"/>
          <w:bCs/>
          <w:sz w:val="22"/>
          <w:szCs w:val="22"/>
          <w:lang w:val="es-ES"/>
        </w:rPr>
        <w:t>.</w:t>
      </w:r>
    </w:p>
    <w:p w14:paraId="6D4BF9B1" w14:textId="77777777" w:rsidR="006418B2" w:rsidRDefault="006418B2" w:rsidP="006418B2">
      <w:pPr>
        <w:pStyle w:val="ListParagraph"/>
        <w:ind w:left="360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424D7D61" w14:textId="4A4A0783" w:rsidR="00B7170F" w:rsidRPr="00B7170F" w:rsidRDefault="00B7170F" w:rsidP="00B7170F">
      <w:pPr>
        <w:pStyle w:val="ListParagraph"/>
        <w:numPr>
          <w:ilvl w:val="0"/>
          <w:numId w:val="10"/>
        </w:numPr>
        <w:ind w:left="36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Realizar visitas de campo que cubran tod</w:t>
      </w:r>
      <w:r w:rsidR="00744231">
        <w:rPr>
          <w:rFonts w:ascii="Arial" w:hAnsi="Arial" w:cs="Arial"/>
          <w:bCs/>
          <w:sz w:val="22"/>
          <w:szCs w:val="22"/>
          <w:lang w:val="es-ES"/>
        </w:rPr>
        <w:t>a</w:t>
      </w:r>
      <w:r>
        <w:rPr>
          <w:rFonts w:ascii="Arial" w:hAnsi="Arial" w:cs="Arial"/>
          <w:bCs/>
          <w:sz w:val="22"/>
          <w:szCs w:val="22"/>
          <w:lang w:val="es-ES"/>
        </w:rPr>
        <w:t>s l</w:t>
      </w:r>
      <w:r w:rsidR="00744231">
        <w:rPr>
          <w:rFonts w:ascii="Arial" w:hAnsi="Arial" w:cs="Arial"/>
          <w:bCs/>
          <w:sz w:val="22"/>
          <w:szCs w:val="22"/>
          <w:lang w:val="es-ES"/>
        </w:rPr>
        <w:t>a</w:t>
      </w:r>
      <w:r>
        <w:rPr>
          <w:rFonts w:ascii="Arial" w:hAnsi="Arial" w:cs="Arial"/>
          <w:bCs/>
          <w:sz w:val="22"/>
          <w:szCs w:val="22"/>
          <w:lang w:val="es-ES"/>
        </w:rPr>
        <w:t xml:space="preserve">s </w:t>
      </w:r>
      <w:r w:rsidR="00744231">
        <w:rPr>
          <w:rFonts w:ascii="Arial" w:hAnsi="Arial" w:cs="Arial"/>
          <w:bCs/>
          <w:sz w:val="22"/>
          <w:szCs w:val="22"/>
          <w:lang w:val="es-ES"/>
        </w:rPr>
        <w:t>fases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de la cadena (producción</w:t>
      </w:r>
      <w:r w:rsidRPr="00AA7A0A">
        <w:rPr>
          <w:rFonts w:ascii="Arial" w:hAnsi="Arial" w:cs="Arial"/>
          <w:bCs/>
          <w:sz w:val="22"/>
          <w:szCs w:val="22"/>
          <w:lang w:val="es-ES"/>
        </w:rPr>
        <w:t>, manejo y almacenamiento, procesamiento y distribución y mercadeo</w:t>
      </w:r>
      <w:r>
        <w:rPr>
          <w:rFonts w:ascii="Arial" w:hAnsi="Arial" w:cs="Arial"/>
          <w:bCs/>
          <w:sz w:val="22"/>
          <w:szCs w:val="22"/>
          <w:lang w:val="es-ES"/>
        </w:rPr>
        <w:t xml:space="preserve">) de </w:t>
      </w:r>
      <w:r w:rsidRPr="00AA7A0A">
        <w:rPr>
          <w:rFonts w:ascii="Arial" w:hAnsi="Arial" w:cs="Arial"/>
          <w:bCs/>
          <w:i/>
          <w:sz w:val="22"/>
          <w:szCs w:val="22"/>
          <w:lang w:val="es-ES"/>
        </w:rPr>
        <w:t>(alimento)</w:t>
      </w:r>
      <w:r>
        <w:rPr>
          <w:rFonts w:ascii="Arial" w:hAnsi="Arial" w:cs="Arial"/>
          <w:bCs/>
          <w:i/>
          <w:sz w:val="22"/>
          <w:szCs w:val="22"/>
          <w:lang w:val="es-ES"/>
        </w:rPr>
        <w:t>.</w:t>
      </w:r>
    </w:p>
    <w:p w14:paraId="01158111" w14:textId="77777777" w:rsidR="006418B2" w:rsidRDefault="006418B2" w:rsidP="006418B2">
      <w:pPr>
        <w:pStyle w:val="ListParagraph"/>
        <w:ind w:left="360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18E7CE38" w14:textId="77777777" w:rsidR="00076059" w:rsidRDefault="00373B1F" w:rsidP="00076059">
      <w:pPr>
        <w:pStyle w:val="ListParagraph"/>
        <w:numPr>
          <w:ilvl w:val="0"/>
          <w:numId w:val="10"/>
        </w:numPr>
        <w:ind w:left="36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B7170F">
        <w:rPr>
          <w:rFonts w:ascii="Arial" w:hAnsi="Arial" w:cs="Arial"/>
          <w:bCs/>
          <w:sz w:val="22"/>
          <w:szCs w:val="22"/>
          <w:lang w:val="es-ES"/>
        </w:rPr>
        <w:t>Una vez levantada la información</w:t>
      </w:r>
      <w:r w:rsidR="00220829" w:rsidRPr="00B7170F">
        <w:rPr>
          <w:rFonts w:ascii="Arial" w:hAnsi="Arial" w:cs="Arial"/>
          <w:bCs/>
          <w:sz w:val="22"/>
          <w:szCs w:val="22"/>
          <w:lang w:val="es-ES"/>
        </w:rPr>
        <w:t xml:space="preserve"> se realizará un diagnóstico</w:t>
      </w:r>
      <w:r w:rsidR="00B7170F" w:rsidRPr="00B7170F">
        <w:rPr>
          <w:rFonts w:ascii="Arial" w:hAnsi="Arial" w:cs="Arial"/>
          <w:bCs/>
          <w:sz w:val="22"/>
          <w:szCs w:val="22"/>
          <w:lang w:val="es-ES"/>
        </w:rPr>
        <w:t xml:space="preserve"> identificando las mayores problemáticas </w:t>
      </w:r>
      <w:r w:rsidR="00B7170F">
        <w:rPr>
          <w:rFonts w:ascii="Arial" w:hAnsi="Arial" w:cs="Arial"/>
          <w:bCs/>
          <w:sz w:val="22"/>
          <w:szCs w:val="22"/>
          <w:lang w:val="es-ES"/>
        </w:rPr>
        <w:t>encontradas</w:t>
      </w:r>
      <w:r w:rsidR="00B7170F" w:rsidRPr="00B7170F">
        <w:rPr>
          <w:rFonts w:ascii="Arial" w:hAnsi="Arial" w:cs="Arial"/>
          <w:bCs/>
          <w:sz w:val="22"/>
          <w:szCs w:val="22"/>
          <w:lang w:val="es-ES"/>
        </w:rPr>
        <w:t xml:space="preserve"> incluyendo</w:t>
      </w:r>
      <w:r w:rsidR="00B7170F">
        <w:rPr>
          <w:rFonts w:ascii="Arial" w:hAnsi="Arial" w:cs="Arial"/>
          <w:bCs/>
          <w:sz w:val="22"/>
          <w:szCs w:val="22"/>
          <w:lang w:val="es-ES"/>
        </w:rPr>
        <w:t>:</w:t>
      </w:r>
      <w:r w:rsidR="00B7170F" w:rsidRPr="00B7170F">
        <w:rPr>
          <w:rFonts w:ascii="Arial" w:hAnsi="Arial" w:cs="Arial"/>
          <w:bCs/>
          <w:sz w:val="22"/>
          <w:szCs w:val="22"/>
          <w:lang w:val="es-ES"/>
        </w:rPr>
        <w:t xml:space="preserve"> i) técnicas de cosecha ineficientes, ii) instalaciones y equipos de transporte que no disponen de refrigeración adecuada; iii) acuerdos de venta entre productores y compradores que generan pérdidas de cultivos a nivel de granja; iv) estándares estéticos demasiado exigentes que derivan en el rechazo de productos que no cumplen con cierta forma o apariencia, a pesar de ser seguros para su consumo; v) normativas de caducidad que generan confusión en los consumidores al no diferenciar “fecha de vencimiento" con la de "consumo preferente"</w:t>
      </w:r>
      <w:r w:rsidR="00B7170F">
        <w:rPr>
          <w:rFonts w:ascii="Arial" w:hAnsi="Arial" w:cs="Arial"/>
          <w:bCs/>
          <w:sz w:val="22"/>
          <w:szCs w:val="22"/>
          <w:lang w:val="es-ES"/>
        </w:rPr>
        <w:t xml:space="preserve"> entre otros.</w:t>
      </w:r>
    </w:p>
    <w:p w14:paraId="0FDEE761" w14:textId="77777777" w:rsidR="00076059" w:rsidRPr="00076059" w:rsidRDefault="00076059" w:rsidP="00076059">
      <w:pPr>
        <w:pStyle w:val="ListParagraph"/>
        <w:rPr>
          <w:rFonts w:ascii="Arial" w:hAnsi="Arial" w:cs="Arial"/>
          <w:bCs/>
          <w:sz w:val="22"/>
          <w:szCs w:val="22"/>
          <w:lang w:val="es-ES"/>
        </w:rPr>
      </w:pPr>
    </w:p>
    <w:p w14:paraId="566F2C40" w14:textId="3A7FF066" w:rsidR="00A26680" w:rsidRPr="00076059" w:rsidRDefault="00076059" w:rsidP="00076059">
      <w:pPr>
        <w:pStyle w:val="ListParagraph"/>
        <w:numPr>
          <w:ilvl w:val="0"/>
          <w:numId w:val="10"/>
        </w:numPr>
        <w:ind w:left="36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E</w:t>
      </w:r>
      <w:r w:rsidRPr="00076059">
        <w:rPr>
          <w:rFonts w:ascii="Arial" w:hAnsi="Arial" w:cs="Arial"/>
          <w:bCs/>
          <w:sz w:val="22"/>
          <w:szCs w:val="22"/>
          <w:lang w:val="es-ES"/>
        </w:rPr>
        <w:t>xpresar la</w:t>
      </w:r>
      <w:r>
        <w:rPr>
          <w:rFonts w:ascii="Arial" w:hAnsi="Arial" w:cs="Arial"/>
          <w:bCs/>
          <w:sz w:val="22"/>
          <w:szCs w:val="22"/>
          <w:lang w:val="es-ES"/>
        </w:rPr>
        <w:t>s</w:t>
      </w:r>
      <w:r w:rsidRPr="00076059">
        <w:rPr>
          <w:rFonts w:ascii="Arial" w:hAnsi="Arial" w:cs="Arial"/>
          <w:bCs/>
          <w:sz w:val="22"/>
          <w:szCs w:val="22"/>
          <w:lang w:val="es-ES"/>
        </w:rPr>
        <w:t xml:space="preserve"> PDA en términos o unidades de medida además del peso (para transmitir impactos ambientales, contenido nutricional o implicaciones financieras), o usar un factor de normalización para generar una métrica como la PDA per cápita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(e</w:t>
      </w:r>
      <w:r w:rsidRPr="00076059">
        <w:rPr>
          <w:rFonts w:ascii="Arial" w:hAnsi="Arial" w:cs="Arial"/>
          <w:bCs/>
          <w:sz w:val="22"/>
          <w:szCs w:val="22"/>
          <w:lang w:val="es-ES"/>
        </w:rPr>
        <w:t xml:space="preserve">l </w:t>
      </w:r>
      <w:r w:rsidRPr="00B64080">
        <w:rPr>
          <w:rFonts w:ascii="Arial" w:hAnsi="Arial" w:cs="Arial"/>
          <w:bCs/>
          <w:sz w:val="22"/>
          <w:szCs w:val="22"/>
          <w:lang w:val="es-ES"/>
        </w:rPr>
        <w:t>Estándar de PDA</w:t>
      </w:r>
      <w:r w:rsidRPr="00076059">
        <w:rPr>
          <w:rFonts w:ascii="Arial" w:hAnsi="Arial" w:cs="Arial"/>
          <w:bCs/>
          <w:sz w:val="22"/>
          <w:szCs w:val="22"/>
          <w:lang w:val="es-ES"/>
        </w:rPr>
        <w:t xml:space="preserve"> proporciona una orientación en el </w:t>
      </w:r>
      <w:r w:rsidR="00176A3C" w:rsidRPr="00076059">
        <w:rPr>
          <w:rFonts w:ascii="Arial" w:hAnsi="Arial" w:cs="Arial"/>
          <w:bCs/>
          <w:sz w:val="22"/>
          <w:szCs w:val="22"/>
          <w:lang w:val="es-ES"/>
        </w:rPr>
        <w:t>Apéndice</w:t>
      </w:r>
      <w:r w:rsidRPr="00076059">
        <w:rPr>
          <w:rFonts w:ascii="Arial" w:hAnsi="Arial" w:cs="Arial"/>
          <w:bCs/>
          <w:sz w:val="22"/>
          <w:szCs w:val="22"/>
          <w:lang w:val="es-ES"/>
        </w:rPr>
        <w:t xml:space="preserve"> D</w:t>
      </w:r>
      <w:r>
        <w:rPr>
          <w:rFonts w:ascii="Arial" w:hAnsi="Arial" w:cs="Arial"/>
          <w:bCs/>
          <w:sz w:val="22"/>
          <w:szCs w:val="22"/>
          <w:lang w:val="es-ES"/>
        </w:rPr>
        <w:t>)</w:t>
      </w:r>
      <w:r w:rsidRPr="00076059">
        <w:rPr>
          <w:rFonts w:ascii="Arial" w:hAnsi="Arial" w:cs="Arial"/>
          <w:bCs/>
          <w:sz w:val="22"/>
          <w:szCs w:val="22"/>
          <w:lang w:val="es-ES"/>
        </w:rPr>
        <w:t>.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176A3C">
        <w:rPr>
          <w:rFonts w:ascii="Arial" w:hAnsi="Arial" w:cs="Arial"/>
          <w:bCs/>
          <w:sz w:val="22"/>
          <w:szCs w:val="22"/>
          <w:lang w:val="es-NI"/>
        </w:rPr>
        <w:t>Adicionalmente</w:t>
      </w:r>
      <w:r w:rsidR="00176A3C" w:rsidRPr="00DC365C">
        <w:rPr>
          <w:rFonts w:ascii="Arial" w:hAnsi="Arial" w:cs="Arial"/>
          <w:bCs/>
          <w:sz w:val="22"/>
          <w:szCs w:val="22"/>
          <w:lang w:val="es-NI"/>
        </w:rPr>
        <w:t xml:space="preserve"> identificar y documentar las fuentes de incertidumbre que pueden surgir en el cálculo de</w:t>
      </w:r>
      <w:r w:rsidR="00176A3C">
        <w:rPr>
          <w:rFonts w:ascii="Arial" w:hAnsi="Arial" w:cs="Arial"/>
          <w:bCs/>
          <w:sz w:val="22"/>
          <w:szCs w:val="22"/>
          <w:lang w:val="es-NI"/>
        </w:rPr>
        <w:t>l</w:t>
      </w:r>
      <w:r w:rsidR="00176A3C" w:rsidRPr="00DC365C">
        <w:rPr>
          <w:rFonts w:ascii="Arial" w:hAnsi="Arial" w:cs="Arial"/>
          <w:bCs/>
          <w:sz w:val="22"/>
          <w:szCs w:val="22"/>
          <w:lang w:val="es-NI"/>
        </w:rPr>
        <w:t xml:space="preserve"> inventario de PDA. </w:t>
      </w:r>
      <w:r w:rsidR="00B7170F" w:rsidRPr="00076059">
        <w:rPr>
          <w:rFonts w:ascii="Arial" w:hAnsi="Arial" w:cs="Arial"/>
          <w:bCs/>
          <w:sz w:val="22"/>
          <w:szCs w:val="22"/>
          <w:lang w:val="es-ES"/>
        </w:rPr>
        <w:t xml:space="preserve">Analizar las fallas de mercado realizar una evaluación sobre los costos y beneficios financieros/económicos asociados con la reducción de PDA para el </w:t>
      </w:r>
      <w:r w:rsidR="00B7170F" w:rsidRPr="00076059">
        <w:rPr>
          <w:rFonts w:ascii="Arial" w:hAnsi="Arial" w:cs="Arial"/>
          <w:bCs/>
          <w:i/>
          <w:sz w:val="22"/>
          <w:szCs w:val="22"/>
          <w:lang w:val="es-ES"/>
        </w:rPr>
        <w:t>(alimento)</w:t>
      </w:r>
      <w:r w:rsidR="00B7170F" w:rsidRPr="00076059">
        <w:rPr>
          <w:rFonts w:ascii="Arial" w:hAnsi="Arial" w:cs="Arial"/>
          <w:bCs/>
          <w:sz w:val="22"/>
          <w:szCs w:val="22"/>
          <w:lang w:val="es-ES"/>
        </w:rPr>
        <w:t>.</w:t>
      </w:r>
    </w:p>
    <w:p w14:paraId="0201806D" w14:textId="77777777" w:rsidR="00A26680" w:rsidRPr="00A26680" w:rsidRDefault="00A26680" w:rsidP="00A26680">
      <w:pPr>
        <w:pStyle w:val="ListParagraph"/>
        <w:rPr>
          <w:rFonts w:ascii="Arial" w:hAnsi="Arial" w:cs="Arial"/>
          <w:bCs/>
          <w:sz w:val="22"/>
          <w:szCs w:val="22"/>
          <w:lang w:val="es-ES"/>
        </w:rPr>
      </w:pPr>
    </w:p>
    <w:p w14:paraId="09D3A86F" w14:textId="4F517684" w:rsidR="00176A3C" w:rsidRPr="00AF39CD" w:rsidRDefault="00B7170F" w:rsidP="00AF39CD">
      <w:pPr>
        <w:pStyle w:val="ListParagraph"/>
        <w:numPr>
          <w:ilvl w:val="0"/>
          <w:numId w:val="10"/>
        </w:numPr>
        <w:ind w:left="36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A26680">
        <w:rPr>
          <w:rFonts w:ascii="Arial" w:hAnsi="Arial" w:cs="Arial"/>
          <w:bCs/>
          <w:sz w:val="22"/>
          <w:szCs w:val="22"/>
          <w:lang w:val="es-ES"/>
        </w:rPr>
        <w:t xml:space="preserve">Con base en esta información identificar oportunidades de mejora y generar recomendaciones </w:t>
      </w:r>
      <w:r w:rsidR="00A26680" w:rsidRPr="00A26680">
        <w:rPr>
          <w:rFonts w:ascii="Arial" w:hAnsi="Arial" w:cs="Arial"/>
          <w:bCs/>
          <w:sz w:val="22"/>
          <w:szCs w:val="22"/>
          <w:lang w:val="es-ES"/>
        </w:rPr>
        <w:t xml:space="preserve">para identificar estrategias efectivas de reducción de la PDA. </w:t>
      </w:r>
      <w:r w:rsidR="00703E70" w:rsidRPr="00A26680">
        <w:rPr>
          <w:rFonts w:ascii="Arial" w:hAnsi="Arial" w:cs="Arial"/>
          <w:bCs/>
          <w:sz w:val="22"/>
          <w:szCs w:val="22"/>
          <w:lang w:val="es-ES"/>
        </w:rPr>
        <w:t>Se deberán identificar l</w:t>
      </w:r>
      <w:r w:rsidR="00F376AC" w:rsidRPr="00A26680">
        <w:rPr>
          <w:rFonts w:ascii="Arial" w:hAnsi="Arial" w:cs="Arial"/>
          <w:bCs/>
          <w:sz w:val="22"/>
          <w:szCs w:val="22"/>
          <w:lang w:val="es-ES"/>
        </w:rPr>
        <w:t>o</w:t>
      </w:r>
      <w:r w:rsidR="00703E70" w:rsidRPr="00A26680">
        <w:rPr>
          <w:rFonts w:ascii="Arial" w:hAnsi="Arial" w:cs="Arial"/>
          <w:bCs/>
          <w:sz w:val="22"/>
          <w:szCs w:val="22"/>
          <w:lang w:val="es-ES"/>
        </w:rPr>
        <w:t>s principales desafíos de implementación</w:t>
      </w:r>
      <w:r w:rsidR="00F376AC" w:rsidRPr="00A26680">
        <w:rPr>
          <w:rFonts w:ascii="Arial" w:hAnsi="Arial" w:cs="Arial"/>
          <w:bCs/>
          <w:sz w:val="22"/>
          <w:szCs w:val="22"/>
          <w:lang w:val="es-ES"/>
        </w:rPr>
        <w:t xml:space="preserve"> de las recomendaciones identificadas</w:t>
      </w:r>
      <w:r w:rsidR="00703E70" w:rsidRPr="00A26680">
        <w:rPr>
          <w:rFonts w:ascii="Arial" w:hAnsi="Arial" w:cs="Arial"/>
          <w:bCs/>
          <w:sz w:val="22"/>
          <w:szCs w:val="22"/>
          <w:lang w:val="es-ES"/>
        </w:rPr>
        <w:t>.</w:t>
      </w:r>
      <w:r w:rsidR="00AF39CD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AF39CD" w:rsidRPr="00AF39CD">
        <w:rPr>
          <w:rFonts w:ascii="Arial" w:hAnsi="Arial" w:cs="Arial"/>
          <w:bCs/>
          <w:sz w:val="22"/>
          <w:szCs w:val="22"/>
          <w:lang w:val="es-NI"/>
        </w:rPr>
        <w:t>Finalmente e</w:t>
      </w:r>
      <w:r w:rsidR="00176A3C" w:rsidRPr="00AF39CD">
        <w:rPr>
          <w:rFonts w:ascii="Arial" w:hAnsi="Arial" w:cs="Arial"/>
          <w:bCs/>
          <w:sz w:val="22"/>
          <w:szCs w:val="22"/>
          <w:lang w:val="es-NI"/>
        </w:rPr>
        <w:t xml:space="preserve">stablecer un objetivo y seguimiento a lo largo del tiempo para la </w:t>
      </w:r>
      <w:r w:rsidR="00AF39CD" w:rsidRPr="00AF39CD">
        <w:rPr>
          <w:rFonts w:ascii="Arial" w:hAnsi="Arial" w:cs="Arial"/>
          <w:bCs/>
          <w:sz w:val="22"/>
          <w:szCs w:val="22"/>
          <w:lang w:val="es-NI"/>
        </w:rPr>
        <w:t>reducción</w:t>
      </w:r>
      <w:r w:rsidR="00176A3C" w:rsidRPr="00AF39CD">
        <w:rPr>
          <w:rFonts w:ascii="Arial" w:hAnsi="Arial" w:cs="Arial"/>
          <w:bCs/>
          <w:sz w:val="22"/>
          <w:szCs w:val="22"/>
          <w:lang w:val="es-NI"/>
        </w:rPr>
        <w:t xml:space="preserve"> de PDA</w:t>
      </w:r>
      <w:r w:rsidR="00AF39CD" w:rsidRPr="00AF39CD">
        <w:rPr>
          <w:rFonts w:ascii="Arial" w:hAnsi="Arial" w:cs="Arial"/>
          <w:bCs/>
          <w:sz w:val="22"/>
          <w:szCs w:val="22"/>
          <w:lang w:val="es-NI"/>
        </w:rPr>
        <w:t>.</w:t>
      </w:r>
    </w:p>
    <w:p w14:paraId="1A245437" w14:textId="77777777" w:rsidR="00703E70" w:rsidRDefault="00703E70" w:rsidP="00703E70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1C38F739" w14:textId="30837507" w:rsidR="003F7AF7" w:rsidRPr="00176A3C" w:rsidRDefault="003F7AF7" w:rsidP="00176A3C">
      <w:pPr>
        <w:jc w:val="both"/>
        <w:rPr>
          <w:rFonts w:ascii="Arial" w:hAnsi="Arial" w:cs="Arial"/>
          <w:bCs/>
          <w:sz w:val="22"/>
          <w:szCs w:val="22"/>
          <w:lang w:val="es-NI"/>
        </w:rPr>
      </w:pPr>
      <w:r w:rsidRPr="00176A3C">
        <w:rPr>
          <w:rFonts w:ascii="Arial" w:hAnsi="Arial" w:cs="Arial"/>
          <w:bCs/>
          <w:sz w:val="22"/>
          <w:szCs w:val="22"/>
          <w:lang w:val="es-NI"/>
        </w:rPr>
        <w:t xml:space="preserve">Complementariamente al relevamiento de normatividad y de información secundaria, se deberán realizar entrevistas en profundidad </w:t>
      </w:r>
      <w:r w:rsidR="002E4AC0" w:rsidRPr="00176A3C">
        <w:rPr>
          <w:rFonts w:ascii="Arial" w:hAnsi="Arial" w:cs="Arial"/>
          <w:bCs/>
          <w:sz w:val="22"/>
          <w:szCs w:val="22"/>
          <w:lang w:val="es-NI"/>
        </w:rPr>
        <w:t xml:space="preserve">y visitas a campo </w:t>
      </w:r>
      <w:r w:rsidRPr="00176A3C">
        <w:rPr>
          <w:rFonts w:ascii="Arial" w:hAnsi="Arial" w:cs="Arial"/>
          <w:bCs/>
          <w:sz w:val="22"/>
          <w:szCs w:val="22"/>
          <w:lang w:val="es-NI"/>
        </w:rPr>
        <w:t xml:space="preserve">con especialistas en la materia. La identificación, contacto y entrevista con los especialistas es responsabilidad del consultor, sin </w:t>
      </w:r>
      <w:r w:rsidRPr="00176A3C">
        <w:rPr>
          <w:rFonts w:ascii="Arial" w:hAnsi="Arial" w:cs="Arial"/>
          <w:bCs/>
          <w:sz w:val="22"/>
          <w:szCs w:val="22"/>
          <w:lang w:val="es-NI"/>
        </w:rPr>
        <w:lastRenderedPageBreak/>
        <w:t xml:space="preserve">embargo, </w:t>
      </w:r>
      <w:r w:rsidR="00883C68" w:rsidRPr="00176A3C">
        <w:rPr>
          <w:rFonts w:ascii="Arial" w:hAnsi="Arial" w:cs="Arial"/>
          <w:bCs/>
          <w:sz w:val="22"/>
          <w:szCs w:val="22"/>
          <w:lang w:val="es-NI"/>
        </w:rPr>
        <w:t>el Banco</w:t>
      </w:r>
      <w:r w:rsidRPr="00176A3C">
        <w:rPr>
          <w:rFonts w:ascii="Arial" w:hAnsi="Arial" w:cs="Arial"/>
          <w:bCs/>
          <w:sz w:val="22"/>
          <w:szCs w:val="22"/>
          <w:lang w:val="es-NI"/>
        </w:rPr>
        <w:t xml:space="preserve"> pondrá a su disposición su red de contactos en la materia como un insumo relevante. La metodología debe incluir un fluido intercambio</w:t>
      </w:r>
      <w:r w:rsidR="002E4AC0" w:rsidRPr="00176A3C">
        <w:rPr>
          <w:rFonts w:ascii="Arial" w:hAnsi="Arial" w:cs="Arial"/>
          <w:bCs/>
          <w:sz w:val="22"/>
          <w:szCs w:val="22"/>
          <w:lang w:val="es-NI"/>
        </w:rPr>
        <w:t xml:space="preserve"> con el equipo del Banco</w:t>
      </w:r>
      <w:r w:rsidRPr="00176A3C">
        <w:rPr>
          <w:rFonts w:ascii="Arial" w:hAnsi="Arial" w:cs="Arial"/>
          <w:bCs/>
          <w:sz w:val="22"/>
          <w:szCs w:val="22"/>
          <w:lang w:val="es-NI"/>
        </w:rPr>
        <w:t>, para garantizar el alineamiento del estudio con las expectativas sobre el mismo.</w:t>
      </w:r>
    </w:p>
    <w:p w14:paraId="2EE4DEDC" w14:textId="79A3C41C" w:rsidR="00DC365C" w:rsidRPr="00176A3C" w:rsidRDefault="00DC365C" w:rsidP="00176A3C">
      <w:pPr>
        <w:jc w:val="both"/>
        <w:rPr>
          <w:rFonts w:ascii="Arial" w:hAnsi="Arial" w:cs="Arial"/>
          <w:bCs/>
          <w:sz w:val="22"/>
          <w:szCs w:val="22"/>
          <w:lang w:val="es-NI"/>
        </w:rPr>
      </w:pPr>
    </w:p>
    <w:p w14:paraId="1251B7F2" w14:textId="77777777" w:rsidR="00703E70" w:rsidRDefault="00703E70" w:rsidP="00CE6EB9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4CF32929" w14:textId="434F67A9" w:rsidR="00AE2BDA" w:rsidRPr="00CE6EB9" w:rsidRDefault="00086701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I</w:t>
      </w:r>
      <w:r w:rsidR="00381358" w:rsidRPr="00CE6EB9">
        <w:rPr>
          <w:rFonts w:ascii="Arial" w:hAnsi="Arial" w:cs="Arial"/>
          <w:b/>
          <w:bCs/>
          <w:sz w:val="22"/>
          <w:szCs w:val="22"/>
          <w:lang w:val="es-ES"/>
        </w:rPr>
        <w:t>nformes</w:t>
      </w:r>
      <w:r w:rsidR="00202CC0" w:rsidRPr="00CE6EB9">
        <w:rPr>
          <w:rFonts w:ascii="Arial" w:hAnsi="Arial" w:cs="Arial"/>
          <w:b/>
          <w:bCs/>
          <w:sz w:val="22"/>
          <w:szCs w:val="22"/>
          <w:lang w:val="es-ES"/>
        </w:rPr>
        <w:t xml:space="preserve"> / Entregables</w:t>
      </w:r>
    </w:p>
    <w:p w14:paraId="58489396" w14:textId="77777777" w:rsidR="00202CC0" w:rsidRPr="00CE6EB9" w:rsidRDefault="00202CC0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73D02B18" w14:textId="24EC1DF7" w:rsidR="003871E3" w:rsidRPr="007D6847" w:rsidRDefault="00411D4A" w:rsidP="00411D4A">
      <w:pPr>
        <w:pStyle w:val="BodyTex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7D6847">
        <w:rPr>
          <w:rFonts w:ascii="Arial" w:hAnsi="Arial" w:cs="Arial"/>
          <w:b/>
          <w:sz w:val="22"/>
          <w:szCs w:val="22"/>
          <w:lang w:val="es-ES"/>
        </w:rPr>
        <w:t>Plan de trabajo</w:t>
      </w:r>
      <w:r w:rsidRPr="007D6847">
        <w:rPr>
          <w:rFonts w:ascii="Arial" w:hAnsi="Arial" w:cs="Arial"/>
          <w:sz w:val="22"/>
          <w:szCs w:val="22"/>
          <w:lang w:val="es-ES"/>
        </w:rPr>
        <w:t xml:space="preserve"> detallado para la realización del </w:t>
      </w:r>
      <w:r w:rsidR="007D6847">
        <w:rPr>
          <w:rFonts w:ascii="Arial" w:hAnsi="Arial" w:cs="Arial"/>
          <w:sz w:val="22"/>
          <w:szCs w:val="22"/>
          <w:lang w:val="es-ES"/>
        </w:rPr>
        <w:t>diagnóstico</w:t>
      </w:r>
      <w:r w:rsidRPr="007D6847">
        <w:rPr>
          <w:rFonts w:ascii="Arial" w:hAnsi="Arial" w:cs="Arial"/>
          <w:sz w:val="22"/>
          <w:szCs w:val="22"/>
          <w:lang w:val="es-ES"/>
        </w:rPr>
        <w:t>.</w:t>
      </w:r>
    </w:p>
    <w:p w14:paraId="1AD86065" w14:textId="77777777" w:rsidR="003871E3" w:rsidRPr="00EA5CBD" w:rsidRDefault="003871E3" w:rsidP="003871E3">
      <w:pPr>
        <w:pStyle w:val="BodyText"/>
        <w:ind w:left="720"/>
        <w:jc w:val="both"/>
        <w:rPr>
          <w:rFonts w:ascii="Arial" w:hAnsi="Arial" w:cs="Arial"/>
          <w:sz w:val="22"/>
          <w:szCs w:val="22"/>
          <w:lang w:val="es-ES"/>
        </w:rPr>
      </w:pPr>
    </w:p>
    <w:p w14:paraId="6928987A" w14:textId="2837ABD1" w:rsidR="003871E3" w:rsidRPr="00EA5CBD" w:rsidRDefault="00EA5CBD" w:rsidP="00411D4A">
      <w:pPr>
        <w:pStyle w:val="BodyTex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b/>
          <w:sz w:val="22"/>
          <w:szCs w:val="22"/>
          <w:lang w:val="es-ES"/>
        </w:rPr>
        <w:t>Descripción de la m</w:t>
      </w:r>
      <w:r w:rsidRPr="00EA5CBD">
        <w:rPr>
          <w:rFonts w:ascii="Arial" w:hAnsi="Arial" w:cs="Arial"/>
          <w:b/>
          <w:sz w:val="22"/>
          <w:szCs w:val="22"/>
          <w:lang w:val="es-ES"/>
        </w:rPr>
        <w:t xml:space="preserve">etodología detallada a utilizar </w:t>
      </w:r>
      <w:r w:rsidRPr="00EA5CBD">
        <w:rPr>
          <w:rFonts w:ascii="Arial" w:hAnsi="Arial" w:cs="Arial"/>
          <w:sz w:val="22"/>
          <w:szCs w:val="22"/>
          <w:lang w:val="es-ES"/>
        </w:rPr>
        <w:t xml:space="preserve">incluyendo evidencia de las reuniones realizadas para consensuar la misma con los actores relevantes. Se debe establecer el alcance del diagnóstico y </w:t>
      </w:r>
      <w:r>
        <w:rPr>
          <w:rFonts w:ascii="Arial" w:hAnsi="Arial" w:cs="Arial"/>
          <w:sz w:val="22"/>
          <w:szCs w:val="22"/>
          <w:lang w:val="es-ES"/>
        </w:rPr>
        <w:t xml:space="preserve">se deben identificar </w:t>
      </w:r>
      <w:r w:rsidRPr="00EA5CBD">
        <w:rPr>
          <w:rFonts w:ascii="Arial" w:hAnsi="Arial" w:cs="Arial"/>
          <w:sz w:val="22"/>
          <w:szCs w:val="22"/>
          <w:lang w:val="es-ES"/>
        </w:rPr>
        <w:t>los gremios, asociaciones u otros actores relevantes que son de importancia para el levantamiento de información para el diagnóstico</w:t>
      </w:r>
    </w:p>
    <w:p w14:paraId="556E7EF3" w14:textId="77777777" w:rsidR="003871E3" w:rsidRPr="00044AB8" w:rsidRDefault="003871E3" w:rsidP="003871E3">
      <w:pPr>
        <w:pStyle w:val="ListParagraph"/>
        <w:rPr>
          <w:rFonts w:ascii="Arial" w:hAnsi="Arial" w:cs="Arial"/>
          <w:sz w:val="22"/>
          <w:szCs w:val="22"/>
          <w:lang w:val="es-ES"/>
        </w:rPr>
      </w:pPr>
    </w:p>
    <w:p w14:paraId="016FBC6C" w14:textId="658564EE" w:rsidR="006F769E" w:rsidRDefault="00044AB8" w:rsidP="006F769E">
      <w:pPr>
        <w:pStyle w:val="BodyTex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044AB8">
        <w:rPr>
          <w:rFonts w:ascii="Arial" w:hAnsi="Arial" w:cs="Arial"/>
          <w:b/>
          <w:sz w:val="22"/>
          <w:szCs w:val="22"/>
          <w:lang w:val="es-ES"/>
        </w:rPr>
        <w:t>Informe intermedio de resultados del diagnóstico</w:t>
      </w:r>
      <w:r w:rsidR="00411D4A" w:rsidRPr="00044AB8">
        <w:rPr>
          <w:rFonts w:ascii="Arial" w:hAnsi="Arial" w:cs="Arial"/>
          <w:sz w:val="22"/>
          <w:szCs w:val="22"/>
          <w:lang w:val="es-ES"/>
        </w:rPr>
        <w:t xml:space="preserve"> </w:t>
      </w:r>
      <w:r w:rsidRPr="00044AB8">
        <w:rPr>
          <w:rFonts w:ascii="Arial" w:hAnsi="Arial" w:cs="Arial"/>
          <w:sz w:val="22"/>
          <w:szCs w:val="22"/>
          <w:lang w:val="es-ES"/>
        </w:rPr>
        <w:t xml:space="preserve">incluyendo las actividades listadas </w:t>
      </w:r>
      <w:r w:rsidRPr="006F769E">
        <w:rPr>
          <w:rFonts w:ascii="Arial" w:hAnsi="Arial" w:cs="Arial"/>
          <w:sz w:val="22"/>
          <w:szCs w:val="22"/>
          <w:lang w:val="es-ES"/>
        </w:rPr>
        <w:t xml:space="preserve">en los numerales </w:t>
      </w:r>
      <w:r w:rsidR="00454088">
        <w:rPr>
          <w:rFonts w:ascii="Arial" w:hAnsi="Arial" w:cs="Arial"/>
          <w:sz w:val="22"/>
          <w:szCs w:val="22"/>
          <w:lang w:val="es-ES"/>
        </w:rPr>
        <w:t xml:space="preserve">2, </w:t>
      </w:r>
      <w:r w:rsidRPr="006F769E">
        <w:rPr>
          <w:rFonts w:ascii="Arial" w:hAnsi="Arial" w:cs="Arial"/>
          <w:sz w:val="22"/>
          <w:szCs w:val="22"/>
          <w:lang w:val="es-ES"/>
        </w:rPr>
        <w:t xml:space="preserve">3, 4 y 5 de las actividades principales y las bases de datos que contengan la información relevada. </w:t>
      </w:r>
    </w:p>
    <w:p w14:paraId="369C38FA" w14:textId="77777777" w:rsidR="006F769E" w:rsidRDefault="006F769E" w:rsidP="006F769E">
      <w:pPr>
        <w:pStyle w:val="ListParagraph"/>
        <w:rPr>
          <w:rFonts w:ascii="Arial" w:hAnsi="Arial" w:cs="Arial"/>
          <w:b/>
          <w:sz w:val="22"/>
          <w:szCs w:val="22"/>
          <w:lang w:val="es-ES"/>
        </w:rPr>
      </w:pPr>
    </w:p>
    <w:p w14:paraId="5D51B8F0" w14:textId="0B9F6989" w:rsidR="00411D4A" w:rsidRPr="006F769E" w:rsidRDefault="003E7A71" w:rsidP="006F769E">
      <w:pPr>
        <w:pStyle w:val="BodyTex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6F769E">
        <w:rPr>
          <w:rFonts w:ascii="Arial" w:hAnsi="Arial" w:cs="Arial"/>
          <w:b/>
          <w:sz w:val="22"/>
          <w:szCs w:val="22"/>
          <w:lang w:val="es-ES"/>
        </w:rPr>
        <w:t xml:space="preserve">Informe final </w:t>
      </w:r>
      <w:r w:rsidRPr="006F769E">
        <w:rPr>
          <w:rFonts w:ascii="Arial" w:hAnsi="Arial" w:cs="Arial"/>
          <w:sz w:val="22"/>
          <w:szCs w:val="22"/>
          <w:lang w:val="es-ES"/>
        </w:rPr>
        <w:t xml:space="preserve">que </w:t>
      </w:r>
      <w:r w:rsidR="00411D4A" w:rsidRPr="006F769E">
        <w:rPr>
          <w:rFonts w:ascii="Arial" w:hAnsi="Arial" w:cs="Arial"/>
          <w:sz w:val="22"/>
          <w:szCs w:val="22"/>
          <w:lang w:val="es-ES"/>
        </w:rPr>
        <w:t>contenga</w:t>
      </w:r>
      <w:r w:rsidR="006F769E" w:rsidRPr="006F769E">
        <w:rPr>
          <w:rFonts w:ascii="Arial" w:hAnsi="Arial" w:cs="Arial"/>
          <w:sz w:val="22"/>
          <w:szCs w:val="22"/>
          <w:lang w:val="es-ES"/>
        </w:rPr>
        <w:t xml:space="preserve"> toda la información</w:t>
      </w:r>
      <w:r w:rsidR="00F87B29">
        <w:rPr>
          <w:rFonts w:ascii="Arial" w:hAnsi="Arial" w:cs="Arial"/>
          <w:sz w:val="22"/>
          <w:szCs w:val="22"/>
          <w:lang w:val="es-ES"/>
        </w:rPr>
        <w:t xml:space="preserve"> descrita en las actividades principales,</w:t>
      </w:r>
      <w:r w:rsidR="006F769E" w:rsidRPr="006F769E">
        <w:rPr>
          <w:rFonts w:ascii="Arial" w:hAnsi="Arial" w:cs="Arial"/>
          <w:sz w:val="22"/>
          <w:szCs w:val="22"/>
          <w:lang w:val="es-ES"/>
        </w:rPr>
        <w:t xml:space="preserve"> con énfasis en </w:t>
      </w:r>
      <w:r w:rsidR="00454088">
        <w:rPr>
          <w:rFonts w:ascii="Arial" w:hAnsi="Arial" w:cs="Arial"/>
          <w:sz w:val="22"/>
          <w:szCs w:val="22"/>
          <w:lang w:val="es-ES"/>
        </w:rPr>
        <w:t>los</w:t>
      </w:r>
      <w:r w:rsidR="006F769E" w:rsidRPr="006F769E">
        <w:rPr>
          <w:rFonts w:ascii="Arial" w:hAnsi="Arial" w:cs="Arial"/>
          <w:sz w:val="22"/>
          <w:szCs w:val="22"/>
          <w:lang w:val="es-ES"/>
        </w:rPr>
        <w:t xml:space="preserve"> numeral</w:t>
      </w:r>
      <w:r w:rsidR="00454088">
        <w:rPr>
          <w:rFonts w:ascii="Arial" w:hAnsi="Arial" w:cs="Arial"/>
          <w:sz w:val="22"/>
          <w:szCs w:val="22"/>
          <w:lang w:val="es-ES"/>
        </w:rPr>
        <w:t>es</w:t>
      </w:r>
      <w:r w:rsidR="006F769E" w:rsidRPr="006F769E">
        <w:rPr>
          <w:rFonts w:ascii="Arial" w:hAnsi="Arial" w:cs="Arial"/>
          <w:sz w:val="22"/>
          <w:szCs w:val="22"/>
          <w:lang w:val="es-ES"/>
        </w:rPr>
        <w:t xml:space="preserve"> </w:t>
      </w:r>
      <w:r w:rsidR="00454088">
        <w:rPr>
          <w:rFonts w:ascii="Arial" w:hAnsi="Arial" w:cs="Arial"/>
          <w:sz w:val="22"/>
          <w:szCs w:val="22"/>
          <w:lang w:val="es-ES"/>
        </w:rPr>
        <w:t xml:space="preserve">6 y </w:t>
      </w:r>
      <w:r w:rsidR="006F769E" w:rsidRPr="006F769E">
        <w:rPr>
          <w:rFonts w:ascii="Arial" w:hAnsi="Arial" w:cs="Arial"/>
          <w:sz w:val="22"/>
          <w:szCs w:val="22"/>
          <w:lang w:val="es-ES"/>
        </w:rPr>
        <w:t>7 de las actividades principales.</w:t>
      </w:r>
    </w:p>
    <w:p w14:paraId="4CF3292B" w14:textId="7111F739" w:rsidR="00752A29" w:rsidRPr="00CE6EB9" w:rsidRDefault="00752A29" w:rsidP="00253D5A">
      <w:pPr>
        <w:pStyle w:val="BodyText"/>
        <w:jc w:val="both"/>
        <w:rPr>
          <w:rFonts w:ascii="Arial" w:hAnsi="Arial" w:cs="Arial"/>
          <w:sz w:val="22"/>
          <w:szCs w:val="22"/>
          <w:lang w:val="es-ES"/>
        </w:rPr>
      </w:pPr>
    </w:p>
    <w:p w14:paraId="4CF3292C" w14:textId="620C6CBB" w:rsidR="00752A29" w:rsidRPr="00CE6EB9" w:rsidRDefault="00086701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C</w:t>
      </w:r>
      <w:r w:rsidR="00202CC0" w:rsidRPr="00CE6EB9">
        <w:rPr>
          <w:rFonts w:ascii="Arial" w:hAnsi="Arial" w:cs="Arial"/>
          <w:b/>
          <w:bCs/>
          <w:sz w:val="22"/>
          <w:szCs w:val="22"/>
          <w:lang w:val="es-ES"/>
        </w:rPr>
        <w:t>ronograma de Pagos</w:t>
      </w:r>
    </w:p>
    <w:p w14:paraId="11B42478" w14:textId="77777777" w:rsidR="00202CC0" w:rsidRPr="00CE6EB9" w:rsidRDefault="00202CC0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71C63F6C" w14:textId="0C98D1E3" w:rsidR="00125243" w:rsidRPr="00125243" w:rsidRDefault="00125243" w:rsidP="00125243">
      <w:pPr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Pago 1: </w:t>
      </w:r>
      <w:r w:rsidR="00500CEE">
        <w:rPr>
          <w:rFonts w:ascii="Arial" w:hAnsi="Arial" w:cs="Arial"/>
          <w:bCs/>
          <w:sz w:val="22"/>
          <w:szCs w:val="22"/>
          <w:lang w:val="es-ES"/>
        </w:rPr>
        <w:tab/>
      </w:r>
      <w:r w:rsidRPr="00125243">
        <w:rPr>
          <w:rFonts w:ascii="Arial" w:hAnsi="Arial" w:cs="Arial"/>
          <w:bCs/>
          <w:sz w:val="22"/>
          <w:szCs w:val="22"/>
          <w:lang w:val="es-ES"/>
        </w:rPr>
        <w:t>20% contra la presentación del plan de trabajo detallado.</w:t>
      </w:r>
    </w:p>
    <w:p w14:paraId="5D7C137C" w14:textId="1B860B5F" w:rsidR="00125243" w:rsidRPr="00125243" w:rsidRDefault="00125243" w:rsidP="00500CEE">
      <w:pPr>
        <w:ind w:left="1440" w:hanging="144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Pago 2: </w:t>
      </w:r>
      <w:r w:rsidR="00500CEE">
        <w:rPr>
          <w:rFonts w:ascii="Arial" w:hAnsi="Arial" w:cs="Arial"/>
          <w:bCs/>
          <w:sz w:val="22"/>
          <w:szCs w:val="22"/>
          <w:lang w:val="es-ES"/>
        </w:rPr>
        <w:tab/>
      </w:r>
      <w:r w:rsidRPr="00125243">
        <w:rPr>
          <w:rFonts w:ascii="Arial" w:hAnsi="Arial" w:cs="Arial"/>
          <w:bCs/>
          <w:sz w:val="22"/>
          <w:szCs w:val="22"/>
          <w:lang w:val="es-ES"/>
        </w:rPr>
        <w:t xml:space="preserve">40% contra la presentación de </w:t>
      </w:r>
      <w:r w:rsidR="006F769E">
        <w:rPr>
          <w:rFonts w:ascii="Arial" w:hAnsi="Arial" w:cs="Arial"/>
          <w:bCs/>
          <w:sz w:val="22"/>
          <w:szCs w:val="22"/>
          <w:lang w:val="es-ES"/>
        </w:rPr>
        <w:t>los informes 2 y 3</w:t>
      </w:r>
      <w:r w:rsidRPr="00125243">
        <w:rPr>
          <w:rFonts w:ascii="Arial" w:hAnsi="Arial" w:cs="Arial"/>
          <w:bCs/>
          <w:sz w:val="22"/>
          <w:szCs w:val="22"/>
          <w:lang w:val="es-ES"/>
        </w:rPr>
        <w:t>.</w:t>
      </w:r>
    </w:p>
    <w:p w14:paraId="706A4E41" w14:textId="52A3A135" w:rsidR="006F769E" w:rsidRDefault="00125243" w:rsidP="00125243">
      <w:pPr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Pago 3: </w:t>
      </w:r>
      <w:r w:rsidR="00500CEE">
        <w:rPr>
          <w:rFonts w:ascii="Arial" w:hAnsi="Arial" w:cs="Arial"/>
          <w:bCs/>
          <w:sz w:val="22"/>
          <w:szCs w:val="22"/>
          <w:lang w:val="es-ES"/>
        </w:rPr>
        <w:tab/>
      </w:r>
      <w:r w:rsidRPr="00125243">
        <w:rPr>
          <w:rFonts w:ascii="Arial" w:hAnsi="Arial" w:cs="Arial"/>
          <w:bCs/>
          <w:sz w:val="22"/>
          <w:szCs w:val="22"/>
          <w:lang w:val="es-ES"/>
        </w:rPr>
        <w:t>40% contra la entrega</w:t>
      </w:r>
      <w:r w:rsidR="006F769E">
        <w:rPr>
          <w:rFonts w:ascii="Arial" w:hAnsi="Arial" w:cs="Arial"/>
          <w:bCs/>
          <w:sz w:val="22"/>
          <w:szCs w:val="22"/>
          <w:lang w:val="es-ES"/>
        </w:rPr>
        <w:t xml:space="preserve"> del informe final</w:t>
      </w:r>
      <w:r w:rsidRPr="00125243">
        <w:rPr>
          <w:rFonts w:ascii="Arial" w:hAnsi="Arial" w:cs="Arial"/>
          <w:bCs/>
          <w:sz w:val="22"/>
          <w:szCs w:val="22"/>
          <w:lang w:val="es-ES"/>
        </w:rPr>
        <w:t>.</w:t>
      </w:r>
    </w:p>
    <w:p w14:paraId="783F4F62" w14:textId="77777777" w:rsidR="00125243" w:rsidRPr="00CE6EB9" w:rsidRDefault="00125243" w:rsidP="00253D5A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4CF32938" w14:textId="4AF8AEB0" w:rsidR="00253D5A" w:rsidRPr="00CE6EB9" w:rsidRDefault="0080549B" w:rsidP="00253D5A">
      <w:pPr>
        <w:jc w:val="both"/>
        <w:rPr>
          <w:rFonts w:ascii="Arial" w:hAnsi="Arial" w:cs="Arial"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Calificaciones</w:t>
      </w:r>
    </w:p>
    <w:p w14:paraId="4CF32939" w14:textId="40B8D3B6" w:rsidR="00253D5A" w:rsidRPr="005E72B6" w:rsidRDefault="000A13F8" w:rsidP="004611FB">
      <w:pPr>
        <w:pStyle w:val="ListParagraph"/>
        <w:numPr>
          <w:ilvl w:val="0"/>
          <w:numId w:val="13"/>
        </w:numPr>
        <w:suppressAutoHyphens/>
        <w:spacing w:line="264" w:lineRule="auto"/>
        <w:ind w:left="426" w:hanging="426"/>
        <w:jc w:val="both"/>
        <w:rPr>
          <w:rFonts w:ascii="Arial" w:hAnsi="Arial" w:cs="Arial"/>
          <w:sz w:val="22"/>
          <w:szCs w:val="22"/>
          <w:lang w:val="es-ES"/>
        </w:rPr>
      </w:pPr>
      <w:r w:rsidRPr="009A72CC">
        <w:rPr>
          <w:rFonts w:ascii="Arial" w:hAnsi="Arial" w:cs="Arial"/>
          <w:i/>
          <w:sz w:val="22"/>
          <w:szCs w:val="22"/>
          <w:lang w:val="es-ES"/>
        </w:rPr>
        <w:t>Título</w:t>
      </w:r>
      <w:r w:rsidR="0080549B" w:rsidRPr="009A72CC">
        <w:rPr>
          <w:rFonts w:ascii="Arial" w:hAnsi="Arial" w:cs="Arial"/>
          <w:i/>
          <w:sz w:val="22"/>
          <w:szCs w:val="22"/>
          <w:lang w:val="es-ES"/>
        </w:rPr>
        <w:t>/Nivel</w:t>
      </w:r>
      <w:r w:rsidR="00F35F75" w:rsidRPr="009A72CC">
        <w:rPr>
          <w:rFonts w:ascii="Arial" w:hAnsi="Arial" w:cs="Arial"/>
          <w:i/>
          <w:sz w:val="22"/>
          <w:szCs w:val="22"/>
          <w:lang w:val="es-ES"/>
        </w:rPr>
        <w:t xml:space="preserve"> </w:t>
      </w:r>
      <w:r w:rsidRPr="009A72CC">
        <w:rPr>
          <w:rFonts w:ascii="Arial" w:hAnsi="Arial" w:cs="Arial"/>
          <w:i/>
          <w:sz w:val="22"/>
          <w:szCs w:val="22"/>
          <w:lang w:val="es-ES"/>
        </w:rPr>
        <w:t>Académico</w:t>
      </w:r>
      <w:r w:rsidR="00EB5F2B" w:rsidRPr="009A72CC">
        <w:rPr>
          <w:rFonts w:ascii="Arial" w:hAnsi="Arial" w:cs="Arial"/>
          <w:i/>
          <w:sz w:val="22"/>
          <w:szCs w:val="22"/>
          <w:lang w:val="es-ES"/>
        </w:rPr>
        <w:t xml:space="preserve"> &amp; </w:t>
      </w:r>
      <w:r w:rsidR="00253D5A" w:rsidRPr="009A72CC">
        <w:rPr>
          <w:rFonts w:ascii="Arial" w:hAnsi="Arial" w:cs="Arial"/>
          <w:i/>
          <w:sz w:val="22"/>
          <w:szCs w:val="22"/>
          <w:lang w:val="es-ES"/>
        </w:rPr>
        <w:t xml:space="preserve">Años de </w:t>
      </w:r>
      <w:r w:rsidR="00EB5F2B" w:rsidRPr="009A72CC">
        <w:rPr>
          <w:rFonts w:ascii="Arial" w:hAnsi="Arial" w:cs="Arial"/>
          <w:i/>
          <w:sz w:val="22"/>
          <w:szCs w:val="22"/>
          <w:lang w:val="es-ES"/>
        </w:rPr>
        <w:t>E</w:t>
      </w:r>
      <w:r w:rsidR="00253D5A" w:rsidRPr="009A72CC">
        <w:rPr>
          <w:rFonts w:ascii="Arial" w:hAnsi="Arial" w:cs="Arial"/>
          <w:i/>
          <w:sz w:val="22"/>
          <w:szCs w:val="22"/>
          <w:lang w:val="es-ES"/>
        </w:rPr>
        <w:t xml:space="preserve">xperiencia </w:t>
      </w:r>
      <w:r w:rsidR="00EB5F2B" w:rsidRPr="009A72CC">
        <w:rPr>
          <w:rFonts w:ascii="Arial" w:hAnsi="Arial" w:cs="Arial"/>
          <w:i/>
          <w:sz w:val="22"/>
          <w:szCs w:val="22"/>
          <w:lang w:val="es-ES"/>
        </w:rPr>
        <w:t>P</w:t>
      </w:r>
      <w:r w:rsidR="00253D5A" w:rsidRPr="009A72CC">
        <w:rPr>
          <w:rFonts w:ascii="Arial" w:hAnsi="Arial" w:cs="Arial"/>
          <w:i/>
          <w:sz w:val="22"/>
          <w:szCs w:val="22"/>
          <w:lang w:val="es-ES"/>
        </w:rPr>
        <w:t>rofesional</w:t>
      </w:r>
      <w:r w:rsidR="00253D5A" w:rsidRPr="00951FEF">
        <w:rPr>
          <w:rFonts w:ascii="Arial" w:hAnsi="Arial" w:cs="Arial"/>
          <w:i/>
          <w:sz w:val="22"/>
          <w:szCs w:val="22"/>
          <w:lang w:val="es-ES"/>
        </w:rPr>
        <w:t>:</w:t>
      </w:r>
      <w:r w:rsidR="009A72CC" w:rsidRPr="00951FEF">
        <w:rPr>
          <w:rFonts w:ascii="Arial" w:hAnsi="Arial" w:cs="Arial"/>
          <w:i/>
          <w:sz w:val="22"/>
          <w:szCs w:val="22"/>
          <w:lang w:val="es-ES"/>
        </w:rPr>
        <w:t xml:space="preserve"> </w:t>
      </w:r>
      <w:r w:rsidR="009A72CC" w:rsidRPr="00951FEF">
        <w:rPr>
          <w:rFonts w:ascii="Arial" w:hAnsi="Arial" w:cs="Arial"/>
          <w:sz w:val="22"/>
          <w:szCs w:val="22"/>
          <w:lang w:val="es-ES"/>
        </w:rPr>
        <w:t xml:space="preserve">Profesional en ingeniería civil, ambiental, industrial, economía o afines con posgrado o especialización </w:t>
      </w:r>
      <w:r w:rsidR="005E72B6">
        <w:rPr>
          <w:rFonts w:ascii="Arial" w:hAnsi="Arial" w:cs="Arial"/>
          <w:sz w:val="22"/>
          <w:szCs w:val="22"/>
          <w:lang w:val="es-ES"/>
        </w:rPr>
        <w:t>temas de alimentos</w:t>
      </w:r>
      <w:r w:rsidR="009A72CC" w:rsidRPr="00951FEF">
        <w:rPr>
          <w:rFonts w:ascii="Arial" w:hAnsi="Arial" w:cs="Arial"/>
          <w:sz w:val="22"/>
          <w:szCs w:val="22"/>
          <w:lang w:val="es-ES"/>
        </w:rPr>
        <w:t>. Experiencia de trabajo de al menos 7 años</w:t>
      </w:r>
      <w:r w:rsidR="009A72CC" w:rsidRPr="009A72CC">
        <w:rPr>
          <w:rFonts w:ascii="Arial" w:hAnsi="Arial" w:cs="Arial"/>
          <w:sz w:val="22"/>
          <w:szCs w:val="22"/>
          <w:lang w:val="es-ES"/>
        </w:rPr>
        <w:t xml:space="preserve"> y conocimiento </w:t>
      </w:r>
      <w:r w:rsidR="009A72CC" w:rsidRPr="005E72B6">
        <w:rPr>
          <w:rFonts w:ascii="Arial" w:hAnsi="Arial" w:cs="Arial"/>
          <w:sz w:val="22"/>
          <w:szCs w:val="22"/>
          <w:lang w:val="es-ES"/>
        </w:rPr>
        <w:t xml:space="preserve">del sector de </w:t>
      </w:r>
      <w:r w:rsidR="00AA5494" w:rsidRPr="005E72B6">
        <w:rPr>
          <w:rFonts w:ascii="Arial" w:hAnsi="Arial" w:cs="Arial"/>
          <w:sz w:val="22"/>
          <w:szCs w:val="22"/>
          <w:lang w:val="es-ES"/>
        </w:rPr>
        <w:t>alimentos</w:t>
      </w:r>
      <w:r w:rsidR="009A72CC" w:rsidRPr="005E72B6">
        <w:rPr>
          <w:rFonts w:ascii="Arial" w:hAnsi="Arial" w:cs="Arial"/>
          <w:sz w:val="22"/>
          <w:szCs w:val="22"/>
          <w:lang w:val="es-ES"/>
        </w:rPr>
        <w:t xml:space="preserve"> ya sea a partir de la realización de estudios similares, o bien por haber participado en proyectos vinculados a este sector de la industria. Experiencia de al menos 7 años en desarrollo de Investigaciones con métodos cuantitativos y cualitativos. </w:t>
      </w:r>
    </w:p>
    <w:p w14:paraId="4CF3293A" w14:textId="200BB6F5" w:rsidR="00253D5A" w:rsidRPr="00CE6EB9" w:rsidRDefault="00253D5A" w:rsidP="005E72B6">
      <w:pPr>
        <w:pStyle w:val="ListParagraph"/>
        <w:numPr>
          <w:ilvl w:val="0"/>
          <w:numId w:val="13"/>
        </w:numPr>
        <w:suppressAutoHyphens/>
        <w:spacing w:line="264" w:lineRule="auto"/>
        <w:ind w:left="426" w:hanging="426"/>
        <w:jc w:val="both"/>
        <w:rPr>
          <w:rFonts w:ascii="Arial" w:hAnsi="Arial" w:cs="Arial"/>
          <w:i/>
          <w:sz w:val="22"/>
          <w:szCs w:val="22"/>
          <w:lang w:val="es-ES"/>
        </w:rPr>
      </w:pPr>
      <w:r w:rsidRPr="00CE6EB9">
        <w:rPr>
          <w:rFonts w:ascii="Arial" w:hAnsi="Arial" w:cs="Arial"/>
          <w:i/>
          <w:sz w:val="22"/>
          <w:szCs w:val="22"/>
          <w:lang w:val="es-ES"/>
        </w:rPr>
        <w:t>Idiomas:</w:t>
      </w:r>
      <w:r w:rsidR="009A72CC">
        <w:rPr>
          <w:rFonts w:ascii="Arial" w:hAnsi="Arial" w:cs="Arial"/>
          <w:i/>
          <w:sz w:val="22"/>
          <w:szCs w:val="22"/>
          <w:lang w:val="es-ES"/>
        </w:rPr>
        <w:t xml:space="preserve"> </w:t>
      </w:r>
      <w:proofErr w:type="gramStart"/>
      <w:r w:rsidR="009A72CC" w:rsidRPr="009A72CC">
        <w:rPr>
          <w:rFonts w:ascii="Arial" w:hAnsi="Arial" w:cs="Arial"/>
          <w:sz w:val="22"/>
          <w:szCs w:val="22"/>
          <w:lang w:val="es-ES"/>
        </w:rPr>
        <w:t>Español</w:t>
      </w:r>
      <w:proofErr w:type="gramEnd"/>
      <w:r w:rsidR="009A72CC" w:rsidRPr="009A72CC">
        <w:rPr>
          <w:rFonts w:ascii="Arial" w:hAnsi="Arial" w:cs="Arial"/>
          <w:sz w:val="22"/>
          <w:szCs w:val="22"/>
          <w:lang w:val="es-ES"/>
        </w:rPr>
        <w:t xml:space="preserve"> e inglés</w:t>
      </w:r>
    </w:p>
    <w:p w14:paraId="6D7EE169" w14:textId="77777777" w:rsidR="009A72CC" w:rsidRPr="009A72CC" w:rsidRDefault="00253D5A" w:rsidP="005E72B6">
      <w:pPr>
        <w:pStyle w:val="ListParagraph"/>
        <w:numPr>
          <w:ilvl w:val="0"/>
          <w:numId w:val="13"/>
        </w:numPr>
        <w:suppressAutoHyphens/>
        <w:spacing w:line="264" w:lineRule="auto"/>
        <w:ind w:left="426" w:hanging="426"/>
        <w:jc w:val="both"/>
        <w:rPr>
          <w:rFonts w:ascii="Arial" w:hAnsi="Arial" w:cs="Arial"/>
          <w:sz w:val="22"/>
          <w:szCs w:val="22"/>
          <w:lang w:val="es-ES"/>
        </w:rPr>
      </w:pPr>
      <w:r w:rsidRPr="009A72CC">
        <w:rPr>
          <w:rFonts w:ascii="Arial" w:hAnsi="Arial" w:cs="Arial"/>
          <w:i/>
          <w:sz w:val="22"/>
          <w:szCs w:val="22"/>
          <w:lang w:val="es-ES"/>
        </w:rPr>
        <w:t>Habilidades:</w:t>
      </w:r>
      <w:r w:rsidRPr="009A72CC">
        <w:rPr>
          <w:rFonts w:ascii="Arial" w:hAnsi="Arial" w:cs="Arial"/>
          <w:sz w:val="22"/>
          <w:szCs w:val="22"/>
          <w:lang w:val="es-ES"/>
        </w:rPr>
        <w:t xml:space="preserve"> </w:t>
      </w:r>
      <w:r w:rsidR="009A72CC" w:rsidRPr="009A72CC">
        <w:rPr>
          <w:rFonts w:ascii="Arial" w:hAnsi="Arial" w:cs="Arial"/>
          <w:sz w:val="22"/>
          <w:szCs w:val="22"/>
          <w:lang w:val="es-ES"/>
        </w:rPr>
        <w:t>Deseable experiencia en consultorías para organizaciones de cooperación internacional.</w:t>
      </w:r>
    </w:p>
    <w:p w14:paraId="56676F4D" w14:textId="385344B0" w:rsidR="00A44B2E" w:rsidRPr="009A72CC" w:rsidRDefault="00A44B2E" w:rsidP="009A72CC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6C5741E7" w14:textId="77777777" w:rsidR="00EB7525" w:rsidRPr="00CE6EB9" w:rsidRDefault="00EB7525" w:rsidP="00EB7525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Características de la Consultoría</w:t>
      </w:r>
    </w:p>
    <w:p w14:paraId="6A882610" w14:textId="77777777" w:rsidR="00EB7525" w:rsidRPr="00CE6EB9" w:rsidRDefault="00EB7525" w:rsidP="00EB7525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04292A47" w14:textId="0CAA416B" w:rsidR="00EB7525" w:rsidRPr="00CE6EB9" w:rsidRDefault="00EB7525" w:rsidP="00EB7525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CE6EB9">
        <w:rPr>
          <w:rFonts w:ascii="Arial" w:hAnsi="Arial" w:cs="Arial"/>
          <w:i/>
          <w:sz w:val="22"/>
          <w:szCs w:val="22"/>
          <w:lang w:val="es-ES"/>
        </w:rPr>
        <w:t>Categoría y Modalidad de la Consultoría:</w:t>
      </w:r>
      <w:r w:rsidRPr="00CE6EB9">
        <w:rPr>
          <w:rFonts w:ascii="Arial" w:hAnsi="Arial" w:cs="Arial"/>
          <w:sz w:val="22"/>
          <w:szCs w:val="22"/>
          <w:lang w:val="es-ES"/>
        </w:rPr>
        <w:t xml:space="preserve"> </w:t>
      </w:r>
      <w:r w:rsidR="00577CC0" w:rsidRPr="00CE6EB9">
        <w:rPr>
          <w:rFonts w:ascii="Arial" w:hAnsi="Arial" w:cs="Arial"/>
          <w:sz w:val="22"/>
          <w:szCs w:val="22"/>
          <w:lang w:val="es-ES"/>
        </w:rPr>
        <w:t>Contractual de</w:t>
      </w:r>
      <w:r w:rsidR="007B4F37" w:rsidRPr="00CE6EB9">
        <w:rPr>
          <w:rFonts w:ascii="Arial" w:hAnsi="Arial" w:cs="Arial"/>
          <w:sz w:val="22"/>
          <w:szCs w:val="22"/>
          <w:lang w:val="es-ES"/>
        </w:rPr>
        <w:t xml:space="preserve"> Productos y Servicios Externos, </w:t>
      </w:r>
      <w:r w:rsidR="0080549B" w:rsidRPr="00CE6EB9">
        <w:rPr>
          <w:rFonts w:ascii="Arial" w:hAnsi="Arial" w:cs="Arial"/>
          <w:sz w:val="22"/>
          <w:szCs w:val="22"/>
          <w:lang w:val="es-ES"/>
        </w:rPr>
        <w:t>Suma Alzada</w:t>
      </w:r>
    </w:p>
    <w:p w14:paraId="3A479FF0" w14:textId="5912F268" w:rsidR="00EB7525" w:rsidRPr="00CE6EB9" w:rsidRDefault="003A4515" w:rsidP="00EB7525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CE6EB9">
        <w:rPr>
          <w:rFonts w:ascii="Arial" w:hAnsi="Arial" w:cs="Arial"/>
          <w:i/>
          <w:sz w:val="22"/>
          <w:szCs w:val="22"/>
          <w:lang w:val="es-ES"/>
        </w:rPr>
        <w:t>Duración del Contrato:</w:t>
      </w:r>
      <w:r w:rsidRPr="00CE6EB9">
        <w:rPr>
          <w:rFonts w:ascii="Arial" w:hAnsi="Arial" w:cs="Arial"/>
          <w:sz w:val="22"/>
          <w:szCs w:val="22"/>
          <w:lang w:val="es-ES"/>
        </w:rPr>
        <w:t xml:space="preserve"> </w:t>
      </w:r>
      <w:r w:rsidR="005E72B6">
        <w:rPr>
          <w:rFonts w:ascii="Arial" w:hAnsi="Arial" w:cs="Arial"/>
          <w:sz w:val="22"/>
          <w:szCs w:val="22"/>
          <w:lang w:val="es-ES"/>
        </w:rPr>
        <w:t>8</w:t>
      </w:r>
      <w:r w:rsidR="00DE436A">
        <w:rPr>
          <w:rFonts w:ascii="Arial" w:hAnsi="Arial" w:cs="Arial"/>
          <w:sz w:val="22"/>
          <w:szCs w:val="22"/>
          <w:lang w:val="es-ES"/>
        </w:rPr>
        <w:t xml:space="preserve"> meses </w:t>
      </w:r>
    </w:p>
    <w:p w14:paraId="68CF923A" w14:textId="1493473C" w:rsidR="00EB7525" w:rsidRPr="00CE6EB9" w:rsidRDefault="00EB7525" w:rsidP="00EB7525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CE6EB9">
        <w:rPr>
          <w:rFonts w:ascii="Arial" w:hAnsi="Arial" w:cs="Arial"/>
          <w:i/>
          <w:sz w:val="22"/>
          <w:szCs w:val="22"/>
          <w:lang w:val="es-ES"/>
        </w:rPr>
        <w:t>Lugar(es) de trabajo:</w:t>
      </w:r>
      <w:r w:rsidRPr="00CE6EB9">
        <w:rPr>
          <w:rFonts w:ascii="Arial" w:hAnsi="Arial" w:cs="Arial"/>
          <w:sz w:val="22"/>
          <w:szCs w:val="22"/>
          <w:lang w:val="es-ES"/>
        </w:rPr>
        <w:t xml:space="preserve"> </w:t>
      </w:r>
      <w:r w:rsidR="0080549B" w:rsidRPr="00CE6EB9">
        <w:rPr>
          <w:rFonts w:ascii="Arial" w:hAnsi="Arial" w:cs="Arial"/>
          <w:sz w:val="22"/>
          <w:szCs w:val="22"/>
          <w:lang w:val="es-ES"/>
        </w:rPr>
        <w:t>Consultoría Externa</w:t>
      </w:r>
    </w:p>
    <w:p w14:paraId="7E29A551" w14:textId="195AFB74" w:rsidR="00EB7525" w:rsidRPr="00CE6EB9" w:rsidRDefault="0080549B" w:rsidP="00EB7525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E6EB9">
        <w:rPr>
          <w:rFonts w:ascii="Arial" w:hAnsi="Arial" w:cs="Arial"/>
          <w:i/>
          <w:sz w:val="22"/>
          <w:szCs w:val="22"/>
          <w:lang w:val="es-ES"/>
        </w:rPr>
        <w:t>Líder de División o Coordina</w:t>
      </w:r>
      <w:r w:rsidR="00226385" w:rsidRPr="00CE6EB9">
        <w:rPr>
          <w:rFonts w:ascii="Arial" w:hAnsi="Arial" w:cs="Arial"/>
          <w:i/>
          <w:sz w:val="22"/>
          <w:szCs w:val="22"/>
          <w:lang w:val="es-ES"/>
        </w:rPr>
        <w:t>d</w:t>
      </w:r>
      <w:r w:rsidRPr="00CE6EB9">
        <w:rPr>
          <w:rFonts w:ascii="Arial" w:hAnsi="Arial" w:cs="Arial"/>
          <w:i/>
          <w:sz w:val="22"/>
          <w:szCs w:val="22"/>
          <w:lang w:val="es-ES"/>
        </w:rPr>
        <w:t>or</w:t>
      </w:r>
      <w:r w:rsidR="00EB7525" w:rsidRPr="00CE6EB9">
        <w:rPr>
          <w:rFonts w:ascii="Arial" w:hAnsi="Arial" w:cs="Arial"/>
          <w:i/>
          <w:sz w:val="22"/>
          <w:szCs w:val="22"/>
          <w:lang w:val="es-ES"/>
        </w:rPr>
        <w:t>:</w:t>
      </w:r>
      <w:r w:rsidR="00EB7525" w:rsidRPr="00CE6EB9">
        <w:rPr>
          <w:rFonts w:ascii="Arial" w:hAnsi="Arial" w:cs="Arial"/>
          <w:sz w:val="22"/>
          <w:szCs w:val="22"/>
          <w:lang w:val="es-ES"/>
        </w:rPr>
        <w:t xml:space="preserve"> </w:t>
      </w:r>
      <w:r w:rsidR="00DE436A">
        <w:rPr>
          <w:rFonts w:ascii="Arial" w:hAnsi="Arial" w:cs="Arial"/>
          <w:bCs/>
          <w:sz w:val="22"/>
          <w:szCs w:val="22"/>
          <w:lang w:val="es-ES"/>
        </w:rPr>
        <w:t>German Sturzenegger, Especialista</w:t>
      </w:r>
      <w:r w:rsidR="008F33C7">
        <w:rPr>
          <w:rFonts w:ascii="Arial" w:hAnsi="Arial" w:cs="Arial"/>
          <w:bCs/>
          <w:sz w:val="22"/>
          <w:szCs w:val="22"/>
          <w:lang w:val="es-ES"/>
        </w:rPr>
        <w:t xml:space="preserve"> Senior, INE/WSA</w:t>
      </w:r>
      <w:r w:rsidR="00EB7525" w:rsidRPr="00CE6EB9">
        <w:rPr>
          <w:rFonts w:ascii="Arial" w:hAnsi="Arial" w:cs="Arial"/>
          <w:bCs/>
          <w:sz w:val="22"/>
          <w:szCs w:val="22"/>
          <w:lang w:val="es-ES"/>
        </w:rPr>
        <w:t xml:space="preserve"> </w:t>
      </w:r>
    </w:p>
    <w:p w14:paraId="60B14CEE" w14:textId="77777777" w:rsidR="00440F69" w:rsidRPr="00CE6EB9" w:rsidRDefault="00440F69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1EB803FF" w14:textId="77777777" w:rsidR="00EB7525" w:rsidRPr="00CE6EB9" w:rsidRDefault="00EB7525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080EEC84" w14:textId="70141603" w:rsidR="0099747C" w:rsidRPr="00CE6EB9" w:rsidRDefault="0099747C" w:rsidP="0099747C">
      <w:pPr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E6EB9">
        <w:rPr>
          <w:rFonts w:ascii="Arial" w:hAnsi="Arial" w:cs="Arial"/>
          <w:b/>
          <w:bCs/>
          <w:sz w:val="22"/>
          <w:szCs w:val="22"/>
          <w:lang w:val="es-ES_tradnl"/>
        </w:rPr>
        <w:lastRenderedPageBreak/>
        <w:t>Pago y Condiciones:</w:t>
      </w:r>
      <w:r w:rsidRPr="00CE6EB9">
        <w:rPr>
          <w:rFonts w:ascii="Arial" w:hAnsi="Arial" w:cs="Arial"/>
          <w:sz w:val="22"/>
          <w:szCs w:val="22"/>
          <w:lang w:val="es-ES_tradnl"/>
        </w:rPr>
        <w:t xml:space="preserve"> La compensación será determinada </w:t>
      </w:r>
      <w:proofErr w:type="gramStart"/>
      <w:r w:rsidRPr="00CE6EB9">
        <w:rPr>
          <w:rFonts w:ascii="Arial" w:hAnsi="Arial" w:cs="Arial"/>
          <w:sz w:val="22"/>
          <w:szCs w:val="22"/>
          <w:lang w:val="es-ES_tradnl"/>
        </w:rPr>
        <w:t>de acuerdo a</w:t>
      </w:r>
      <w:proofErr w:type="gramEnd"/>
      <w:r w:rsidRPr="00CE6EB9">
        <w:rPr>
          <w:rFonts w:ascii="Arial" w:hAnsi="Arial" w:cs="Arial"/>
          <w:sz w:val="22"/>
          <w:szCs w:val="22"/>
          <w:lang w:val="es-ES_tradnl"/>
        </w:rPr>
        <w:t xml:space="preserve"> las políticas y procedimientos del Banco. Adicionalmente, los candidatos deberán ser ciudadanos de uno de los países miembros del BID. </w:t>
      </w:r>
    </w:p>
    <w:p w14:paraId="3F943C3A" w14:textId="77777777" w:rsidR="0099747C" w:rsidRPr="00CE6EB9" w:rsidRDefault="0099747C" w:rsidP="0099747C">
      <w:pPr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E6EB9">
        <w:rPr>
          <w:rFonts w:ascii="Arial" w:hAnsi="Arial" w:cs="Arial"/>
          <w:sz w:val="22"/>
          <w:szCs w:val="22"/>
          <w:lang w:val="es-ES_tradnl"/>
        </w:rPr>
        <w:t> </w:t>
      </w:r>
    </w:p>
    <w:p w14:paraId="34D7405B" w14:textId="77777777" w:rsidR="0099747C" w:rsidRPr="00CE6EB9" w:rsidRDefault="0099747C" w:rsidP="0099747C">
      <w:pPr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E6EB9">
        <w:rPr>
          <w:rFonts w:ascii="Arial" w:hAnsi="Arial" w:cs="Arial"/>
          <w:b/>
          <w:bCs/>
          <w:sz w:val="22"/>
          <w:szCs w:val="22"/>
          <w:lang w:val="es-ES_tradnl"/>
        </w:rPr>
        <w:t>Consanguinidad:</w:t>
      </w:r>
      <w:r w:rsidRPr="00CE6EB9">
        <w:rPr>
          <w:rFonts w:ascii="Arial" w:hAnsi="Arial" w:cs="Arial"/>
          <w:sz w:val="22"/>
          <w:szCs w:val="22"/>
          <w:lang w:val="es-ES_tradnl"/>
        </w:rPr>
        <w:t xml:space="preserve"> De conformidad con la política del Banco aplicable, los candidatos con parientes (incluyendo cuarto grado de consanguinidad y segundo grado de afinidad, incluyendo </w:t>
      </w:r>
      <w:r w:rsidRPr="00CE6EB9">
        <w:rPr>
          <w:rFonts w:ascii="Arial" w:hAnsi="Arial" w:cs="Arial"/>
          <w:sz w:val="22"/>
          <w:szCs w:val="22"/>
          <w:lang w:val="es-ES"/>
        </w:rPr>
        <w:t>conyugue</w:t>
      </w:r>
      <w:r w:rsidRPr="00CE6EB9">
        <w:rPr>
          <w:rFonts w:ascii="Arial" w:hAnsi="Arial" w:cs="Arial"/>
          <w:sz w:val="22"/>
          <w:szCs w:val="22"/>
          <w:lang w:val="es-ES_tradnl"/>
        </w:rPr>
        <w:t>) que trabajan para el Banco como funcionario o contractual de la fuerza contractual complementaria, no serán elegibles para proveer servicios al Banco.</w:t>
      </w:r>
    </w:p>
    <w:p w14:paraId="40CCC13E" w14:textId="77777777" w:rsidR="0099747C" w:rsidRPr="00CE6EB9" w:rsidRDefault="0099747C" w:rsidP="0099747C">
      <w:pPr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E6EB9">
        <w:rPr>
          <w:rFonts w:ascii="Arial" w:hAnsi="Arial" w:cs="Arial"/>
          <w:sz w:val="22"/>
          <w:szCs w:val="22"/>
          <w:lang w:val="es-ES_tradnl"/>
        </w:rPr>
        <w:t> </w:t>
      </w:r>
    </w:p>
    <w:p w14:paraId="0A1E4DBB" w14:textId="77777777" w:rsidR="0099747C" w:rsidRPr="00CE6EB9" w:rsidRDefault="0099747C" w:rsidP="0099747C">
      <w:pPr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E6EB9">
        <w:rPr>
          <w:rFonts w:ascii="Arial" w:hAnsi="Arial" w:cs="Arial"/>
          <w:b/>
          <w:bCs/>
          <w:sz w:val="22"/>
          <w:szCs w:val="22"/>
          <w:lang w:val="es-ES_tradnl"/>
        </w:rPr>
        <w:t>Diversidad:</w:t>
      </w:r>
      <w:r w:rsidRPr="00CE6EB9">
        <w:rPr>
          <w:rFonts w:ascii="Arial" w:hAnsi="Arial" w:cs="Arial"/>
          <w:sz w:val="22"/>
          <w:szCs w:val="22"/>
          <w:lang w:val="es-ES_tradnl"/>
        </w:rPr>
        <w:t xml:space="preserve"> El Banco </w:t>
      </w:r>
      <w:r w:rsidRPr="00CE6EB9">
        <w:rPr>
          <w:rFonts w:ascii="Arial" w:hAnsi="Arial" w:cs="Arial"/>
          <w:sz w:val="22"/>
          <w:szCs w:val="22"/>
          <w:lang w:val="es-ES"/>
        </w:rPr>
        <w:t>está</w:t>
      </w:r>
      <w:r w:rsidRPr="00CE6EB9">
        <w:rPr>
          <w:rFonts w:ascii="Arial" w:hAnsi="Arial" w:cs="Arial"/>
          <w:sz w:val="22"/>
          <w:szCs w:val="22"/>
          <w:lang w:val="es-ES_tradnl"/>
        </w:rPr>
        <w:t xml:space="preserve"> comprometido con la diversidad e inclusión y la igualdad de oportunidades para todos los candidatos. Acogemos la diversidad sobre la base de género, edad, educación, origen nacional, origen étnico, raza, discapacidad, orientación sexual, religión, y estatus de VIH/SIDA. Alentamos a aplicar a mujeres, afrodescendientes y a personas de origen indígena.</w:t>
      </w:r>
    </w:p>
    <w:p w14:paraId="4798A91E" w14:textId="77777777" w:rsidR="0099747C" w:rsidRPr="00CE6EB9" w:rsidRDefault="0099747C" w:rsidP="0099747C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21BA68B0" w14:textId="0D9E2C1C" w:rsidR="00A44B2E" w:rsidRPr="00CE6EB9" w:rsidRDefault="00A44B2E" w:rsidP="0099747C">
      <w:pPr>
        <w:jc w:val="both"/>
        <w:rPr>
          <w:rFonts w:ascii="Arial" w:hAnsi="Arial" w:cs="Arial"/>
          <w:b/>
          <w:bCs/>
          <w:iCs/>
          <w:color w:val="000000"/>
          <w:sz w:val="22"/>
          <w:szCs w:val="22"/>
          <w:lang w:val="es-ES"/>
        </w:rPr>
      </w:pPr>
    </w:p>
    <w:sectPr w:rsidR="00A44B2E" w:rsidRPr="00CE6EB9" w:rsidSect="00EB7525">
      <w:headerReference w:type="default" r:id="rId14"/>
      <w:pgSz w:w="12240" w:h="15840"/>
      <w:pgMar w:top="1440" w:right="1440" w:bottom="1440" w:left="1440" w:header="720" w:footer="20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18C57E" w14:textId="77777777" w:rsidR="009A341E" w:rsidRDefault="009A341E">
      <w:r>
        <w:separator/>
      </w:r>
    </w:p>
  </w:endnote>
  <w:endnote w:type="continuationSeparator" w:id="0">
    <w:p w14:paraId="6547FE13" w14:textId="77777777" w:rsidR="009A341E" w:rsidRDefault="009A3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84CF2" w14:textId="77777777" w:rsidR="009A341E" w:rsidRDefault="009A341E">
      <w:r>
        <w:separator/>
      </w:r>
    </w:p>
  </w:footnote>
  <w:footnote w:type="continuationSeparator" w:id="0">
    <w:p w14:paraId="40D0C518" w14:textId="77777777" w:rsidR="009A341E" w:rsidRDefault="009A341E">
      <w:r>
        <w:continuationSeparator/>
      </w:r>
    </w:p>
  </w:footnote>
  <w:footnote w:id="1">
    <w:p w14:paraId="693C9B28" w14:textId="30767F7C" w:rsidR="00076059" w:rsidRPr="00076059" w:rsidRDefault="0007605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F64F13">
          <w:rPr>
            <w:rStyle w:val="Hyperlink"/>
          </w:rPr>
          <w:t>http://flwprotocol.org/wp-content/uploads/2016/05/FLW-Standard-full-report-SPANISH.pdf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0AA72" w14:textId="1C57C99D" w:rsidR="0080549B" w:rsidRPr="0080549B" w:rsidRDefault="0080549B" w:rsidP="0080549B">
    <w:pPr>
      <w:pStyle w:val="Header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D60D7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D8017A6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122379D2"/>
    <w:multiLevelType w:val="hybridMultilevel"/>
    <w:tmpl w:val="214EF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07446"/>
    <w:multiLevelType w:val="hybridMultilevel"/>
    <w:tmpl w:val="D4F8B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43CA6"/>
    <w:multiLevelType w:val="hybridMultilevel"/>
    <w:tmpl w:val="C7C215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C26D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2654122D"/>
    <w:multiLevelType w:val="hybridMultilevel"/>
    <w:tmpl w:val="12D27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D6607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48B75CDA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5BA21E9D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5C945676"/>
    <w:multiLevelType w:val="multilevel"/>
    <w:tmpl w:val="9F54D208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2176A7E"/>
    <w:multiLevelType w:val="hybridMultilevel"/>
    <w:tmpl w:val="DADA614A"/>
    <w:lvl w:ilvl="0" w:tplc="61B48A3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646B0A"/>
    <w:multiLevelType w:val="hybridMultilevel"/>
    <w:tmpl w:val="41D4BC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6937CE"/>
    <w:multiLevelType w:val="hybridMultilevel"/>
    <w:tmpl w:val="608E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9"/>
  </w:num>
  <w:num w:numId="5">
    <w:abstractNumId w:val="7"/>
  </w:num>
  <w:num w:numId="6">
    <w:abstractNumId w:val="1"/>
  </w:num>
  <w:num w:numId="7">
    <w:abstractNumId w:val="0"/>
  </w:num>
  <w:num w:numId="8">
    <w:abstractNumId w:val="6"/>
  </w:num>
  <w:num w:numId="9">
    <w:abstractNumId w:val="13"/>
  </w:num>
  <w:num w:numId="10">
    <w:abstractNumId w:val="12"/>
  </w:num>
  <w:num w:numId="11">
    <w:abstractNumId w:val="2"/>
  </w:num>
  <w:num w:numId="12">
    <w:abstractNumId w:val="11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F25"/>
    <w:rsid w:val="0000336D"/>
    <w:rsid w:val="000215DB"/>
    <w:rsid w:val="0003688F"/>
    <w:rsid w:val="00044AB8"/>
    <w:rsid w:val="00060C54"/>
    <w:rsid w:val="00076059"/>
    <w:rsid w:val="00086701"/>
    <w:rsid w:val="00091E16"/>
    <w:rsid w:val="000A13F8"/>
    <w:rsid w:val="000D2BEA"/>
    <w:rsid w:val="00101F44"/>
    <w:rsid w:val="00125243"/>
    <w:rsid w:val="00125BF5"/>
    <w:rsid w:val="00173297"/>
    <w:rsid w:val="00176A3C"/>
    <w:rsid w:val="001A0B27"/>
    <w:rsid w:val="00202CC0"/>
    <w:rsid w:val="00220829"/>
    <w:rsid w:val="00226385"/>
    <w:rsid w:val="00236887"/>
    <w:rsid w:val="00253D5A"/>
    <w:rsid w:val="00263584"/>
    <w:rsid w:val="002665F3"/>
    <w:rsid w:val="002832E3"/>
    <w:rsid w:val="00292FB0"/>
    <w:rsid w:val="002B411D"/>
    <w:rsid w:val="002E4AC0"/>
    <w:rsid w:val="002F1096"/>
    <w:rsid w:val="00341B65"/>
    <w:rsid w:val="003500A6"/>
    <w:rsid w:val="0035019B"/>
    <w:rsid w:val="0036557D"/>
    <w:rsid w:val="00373B1F"/>
    <w:rsid w:val="00381358"/>
    <w:rsid w:val="003871E3"/>
    <w:rsid w:val="00387C6A"/>
    <w:rsid w:val="003A4515"/>
    <w:rsid w:val="003C6E41"/>
    <w:rsid w:val="003E7A71"/>
    <w:rsid w:val="003F7AF7"/>
    <w:rsid w:val="00411D4A"/>
    <w:rsid w:val="00414E38"/>
    <w:rsid w:val="00436B94"/>
    <w:rsid w:val="00440F69"/>
    <w:rsid w:val="00441CB8"/>
    <w:rsid w:val="00452A7C"/>
    <w:rsid w:val="00454088"/>
    <w:rsid w:val="00457C3E"/>
    <w:rsid w:val="00481545"/>
    <w:rsid w:val="004B2E40"/>
    <w:rsid w:val="004F2393"/>
    <w:rsid w:val="00500CEE"/>
    <w:rsid w:val="00577CC0"/>
    <w:rsid w:val="005907C2"/>
    <w:rsid w:val="005B3C8C"/>
    <w:rsid w:val="005B7F25"/>
    <w:rsid w:val="005D2E32"/>
    <w:rsid w:val="005E72B6"/>
    <w:rsid w:val="00620D13"/>
    <w:rsid w:val="00621CA7"/>
    <w:rsid w:val="006364C0"/>
    <w:rsid w:val="006418B2"/>
    <w:rsid w:val="00673AD4"/>
    <w:rsid w:val="006C752F"/>
    <w:rsid w:val="006F769E"/>
    <w:rsid w:val="00702F04"/>
    <w:rsid w:val="00703E70"/>
    <w:rsid w:val="007141A4"/>
    <w:rsid w:val="00726484"/>
    <w:rsid w:val="00744231"/>
    <w:rsid w:val="00751A7E"/>
    <w:rsid w:val="00752A29"/>
    <w:rsid w:val="00781896"/>
    <w:rsid w:val="007B4F37"/>
    <w:rsid w:val="007D6847"/>
    <w:rsid w:val="007D7B6B"/>
    <w:rsid w:val="0080549B"/>
    <w:rsid w:val="00833F25"/>
    <w:rsid w:val="00861EA7"/>
    <w:rsid w:val="00864FA2"/>
    <w:rsid w:val="0087491E"/>
    <w:rsid w:val="00883C68"/>
    <w:rsid w:val="008F33C7"/>
    <w:rsid w:val="008F5BBF"/>
    <w:rsid w:val="00930FFF"/>
    <w:rsid w:val="00951FEF"/>
    <w:rsid w:val="0097784A"/>
    <w:rsid w:val="00993F1D"/>
    <w:rsid w:val="0099747C"/>
    <w:rsid w:val="009A341E"/>
    <w:rsid w:val="009A72CC"/>
    <w:rsid w:val="009E049C"/>
    <w:rsid w:val="009E3A88"/>
    <w:rsid w:val="009F43F3"/>
    <w:rsid w:val="00A03A43"/>
    <w:rsid w:val="00A066FE"/>
    <w:rsid w:val="00A26680"/>
    <w:rsid w:val="00A40CC3"/>
    <w:rsid w:val="00A44B2E"/>
    <w:rsid w:val="00A523DA"/>
    <w:rsid w:val="00A94A9B"/>
    <w:rsid w:val="00AA5494"/>
    <w:rsid w:val="00AA7A0A"/>
    <w:rsid w:val="00AB4A77"/>
    <w:rsid w:val="00AB4FE9"/>
    <w:rsid w:val="00AC6FD5"/>
    <w:rsid w:val="00AE2BDA"/>
    <w:rsid w:val="00AE3B5D"/>
    <w:rsid w:val="00AF39CD"/>
    <w:rsid w:val="00B0449F"/>
    <w:rsid w:val="00B10C07"/>
    <w:rsid w:val="00B64080"/>
    <w:rsid w:val="00B7170F"/>
    <w:rsid w:val="00B81C19"/>
    <w:rsid w:val="00BA5AEC"/>
    <w:rsid w:val="00BC3050"/>
    <w:rsid w:val="00BC434D"/>
    <w:rsid w:val="00C13E5D"/>
    <w:rsid w:val="00C16958"/>
    <w:rsid w:val="00C21F73"/>
    <w:rsid w:val="00C34A1F"/>
    <w:rsid w:val="00C96376"/>
    <w:rsid w:val="00CA6BB8"/>
    <w:rsid w:val="00CB6B5A"/>
    <w:rsid w:val="00CE6EB9"/>
    <w:rsid w:val="00D002F6"/>
    <w:rsid w:val="00D17FF5"/>
    <w:rsid w:val="00D4452D"/>
    <w:rsid w:val="00D956AD"/>
    <w:rsid w:val="00DB30DA"/>
    <w:rsid w:val="00DC365C"/>
    <w:rsid w:val="00DE1B23"/>
    <w:rsid w:val="00DE436A"/>
    <w:rsid w:val="00DF4CD8"/>
    <w:rsid w:val="00E357B9"/>
    <w:rsid w:val="00E36B37"/>
    <w:rsid w:val="00EA2DB3"/>
    <w:rsid w:val="00EA5CBD"/>
    <w:rsid w:val="00EB5F2B"/>
    <w:rsid w:val="00EB6C76"/>
    <w:rsid w:val="00EB7525"/>
    <w:rsid w:val="00EC73A3"/>
    <w:rsid w:val="00F25F3A"/>
    <w:rsid w:val="00F34385"/>
    <w:rsid w:val="00F35F75"/>
    <w:rsid w:val="00F376AC"/>
    <w:rsid w:val="00F87B29"/>
    <w:rsid w:val="00FB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F32918"/>
  <w15:docId w15:val="{5C19CEB8-A97A-411A-9AC8-2FE9D6841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6FD5"/>
  </w:style>
  <w:style w:type="paragraph" w:styleId="Heading1">
    <w:name w:val="heading 1"/>
    <w:basedOn w:val="Normal"/>
    <w:next w:val="Normal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semiHidden/>
    <w:rsid w:val="00AC6FD5"/>
    <w:rPr>
      <w:sz w:val="24"/>
    </w:rPr>
  </w:style>
  <w:style w:type="paragraph" w:styleId="ListParagraph">
    <w:name w:val="List Paragraph"/>
    <w:basedOn w:val="Normal"/>
    <w:link w:val="ListParagraphChar"/>
    <w:uiPriority w:val="34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04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49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49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49C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500A6"/>
  </w:style>
  <w:style w:type="paragraph" w:styleId="FootnoteText">
    <w:name w:val="footnote text"/>
    <w:basedOn w:val="Normal"/>
    <w:link w:val="FootnoteTextChar"/>
    <w:uiPriority w:val="99"/>
    <w:semiHidden/>
    <w:unhideWhenUsed/>
    <w:rsid w:val="0007605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6059"/>
  </w:style>
  <w:style w:type="character" w:styleId="FootnoteReference">
    <w:name w:val="footnote reference"/>
    <w:basedOn w:val="DefaultParagraphFont"/>
    <w:uiPriority w:val="99"/>
    <w:semiHidden/>
    <w:unhideWhenUsed/>
    <w:rsid w:val="0007605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7605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605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customXml" Target="../customXml/item8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1" Type="http://schemas.openxmlformats.org/officeDocument/2006/relationships/webSettings" Target="webSettings.xml"/><Relationship Id="rId6" Type="http://schemas.openxmlformats.org/officeDocument/2006/relationships/customXml" Target="../customXml/item6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flwprotocol.org/wp-content/uploads/2016/05/FLW-Standard-full-report-SPANISH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836975F416251940952E5F779E528682" ma:contentTypeVersion="214" ma:contentTypeDescription="A content type to manage public (operations) IDB documents" ma:contentTypeScope="" ma:versionID="99c8a162a8da7be65cc22504eb71008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e1fee30decd26ecc16d806ecfd1e551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RG-T3229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IDBDocs_x0020_Number xmlns="cdc7663a-08f0-4737-9e8c-148ce897a09c" xsi:nil="true"/>
    <Division_x0020_or_x0020_Unit xmlns="cdc7663a-08f0-4737-9e8c-148ce897a09c">INE/WSA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ATN/OC-16771-RG;ATN/OC-16772-RG;</Approval_x0020_Number>
    <Phase xmlns="cdc7663a-08f0-4737-9e8c-148ce897a09c" xsi:nil="true"/>
    <Document_x0020_Author xmlns="cdc7663a-08f0-4737-9e8c-148ce897a09c">Guerrero Rivera, Marilyn Ivette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58dede58-0f72-4d2f-8205-0b2af4d108e7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</TermName>
          <TermId xmlns="http://schemas.microsoft.com/office/infopath/2007/PartnerControls">474aab72-0205-4196-bca7-4b288939fcb3</TermId>
        </TermInfo>
        <TermInfo xmlns="http://schemas.microsoft.com/office/infopath/2007/PartnerControls">
          <TermName xmlns="http://schemas.microsoft.com/office/infopath/2007/PartnerControls">SUS</TermName>
          <TermId xmlns="http://schemas.microsoft.com/office/infopath/2007/PartnerControls">a52fbbab-6bb9-4f53-9a43-d35ec8453bb2</TermId>
        </TermInfo>
      </Terms>
    </g511464f9e53401d84b16fa9b379a574>
    <Related_x0020_SisCor_x0020_Number xmlns="cdc7663a-08f0-4737-9e8c-148ce897a09c" xsi:nil="true"/>
    <TaxCatchAll xmlns="cdc7663a-08f0-4737-9e8c-148ce897a09c">
      <Value>713</Value>
      <Value>46</Value>
      <Value>44</Value>
      <Value>483</Value>
      <Value>237</Value>
      <Value>1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RG-T3229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>R0002148087</Record_x0020_Number>
    <_dlc_DocId xmlns="cdc7663a-08f0-4737-9e8c-148ce897a09c">EZSHARE-1894498617-5</_dlc_DocId>
    <_dlc_DocIdUrl xmlns="cdc7663a-08f0-4737-9e8c-148ce897a09c">
      <Url>https://idbg.sharepoint.com/teams/EZ-RG-TCP/RG-T3229/_layouts/15/DocIdRedir.aspx?ID=EZSHARE-1894498617-5</Url>
      <Description>EZSHARE-1894498617-5</Description>
    </_dlc_DocIdUrl>
    <Disclosure_x0020_Activity xmlns="cdc7663a-08f0-4737-9e8c-148ce897a09c">Approved TC document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BBEF80F5-B40B-40A9-A1BA-DEB9445BB44F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ECAAF9ED-6D0E-4DF0-8239-7CA1F3001397}"/>
</file>

<file path=customXml/itemProps3.xml><?xml version="1.0" encoding="utf-8"?>
<ds:datastoreItem xmlns:ds="http://schemas.openxmlformats.org/officeDocument/2006/customXml" ds:itemID="{6F2594C3-B4AF-4073-BF6D-6D68EBFC309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AD2CAF9-B0E5-4AFF-8BC4-A17243F667CE}"/>
</file>

<file path=customXml/itemProps5.xml><?xml version="1.0" encoding="utf-8"?>
<ds:datastoreItem xmlns:ds="http://schemas.openxmlformats.org/officeDocument/2006/customXml" ds:itemID="{69CA715C-592A-494E-9B89-2C3E1A0381A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C20A276F-B470-4102-A6DD-F34CA3F4E4DA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dc7663a-08f0-4737-9e8c-148ce897a09c"/>
    <ds:schemaRef ds:uri="http://www.w3.org/XML/1998/namespace"/>
    <ds:schemaRef ds:uri="http://purl.org/dc/dcmitype/"/>
  </ds:schemaRefs>
</ds:datastoreItem>
</file>

<file path=customXml/itemProps7.xml><?xml version="1.0" encoding="utf-8"?>
<ds:datastoreItem xmlns:ds="http://schemas.openxmlformats.org/officeDocument/2006/customXml" ds:itemID="{659D3A70-0911-42E8-A92D-731C7D4B790E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2FAC8CD3-7A47-4226-BEDB-A48851176C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4</Pages>
  <Words>1363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</vt:lpstr>
    </vt:vector>
  </TitlesOfParts>
  <Company>Inter-American Development Bank</Company>
  <LinksUpToDate>false</LinksUpToDate>
  <CharactersWithSpaces>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</dc:title>
  <dc:creator>ITS/ITC</dc:creator>
  <cp:keywords/>
  <cp:lastModifiedBy>Guerrero Rivera, Marilyn Ivette</cp:lastModifiedBy>
  <cp:revision>44</cp:revision>
  <dcterms:created xsi:type="dcterms:W3CDTF">2018-02-26T22:46:00Z</dcterms:created>
  <dcterms:modified xsi:type="dcterms:W3CDTF">2018-06-14T20:08:00Z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Function Operations IDB">
    <vt:lpwstr>1;#Project Preparation, Planning and Design|29ca0c72-1fc4-435f-a09c-28585cb5eac9</vt:lpwstr>
  </property>
  <property fmtid="{D5CDD505-2E9C-101B-9397-08002B2CF9AE}" pid="4" name="TaxKeyword">
    <vt:lpwstr/>
  </property>
  <property fmtid="{D5CDD505-2E9C-101B-9397-08002B2CF9AE}" pid="5" name="TaxKeywordTaxHTField">
    <vt:lpwstr/>
  </property>
  <property fmtid="{D5CDD505-2E9C-101B-9397-08002B2CF9AE}" pid="6" name="Series Operations IDB">
    <vt:lpwstr/>
  </property>
  <property fmtid="{D5CDD505-2E9C-101B-9397-08002B2CF9AE}" pid="7" name="Sub-Sector">
    <vt:lpwstr>713;#WATER AND SANITATION|58dede58-0f72-4d2f-8205-0b2af4d108e7</vt:lpwstr>
  </property>
  <property fmtid="{D5CDD505-2E9C-101B-9397-08002B2CF9AE}" pid="8" name="Fund IDB">
    <vt:lpwstr>46;#INF|474aab72-0205-4196-bca7-4b288939fcb3;#483;#SUS|a52fbbab-6bb9-4f53-9a43-d35ec8453bb2</vt:lpwstr>
  </property>
  <property fmtid="{D5CDD505-2E9C-101B-9397-08002B2CF9AE}" pid="9" name="Country">
    <vt:lpwstr>44;#Regional|2537a5b7-6d8e-482c-94dc-32c3cc44ff65</vt:lpwstr>
  </property>
  <property fmtid="{D5CDD505-2E9C-101B-9397-08002B2CF9AE}" pid="10" name="Sector IDB">
    <vt:lpwstr>237;#WATER AND SANITATION|ba6b63cd-e402-47cb-9357-08149f7ce046</vt:lpwstr>
  </property>
  <property fmtid="{D5CDD505-2E9C-101B-9397-08002B2CF9AE}" pid="11" name="_dlc_DocIdItemGuid">
    <vt:lpwstr>fbb3e0c2-88bd-4030-b3cb-74b04c42f4ff</vt:lpwstr>
  </property>
  <property fmtid="{D5CDD505-2E9C-101B-9397-08002B2CF9AE}" pid="13" name="RecordStorageActiveId">
    <vt:lpwstr>3760f246-3457-475a-a274-2aada67d0d1b</vt:lpwstr>
  </property>
  <property fmtid="{D5CDD505-2E9C-101B-9397-08002B2CF9AE}" pid="14" name="ContentTypeId">
    <vt:lpwstr>0x0101001A458A224826124E8B45B1D613300CFC00836975F416251940952E5F779E528682</vt:lpwstr>
  </property>
</Properties>
</file>