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CC0" w:rsidRPr="000E39DC" w:rsidRDefault="00D95CC0" w:rsidP="00D95CC0">
      <w:pPr>
        <w:spacing w:after="0" w:line="240" w:lineRule="auto"/>
        <w:jc w:val="center"/>
        <w:rPr>
          <w:b/>
        </w:rPr>
      </w:pPr>
      <w:r w:rsidRPr="000E39DC">
        <w:rPr>
          <w:b/>
        </w:rPr>
        <w:t>TC DOCUMENT</w:t>
      </w:r>
    </w:p>
    <w:p w:rsidR="00D95CC0" w:rsidRPr="000E39DC" w:rsidRDefault="00D95CC0" w:rsidP="00D95CC0">
      <w:pPr>
        <w:spacing w:after="0" w:line="240" w:lineRule="auto"/>
        <w:jc w:val="both"/>
        <w:rPr>
          <w:b/>
        </w:rPr>
      </w:pPr>
    </w:p>
    <w:p w:rsidR="00D95CC0" w:rsidRPr="000E39DC" w:rsidRDefault="00D95CC0" w:rsidP="00D95CC0">
      <w:pPr>
        <w:pStyle w:val="ListParagraph"/>
        <w:numPr>
          <w:ilvl w:val="0"/>
          <w:numId w:val="2"/>
        </w:numPr>
        <w:spacing w:after="0" w:line="240" w:lineRule="auto"/>
        <w:contextualSpacing w:val="0"/>
        <w:jc w:val="both"/>
        <w:rPr>
          <w:b/>
        </w:rPr>
      </w:pPr>
      <w:r w:rsidRPr="000E39DC">
        <w:rPr>
          <w:b/>
        </w:rPr>
        <w:t>Basic Information for TC</w:t>
      </w:r>
    </w:p>
    <w:p w:rsidR="00D95CC0" w:rsidRPr="000E39DC" w:rsidRDefault="00D95CC0" w:rsidP="00D95CC0">
      <w:pPr>
        <w:pStyle w:val="ListParagraph"/>
        <w:numPr>
          <w:ilvl w:val="0"/>
          <w:numId w:val="1"/>
        </w:numPr>
        <w:spacing w:after="0" w:line="240" w:lineRule="auto"/>
        <w:jc w:val="both"/>
      </w:pPr>
      <w:r w:rsidRPr="000E39DC">
        <w:t xml:space="preserve">Country/Region: </w:t>
      </w:r>
      <w:r>
        <w:t>HONDURAS</w:t>
      </w:r>
    </w:p>
    <w:p w:rsidR="00D95CC0" w:rsidRPr="000E39DC" w:rsidRDefault="00D95CC0" w:rsidP="00D95CC0">
      <w:pPr>
        <w:pStyle w:val="ListParagraph"/>
        <w:numPr>
          <w:ilvl w:val="0"/>
          <w:numId w:val="1"/>
        </w:numPr>
        <w:spacing w:after="0" w:line="240" w:lineRule="auto"/>
        <w:jc w:val="both"/>
      </w:pPr>
      <w:r w:rsidRPr="000E39DC">
        <w:t xml:space="preserve">TC Name: </w:t>
      </w:r>
      <w:r>
        <w:t>AGALTA VALLEY PAYMENT FOR ECOSYSTEM SERVICES SCHEME</w:t>
      </w:r>
    </w:p>
    <w:p w:rsidR="00D95CC0" w:rsidRPr="00AC2A43" w:rsidRDefault="00D95CC0" w:rsidP="00D95CC0">
      <w:pPr>
        <w:pStyle w:val="ListParagraph"/>
        <w:numPr>
          <w:ilvl w:val="0"/>
          <w:numId w:val="1"/>
        </w:numPr>
        <w:spacing w:after="0" w:line="240" w:lineRule="auto"/>
        <w:jc w:val="both"/>
        <w:rPr>
          <w:b/>
        </w:rPr>
      </w:pPr>
      <w:r w:rsidRPr="00AC2A43">
        <w:t>TC Number: HO-T1196</w:t>
      </w:r>
    </w:p>
    <w:p w:rsidR="00D95CC0" w:rsidRPr="005A42F2" w:rsidRDefault="00D95CC0" w:rsidP="00D95CC0">
      <w:pPr>
        <w:pStyle w:val="ListParagraph"/>
        <w:numPr>
          <w:ilvl w:val="0"/>
          <w:numId w:val="1"/>
        </w:numPr>
        <w:spacing w:after="0" w:line="240" w:lineRule="auto"/>
        <w:jc w:val="both"/>
      </w:pPr>
      <w:r w:rsidRPr="000E39DC">
        <w:t>Associated Loan/</w:t>
      </w:r>
      <w:r w:rsidRPr="005A42F2">
        <w:t xml:space="preserve">Guarantee Name: </w:t>
      </w:r>
      <w:r>
        <w:t>HO-L1033 (2155/BL-HO)</w:t>
      </w:r>
    </w:p>
    <w:p w:rsidR="00D95CC0" w:rsidRDefault="00D95CC0" w:rsidP="00D95CC0">
      <w:pPr>
        <w:pStyle w:val="ListParagraph"/>
        <w:numPr>
          <w:ilvl w:val="0"/>
          <w:numId w:val="1"/>
        </w:numPr>
        <w:spacing w:after="0" w:line="240" w:lineRule="auto"/>
        <w:jc w:val="both"/>
      </w:pPr>
      <w:r w:rsidRPr="005A42F2">
        <w:t>Associated Loan/Guarantee Number: n/a</w:t>
      </w:r>
    </w:p>
    <w:p w:rsidR="00D95CC0" w:rsidRDefault="00D95CC0" w:rsidP="00D95CC0">
      <w:pPr>
        <w:pStyle w:val="ListParagraph"/>
        <w:numPr>
          <w:ilvl w:val="0"/>
          <w:numId w:val="1"/>
        </w:numPr>
        <w:spacing w:after="0" w:line="240" w:lineRule="auto"/>
        <w:jc w:val="both"/>
      </w:pPr>
      <w:r w:rsidRPr="005A42F2">
        <w:t>Team Leader:</w:t>
      </w:r>
      <w:r w:rsidRPr="008C1FA8">
        <w:t xml:space="preserve"> </w:t>
      </w:r>
      <w:r>
        <w:t>Seth Factor</w:t>
      </w:r>
      <w:r w:rsidRPr="008C1FA8">
        <w:t xml:space="preserve"> (</w:t>
      </w:r>
      <w:r>
        <w:t>VPS/ESG</w:t>
      </w:r>
      <w:r w:rsidRPr="008C1FA8">
        <w:t xml:space="preserve">); Team members: </w:t>
      </w:r>
      <w:r>
        <w:t>Graham Watkins (VPS/ESG</w:t>
      </w:r>
      <w:r w:rsidRPr="008C1FA8">
        <w:t>);</w:t>
      </w:r>
      <w:r>
        <w:t xml:space="preserve"> Ernesto Monter Flores (VPS/ESG)</w:t>
      </w:r>
      <w:r w:rsidRPr="008C1FA8">
        <w:t xml:space="preserve">; Ashley Camhi (INE/RND); </w:t>
      </w:r>
      <w:r>
        <w:t>Rodrigo Martinez (INE/CCS); Juan Carlos Pérez-</w:t>
      </w:r>
      <w:proofErr w:type="spellStart"/>
      <w:r>
        <w:t>Segnini</w:t>
      </w:r>
      <w:proofErr w:type="spellEnd"/>
      <w:r>
        <w:t xml:space="preserve"> </w:t>
      </w:r>
      <w:r w:rsidRPr="00794C4D">
        <w:t>(LEG/SGO)</w:t>
      </w:r>
      <w:r>
        <w:t xml:space="preserve">; Daniel Torres-Gracia (TSP/CHO); and </w:t>
      </w:r>
      <w:r w:rsidRPr="0072754F">
        <w:t>Doris Melissa</w:t>
      </w:r>
      <w:r>
        <w:t xml:space="preserve"> Barandiaran Salcedo (VPS/ESG)</w:t>
      </w:r>
    </w:p>
    <w:p w:rsidR="00D95CC0" w:rsidRPr="005A42F2" w:rsidRDefault="00D95CC0" w:rsidP="00D95CC0">
      <w:pPr>
        <w:pStyle w:val="ListParagraph"/>
        <w:numPr>
          <w:ilvl w:val="0"/>
          <w:numId w:val="1"/>
        </w:numPr>
        <w:spacing w:after="0" w:line="240" w:lineRule="auto"/>
        <w:jc w:val="both"/>
      </w:pPr>
      <w:r>
        <w:t>Client Support</w:t>
      </w:r>
    </w:p>
    <w:p w:rsidR="00D95CC0" w:rsidRPr="007A5481" w:rsidRDefault="00D95CC0" w:rsidP="00D95CC0">
      <w:pPr>
        <w:pStyle w:val="ListParagraph"/>
        <w:numPr>
          <w:ilvl w:val="0"/>
          <w:numId w:val="1"/>
        </w:numPr>
        <w:spacing w:after="0" w:line="240" w:lineRule="auto"/>
        <w:jc w:val="both"/>
      </w:pPr>
      <w:r w:rsidRPr="007A5481">
        <w:t xml:space="preserve">Date of TC Abstract authorization: </w:t>
      </w:r>
      <w:r w:rsidRPr="00794C4D">
        <w:t>July 23, 2013</w:t>
      </w:r>
    </w:p>
    <w:p w:rsidR="00D95CC0" w:rsidRPr="00B33296" w:rsidRDefault="00D95CC0" w:rsidP="00D95CC0">
      <w:pPr>
        <w:pStyle w:val="ListParagraph"/>
        <w:numPr>
          <w:ilvl w:val="0"/>
          <w:numId w:val="1"/>
        </w:numPr>
        <w:spacing w:after="0" w:line="240" w:lineRule="auto"/>
        <w:jc w:val="both"/>
      </w:pPr>
      <w:r w:rsidRPr="00B33296">
        <w:t>Donors providing funding: n/a</w:t>
      </w:r>
    </w:p>
    <w:p w:rsidR="00D95CC0" w:rsidRPr="00346C3C" w:rsidRDefault="00D95CC0" w:rsidP="00D95CC0">
      <w:pPr>
        <w:pStyle w:val="ListParagraph"/>
        <w:numPr>
          <w:ilvl w:val="0"/>
          <w:numId w:val="1"/>
        </w:numPr>
        <w:spacing w:after="0" w:line="240" w:lineRule="auto"/>
        <w:jc w:val="both"/>
      </w:pPr>
      <w:r w:rsidRPr="00C549CC">
        <w:t xml:space="preserve">Beneficiary: </w:t>
      </w:r>
      <w:r>
        <w:t>HONDURAS</w:t>
      </w:r>
    </w:p>
    <w:p w:rsidR="00D95CC0" w:rsidRPr="005A42F2" w:rsidRDefault="00D95CC0" w:rsidP="00D95CC0">
      <w:pPr>
        <w:pStyle w:val="ListParagraph"/>
        <w:numPr>
          <w:ilvl w:val="0"/>
          <w:numId w:val="1"/>
        </w:numPr>
        <w:spacing w:after="0" w:line="240" w:lineRule="auto"/>
        <w:jc w:val="both"/>
      </w:pPr>
      <w:r w:rsidRPr="005A42F2">
        <w:t xml:space="preserve">Executing Agency and contact name: </w:t>
      </w:r>
      <w:r>
        <w:t>Bank executed.</w:t>
      </w:r>
    </w:p>
    <w:p w:rsidR="00D95CC0" w:rsidRPr="005A42F2" w:rsidRDefault="00D95CC0" w:rsidP="00D95CC0">
      <w:pPr>
        <w:pStyle w:val="ListParagraph"/>
        <w:numPr>
          <w:ilvl w:val="0"/>
          <w:numId w:val="1"/>
        </w:numPr>
        <w:spacing w:after="0" w:line="240" w:lineRule="auto"/>
        <w:jc w:val="both"/>
      </w:pPr>
      <w:r w:rsidRPr="005A42F2">
        <w:t>IDB Funding Requested: US$</w:t>
      </w:r>
      <w:r>
        <w:t>150</w:t>
      </w:r>
      <w:r w:rsidRPr="005A42F2">
        <w:t>,000</w:t>
      </w:r>
      <w:r>
        <w:t xml:space="preserve"> (Special Program for Biodiversity and Ecosystem Services)</w:t>
      </w:r>
    </w:p>
    <w:p w:rsidR="00D95CC0" w:rsidRPr="005A42F2" w:rsidRDefault="00D95CC0" w:rsidP="00D95CC0">
      <w:pPr>
        <w:pStyle w:val="ListParagraph"/>
        <w:numPr>
          <w:ilvl w:val="0"/>
          <w:numId w:val="1"/>
        </w:numPr>
        <w:spacing w:after="0" w:line="240" w:lineRule="auto"/>
        <w:jc w:val="both"/>
      </w:pPr>
      <w:r w:rsidRPr="005A42F2">
        <w:t xml:space="preserve">Local counterpart funding, if any: </w:t>
      </w:r>
      <w:r>
        <w:t>Co-financed by ABC: US$15,000</w:t>
      </w:r>
      <w:r w:rsidR="00EF46E7">
        <w:t xml:space="preserve"> (in </w:t>
      </w:r>
      <w:r w:rsidR="004A1702">
        <w:t>kind</w:t>
      </w:r>
      <w:r w:rsidR="00EF46E7">
        <w:t xml:space="preserve">) </w:t>
      </w:r>
    </w:p>
    <w:p w:rsidR="009018A2" w:rsidRDefault="00D95CC0" w:rsidP="00D95CC0">
      <w:pPr>
        <w:pStyle w:val="ListParagraph"/>
        <w:numPr>
          <w:ilvl w:val="0"/>
          <w:numId w:val="1"/>
        </w:numPr>
        <w:spacing w:after="0" w:line="240" w:lineRule="auto"/>
        <w:jc w:val="both"/>
      </w:pPr>
      <w:r w:rsidRPr="005A42F2">
        <w:t xml:space="preserve">Disbursement period (which includes execution period): </w:t>
      </w:r>
      <w:r w:rsidR="009018A2">
        <w:t>18 months (</w:t>
      </w:r>
      <w:r w:rsidR="00834718">
        <w:t>12 months execution</w:t>
      </w:r>
      <w:r w:rsidR="009018A2">
        <w:t>)</w:t>
      </w:r>
    </w:p>
    <w:p w:rsidR="00D95CC0" w:rsidRPr="005A42F2" w:rsidRDefault="00D95CC0" w:rsidP="00D95CC0">
      <w:pPr>
        <w:pStyle w:val="ListParagraph"/>
        <w:numPr>
          <w:ilvl w:val="0"/>
          <w:numId w:val="1"/>
        </w:numPr>
        <w:spacing w:after="0" w:line="240" w:lineRule="auto"/>
        <w:jc w:val="both"/>
      </w:pPr>
      <w:r w:rsidRPr="005A42F2">
        <w:t>Required start date:</w:t>
      </w:r>
      <w:r>
        <w:t xml:space="preserve"> November</w:t>
      </w:r>
      <w:r w:rsidRPr="005A42F2">
        <w:t xml:space="preserve"> 2013</w:t>
      </w:r>
    </w:p>
    <w:p w:rsidR="00D95CC0" w:rsidRPr="005A42F2" w:rsidRDefault="00D95CC0" w:rsidP="00D95CC0">
      <w:pPr>
        <w:pStyle w:val="ListParagraph"/>
        <w:numPr>
          <w:ilvl w:val="0"/>
          <w:numId w:val="1"/>
        </w:numPr>
        <w:spacing w:after="0" w:line="240" w:lineRule="auto"/>
        <w:jc w:val="both"/>
      </w:pPr>
      <w:r w:rsidRPr="005A42F2">
        <w:t xml:space="preserve">Types of consultants (firm or individual consultants): </w:t>
      </w:r>
      <w:r>
        <w:t>firm</w:t>
      </w:r>
    </w:p>
    <w:p w:rsidR="00D95CC0" w:rsidRPr="005A42F2" w:rsidRDefault="00D95CC0" w:rsidP="00D95CC0">
      <w:pPr>
        <w:pStyle w:val="ListParagraph"/>
        <w:numPr>
          <w:ilvl w:val="0"/>
          <w:numId w:val="1"/>
        </w:numPr>
        <w:spacing w:after="0" w:line="240" w:lineRule="auto"/>
        <w:jc w:val="both"/>
      </w:pPr>
      <w:r w:rsidRPr="005A42F2">
        <w:t>Prepared by Unit:</w:t>
      </w:r>
      <w:r>
        <w:t xml:space="preserve"> VPS/ESG</w:t>
      </w:r>
    </w:p>
    <w:p w:rsidR="00D95CC0" w:rsidRPr="000E39DC" w:rsidRDefault="00D95CC0" w:rsidP="00D95CC0">
      <w:pPr>
        <w:pStyle w:val="ListParagraph"/>
        <w:numPr>
          <w:ilvl w:val="0"/>
          <w:numId w:val="1"/>
        </w:numPr>
        <w:spacing w:after="0" w:line="240" w:lineRule="auto"/>
        <w:jc w:val="both"/>
      </w:pPr>
      <w:r w:rsidRPr="000E39DC">
        <w:t xml:space="preserve">Unit of Disbursement Responsibility : </w:t>
      </w:r>
      <w:r>
        <w:t xml:space="preserve"> VPS/ESG</w:t>
      </w:r>
    </w:p>
    <w:p w:rsidR="00D95CC0" w:rsidRPr="000E39DC" w:rsidRDefault="00D95CC0" w:rsidP="00D95CC0">
      <w:pPr>
        <w:pStyle w:val="ListParagraph"/>
        <w:numPr>
          <w:ilvl w:val="0"/>
          <w:numId w:val="1"/>
        </w:numPr>
        <w:spacing w:after="0" w:line="240" w:lineRule="auto"/>
        <w:jc w:val="both"/>
      </w:pPr>
      <w:r w:rsidRPr="000E39DC">
        <w:t xml:space="preserve">TC Included in Country Strategy: </w:t>
      </w:r>
      <w:r>
        <w:t xml:space="preserve">HO-L1033 included in Country Strategy </w:t>
      </w:r>
      <w:r w:rsidRPr="000E39DC">
        <w:t>; TC included in CPD: n/a</w:t>
      </w:r>
    </w:p>
    <w:p w:rsidR="00D95CC0" w:rsidRDefault="00D95CC0" w:rsidP="00D95CC0">
      <w:pPr>
        <w:pStyle w:val="ListParagraph"/>
        <w:numPr>
          <w:ilvl w:val="0"/>
          <w:numId w:val="1"/>
        </w:numPr>
        <w:spacing w:after="0" w:line="240" w:lineRule="auto"/>
        <w:jc w:val="both"/>
      </w:pPr>
      <w:r w:rsidRPr="000E39DC">
        <w:t xml:space="preserve">GCI-9 Sector Priority: </w:t>
      </w:r>
      <w:r w:rsidRPr="00526293">
        <w:t>Poverty reduction and equity enhancement; climate change, sustainable (including renewable) energy, and environmental sustainability</w:t>
      </w:r>
    </w:p>
    <w:p w:rsidR="00D95CC0" w:rsidRPr="000E39DC" w:rsidRDefault="00D95CC0" w:rsidP="00D95CC0">
      <w:pPr>
        <w:pStyle w:val="ListParagraph"/>
        <w:spacing w:after="0" w:line="240" w:lineRule="auto"/>
        <w:jc w:val="both"/>
      </w:pPr>
    </w:p>
    <w:p w:rsidR="00D95CC0" w:rsidRDefault="00D95CC0" w:rsidP="00834718">
      <w:pPr>
        <w:pStyle w:val="ListParagraph"/>
        <w:numPr>
          <w:ilvl w:val="0"/>
          <w:numId w:val="2"/>
        </w:numPr>
        <w:spacing w:after="120" w:line="240" w:lineRule="auto"/>
        <w:contextualSpacing w:val="0"/>
        <w:jc w:val="both"/>
        <w:rPr>
          <w:b/>
        </w:rPr>
      </w:pPr>
      <w:r w:rsidRPr="000E39DC">
        <w:rPr>
          <w:b/>
        </w:rPr>
        <w:t xml:space="preserve">Objectives and Justification </w:t>
      </w:r>
    </w:p>
    <w:p w:rsidR="00D95CC0" w:rsidRPr="00B24DC5" w:rsidRDefault="00D95CC0" w:rsidP="00D95CC0">
      <w:pPr>
        <w:pStyle w:val="ListParagraph"/>
        <w:numPr>
          <w:ilvl w:val="0"/>
          <w:numId w:val="13"/>
        </w:numPr>
        <w:jc w:val="both"/>
        <w:rPr>
          <w:vanish/>
        </w:rPr>
      </w:pPr>
    </w:p>
    <w:p w:rsidR="00D95CC0" w:rsidRPr="00B24DC5" w:rsidRDefault="00D95CC0" w:rsidP="00D95CC0">
      <w:pPr>
        <w:pStyle w:val="ListParagraph"/>
        <w:numPr>
          <w:ilvl w:val="0"/>
          <w:numId w:val="13"/>
        </w:numPr>
        <w:jc w:val="both"/>
        <w:rPr>
          <w:vanish/>
        </w:rPr>
      </w:pPr>
    </w:p>
    <w:p w:rsidR="00D95CC0" w:rsidRDefault="00D95CC0" w:rsidP="00D95CC0">
      <w:pPr>
        <w:pStyle w:val="ListParagraph"/>
        <w:numPr>
          <w:ilvl w:val="1"/>
          <w:numId w:val="13"/>
        </w:numPr>
        <w:ind w:left="360"/>
        <w:jc w:val="both"/>
      </w:pPr>
      <w:r>
        <w:t xml:space="preserve">The Inter-American Development Bank (IDB) is currently financing the Agricultural Corridor, a road paving project (HO-L1033) in the </w:t>
      </w:r>
      <w:proofErr w:type="spellStart"/>
      <w:r>
        <w:t>Agalta</w:t>
      </w:r>
      <w:proofErr w:type="spellEnd"/>
      <w:r>
        <w:t xml:space="preserve"> Valley, in the northeast of Honduras. A portion of the Valley through which the road passes is one of only four areas in the world known to be occupied by the globally endangered Honduran Emerald Hummingbird — the only bird species endemic to Honduras.</w:t>
      </w:r>
      <w:r>
        <w:rPr>
          <w:rStyle w:val="FootnoteReference"/>
        </w:rPr>
        <w:footnoteReference w:id="1"/>
      </w:r>
      <w:r>
        <w:t xml:space="preserve">  </w:t>
      </w:r>
    </w:p>
    <w:p w:rsidR="00D95CC0" w:rsidRDefault="00D95CC0" w:rsidP="00D95CC0">
      <w:pPr>
        <w:pStyle w:val="ListParagraph"/>
        <w:numPr>
          <w:ilvl w:val="1"/>
          <w:numId w:val="13"/>
        </w:numPr>
        <w:ind w:left="360"/>
        <w:jc w:val="both"/>
      </w:pPr>
      <w:r>
        <w:t xml:space="preserve">One of the activities financed under HO-L1033 was the development of a Honduran Emerald Hummingbird conservation strategy paper for the </w:t>
      </w:r>
      <w:proofErr w:type="spellStart"/>
      <w:r>
        <w:t>Agalta</w:t>
      </w:r>
      <w:proofErr w:type="spellEnd"/>
      <w:r>
        <w:t xml:space="preserve"> Valley.  In the area of influence of project HO-L1033, the strategy paper identifies twenty remaining fragments of suitable Emerald habitat.  All but one of these fragments is located on private land.  </w:t>
      </w:r>
    </w:p>
    <w:p w:rsidR="00D95CC0" w:rsidRDefault="00D95CC0" w:rsidP="00D95CC0">
      <w:pPr>
        <w:pStyle w:val="ListParagraph"/>
        <w:numPr>
          <w:ilvl w:val="1"/>
          <w:numId w:val="13"/>
        </w:numPr>
        <w:ind w:left="360"/>
        <w:jc w:val="both"/>
      </w:pPr>
      <w:r>
        <w:t xml:space="preserve">The paper recommends the development </w:t>
      </w:r>
      <w:proofErr w:type="gramStart"/>
      <w:r>
        <w:t>of a payments</w:t>
      </w:r>
      <w:proofErr w:type="gramEnd"/>
      <w:r>
        <w:t xml:space="preserve"> for ecosystem services scheme (PES scheme)</w:t>
      </w:r>
      <w:r w:rsidRPr="00A245E5">
        <w:t xml:space="preserve"> </w:t>
      </w:r>
      <w:r>
        <w:t xml:space="preserve">as the most viable conservation option.  PES schemes </w:t>
      </w:r>
      <w:r w:rsidRPr="00953B4D">
        <w:t>are cash transfers from users of environmental services to providers of these services conditional on continued provision.</w:t>
      </w:r>
      <w:r>
        <w:t xml:space="preserve"> PES schemes have become well known and well established in the LAC Region (</w:t>
      </w:r>
      <w:r w:rsidRPr="00B24DC5">
        <w:t>LAC leads the developing world in PES implementation)</w:t>
      </w:r>
      <w:r>
        <w:t xml:space="preserve"> as a financing mechanism to support the protection of biodiversity and maintenance of ecosystem services (RFF, 2012). The PES scheme for </w:t>
      </w:r>
      <w:proofErr w:type="spellStart"/>
      <w:r>
        <w:t>Agalta</w:t>
      </w:r>
      <w:proofErr w:type="spellEnd"/>
      <w:r>
        <w:t xml:space="preserve"> Valley would compensate landowners for conserving or restoring Emerald habitat found on their land.  </w:t>
      </w:r>
    </w:p>
    <w:p w:rsidR="00D95CC0" w:rsidRDefault="00D95CC0" w:rsidP="00D95CC0">
      <w:pPr>
        <w:pStyle w:val="ListParagraph"/>
        <w:numPr>
          <w:ilvl w:val="1"/>
          <w:numId w:val="13"/>
        </w:numPr>
        <w:ind w:left="360"/>
        <w:jc w:val="both"/>
      </w:pPr>
      <w:r>
        <w:t xml:space="preserve">The IDB has a history in supporting PES schemes. The water and sanitation division of the Bank has been working actively in the establishment of PES schemes as water funds, which seek to compensate </w:t>
      </w:r>
      <w:r>
        <w:lastRenderedPageBreak/>
        <w:t>upstream landholders for the protection of watersheds that support downstream communities. In addition, PES schemes have been supported by the IDB through the Global Environment Facility (GEF). For example, we are currently supporting the national PES program in Costa Rica to improve biodiversity conservation and sustainable use through management of landscape ecosystem services. Similar efforts have been and are being undertaken by the IDB in Honduras and Guatemala with the support of the GEF.</w:t>
      </w:r>
    </w:p>
    <w:p w:rsidR="00D95CC0" w:rsidRDefault="00D95CC0" w:rsidP="00D95CC0">
      <w:pPr>
        <w:pStyle w:val="ListParagraph"/>
        <w:numPr>
          <w:ilvl w:val="1"/>
          <w:numId w:val="13"/>
        </w:numPr>
        <w:ind w:left="360"/>
        <w:jc w:val="both"/>
      </w:pPr>
      <w:r>
        <w:t xml:space="preserve">Central America has the highest number of individual PES schemes by region in the world. There are various models, from locally controlled to government led. The </w:t>
      </w:r>
      <w:proofErr w:type="gramStart"/>
      <w:r>
        <w:t>majority of these PES schemes are</w:t>
      </w:r>
      <w:proofErr w:type="gramEnd"/>
      <w:r>
        <w:t xml:space="preserve"> locally run and involve the influence of environmental NGOs which support involvement of local landholders. The major lesson learned from these PES schemes is that design and involvement of local stakeholders is </w:t>
      </w:r>
      <w:proofErr w:type="gramStart"/>
      <w:r>
        <w:t>key</w:t>
      </w:r>
      <w:proofErr w:type="gramEnd"/>
      <w:r>
        <w:t xml:space="preserve"> and must be undertaken from the onset of the project. This ensures that the providers receive appropriate compensation for their provision of services.</w:t>
      </w:r>
    </w:p>
    <w:p w:rsidR="00D95CC0" w:rsidRPr="001B32CD" w:rsidRDefault="00D95CC0" w:rsidP="00D95CC0">
      <w:pPr>
        <w:pStyle w:val="ListParagraph"/>
        <w:numPr>
          <w:ilvl w:val="1"/>
          <w:numId w:val="13"/>
        </w:numPr>
        <w:ind w:left="360"/>
        <w:jc w:val="both"/>
      </w:pPr>
      <w:r>
        <w:t xml:space="preserve">The objective of this Technical Cooperation (TC) </w:t>
      </w:r>
      <w:r w:rsidR="009018A2">
        <w:t>is</w:t>
      </w:r>
      <w:r>
        <w:t xml:space="preserve"> to design the PES scheme. The scheme will be composed of an incentive structure, statutes with responsibilities and obligations, contract arrangements, and financial and administration provisions for sustainable PES financing. This TC will also support the strengthening of local institutions by bringing together various stakeholders such as the local government, landholders, and local environmental NGOs in the design phase of the PES scheme. The process of designing the PES scheme would be informed by a similar experience at the World Bank, which is currently overseeing the implementation of a successful conservation program, including a functioning PES component, for the same species in the </w:t>
      </w:r>
      <w:proofErr w:type="spellStart"/>
      <w:r>
        <w:t>Aguán</w:t>
      </w:r>
      <w:proofErr w:type="spellEnd"/>
      <w:r>
        <w:t xml:space="preserve"> Valley of Honduras and previous experiences with the World Bank also in the Olancho Department where the </w:t>
      </w:r>
      <w:proofErr w:type="spellStart"/>
      <w:r>
        <w:t>Agalta</w:t>
      </w:r>
      <w:proofErr w:type="spellEnd"/>
      <w:r>
        <w:t xml:space="preserve"> Valley is located. The project will coordinate with the World Bank team to </w:t>
      </w:r>
      <w:r w:rsidR="009018A2">
        <w:t xml:space="preserve">incorporate </w:t>
      </w:r>
      <w:r>
        <w:t>lessons learned.</w:t>
      </w:r>
    </w:p>
    <w:p w:rsidR="00D95CC0" w:rsidRDefault="00D95CC0" w:rsidP="00D95CC0">
      <w:pPr>
        <w:pStyle w:val="ListParagraph"/>
        <w:numPr>
          <w:ilvl w:val="1"/>
          <w:numId w:val="13"/>
        </w:numPr>
        <w:ind w:left="360"/>
        <w:jc w:val="both"/>
      </w:pPr>
      <w:r w:rsidRPr="00B24DC5">
        <w:t xml:space="preserve">The proposed </w:t>
      </w:r>
      <w:r>
        <w:t>TC was requested by the Government of Ho</w:t>
      </w:r>
      <w:r w:rsidR="009018A2">
        <w:t>nduras (</w:t>
      </w:r>
      <w:proofErr w:type="spellStart"/>
      <w:r w:rsidR="009018A2">
        <w:t>Secretaria</w:t>
      </w:r>
      <w:proofErr w:type="spellEnd"/>
      <w:r w:rsidR="009018A2">
        <w:t xml:space="preserve"> de </w:t>
      </w:r>
      <w:proofErr w:type="spellStart"/>
      <w:r w:rsidR="009018A2">
        <w:t>Finanzas</w:t>
      </w:r>
      <w:proofErr w:type="spellEnd"/>
      <w:r w:rsidR="009018A2">
        <w:t xml:space="preserve">) </w:t>
      </w:r>
      <w:r>
        <w:t>on July 12, 2013 (DGCP-DEN-650/2013).</w:t>
      </w:r>
      <w:r w:rsidR="004F044A">
        <w:t xml:space="preserve"> The beneficiary will be the Government of Honduras as well as the Bank since the Bank is working to expand its support of market based mechanisms for conservation through the Biodiversity and Ecosystem Services Program.</w:t>
      </w:r>
      <w:r>
        <w:t xml:space="preserve">  The TC </w:t>
      </w:r>
      <w:r w:rsidRPr="00B24DC5">
        <w:t xml:space="preserve">will contribute </w:t>
      </w:r>
      <w:r>
        <w:t>to</w:t>
      </w:r>
      <w:r w:rsidRPr="00B24DC5">
        <w:t xml:space="preserve"> the following </w:t>
      </w:r>
      <w:r>
        <w:t xml:space="preserve">GCI-9 </w:t>
      </w:r>
      <w:r w:rsidRPr="00B24DC5">
        <w:t xml:space="preserve">lending program priority targets: (i) poverty reduction and </w:t>
      </w:r>
      <w:r>
        <w:t>equity enhancement</w:t>
      </w:r>
      <w:r w:rsidRPr="00B24DC5">
        <w:t xml:space="preserve">, as the </w:t>
      </w:r>
      <w:r>
        <w:t>TC</w:t>
      </w:r>
      <w:r w:rsidRPr="00B24DC5">
        <w:t xml:space="preserve"> </w:t>
      </w:r>
      <w:r>
        <w:t xml:space="preserve">will create a new source of income for local landowners in the </w:t>
      </w:r>
      <w:proofErr w:type="spellStart"/>
      <w:r>
        <w:t>Agalta</w:t>
      </w:r>
      <w:proofErr w:type="spellEnd"/>
      <w:r>
        <w:t xml:space="preserve"> Valley of Honduras and </w:t>
      </w:r>
      <w:r w:rsidRPr="00B24DC5">
        <w:t>(ii)</w:t>
      </w:r>
      <w:r>
        <w:t xml:space="preserve"> climate change, sustainable (including renewable) energy, and environmental sustainability, </w:t>
      </w:r>
      <w:r w:rsidRPr="00B24DC5">
        <w:t xml:space="preserve">as the </w:t>
      </w:r>
      <w:r>
        <w:t>TC</w:t>
      </w:r>
      <w:r w:rsidRPr="00B24DC5">
        <w:t xml:space="preserve"> will </w:t>
      </w:r>
      <w:r>
        <w:t xml:space="preserve">protect habitat of a species critical to the Region and the ecosystem services that support it. In addition, the proposed TC will contribute to the sector priority, “Protect the environment, respond to climate change, promote renewable energy, and ensure food security.” Lastly, the proposed TC supports the Biodiversity and Ecosystem Services Program, as the TC will contribute to one of the main activities of the Program, to </w:t>
      </w:r>
      <w:r w:rsidRPr="00B24DC5">
        <w:t>design and implement market-based mechanisms (e.g., payments for ecosystem service schemes) aimed at sustaining the biodiversity and ecosystem services utilized by productive sectors.</w:t>
      </w:r>
    </w:p>
    <w:p w:rsidR="00834718" w:rsidRDefault="00834718" w:rsidP="00834718">
      <w:pPr>
        <w:pStyle w:val="ListParagraph"/>
        <w:ind w:left="360"/>
        <w:jc w:val="both"/>
      </w:pPr>
    </w:p>
    <w:p w:rsidR="00D95CC0" w:rsidRPr="00834718" w:rsidRDefault="00D95CC0" w:rsidP="00834718">
      <w:pPr>
        <w:pStyle w:val="ListParagraph"/>
        <w:numPr>
          <w:ilvl w:val="0"/>
          <w:numId w:val="2"/>
        </w:numPr>
        <w:spacing w:after="120" w:line="240" w:lineRule="auto"/>
        <w:contextualSpacing w:val="0"/>
        <w:jc w:val="both"/>
        <w:rPr>
          <w:b/>
        </w:rPr>
      </w:pPr>
      <w:r w:rsidRPr="000E39DC">
        <w:rPr>
          <w:b/>
        </w:rPr>
        <w:t>Description of activities/components and budget</w:t>
      </w:r>
    </w:p>
    <w:p w:rsidR="00D95CC0" w:rsidRPr="00B24DC5" w:rsidRDefault="00D95CC0" w:rsidP="00D95CC0">
      <w:pPr>
        <w:pStyle w:val="ListParagraph"/>
        <w:numPr>
          <w:ilvl w:val="0"/>
          <w:numId w:val="13"/>
        </w:numPr>
        <w:jc w:val="both"/>
        <w:rPr>
          <w:vanish/>
        </w:rPr>
      </w:pPr>
    </w:p>
    <w:p w:rsidR="00D95CC0" w:rsidRDefault="00D95CC0" w:rsidP="00834718">
      <w:pPr>
        <w:pStyle w:val="ListParagraph"/>
        <w:numPr>
          <w:ilvl w:val="1"/>
          <w:numId w:val="13"/>
        </w:numPr>
        <w:spacing w:after="120"/>
        <w:ind w:left="360"/>
        <w:jc w:val="both"/>
      </w:pPr>
      <w:r w:rsidRPr="00BB2835">
        <w:t>Expected outputs and results are fully consistent with the IDB’s Biodiversity and Ecosystem Services Program</w:t>
      </w:r>
      <w:r w:rsidRPr="00B77698">
        <w:rPr>
          <w:vertAlign w:val="superscript"/>
        </w:rPr>
        <w:footnoteReference w:id="2"/>
      </w:r>
      <w:r w:rsidRPr="00BB2835">
        <w:t>.</w:t>
      </w:r>
    </w:p>
    <w:p w:rsidR="00834718" w:rsidRDefault="00834718" w:rsidP="00834718">
      <w:pPr>
        <w:pStyle w:val="ListParagraph"/>
        <w:spacing w:after="120"/>
        <w:ind w:left="360"/>
        <w:jc w:val="both"/>
      </w:pPr>
    </w:p>
    <w:p w:rsidR="00D95CC0" w:rsidRPr="00BB2835" w:rsidRDefault="00D95CC0" w:rsidP="00D95CC0">
      <w:pPr>
        <w:pStyle w:val="ListParagraph"/>
        <w:numPr>
          <w:ilvl w:val="1"/>
          <w:numId w:val="13"/>
        </w:numPr>
        <w:ind w:left="360"/>
        <w:jc w:val="both"/>
      </w:pPr>
      <w:r w:rsidRPr="00BB2835">
        <w:lastRenderedPageBreak/>
        <w:t>The proposed TC project entails the following activities, outputs and results:</w:t>
      </w:r>
    </w:p>
    <w:p w:rsidR="00D95CC0" w:rsidRPr="00BB2835" w:rsidRDefault="00D95CC0" w:rsidP="00D95CC0">
      <w:pPr>
        <w:pStyle w:val="ListParagraph"/>
        <w:ind w:left="360"/>
        <w:jc w:val="both"/>
      </w:pPr>
    </w:p>
    <w:p w:rsidR="00D95CC0" w:rsidRPr="009018A2" w:rsidRDefault="00D95CC0" w:rsidP="00D95CC0">
      <w:pPr>
        <w:pStyle w:val="ListParagraph"/>
        <w:numPr>
          <w:ilvl w:val="1"/>
          <w:numId w:val="13"/>
        </w:numPr>
        <w:spacing w:after="0"/>
        <w:ind w:left="360"/>
        <w:jc w:val="both"/>
      </w:pPr>
      <w:r w:rsidRPr="009018A2">
        <w:rPr>
          <w:b/>
        </w:rPr>
        <w:t>Activity 1.</w:t>
      </w:r>
      <w:r w:rsidRPr="009018A2">
        <w:t xml:space="preserve"> </w:t>
      </w:r>
      <w:r w:rsidRPr="009018A2">
        <w:rPr>
          <w:b/>
        </w:rPr>
        <w:t>Rapid Rural Evaluation</w:t>
      </w:r>
    </w:p>
    <w:p w:rsidR="00D95CC0" w:rsidRDefault="00D95CC0" w:rsidP="00D95CC0">
      <w:pPr>
        <w:spacing w:after="0" w:line="240" w:lineRule="auto"/>
        <w:ind w:firstLine="360"/>
        <w:jc w:val="both"/>
      </w:pPr>
      <w:r>
        <w:t>The Rapid Rural Evaluation will include the following areas:</w:t>
      </w:r>
    </w:p>
    <w:p w:rsidR="00D95CC0" w:rsidRDefault="00D95CC0" w:rsidP="00D95CC0">
      <w:pPr>
        <w:pStyle w:val="ListParagraph"/>
        <w:numPr>
          <w:ilvl w:val="0"/>
          <w:numId w:val="1"/>
        </w:numPr>
        <w:spacing w:after="0" w:line="240" w:lineRule="auto"/>
        <w:jc w:val="both"/>
      </w:pPr>
      <w:r>
        <w:t xml:space="preserve">Assessment of lessons learned from World Bank experience with </w:t>
      </w:r>
      <w:r w:rsidR="009018A2">
        <w:t xml:space="preserve">the species in the </w:t>
      </w:r>
      <w:proofErr w:type="spellStart"/>
      <w:r w:rsidR="009018A2">
        <w:t>Aguán</w:t>
      </w:r>
      <w:proofErr w:type="spellEnd"/>
      <w:r w:rsidR="009018A2">
        <w:t xml:space="preserve"> Valley</w:t>
      </w:r>
      <w:r w:rsidR="00EF46E7">
        <w:t>.</w:t>
      </w:r>
    </w:p>
    <w:p w:rsidR="00D95CC0" w:rsidRDefault="00D95CC0" w:rsidP="00EF46E7">
      <w:pPr>
        <w:pStyle w:val="ListParagraph"/>
        <w:numPr>
          <w:ilvl w:val="0"/>
          <w:numId w:val="1"/>
        </w:numPr>
        <w:spacing w:after="0" w:line="240" w:lineRule="auto"/>
        <w:jc w:val="both"/>
      </w:pPr>
      <w:r>
        <w:t>Socio-economic characteristics of landowners: number of owners, income generating activities, social norms towards the use of the habitat</w:t>
      </w:r>
      <w:r>
        <w:rPr>
          <w:bCs/>
        </w:rPr>
        <w:t xml:space="preserve">, for all known remaining patches of potential Honduran Emerald habitat in the </w:t>
      </w:r>
      <w:proofErr w:type="spellStart"/>
      <w:r>
        <w:rPr>
          <w:bCs/>
        </w:rPr>
        <w:t>Agalta</w:t>
      </w:r>
      <w:proofErr w:type="spellEnd"/>
      <w:r>
        <w:rPr>
          <w:bCs/>
        </w:rPr>
        <w:t xml:space="preserve"> Valley</w:t>
      </w:r>
      <w:r w:rsidR="00EF46E7">
        <w:rPr>
          <w:bCs/>
        </w:rPr>
        <w:t>.</w:t>
      </w:r>
    </w:p>
    <w:p w:rsidR="00D95CC0" w:rsidRDefault="00D95CC0" w:rsidP="00D95CC0">
      <w:pPr>
        <w:pStyle w:val="ListParagraph"/>
        <w:numPr>
          <w:ilvl w:val="0"/>
          <w:numId w:val="1"/>
        </w:numPr>
        <w:spacing w:after="0" w:line="240" w:lineRule="auto"/>
        <w:jc w:val="both"/>
      </w:pPr>
      <w:r>
        <w:t>Type of land tenure: land-use, opportunity costs of land, agricultural practices</w:t>
      </w:r>
      <w:r w:rsidR="00EF46E7">
        <w:t>.</w:t>
      </w:r>
    </w:p>
    <w:p w:rsidR="00D95CC0" w:rsidRDefault="00D95CC0" w:rsidP="00D95CC0">
      <w:pPr>
        <w:pStyle w:val="ListParagraph"/>
        <w:numPr>
          <w:ilvl w:val="0"/>
          <w:numId w:val="1"/>
        </w:numPr>
        <w:spacing w:after="0" w:line="240" w:lineRule="auto"/>
        <w:jc w:val="both"/>
      </w:pPr>
      <w:r>
        <w:t>Risks and tradeoffs for farmers for setting aside areas for conservation</w:t>
      </w:r>
      <w:r w:rsidR="00EF46E7">
        <w:t>.</w:t>
      </w:r>
    </w:p>
    <w:p w:rsidR="00D95CC0" w:rsidRDefault="00D95CC0" w:rsidP="00D95CC0">
      <w:pPr>
        <w:pStyle w:val="ListParagraph"/>
        <w:numPr>
          <w:ilvl w:val="0"/>
          <w:numId w:val="1"/>
        </w:numPr>
        <w:spacing w:after="0" w:line="240" w:lineRule="auto"/>
        <w:jc w:val="both"/>
      </w:pPr>
      <w:r>
        <w:t>Identification of support organizations and local institutions that have the capacity to create the necessary enabling environment and monitor and evaluate contract agreements between landowners and the PES scheme</w:t>
      </w:r>
      <w:r w:rsidR="00EF46E7">
        <w:t>.</w:t>
      </w:r>
    </w:p>
    <w:p w:rsidR="00D95CC0" w:rsidRDefault="00D95CC0" w:rsidP="00D95CC0">
      <w:pPr>
        <w:pStyle w:val="ListParagraph"/>
        <w:numPr>
          <w:ilvl w:val="0"/>
          <w:numId w:val="1"/>
        </w:numPr>
        <w:spacing w:after="0" w:line="240" w:lineRule="auto"/>
        <w:contextualSpacing w:val="0"/>
        <w:jc w:val="both"/>
        <w:rPr>
          <w:bCs/>
        </w:rPr>
      </w:pPr>
      <w:r w:rsidRPr="00207426">
        <w:rPr>
          <w:bCs/>
        </w:rPr>
        <w:t xml:space="preserve">Survey of </w:t>
      </w:r>
      <w:r>
        <w:rPr>
          <w:bCs/>
        </w:rPr>
        <w:t>landowners’</w:t>
      </w:r>
      <w:r w:rsidRPr="00207426">
        <w:rPr>
          <w:bCs/>
        </w:rPr>
        <w:t xml:space="preserve"> willingness to accept payments</w:t>
      </w:r>
      <w:r>
        <w:rPr>
          <w:bCs/>
        </w:rPr>
        <w:t xml:space="preserve"> and/or other forms of compensation</w:t>
      </w:r>
      <w:r w:rsidRPr="00207426">
        <w:rPr>
          <w:bCs/>
        </w:rPr>
        <w:t xml:space="preserve"> for conservation and/or restoration</w:t>
      </w:r>
      <w:r w:rsidR="00EF46E7">
        <w:rPr>
          <w:bCs/>
        </w:rPr>
        <w:t>.</w:t>
      </w:r>
    </w:p>
    <w:p w:rsidR="00D95CC0" w:rsidRDefault="00D95CC0" w:rsidP="00D95CC0">
      <w:pPr>
        <w:pStyle w:val="ListParagraph"/>
        <w:numPr>
          <w:ilvl w:val="0"/>
          <w:numId w:val="1"/>
        </w:numPr>
        <w:spacing w:after="0" w:line="240" w:lineRule="auto"/>
        <w:contextualSpacing w:val="0"/>
        <w:jc w:val="both"/>
        <w:rPr>
          <w:bCs/>
        </w:rPr>
      </w:pPr>
      <w:r>
        <w:rPr>
          <w:bCs/>
        </w:rPr>
        <w:t xml:space="preserve">Analysis of alternative options other than PES for achieving Honduran Emerald conservation on remaining patches of potential Honduran Emerald habitat in the </w:t>
      </w:r>
      <w:proofErr w:type="spellStart"/>
      <w:r>
        <w:rPr>
          <w:bCs/>
        </w:rPr>
        <w:t>Agalta</w:t>
      </w:r>
      <w:proofErr w:type="spellEnd"/>
      <w:r>
        <w:rPr>
          <w:bCs/>
        </w:rPr>
        <w:t xml:space="preserve"> Valley (e.g., direct purchase; expropriation or declaration of national park)</w:t>
      </w:r>
      <w:r w:rsidR="00EF46E7">
        <w:rPr>
          <w:bCs/>
        </w:rPr>
        <w:t>.</w:t>
      </w:r>
    </w:p>
    <w:p w:rsidR="00D95CC0" w:rsidRPr="00EF46E7" w:rsidRDefault="00D95CC0" w:rsidP="00D95CC0">
      <w:pPr>
        <w:pStyle w:val="ListParagraph"/>
        <w:numPr>
          <w:ilvl w:val="0"/>
          <w:numId w:val="1"/>
        </w:numPr>
        <w:spacing w:after="0" w:line="240" w:lineRule="auto"/>
        <w:contextualSpacing w:val="0"/>
        <w:jc w:val="both"/>
      </w:pPr>
      <w:r w:rsidRPr="00EF46E7">
        <w:rPr>
          <w:bCs/>
        </w:rPr>
        <w:t xml:space="preserve">Analysis of options for achieving restoration of already-converted Honduran Emerald Habitat in the </w:t>
      </w:r>
      <w:proofErr w:type="spellStart"/>
      <w:r w:rsidRPr="00EF46E7">
        <w:rPr>
          <w:bCs/>
        </w:rPr>
        <w:t>Agalta</w:t>
      </w:r>
      <w:proofErr w:type="spellEnd"/>
      <w:r w:rsidRPr="00EF46E7">
        <w:rPr>
          <w:bCs/>
        </w:rPr>
        <w:t xml:space="preserve"> Valley</w:t>
      </w:r>
      <w:r w:rsidR="00EF46E7" w:rsidRPr="00EF46E7">
        <w:rPr>
          <w:bCs/>
        </w:rPr>
        <w:t>.</w:t>
      </w:r>
    </w:p>
    <w:p w:rsidR="00D95CC0" w:rsidRPr="00714DD7" w:rsidRDefault="00D95CC0" w:rsidP="00D95CC0">
      <w:pPr>
        <w:spacing w:after="0" w:line="240" w:lineRule="auto"/>
        <w:jc w:val="both"/>
        <w:rPr>
          <w:highlight w:val="yellow"/>
        </w:rPr>
      </w:pPr>
    </w:p>
    <w:p w:rsidR="00D95CC0" w:rsidRPr="009018A2" w:rsidRDefault="00D95CC0" w:rsidP="00D95CC0">
      <w:pPr>
        <w:pStyle w:val="ListParagraph"/>
        <w:numPr>
          <w:ilvl w:val="1"/>
          <w:numId w:val="13"/>
        </w:numPr>
        <w:ind w:left="360"/>
        <w:jc w:val="both"/>
      </w:pPr>
      <w:r w:rsidRPr="009018A2">
        <w:rPr>
          <w:b/>
        </w:rPr>
        <w:t>Activity 2.</w:t>
      </w:r>
      <w:r w:rsidRPr="009018A2">
        <w:t xml:space="preserve"> </w:t>
      </w:r>
      <w:r w:rsidRPr="009018A2">
        <w:rPr>
          <w:b/>
        </w:rPr>
        <w:t>Ecosystem Services Baseline Analysis</w:t>
      </w:r>
    </w:p>
    <w:p w:rsidR="00D95CC0" w:rsidRDefault="00D95CC0" w:rsidP="00D95CC0">
      <w:pPr>
        <w:pStyle w:val="ListParagraph"/>
        <w:spacing w:after="0" w:line="240" w:lineRule="auto"/>
        <w:ind w:left="360"/>
        <w:jc w:val="both"/>
      </w:pPr>
      <w:r w:rsidRPr="00207426">
        <w:rPr>
          <w:bCs/>
        </w:rPr>
        <w:t>Conduct an ecosystem services baseline analysis</w:t>
      </w:r>
      <w:r>
        <w:rPr>
          <w:bCs/>
        </w:rPr>
        <w:t>,</w:t>
      </w:r>
      <w:r w:rsidRPr="00207426">
        <w:rPr>
          <w:bCs/>
        </w:rPr>
        <w:t xml:space="preserve"> which will </w:t>
      </w:r>
      <w:r w:rsidRPr="00207426">
        <w:t>identify existing ecosystem services within the project area to establish a baseline for monitoring. The result will be an ecosystem services baselines report.</w:t>
      </w:r>
      <w:r>
        <w:t xml:space="preserve"> General activities will include:</w:t>
      </w:r>
    </w:p>
    <w:p w:rsidR="00D95CC0" w:rsidRPr="00BE2444" w:rsidRDefault="00D95CC0" w:rsidP="00D95CC0">
      <w:pPr>
        <w:pStyle w:val="ListParagraph"/>
        <w:spacing w:after="0" w:line="240" w:lineRule="auto"/>
        <w:ind w:left="360"/>
        <w:jc w:val="both"/>
        <w:rPr>
          <w:highlight w:val="yellow"/>
        </w:rPr>
      </w:pPr>
      <w:r w:rsidRPr="00BE2444">
        <w:rPr>
          <w:highlight w:val="yellow"/>
        </w:rPr>
        <w:t xml:space="preserve"> </w:t>
      </w:r>
    </w:p>
    <w:p w:rsidR="00D95CC0" w:rsidRPr="009018A2" w:rsidRDefault="00D95CC0" w:rsidP="00D95CC0">
      <w:pPr>
        <w:pStyle w:val="ListParagraph"/>
        <w:numPr>
          <w:ilvl w:val="1"/>
          <w:numId w:val="13"/>
        </w:numPr>
        <w:ind w:left="360"/>
        <w:jc w:val="both"/>
      </w:pPr>
      <w:r w:rsidRPr="009018A2">
        <w:rPr>
          <w:b/>
        </w:rPr>
        <w:t>Activity 3.</w:t>
      </w:r>
      <w:r w:rsidRPr="009018A2">
        <w:t xml:space="preserve"> </w:t>
      </w:r>
      <w:r w:rsidRPr="009018A2">
        <w:rPr>
          <w:b/>
        </w:rPr>
        <w:t>Establishment of a Sustainable Governance Structure</w:t>
      </w:r>
    </w:p>
    <w:p w:rsidR="00D95CC0" w:rsidRDefault="00D95CC0" w:rsidP="00D95CC0">
      <w:pPr>
        <w:pStyle w:val="ListParagraph"/>
        <w:spacing w:after="0" w:line="240" w:lineRule="auto"/>
        <w:ind w:left="270" w:firstLine="90"/>
        <w:jc w:val="both"/>
      </w:pPr>
      <w:r>
        <w:t>The establishment of a governance structure will include the following areas:</w:t>
      </w:r>
    </w:p>
    <w:p w:rsidR="00D95CC0" w:rsidRPr="00207426" w:rsidRDefault="00D95CC0" w:rsidP="00EF46E7">
      <w:pPr>
        <w:pStyle w:val="ListParagraph"/>
        <w:numPr>
          <w:ilvl w:val="0"/>
          <w:numId w:val="4"/>
        </w:numPr>
        <w:spacing w:after="0" w:line="240" w:lineRule="auto"/>
        <w:contextualSpacing w:val="0"/>
        <w:jc w:val="both"/>
      </w:pPr>
      <w:r w:rsidRPr="00207426">
        <w:t xml:space="preserve">Legal: </w:t>
      </w:r>
      <w:r>
        <w:t xml:space="preserve">identification of any new </w:t>
      </w:r>
      <w:r w:rsidRPr="00207426">
        <w:t xml:space="preserve">legislation </w:t>
      </w:r>
      <w:r>
        <w:t>that might be</w:t>
      </w:r>
      <w:r w:rsidRPr="00207426">
        <w:t xml:space="preserve"> required</w:t>
      </w:r>
      <w:r>
        <w:t xml:space="preserve"> and development of a feasible plan for creating such legislation; identification of existing legislation relevant to the functioning of the PES scheme</w:t>
      </w:r>
      <w:r w:rsidR="00EF46E7">
        <w:t>.</w:t>
      </w:r>
    </w:p>
    <w:p w:rsidR="00D95CC0" w:rsidRPr="00207426" w:rsidRDefault="00D95CC0" w:rsidP="00EF46E7">
      <w:pPr>
        <w:pStyle w:val="ListParagraph"/>
        <w:numPr>
          <w:ilvl w:val="0"/>
          <w:numId w:val="4"/>
        </w:numPr>
        <w:spacing w:after="0" w:line="240" w:lineRule="auto"/>
        <w:contextualSpacing w:val="0"/>
        <w:jc w:val="both"/>
      </w:pPr>
      <w:r w:rsidRPr="00207426">
        <w:t xml:space="preserve">Institutional: </w:t>
      </w:r>
      <w:r>
        <w:t xml:space="preserve">development of a permanent </w:t>
      </w:r>
      <w:r w:rsidRPr="00207426">
        <w:t>administrative mechanism that</w:t>
      </w:r>
      <w:r>
        <w:t xml:space="preserve"> implements, </w:t>
      </w:r>
      <w:r w:rsidRPr="00207426">
        <w:t>monitors</w:t>
      </w:r>
      <w:r>
        <w:t>, and seeks to expand the</w:t>
      </w:r>
      <w:r w:rsidRPr="00207426">
        <w:t xml:space="preserve"> PES scheme</w:t>
      </w:r>
      <w:r>
        <w:t xml:space="preserve"> in the long term.  This mechanism will likely </w:t>
      </w:r>
      <w:proofErr w:type="gramStart"/>
      <w:r>
        <w:t>housed</w:t>
      </w:r>
      <w:proofErr w:type="gramEnd"/>
      <w:r>
        <w:t xml:space="preserve"> within a well-established and stable Honduran NGO, to ensure the long-term sustainability of the scheme.</w:t>
      </w:r>
    </w:p>
    <w:p w:rsidR="00D95CC0" w:rsidRPr="00E422F9" w:rsidRDefault="00D95CC0" w:rsidP="00EF46E7">
      <w:pPr>
        <w:pStyle w:val="ListParagraph"/>
        <w:numPr>
          <w:ilvl w:val="0"/>
          <w:numId w:val="4"/>
        </w:numPr>
        <w:spacing w:after="0" w:line="240" w:lineRule="auto"/>
        <w:contextualSpacing w:val="0"/>
        <w:jc w:val="both"/>
        <w:rPr>
          <w:bCs/>
        </w:rPr>
      </w:pPr>
      <w:r>
        <w:t>Contractual</w:t>
      </w:r>
      <w:r w:rsidRPr="00207426">
        <w:t xml:space="preserve">: </w:t>
      </w:r>
      <w:r>
        <w:t xml:space="preserve">Template contracts, </w:t>
      </w:r>
      <w:r w:rsidRPr="00207426">
        <w:t xml:space="preserve">types of </w:t>
      </w:r>
      <w:r>
        <w:t>compensation (i.e., monetary or otherwise)</w:t>
      </w:r>
      <w:r w:rsidRPr="00207426">
        <w:t xml:space="preserve">, </w:t>
      </w:r>
      <w:r>
        <w:t>compensation</w:t>
      </w:r>
      <w:r w:rsidRPr="00207426">
        <w:t xml:space="preserve"> levels </w:t>
      </w:r>
      <w:r>
        <w:t>and rationale (e.g., levels determined by current and agreed</w:t>
      </w:r>
      <w:r w:rsidRPr="00207426">
        <w:t xml:space="preserve"> </w:t>
      </w:r>
      <w:r>
        <w:t xml:space="preserve">future </w:t>
      </w:r>
      <w:r w:rsidRPr="00207426">
        <w:t>land uses, opportunity costs, transaction costs</w:t>
      </w:r>
      <w:r>
        <w:t>, etc.)</w:t>
      </w:r>
      <w:r w:rsidR="00EF46E7">
        <w:t>.</w:t>
      </w:r>
    </w:p>
    <w:p w:rsidR="00D95CC0" w:rsidRPr="00207426" w:rsidRDefault="00D95CC0" w:rsidP="00D95CC0">
      <w:pPr>
        <w:pStyle w:val="ListParagraph"/>
        <w:numPr>
          <w:ilvl w:val="0"/>
          <w:numId w:val="4"/>
        </w:numPr>
        <w:spacing w:after="0" w:line="240" w:lineRule="auto"/>
        <w:contextualSpacing w:val="0"/>
        <w:jc w:val="both"/>
        <w:rPr>
          <w:bCs/>
        </w:rPr>
      </w:pPr>
      <w:r>
        <w:t>Financial: identification of potential sources for a sustainable financial scheme that assures its continuity and long-term impacts</w:t>
      </w:r>
      <w:r w:rsidR="00EF46E7">
        <w:t>.</w:t>
      </w:r>
    </w:p>
    <w:p w:rsidR="00D95CC0" w:rsidRDefault="00D95CC0" w:rsidP="00D95CC0">
      <w:pPr>
        <w:spacing w:after="0" w:line="240" w:lineRule="auto"/>
        <w:ind w:left="540"/>
        <w:jc w:val="both"/>
      </w:pPr>
    </w:p>
    <w:p w:rsidR="00D95CC0" w:rsidRPr="009018A2" w:rsidRDefault="00D95CC0" w:rsidP="00D95CC0">
      <w:pPr>
        <w:pStyle w:val="ListParagraph"/>
        <w:numPr>
          <w:ilvl w:val="1"/>
          <w:numId w:val="13"/>
        </w:numPr>
        <w:ind w:left="360"/>
        <w:jc w:val="both"/>
      </w:pPr>
      <w:r w:rsidRPr="009018A2">
        <w:rPr>
          <w:b/>
        </w:rPr>
        <w:t>Activity 4.</w:t>
      </w:r>
      <w:r w:rsidRPr="009018A2">
        <w:t xml:space="preserve"> </w:t>
      </w:r>
      <w:r w:rsidRPr="009018A2">
        <w:rPr>
          <w:b/>
        </w:rPr>
        <w:t>PES Operation Manual</w:t>
      </w:r>
    </w:p>
    <w:p w:rsidR="00D95CC0" w:rsidRPr="00246C7B" w:rsidRDefault="00D95CC0" w:rsidP="00D95CC0">
      <w:pPr>
        <w:pStyle w:val="ListParagraph"/>
        <w:spacing w:after="0" w:line="240" w:lineRule="auto"/>
        <w:ind w:left="360"/>
        <w:jc w:val="both"/>
      </w:pPr>
      <w:r w:rsidRPr="00246C7B">
        <w:t xml:space="preserve">The PES </w:t>
      </w:r>
      <w:r>
        <w:t>Operation</w:t>
      </w:r>
      <w:r w:rsidRPr="00246C7B">
        <w:t xml:space="preserve"> Manual will include:</w:t>
      </w:r>
    </w:p>
    <w:p w:rsidR="00D95CC0" w:rsidRDefault="00D95CC0" w:rsidP="00EF46E7">
      <w:pPr>
        <w:pStyle w:val="ListParagraph"/>
        <w:numPr>
          <w:ilvl w:val="0"/>
          <w:numId w:val="6"/>
        </w:numPr>
        <w:spacing w:after="0" w:line="240" w:lineRule="auto"/>
        <w:contextualSpacing w:val="0"/>
        <w:jc w:val="both"/>
      </w:pPr>
      <w:r>
        <w:t>Institutional structure(s) for the long-term operation of the PES scheme, with all roles and re</w:t>
      </w:r>
      <w:r w:rsidR="00EF46E7">
        <w:t>sponsibilities clearly defined.</w:t>
      </w:r>
    </w:p>
    <w:p w:rsidR="00D95CC0" w:rsidRPr="00207426" w:rsidRDefault="00D95CC0" w:rsidP="00D95CC0">
      <w:pPr>
        <w:pStyle w:val="ListParagraph"/>
        <w:numPr>
          <w:ilvl w:val="0"/>
          <w:numId w:val="6"/>
        </w:numPr>
        <w:spacing w:after="0" w:line="240" w:lineRule="auto"/>
        <w:contextualSpacing w:val="0"/>
      </w:pPr>
      <w:r>
        <w:t>Exemplary draft c</w:t>
      </w:r>
      <w:r w:rsidRPr="00207426">
        <w:t>ontract arrangements between landowners and the PES administrator</w:t>
      </w:r>
      <w:r w:rsidR="00EF46E7">
        <w:t>.</w:t>
      </w:r>
    </w:p>
    <w:p w:rsidR="00D95CC0" w:rsidRDefault="00D95CC0" w:rsidP="00D95CC0">
      <w:pPr>
        <w:pStyle w:val="ListParagraph"/>
        <w:numPr>
          <w:ilvl w:val="0"/>
          <w:numId w:val="6"/>
        </w:numPr>
        <w:spacing w:after="0" w:line="240" w:lineRule="auto"/>
        <w:contextualSpacing w:val="0"/>
      </w:pPr>
      <w:r w:rsidRPr="00207426">
        <w:t>M&amp;E plan including indicators</w:t>
      </w:r>
      <w:r>
        <w:t>, responsible parties, and budgets</w:t>
      </w:r>
      <w:r w:rsidR="00EF46E7">
        <w:t>.</w:t>
      </w:r>
    </w:p>
    <w:p w:rsidR="00D95CC0" w:rsidRDefault="00D95CC0" w:rsidP="00D95CC0">
      <w:pPr>
        <w:pStyle w:val="ListParagraph"/>
        <w:numPr>
          <w:ilvl w:val="0"/>
          <w:numId w:val="6"/>
        </w:numPr>
        <w:spacing w:after="0" w:line="240" w:lineRule="auto"/>
        <w:contextualSpacing w:val="0"/>
      </w:pPr>
      <w:r>
        <w:t>Relevant legal underpinnings of the scheme, as appropriate</w:t>
      </w:r>
      <w:r w:rsidR="00EF46E7">
        <w:t>.</w:t>
      </w:r>
    </w:p>
    <w:p w:rsidR="00D95CC0" w:rsidRDefault="00D95CC0" w:rsidP="00D95CC0">
      <w:pPr>
        <w:pStyle w:val="ListParagraph"/>
        <w:numPr>
          <w:ilvl w:val="0"/>
          <w:numId w:val="6"/>
        </w:numPr>
        <w:spacing w:after="0" w:line="240" w:lineRule="auto"/>
        <w:contextualSpacing w:val="0"/>
      </w:pPr>
      <w:r>
        <w:t>Complaints receipt and redress mechanism</w:t>
      </w:r>
      <w:r w:rsidR="00EF46E7">
        <w:t>.</w:t>
      </w:r>
    </w:p>
    <w:p w:rsidR="00D95CC0" w:rsidRDefault="00D95CC0" w:rsidP="00EF46E7">
      <w:pPr>
        <w:pStyle w:val="ListParagraph"/>
        <w:numPr>
          <w:ilvl w:val="0"/>
          <w:numId w:val="6"/>
        </w:numPr>
        <w:spacing w:after="0" w:line="240" w:lineRule="auto"/>
        <w:contextualSpacing w:val="0"/>
        <w:jc w:val="both"/>
      </w:pPr>
      <w:r>
        <w:lastRenderedPageBreak/>
        <w:t>A</w:t>
      </w:r>
      <w:r w:rsidRPr="0093563D">
        <w:t xml:space="preserve">n overall budget </w:t>
      </w:r>
      <w:r>
        <w:t xml:space="preserve">for operation of the PES scheme, </w:t>
      </w:r>
      <w:r w:rsidRPr="0093563D">
        <w:t xml:space="preserve">including initial capital investments </w:t>
      </w:r>
      <w:r>
        <w:t>and recurring costs</w:t>
      </w:r>
      <w:r w:rsidR="00EF46E7">
        <w:t>.</w:t>
      </w:r>
    </w:p>
    <w:p w:rsidR="00D95CC0" w:rsidRPr="000E39DC" w:rsidRDefault="00D95CC0" w:rsidP="00D95CC0">
      <w:pPr>
        <w:pStyle w:val="ListParagraph"/>
        <w:spacing w:after="0" w:line="240" w:lineRule="auto"/>
        <w:ind w:left="270"/>
        <w:jc w:val="both"/>
      </w:pPr>
    </w:p>
    <w:p w:rsidR="00D95CC0" w:rsidRDefault="00D95CC0" w:rsidP="00834718">
      <w:pPr>
        <w:pStyle w:val="ListParagraph"/>
        <w:numPr>
          <w:ilvl w:val="0"/>
          <w:numId w:val="2"/>
        </w:numPr>
        <w:spacing w:after="120" w:line="240" w:lineRule="auto"/>
        <w:contextualSpacing w:val="0"/>
        <w:jc w:val="both"/>
        <w:rPr>
          <w:b/>
        </w:rPr>
      </w:pPr>
      <w:r w:rsidRPr="00794C4D">
        <w:rPr>
          <w:b/>
        </w:rPr>
        <w:t xml:space="preserve">Indicative Results Matrix </w:t>
      </w:r>
    </w:p>
    <w:p w:rsidR="00EF46E7" w:rsidRPr="00794C4D" w:rsidRDefault="00EF46E7" w:rsidP="00D95CC0">
      <w:pPr>
        <w:pStyle w:val="ListParagraph"/>
        <w:spacing w:after="0" w:line="240" w:lineRule="auto"/>
        <w:ind w:left="360"/>
        <w:contextualSpacing w:val="0"/>
        <w:jc w:val="both"/>
        <w:rPr>
          <w:b/>
        </w:rPr>
      </w:pPr>
    </w:p>
    <w:tbl>
      <w:tblPr>
        <w:tblStyle w:val="TableGrid"/>
        <w:tblW w:w="0" w:type="auto"/>
        <w:jc w:val="center"/>
        <w:tblInd w:w="-690" w:type="dxa"/>
        <w:tblLook w:val="04A0" w:firstRow="1" w:lastRow="0" w:firstColumn="1" w:lastColumn="0" w:noHBand="0" w:noVBand="1"/>
      </w:tblPr>
      <w:tblGrid>
        <w:gridCol w:w="15"/>
        <w:gridCol w:w="2761"/>
        <w:gridCol w:w="2700"/>
        <w:gridCol w:w="4323"/>
      </w:tblGrid>
      <w:tr w:rsidR="00D95CC0" w:rsidRPr="000E39DC" w:rsidTr="00A9124C">
        <w:trPr>
          <w:jc w:val="center"/>
        </w:trPr>
        <w:tc>
          <w:tcPr>
            <w:tcW w:w="2776" w:type="dxa"/>
            <w:gridSpan w:val="2"/>
          </w:tcPr>
          <w:p w:rsidR="00D95CC0" w:rsidRPr="00575DAF" w:rsidRDefault="00D95CC0" w:rsidP="00A9124C">
            <w:pPr>
              <w:jc w:val="both"/>
              <w:rPr>
                <w:b/>
                <w:sz w:val="18"/>
                <w:szCs w:val="18"/>
              </w:rPr>
            </w:pPr>
            <w:r w:rsidRPr="00575DAF">
              <w:rPr>
                <w:b/>
                <w:sz w:val="18"/>
                <w:szCs w:val="18"/>
              </w:rPr>
              <w:t>Project Activity</w:t>
            </w:r>
          </w:p>
        </w:tc>
        <w:tc>
          <w:tcPr>
            <w:tcW w:w="2700" w:type="dxa"/>
          </w:tcPr>
          <w:p w:rsidR="00D95CC0" w:rsidRPr="00575DAF" w:rsidRDefault="00D95CC0" w:rsidP="00A9124C">
            <w:pPr>
              <w:jc w:val="both"/>
              <w:rPr>
                <w:b/>
                <w:sz w:val="18"/>
                <w:szCs w:val="18"/>
              </w:rPr>
            </w:pPr>
            <w:r w:rsidRPr="00575DAF">
              <w:rPr>
                <w:b/>
                <w:sz w:val="18"/>
                <w:szCs w:val="18"/>
              </w:rPr>
              <w:t>Outputs</w:t>
            </w:r>
          </w:p>
        </w:tc>
        <w:tc>
          <w:tcPr>
            <w:tcW w:w="4323" w:type="dxa"/>
          </w:tcPr>
          <w:p w:rsidR="00D95CC0" w:rsidRPr="00575DAF" w:rsidRDefault="00D95CC0" w:rsidP="00A9124C">
            <w:pPr>
              <w:jc w:val="both"/>
              <w:rPr>
                <w:b/>
                <w:sz w:val="18"/>
                <w:szCs w:val="18"/>
              </w:rPr>
            </w:pPr>
            <w:r w:rsidRPr="00575DAF">
              <w:rPr>
                <w:b/>
                <w:sz w:val="18"/>
                <w:szCs w:val="18"/>
              </w:rPr>
              <w:t>Results</w:t>
            </w:r>
          </w:p>
        </w:tc>
      </w:tr>
      <w:tr w:rsidR="00D95CC0" w:rsidRPr="000E39DC" w:rsidTr="00A9124C">
        <w:trPr>
          <w:gridBefore w:val="1"/>
          <w:wBefore w:w="15" w:type="dxa"/>
          <w:trHeight w:val="800"/>
          <w:jc w:val="center"/>
        </w:trPr>
        <w:tc>
          <w:tcPr>
            <w:tcW w:w="2761" w:type="dxa"/>
          </w:tcPr>
          <w:p w:rsidR="00D95CC0" w:rsidRPr="00CA5B7C" w:rsidRDefault="00D95CC0" w:rsidP="00A9124C">
            <w:pPr>
              <w:jc w:val="both"/>
              <w:rPr>
                <w:b/>
                <w:sz w:val="18"/>
                <w:szCs w:val="18"/>
              </w:rPr>
            </w:pPr>
            <w:r w:rsidRPr="00CA5B7C">
              <w:rPr>
                <w:b/>
                <w:sz w:val="18"/>
                <w:szCs w:val="18"/>
              </w:rPr>
              <w:t>General</w:t>
            </w:r>
          </w:p>
        </w:tc>
        <w:tc>
          <w:tcPr>
            <w:tcW w:w="2700" w:type="dxa"/>
          </w:tcPr>
          <w:p w:rsidR="00D95CC0" w:rsidRPr="00D965A5" w:rsidRDefault="00D95CC0" w:rsidP="00A9124C">
            <w:pPr>
              <w:jc w:val="both"/>
              <w:rPr>
                <w:sz w:val="18"/>
                <w:szCs w:val="18"/>
                <w:highlight w:val="yellow"/>
                <w:u w:val="single"/>
              </w:rPr>
            </w:pPr>
          </w:p>
        </w:tc>
        <w:tc>
          <w:tcPr>
            <w:tcW w:w="4323" w:type="dxa"/>
          </w:tcPr>
          <w:p w:rsidR="00D95CC0" w:rsidRPr="00C92A7F" w:rsidRDefault="00D95CC0" w:rsidP="00A9124C">
            <w:pPr>
              <w:pBdr>
                <w:top w:val="single" w:sz="4" w:space="0" w:color="000000"/>
                <w:left w:val="single" w:sz="4" w:space="0" w:color="000000"/>
                <w:bottom w:val="single" w:sz="4" w:space="0" w:color="000000"/>
                <w:right w:val="single" w:sz="4" w:space="0" w:color="000000"/>
              </w:pBdr>
              <w:jc w:val="both"/>
              <w:rPr>
                <w:b/>
                <w:bCs/>
                <w:sz w:val="18"/>
                <w:szCs w:val="18"/>
              </w:rPr>
            </w:pPr>
            <w:r w:rsidRPr="00C92A7F">
              <w:rPr>
                <w:b/>
                <w:bCs/>
                <w:sz w:val="18"/>
                <w:szCs w:val="18"/>
              </w:rPr>
              <w:t xml:space="preserve">TC General Outcome: </w:t>
            </w:r>
            <w:r w:rsidRPr="00C92A7F">
              <w:rPr>
                <w:b/>
                <w:sz w:val="20"/>
                <w:szCs w:val="20"/>
              </w:rPr>
              <w:t>Protection of the Honduras Emerald Hummingbird through the establishment of a PES scheme.</w:t>
            </w:r>
          </w:p>
        </w:tc>
      </w:tr>
      <w:tr w:rsidR="00D95CC0" w:rsidRPr="000E39DC" w:rsidTr="00A9124C">
        <w:trPr>
          <w:gridBefore w:val="1"/>
          <w:wBefore w:w="15" w:type="dxa"/>
          <w:trHeight w:val="530"/>
          <w:jc w:val="center"/>
        </w:trPr>
        <w:tc>
          <w:tcPr>
            <w:tcW w:w="2761" w:type="dxa"/>
          </w:tcPr>
          <w:p w:rsidR="00D95CC0" w:rsidRPr="00CA5B7C" w:rsidRDefault="00D95CC0" w:rsidP="00A9124C">
            <w:pPr>
              <w:jc w:val="center"/>
              <w:rPr>
                <w:b/>
                <w:sz w:val="18"/>
                <w:szCs w:val="18"/>
              </w:rPr>
            </w:pPr>
            <w:r w:rsidRPr="00CA5B7C">
              <w:rPr>
                <w:b/>
                <w:sz w:val="18"/>
                <w:szCs w:val="18"/>
              </w:rPr>
              <w:t>Activity 1. Rapid Rural Evaluation</w:t>
            </w:r>
          </w:p>
        </w:tc>
        <w:tc>
          <w:tcPr>
            <w:tcW w:w="2700" w:type="dxa"/>
          </w:tcPr>
          <w:p w:rsidR="00D95CC0" w:rsidRPr="00757848" w:rsidRDefault="00D95CC0" w:rsidP="00A9124C">
            <w:pPr>
              <w:rPr>
                <w:sz w:val="20"/>
                <w:szCs w:val="20"/>
              </w:rPr>
            </w:pPr>
            <w:r>
              <w:rPr>
                <w:sz w:val="20"/>
                <w:szCs w:val="20"/>
              </w:rPr>
              <w:t>1. Background studies</w:t>
            </w:r>
          </w:p>
        </w:tc>
        <w:tc>
          <w:tcPr>
            <w:tcW w:w="4323" w:type="dxa"/>
            <w:shd w:val="clear" w:color="auto" w:fill="auto"/>
          </w:tcPr>
          <w:p w:rsidR="00D95CC0" w:rsidRPr="00087160" w:rsidRDefault="00D95CC0" w:rsidP="00A9124C">
            <w:pPr>
              <w:rPr>
                <w:bCs/>
                <w:sz w:val="18"/>
                <w:szCs w:val="18"/>
              </w:rPr>
            </w:pPr>
            <w:r w:rsidRPr="00087160">
              <w:rPr>
                <w:bCs/>
                <w:sz w:val="18"/>
                <w:szCs w:val="18"/>
                <w:u w:val="single"/>
              </w:rPr>
              <w:t>Outcome 1</w:t>
            </w:r>
            <w:r w:rsidRPr="00087160">
              <w:rPr>
                <w:bCs/>
                <w:sz w:val="18"/>
                <w:szCs w:val="18"/>
              </w:rPr>
              <w:t>: Necessary information provided to establish the baseline for the PES scheme</w:t>
            </w:r>
          </w:p>
        </w:tc>
      </w:tr>
      <w:tr w:rsidR="00D95CC0" w:rsidRPr="000E39DC" w:rsidTr="00A9124C">
        <w:trPr>
          <w:gridBefore w:val="1"/>
          <w:wBefore w:w="15" w:type="dxa"/>
          <w:trHeight w:val="350"/>
          <w:jc w:val="center"/>
        </w:trPr>
        <w:tc>
          <w:tcPr>
            <w:tcW w:w="2761" w:type="dxa"/>
          </w:tcPr>
          <w:p w:rsidR="00D95CC0" w:rsidRPr="00CA5B7C" w:rsidRDefault="00D95CC0" w:rsidP="00A9124C">
            <w:pPr>
              <w:pStyle w:val="ListParagraph"/>
              <w:ind w:left="0"/>
              <w:contextualSpacing w:val="0"/>
              <w:rPr>
                <w:b/>
                <w:sz w:val="20"/>
                <w:szCs w:val="20"/>
              </w:rPr>
            </w:pPr>
            <w:r w:rsidRPr="00CA5B7C">
              <w:rPr>
                <w:b/>
                <w:sz w:val="20"/>
                <w:szCs w:val="20"/>
              </w:rPr>
              <w:t xml:space="preserve">Activity 2. Ecosystem Services Baseline Analysis </w:t>
            </w:r>
          </w:p>
        </w:tc>
        <w:tc>
          <w:tcPr>
            <w:tcW w:w="2700" w:type="dxa"/>
            <w:vAlign w:val="center"/>
          </w:tcPr>
          <w:p w:rsidR="00D95CC0" w:rsidRPr="00FB4824" w:rsidRDefault="00D95CC0" w:rsidP="00A9124C">
            <w:pPr>
              <w:pStyle w:val="ListParagraph"/>
              <w:spacing w:line="276" w:lineRule="auto"/>
              <w:ind w:left="0"/>
              <w:contextualSpacing w:val="0"/>
              <w:rPr>
                <w:sz w:val="20"/>
                <w:szCs w:val="20"/>
              </w:rPr>
            </w:pPr>
            <w:r>
              <w:rPr>
                <w:sz w:val="20"/>
                <w:szCs w:val="20"/>
              </w:rPr>
              <w:t xml:space="preserve">2. </w:t>
            </w:r>
            <w:r w:rsidRPr="00FB4824">
              <w:rPr>
                <w:sz w:val="20"/>
                <w:szCs w:val="20"/>
              </w:rPr>
              <w:t>Ecosystem services baseline report</w:t>
            </w:r>
          </w:p>
        </w:tc>
        <w:tc>
          <w:tcPr>
            <w:tcW w:w="4323" w:type="dxa"/>
            <w:shd w:val="clear" w:color="auto" w:fill="auto"/>
          </w:tcPr>
          <w:p w:rsidR="00D95CC0" w:rsidRPr="001A33C1" w:rsidRDefault="00D95CC0" w:rsidP="00A9124C">
            <w:pPr>
              <w:jc w:val="both"/>
              <w:rPr>
                <w:bCs/>
                <w:sz w:val="18"/>
                <w:szCs w:val="18"/>
              </w:rPr>
            </w:pPr>
            <w:r w:rsidRPr="001A33C1">
              <w:rPr>
                <w:bCs/>
                <w:sz w:val="18"/>
                <w:szCs w:val="18"/>
                <w:u w:val="single"/>
              </w:rPr>
              <w:t xml:space="preserve">Outcome 2: </w:t>
            </w:r>
            <w:r w:rsidRPr="001A33C1">
              <w:rPr>
                <w:bCs/>
                <w:sz w:val="18"/>
                <w:szCs w:val="18"/>
              </w:rPr>
              <w:t xml:space="preserve"> Necessary information provided to establish the baseline for the PES scheme</w:t>
            </w:r>
          </w:p>
        </w:tc>
      </w:tr>
      <w:tr w:rsidR="00D95CC0" w:rsidRPr="000E39DC" w:rsidTr="00A9124C">
        <w:trPr>
          <w:gridBefore w:val="1"/>
          <w:wBefore w:w="15" w:type="dxa"/>
          <w:jc w:val="center"/>
        </w:trPr>
        <w:tc>
          <w:tcPr>
            <w:tcW w:w="2761" w:type="dxa"/>
          </w:tcPr>
          <w:p w:rsidR="00D95CC0" w:rsidRPr="00CA5B7C" w:rsidRDefault="00D95CC0" w:rsidP="00A9124C">
            <w:pPr>
              <w:pStyle w:val="ListParagraph"/>
              <w:ind w:left="0"/>
              <w:contextualSpacing w:val="0"/>
              <w:rPr>
                <w:b/>
                <w:sz w:val="20"/>
                <w:szCs w:val="20"/>
              </w:rPr>
            </w:pPr>
            <w:r w:rsidRPr="00CA5B7C">
              <w:rPr>
                <w:b/>
                <w:sz w:val="20"/>
                <w:szCs w:val="20"/>
              </w:rPr>
              <w:t>Activity 3. Establishment of Governance Structure</w:t>
            </w:r>
          </w:p>
        </w:tc>
        <w:tc>
          <w:tcPr>
            <w:tcW w:w="2700" w:type="dxa"/>
            <w:vAlign w:val="center"/>
          </w:tcPr>
          <w:p w:rsidR="00D95CC0" w:rsidRPr="00A43F5F" w:rsidRDefault="00D95CC0" w:rsidP="00A9124C">
            <w:pPr>
              <w:pStyle w:val="ListParagraph"/>
              <w:ind w:left="0"/>
              <w:contextualSpacing w:val="0"/>
              <w:rPr>
                <w:sz w:val="20"/>
                <w:szCs w:val="20"/>
              </w:rPr>
            </w:pPr>
            <w:r>
              <w:rPr>
                <w:sz w:val="20"/>
                <w:szCs w:val="20"/>
              </w:rPr>
              <w:t>3. PES scheme</w:t>
            </w:r>
          </w:p>
          <w:p w:rsidR="00D95CC0" w:rsidRPr="00A43F5F" w:rsidRDefault="00D95CC0" w:rsidP="00A9124C">
            <w:pPr>
              <w:pStyle w:val="ListParagraph"/>
              <w:ind w:left="0"/>
              <w:contextualSpacing w:val="0"/>
              <w:rPr>
                <w:sz w:val="20"/>
                <w:szCs w:val="20"/>
              </w:rPr>
            </w:pPr>
          </w:p>
        </w:tc>
        <w:tc>
          <w:tcPr>
            <w:tcW w:w="4323" w:type="dxa"/>
            <w:shd w:val="clear" w:color="auto" w:fill="auto"/>
          </w:tcPr>
          <w:p w:rsidR="00D95CC0" w:rsidRPr="001A33C1" w:rsidRDefault="00D95CC0" w:rsidP="00A9124C">
            <w:pPr>
              <w:jc w:val="both"/>
              <w:rPr>
                <w:bCs/>
                <w:sz w:val="18"/>
                <w:szCs w:val="18"/>
              </w:rPr>
            </w:pPr>
            <w:r w:rsidRPr="001A33C1">
              <w:rPr>
                <w:bCs/>
                <w:sz w:val="18"/>
                <w:szCs w:val="18"/>
                <w:u w:val="single"/>
              </w:rPr>
              <w:t xml:space="preserve">Outcome 3: </w:t>
            </w:r>
            <w:r w:rsidRPr="001A33C1">
              <w:rPr>
                <w:bCs/>
                <w:sz w:val="18"/>
                <w:szCs w:val="18"/>
              </w:rPr>
              <w:t xml:space="preserve"> Institutional</w:t>
            </w:r>
            <w:r>
              <w:rPr>
                <w:bCs/>
                <w:sz w:val="18"/>
                <w:szCs w:val="18"/>
              </w:rPr>
              <w:t>,</w:t>
            </w:r>
            <w:r w:rsidRPr="001A33C1">
              <w:rPr>
                <w:bCs/>
                <w:sz w:val="18"/>
                <w:szCs w:val="18"/>
              </w:rPr>
              <w:t xml:space="preserve"> legal</w:t>
            </w:r>
            <w:r>
              <w:rPr>
                <w:bCs/>
                <w:sz w:val="18"/>
                <w:szCs w:val="18"/>
              </w:rPr>
              <w:t xml:space="preserve"> and financial</w:t>
            </w:r>
            <w:r w:rsidRPr="001A33C1">
              <w:rPr>
                <w:bCs/>
                <w:sz w:val="18"/>
                <w:szCs w:val="18"/>
              </w:rPr>
              <w:t xml:space="preserve"> framework established for the PES scheme.</w:t>
            </w:r>
          </w:p>
        </w:tc>
      </w:tr>
      <w:tr w:rsidR="00D95CC0" w:rsidRPr="000E39DC" w:rsidTr="00A9124C">
        <w:trPr>
          <w:gridBefore w:val="1"/>
          <w:wBefore w:w="15" w:type="dxa"/>
          <w:jc w:val="center"/>
        </w:trPr>
        <w:tc>
          <w:tcPr>
            <w:tcW w:w="2761" w:type="dxa"/>
          </w:tcPr>
          <w:p w:rsidR="00D95CC0" w:rsidRPr="00CA5B7C" w:rsidRDefault="00D95CC0" w:rsidP="00A9124C">
            <w:pPr>
              <w:pStyle w:val="ListParagraph"/>
              <w:ind w:left="0"/>
              <w:contextualSpacing w:val="0"/>
              <w:rPr>
                <w:b/>
                <w:sz w:val="20"/>
                <w:szCs w:val="20"/>
              </w:rPr>
            </w:pPr>
            <w:r w:rsidRPr="00CA5B7C">
              <w:rPr>
                <w:b/>
                <w:sz w:val="20"/>
                <w:szCs w:val="20"/>
              </w:rPr>
              <w:t xml:space="preserve">Activity 4. PES </w:t>
            </w:r>
            <w:r>
              <w:rPr>
                <w:b/>
                <w:sz w:val="20"/>
                <w:szCs w:val="20"/>
              </w:rPr>
              <w:t>Operation</w:t>
            </w:r>
            <w:r w:rsidRPr="00CA5B7C">
              <w:rPr>
                <w:b/>
                <w:sz w:val="20"/>
                <w:szCs w:val="20"/>
              </w:rPr>
              <w:t xml:space="preserve"> Manual</w:t>
            </w:r>
          </w:p>
        </w:tc>
        <w:tc>
          <w:tcPr>
            <w:tcW w:w="2700" w:type="dxa"/>
            <w:vAlign w:val="center"/>
          </w:tcPr>
          <w:p w:rsidR="00D95CC0" w:rsidRPr="00A43F5F" w:rsidRDefault="00D95CC0" w:rsidP="00A9124C">
            <w:pPr>
              <w:pStyle w:val="ListParagraph"/>
              <w:ind w:left="0"/>
              <w:contextualSpacing w:val="0"/>
              <w:rPr>
                <w:sz w:val="20"/>
                <w:szCs w:val="20"/>
              </w:rPr>
            </w:pPr>
            <w:r>
              <w:rPr>
                <w:sz w:val="20"/>
                <w:szCs w:val="20"/>
              </w:rPr>
              <w:t>4. Operational Manual for PES scheme</w:t>
            </w:r>
          </w:p>
          <w:p w:rsidR="00D95CC0" w:rsidRPr="00A43F5F" w:rsidRDefault="00D95CC0" w:rsidP="00A9124C">
            <w:pPr>
              <w:pStyle w:val="ListParagraph"/>
              <w:ind w:left="0"/>
              <w:contextualSpacing w:val="0"/>
              <w:rPr>
                <w:sz w:val="20"/>
                <w:szCs w:val="20"/>
              </w:rPr>
            </w:pPr>
          </w:p>
        </w:tc>
        <w:tc>
          <w:tcPr>
            <w:tcW w:w="4323" w:type="dxa"/>
            <w:shd w:val="clear" w:color="auto" w:fill="auto"/>
          </w:tcPr>
          <w:p w:rsidR="00D95CC0" w:rsidRPr="001A33C1" w:rsidRDefault="00D95CC0" w:rsidP="00A9124C">
            <w:pPr>
              <w:jc w:val="both"/>
              <w:rPr>
                <w:bCs/>
                <w:sz w:val="18"/>
                <w:szCs w:val="18"/>
              </w:rPr>
            </w:pPr>
            <w:r w:rsidRPr="001A33C1">
              <w:rPr>
                <w:bCs/>
                <w:sz w:val="18"/>
                <w:szCs w:val="18"/>
                <w:u w:val="single"/>
              </w:rPr>
              <w:t xml:space="preserve">Outcome 4: </w:t>
            </w:r>
            <w:r w:rsidRPr="001A33C1">
              <w:rPr>
                <w:bCs/>
                <w:sz w:val="18"/>
                <w:szCs w:val="18"/>
              </w:rPr>
              <w:t xml:space="preserve"> Instructions established for the PES scheme.</w:t>
            </w:r>
          </w:p>
        </w:tc>
      </w:tr>
    </w:tbl>
    <w:p w:rsidR="00D95CC0" w:rsidRPr="000E39DC" w:rsidRDefault="00D95CC0" w:rsidP="00D95CC0">
      <w:pPr>
        <w:pStyle w:val="ListParagraph"/>
        <w:spacing w:after="0" w:line="240" w:lineRule="auto"/>
        <w:ind w:left="270"/>
        <w:jc w:val="both"/>
        <w:rPr>
          <w:b/>
        </w:rPr>
      </w:pPr>
    </w:p>
    <w:p w:rsidR="00D95CC0" w:rsidRDefault="00D95CC0" w:rsidP="00D95CC0">
      <w:pPr>
        <w:pStyle w:val="ListParagraph"/>
        <w:spacing w:after="0" w:line="240" w:lineRule="auto"/>
        <w:ind w:left="360"/>
        <w:contextualSpacing w:val="0"/>
        <w:jc w:val="both"/>
        <w:rPr>
          <w:b/>
        </w:rPr>
      </w:pPr>
    </w:p>
    <w:p w:rsidR="00D95CC0" w:rsidRPr="008A2591" w:rsidRDefault="00D95CC0" w:rsidP="00834718">
      <w:pPr>
        <w:pStyle w:val="ListParagraph"/>
        <w:numPr>
          <w:ilvl w:val="0"/>
          <w:numId w:val="2"/>
        </w:numPr>
        <w:spacing w:after="120" w:line="240" w:lineRule="auto"/>
        <w:contextualSpacing w:val="0"/>
        <w:jc w:val="both"/>
        <w:rPr>
          <w:b/>
        </w:rPr>
      </w:pPr>
      <w:r>
        <w:rPr>
          <w:b/>
        </w:rPr>
        <w:t>Indicative Budget</w:t>
      </w:r>
    </w:p>
    <w:p w:rsidR="00834718" w:rsidRPr="00834718" w:rsidRDefault="00834718" w:rsidP="00834718">
      <w:pPr>
        <w:pStyle w:val="ListParagraph"/>
        <w:numPr>
          <w:ilvl w:val="0"/>
          <w:numId w:val="13"/>
        </w:numPr>
        <w:jc w:val="both"/>
        <w:rPr>
          <w:vanish/>
        </w:rPr>
      </w:pPr>
    </w:p>
    <w:p w:rsidR="00D95CC0" w:rsidRPr="00834718" w:rsidRDefault="00834718" w:rsidP="00834718">
      <w:pPr>
        <w:pStyle w:val="ListParagraph"/>
        <w:numPr>
          <w:ilvl w:val="1"/>
          <w:numId w:val="13"/>
        </w:numPr>
        <w:ind w:left="360"/>
        <w:jc w:val="both"/>
      </w:pPr>
      <w:r w:rsidRPr="00EF46E7">
        <w:t>The project total cost is US</w:t>
      </w:r>
      <w:r>
        <w:t>$165,</w:t>
      </w:r>
      <w:r w:rsidRPr="00EF46E7">
        <w:t xml:space="preserve">000 of which US$150,000 </w:t>
      </w:r>
      <w:r>
        <w:t xml:space="preserve">will be funded by the Special Program for Biodiversity and Ecosystems Services and the equivalent of US$15,000 co-financed by ABC as </w:t>
      </w:r>
      <w:r w:rsidR="004A1702">
        <w:t>in -</w:t>
      </w:r>
      <w:proofErr w:type="gramStart"/>
      <w:r w:rsidR="004A1702">
        <w:t xml:space="preserve">kind </w:t>
      </w:r>
      <w:r>
        <w:t xml:space="preserve"> contribution</w:t>
      </w:r>
      <w:proofErr w:type="gramEnd"/>
      <w:r>
        <w:t xml:space="preserve">. </w:t>
      </w:r>
      <w:r w:rsidR="0043280D">
        <w:t>77</w:t>
      </w:r>
      <w:bookmarkStart w:id="0" w:name="_GoBack"/>
      <w:bookmarkEnd w:id="0"/>
    </w:p>
    <w:p w:rsidR="00834718" w:rsidRPr="000E39DC" w:rsidRDefault="00834718" w:rsidP="00D95CC0">
      <w:pPr>
        <w:spacing w:after="0" w:line="240" w:lineRule="auto"/>
        <w:jc w:val="both"/>
        <w:rPr>
          <w:b/>
        </w:rPr>
      </w:pPr>
    </w:p>
    <w:tbl>
      <w:tblPr>
        <w:tblStyle w:val="TableGrid"/>
        <w:tblW w:w="9433" w:type="dxa"/>
        <w:jc w:val="center"/>
        <w:tblLayout w:type="fixed"/>
        <w:tblLook w:val="04A0" w:firstRow="1" w:lastRow="0" w:firstColumn="1" w:lastColumn="0" w:noHBand="0" w:noVBand="1"/>
      </w:tblPr>
      <w:tblGrid>
        <w:gridCol w:w="1927"/>
        <w:gridCol w:w="3366"/>
        <w:gridCol w:w="1260"/>
        <w:gridCol w:w="1404"/>
        <w:gridCol w:w="1476"/>
      </w:tblGrid>
      <w:tr w:rsidR="00D95CC0" w:rsidRPr="00F137E2" w:rsidTr="00A9124C">
        <w:trPr>
          <w:jc w:val="center"/>
        </w:trPr>
        <w:tc>
          <w:tcPr>
            <w:tcW w:w="1927" w:type="dxa"/>
            <w:tcBorders>
              <w:bottom w:val="single" w:sz="4" w:space="0" w:color="auto"/>
            </w:tcBorders>
          </w:tcPr>
          <w:p w:rsidR="00D95CC0" w:rsidRPr="00F137E2" w:rsidRDefault="00D95CC0" w:rsidP="00A9124C">
            <w:pPr>
              <w:pStyle w:val="ListParagraph"/>
              <w:ind w:left="0"/>
              <w:contextualSpacing w:val="0"/>
              <w:jc w:val="center"/>
              <w:rPr>
                <w:b/>
                <w:sz w:val="20"/>
                <w:szCs w:val="20"/>
              </w:rPr>
            </w:pPr>
            <w:r>
              <w:rPr>
                <w:b/>
                <w:sz w:val="20"/>
                <w:szCs w:val="20"/>
              </w:rPr>
              <w:t>Activity</w:t>
            </w:r>
          </w:p>
        </w:tc>
        <w:tc>
          <w:tcPr>
            <w:tcW w:w="3366" w:type="dxa"/>
            <w:tcBorders>
              <w:bottom w:val="single" w:sz="4" w:space="0" w:color="auto"/>
            </w:tcBorders>
          </w:tcPr>
          <w:p w:rsidR="00D95CC0" w:rsidRPr="00F137E2" w:rsidRDefault="00D95CC0" w:rsidP="00A9124C">
            <w:pPr>
              <w:pStyle w:val="ListParagraph"/>
              <w:ind w:left="0"/>
              <w:contextualSpacing w:val="0"/>
              <w:jc w:val="center"/>
              <w:rPr>
                <w:b/>
                <w:sz w:val="20"/>
                <w:szCs w:val="20"/>
              </w:rPr>
            </w:pPr>
            <w:r w:rsidRPr="00F137E2">
              <w:rPr>
                <w:b/>
                <w:sz w:val="20"/>
                <w:szCs w:val="20"/>
              </w:rPr>
              <w:t>Description</w:t>
            </w:r>
          </w:p>
        </w:tc>
        <w:tc>
          <w:tcPr>
            <w:tcW w:w="1260" w:type="dxa"/>
            <w:tcBorders>
              <w:bottom w:val="single" w:sz="4" w:space="0" w:color="auto"/>
            </w:tcBorders>
          </w:tcPr>
          <w:p w:rsidR="00D95CC0" w:rsidRPr="00F137E2" w:rsidRDefault="00D95CC0" w:rsidP="00A9124C">
            <w:pPr>
              <w:pStyle w:val="ListParagraph"/>
              <w:ind w:left="0"/>
              <w:contextualSpacing w:val="0"/>
              <w:jc w:val="center"/>
              <w:rPr>
                <w:b/>
                <w:sz w:val="20"/>
                <w:szCs w:val="20"/>
              </w:rPr>
            </w:pPr>
            <w:r w:rsidRPr="00F137E2">
              <w:rPr>
                <w:b/>
                <w:sz w:val="20"/>
                <w:szCs w:val="20"/>
              </w:rPr>
              <w:t>IDB/Fund Funding</w:t>
            </w:r>
            <w:r>
              <w:rPr>
                <w:b/>
                <w:sz w:val="20"/>
                <w:szCs w:val="20"/>
              </w:rPr>
              <w:t xml:space="preserve"> US$</w:t>
            </w:r>
          </w:p>
        </w:tc>
        <w:tc>
          <w:tcPr>
            <w:tcW w:w="1404" w:type="dxa"/>
            <w:tcBorders>
              <w:bottom w:val="single" w:sz="4" w:space="0" w:color="auto"/>
            </w:tcBorders>
          </w:tcPr>
          <w:p w:rsidR="00D95CC0" w:rsidRPr="00F137E2" w:rsidRDefault="00D95CC0" w:rsidP="00A9124C">
            <w:pPr>
              <w:pStyle w:val="ListParagraph"/>
              <w:ind w:left="0"/>
              <w:contextualSpacing w:val="0"/>
              <w:jc w:val="center"/>
              <w:rPr>
                <w:b/>
                <w:sz w:val="20"/>
                <w:szCs w:val="20"/>
              </w:rPr>
            </w:pPr>
            <w:r w:rsidRPr="00F137E2">
              <w:rPr>
                <w:b/>
                <w:sz w:val="20"/>
                <w:szCs w:val="20"/>
              </w:rPr>
              <w:t xml:space="preserve">Counterpart </w:t>
            </w:r>
            <w:r>
              <w:rPr>
                <w:b/>
                <w:sz w:val="20"/>
                <w:szCs w:val="20"/>
              </w:rPr>
              <w:t xml:space="preserve">(ABC) </w:t>
            </w:r>
            <w:r w:rsidRPr="00F137E2">
              <w:rPr>
                <w:b/>
                <w:sz w:val="20"/>
                <w:szCs w:val="20"/>
              </w:rPr>
              <w:t>Funding</w:t>
            </w:r>
            <w:r>
              <w:rPr>
                <w:b/>
                <w:sz w:val="20"/>
                <w:szCs w:val="20"/>
              </w:rPr>
              <w:t xml:space="preserve"> </w:t>
            </w:r>
          </w:p>
        </w:tc>
        <w:tc>
          <w:tcPr>
            <w:tcW w:w="1476" w:type="dxa"/>
            <w:tcBorders>
              <w:bottom w:val="single" w:sz="4" w:space="0" w:color="auto"/>
            </w:tcBorders>
          </w:tcPr>
          <w:p w:rsidR="00D95CC0" w:rsidRDefault="00D95CC0" w:rsidP="00A9124C">
            <w:pPr>
              <w:pStyle w:val="ListParagraph"/>
              <w:ind w:left="0"/>
              <w:contextualSpacing w:val="0"/>
              <w:jc w:val="center"/>
              <w:rPr>
                <w:b/>
                <w:sz w:val="20"/>
                <w:szCs w:val="20"/>
              </w:rPr>
            </w:pPr>
            <w:r w:rsidRPr="00F137E2">
              <w:rPr>
                <w:b/>
                <w:sz w:val="20"/>
                <w:szCs w:val="20"/>
              </w:rPr>
              <w:t>Total Funding</w:t>
            </w:r>
          </w:p>
          <w:p w:rsidR="00D95CC0" w:rsidRPr="00F137E2" w:rsidRDefault="00D95CC0" w:rsidP="00A9124C">
            <w:pPr>
              <w:pStyle w:val="ListParagraph"/>
              <w:ind w:left="0"/>
              <w:contextualSpacing w:val="0"/>
              <w:jc w:val="center"/>
              <w:rPr>
                <w:b/>
                <w:sz w:val="20"/>
                <w:szCs w:val="20"/>
              </w:rPr>
            </w:pPr>
            <w:r>
              <w:rPr>
                <w:b/>
                <w:sz w:val="20"/>
                <w:szCs w:val="20"/>
              </w:rPr>
              <w:t>US$</w:t>
            </w:r>
          </w:p>
        </w:tc>
      </w:tr>
      <w:tr w:rsidR="00D95CC0" w:rsidRPr="00F137E2" w:rsidTr="00A9124C">
        <w:trPr>
          <w:jc w:val="center"/>
        </w:trPr>
        <w:tc>
          <w:tcPr>
            <w:tcW w:w="9433" w:type="dxa"/>
            <w:gridSpan w:val="5"/>
            <w:shd w:val="clear" w:color="auto" w:fill="92CDDC" w:themeFill="accent5" w:themeFillTint="99"/>
          </w:tcPr>
          <w:p w:rsidR="00D95CC0" w:rsidRPr="00F137E2" w:rsidRDefault="00D95CC0" w:rsidP="00A9124C">
            <w:pPr>
              <w:pStyle w:val="ListParagraph"/>
              <w:ind w:left="0"/>
              <w:contextualSpacing w:val="0"/>
              <w:rPr>
                <w:b/>
                <w:sz w:val="20"/>
                <w:szCs w:val="20"/>
              </w:rPr>
            </w:pPr>
            <w:r>
              <w:rPr>
                <w:b/>
                <w:sz w:val="20"/>
                <w:szCs w:val="20"/>
              </w:rPr>
              <w:t>A</w:t>
            </w:r>
            <w:r w:rsidRPr="00F137E2">
              <w:rPr>
                <w:b/>
                <w:sz w:val="20"/>
                <w:szCs w:val="20"/>
              </w:rPr>
              <w:t>ctivities</w:t>
            </w:r>
          </w:p>
        </w:tc>
      </w:tr>
      <w:tr w:rsidR="00D95CC0" w:rsidRPr="00F137E2" w:rsidTr="00A9124C">
        <w:trPr>
          <w:jc w:val="center"/>
        </w:trPr>
        <w:tc>
          <w:tcPr>
            <w:tcW w:w="1927" w:type="dxa"/>
          </w:tcPr>
          <w:p w:rsidR="00D95CC0" w:rsidRPr="00A43F5F" w:rsidRDefault="00D95CC0" w:rsidP="00A9124C">
            <w:pPr>
              <w:pStyle w:val="ListParagraph"/>
              <w:ind w:left="0"/>
              <w:contextualSpacing w:val="0"/>
              <w:rPr>
                <w:b/>
                <w:sz w:val="20"/>
                <w:szCs w:val="20"/>
              </w:rPr>
            </w:pPr>
            <w:r>
              <w:rPr>
                <w:b/>
                <w:sz w:val="20"/>
                <w:szCs w:val="20"/>
              </w:rPr>
              <w:t>1.</w:t>
            </w:r>
            <w:r w:rsidRPr="00A43F5F">
              <w:rPr>
                <w:b/>
                <w:sz w:val="20"/>
                <w:szCs w:val="20"/>
              </w:rPr>
              <w:t xml:space="preserve"> </w:t>
            </w:r>
            <w:r>
              <w:rPr>
                <w:b/>
                <w:sz w:val="20"/>
                <w:szCs w:val="20"/>
              </w:rPr>
              <w:t>Rapid Rural Evaluation</w:t>
            </w:r>
          </w:p>
        </w:tc>
        <w:tc>
          <w:tcPr>
            <w:tcW w:w="3366" w:type="dxa"/>
          </w:tcPr>
          <w:p w:rsidR="00D95CC0" w:rsidRDefault="00D95CC0" w:rsidP="00A9124C">
            <w:pPr>
              <w:pStyle w:val="ListParagraph"/>
              <w:ind w:left="0"/>
              <w:contextualSpacing w:val="0"/>
              <w:rPr>
                <w:sz w:val="20"/>
                <w:szCs w:val="20"/>
              </w:rPr>
            </w:pPr>
            <w:r>
              <w:rPr>
                <w:sz w:val="20"/>
                <w:szCs w:val="20"/>
              </w:rPr>
              <w:t>The Rapid Rural Evaluation will address the following areas:</w:t>
            </w:r>
          </w:p>
          <w:p w:rsidR="00D95CC0" w:rsidRPr="00705952" w:rsidRDefault="00D95CC0" w:rsidP="00A9124C">
            <w:pPr>
              <w:pStyle w:val="ListParagraph"/>
              <w:numPr>
                <w:ilvl w:val="0"/>
                <w:numId w:val="12"/>
              </w:numPr>
              <w:rPr>
                <w:sz w:val="20"/>
                <w:szCs w:val="20"/>
              </w:rPr>
            </w:pPr>
            <w:r w:rsidRPr="00705952">
              <w:rPr>
                <w:sz w:val="20"/>
                <w:szCs w:val="20"/>
              </w:rPr>
              <w:t xml:space="preserve">Socio-economic characteristics of landowners: number of owners, income generating activities, social norms towards the use of the habitat, for all known remaining patches of potential Honduran Emerald habitat in the </w:t>
            </w:r>
            <w:proofErr w:type="spellStart"/>
            <w:r w:rsidRPr="00705952">
              <w:rPr>
                <w:sz w:val="20"/>
                <w:szCs w:val="20"/>
              </w:rPr>
              <w:t>Agalta</w:t>
            </w:r>
            <w:proofErr w:type="spellEnd"/>
            <w:r w:rsidRPr="00705952">
              <w:rPr>
                <w:sz w:val="20"/>
                <w:szCs w:val="20"/>
              </w:rPr>
              <w:t xml:space="preserve"> Valley</w:t>
            </w:r>
          </w:p>
          <w:p w:rsidR="00D95CC0" w:rsidRPr="00705952" w:rsidRDefault="00D95CC0" w:rsidP="00A9124C">
            <w:pPr>
              <w:pStyle w:val="ListParagraph"/>
              <w:numPr>
                <w:ilvl w:val="0"/>
                <w:numId w:val="12"/>
              </w:numPr>
              <w:rPr>
                <w:sz w:val="20"/>
                <w:szCs w:val="20"/>
              </w:rPr>
            </w:pPr>
            <w:r w:rsidRPr="00705952">
              <w:rPr>
                <w:sz w:val="20"/>
                <w:szCs w:val="20"/>
              </w:rPr>
              <w:t>Type of land tenure: land-use, opportunity costs of land, agricultural practices</w:t>
            </w:r>
          </w:p>
          <w:p w:rsidR="00D95CC0" w:rsidRPr="00705952" w:rsidRDefault="00D95CC0" w:rsidP="00A9124C">
            <w:pPr>
              <w:pStyle w:val="ListParagraph"/>
              <w:numPr>
                <w:ilvl w:val="0"/>
                <w:numId w:val="12"/>
              </w:numPr>
              <w:rPr>
                <w:sz w:val="20"/>
                <w:szCs w:val="20"/>
              </w:rPr>
            </w:pPr>
            <w:r w:rsidRPr="00705952">
              <w:rPr>
                <w:sz w:val="20"/>
                <w:szCs w:val="20"/>
              </w:rPr>
              <w:t>Risks and tradeoffs for farmers for setting aside areas for conservation</w:t>
            </w:r>
          </w:p>
          <w:p w:rsidR="00D95CC0" w:rsidRPr="00705952" w:rsidRDefault="00D95CC0" w:rsidP="00A9124C">
            <w:pPr>
              <w:pStyle w:val="ListParagraph"/>
              <w:numPr>
                <w:ilvl w:val="0"/>
                <w:numId w:val="12"/>
              </w:numPr>
              <w:rPr>
                <w:sz w:val="20"/>
                <w:szCs w:val="20"/>
              </w:rPr>
            </w:pPr>
            <w:r w:rsidRPr="00705952">
              <w:rPr>
                <w:sz w:val="20"/>
                <w:szCs w:val="20"/>
              </w:rPr>
              <w:t xml:space="preserve">Identification of support organizations and local institutions that have the capacity to create the necessary enabling environment and monitor and evaluate contract agreements </w:t>
            </w:r>
            <w:r w:rsidRPr="00705952">
              <w:rPr>
                <w:sz w:val="20"/>
                <w:szCs w:val="20"/>
              </w:rPr>
              <w:lastRenderedPageBreak/>
              <w:t>between landowners and the PES scheme</w:t>
            </w:r>
          </w:p>
          <w:p w:rsidR="00D95CC0" w:rsidRPr="00705952" w:rsidRDefault="00D95CC0" w:rsidP="00A9124C">
            <w:pPr>
              <w:pStyle w:val="ListParagraph"/>
              <w:numPr>
                <w:ilvl w:val="0"/>
                <w:numId w:val="12"/>
              </w:numPr>
              <w:rPr>
                <w:sz w:val="20"/>
                <w:szCs w:val="20"/>
              </w:rPr>
            </w:pPr>
            <w:r w:rsidRPr="00705952">
              <w:rPr>
                <w:sz w:val="20"/>
                <w:szCs w:val="20"/>
              </w:rPr>
              <w:t>Survey of landowners’ willingness to accept payments and/or other forms of compensation for conservation and/or restoration</w:t>
            </w:r>
          </w:p>
          <w:p w:rsidR="00D95CC0" w:rsidRPr="00705952" w:rsidRDefault="00D95CC0" w:rsidP="00A9124C">
            <w:pPr>
              <w:pStyle w:val="ListParagraph"/>
              <w:numPr>
                <w:ilvl w:val="0"/>
                <w:numId w:val="12"/>
              </w:numPr>
              <w:rPr>
                <w:sz w:val="20"/>
                <w:szCs w:val="20"/>
              </w:rPr>
            </w:pPr>
            <w:r w:rsidRPr="00705952">
              <w:rPr>
                <w:sz w:val="20"/>
                <w:szCs w:val="20"/>
              </w:rPr>
              <w:t xml:space="preserve">Analysis of alternative options other than PES for achieving Honduran Emerald conservation on remaining patches of potential Honduran Emerald habitat in the </w:t>
            </w:r>
            <w:proofErr w:type="spellStart"/>
            <w:r w:rsidRPr="00705952">
              <w:rPr>
                <w:sz w:val="20"/>
                <w:szCs w:val="20"/>
              </w:rPr>
              <w:t>Agalta</w:t>
            </w:r>
            <w:proofErr w:type="spellEnd"/>
            <w:r w:rsidRPr="00705952">
              <w:rPr>
                <w:sz w:val="20"/>
                <w:szCs w:val="20"/>
              </w:rPr>
              <w:t xml:space="preserve"> Valley (e.g., direct purchase)</w:t>
            </w:r>
          </w:p>
          <w:p w:rsidR="00D95CC0" w:rsidRPr="009A28CB" w:rsidRDefault="00D95CC0" w:rsidP="00A9124C">
            <w:pPr>
              <w:pStyle w:val="ListParagraph"/>
              <w:numPr>
                <w:ilvl w:val="0"/>
                <w:numId w:val="12"/>
              </w:numPr>
              <w:rPr>
                <w:sz w:val="20"/>
                <w:szCs w:val="20"/>
              </w:rPr>
            </w:pPr>
            <w:r w:rsidRPr="00705952">
              <w:rPr>
                <w:sz w:val="20"/>
                <w:szCs w:val="20"/>
              </w:rPr>
              <w:t xml:space="preserve">Analysis of options for achieving restoration of already-converted Honduran Emerald Habitat in the </w:t>
            </w:r>
            <w:proofErr w:type="spellStart"/>
            <w:r w:rsidRPr="00705952">
              <w:rPr>
                <w:sz w:val="20"/>
                <w:szCs w:val="20"/>
              </w:rPr>
              <w:t>Agalta</w:t>
            </w:r>
            <w:proofErr w:type="spellEnd"/>
            <w:r w:rsidRPr="00705952">
              <w:rPr>
                <w:sz w:val="20"/>
                <w:szCs w:val="20"/>
              </w:rPr>
              <w:t xml:space="preserve"> Valley</w:t>
            </w:r>
          </w:p>
        </w:tc>
        <w:tc>
          <w:tcPr>
            <w:tcW w:w="1260" w:type="dxa"/>
            <w:vAlign w:val="center"/>
          </w:tcPr>
          <w:p w:rsidR="00D95CC0" w:rsidRPr="00F137E2" w:rsidRDefault="00D95CC0" w:rsidP="00A9124C">
            <w:pPr>
              <w:pStyle w:val="ListParagraph"/>
              <w:ind w:left="0"/>
              <w:contextualSpacing w:val="0"/>
              <w:jc w:val="center"/>
              <w:rPr>
                <w:sz w:val="20"/>
                <w:szCs w:val="20"/>
              </w:rPr>
            </w:pPr>
            <w:r>
              <w:rPr>
                <w:sz w:val="20"/>
                <w:szCs w:val="20"/>
              </w:rPr>
              <w:lastRenderedPageBreak/>
              <w:t>40,000</w:t>
            </w:r>
          </w:p>
        </w:tc>
        <w:tc>
          <w:tcPr>
            <w:tcW w:w="1404" w:type="dxa"/>
            <w:vAlign w:val="center"/>
          </w:tcPr>
          <w:p w:rsidR="00D95CC0" w:rsidRPr="00F137E2" w:rsidRDefault="00D95CC0" w:rsidP="00A9124C">
            <w:pPr>
              <w:pStyle w:val="ListParagraph"/>
              <w:ind w:left="0"/>
              <w:contextualSpacing w:val="0"/>
              <w:jc w:val="center"/>
              <w:rPr>
                <w:sz w:val="20"/>
                <w:szCs w:val="20"/>
              </w:rPr>
            </w:pPr>
          </w:p>
        </w:tc>
        <w:tc>
          <w:tcPr>
            <w:tcW w:w="1476" w:type="dxa"/>
            <w:vAlign w:val="center"/>
          </w:tcPr>
          <w:p w:rsidR="00D95CC0" w:rsidRPr="00F137E2" w:rsidRDefault="00D95CC0" w:rsidP="00A9124C">
            <w:pPr>
              <w:pStyle w:val="ListParagraph"/>
              <w:ind w:left="0"/>
              <w:contextualSpacing w:val="0"/>
              <w:jc w:val="center"/>
              <w:rPr>
                <w:sz w:val="20"/>
                <w:szCs w:val="20"/>
              </w:rPr>
            </w:pPr>
            <w:r>
              <w:rPr>
                <w:sz w:val="20"/>
                <w:szCs w:val="20"/>
              </w:rPr>
              <w:t>40,000</w:t>
            </w:r>
          </w:p>
        </w:tc>
      </w:tr>
      <w:tr w:rsidR="00D95CC0" w:rsidRPr="00F137E2" w:rsidTr="00A9124C">
        <w:trPr>
          <w:jc w:val="center"/>
        </w:trPr>
        <w:tc>
          <w:tcPr>
            <w:tcW w:w="1927" w:type="dxa"/>
          </w:tcPr>
          <w:p w:rsidR="00D95CC0" w:rsidRPr="00FB4824" w:rsidRDefault="00D95CC0" w:rsidP="00A9124C">
            <w:pPr>
              <w:pStyle w:val="ListParagraph"/>
              <w:ind w:left="0"/>
              <w:contextualSpacing w:val="0"/>
              <w:rPr>
                <w:b/>
                <w:sz w:val="20"/>
                <w:szCs w:val="20"/>
              </w:rPr>
            </w:pPr>
            <w:r w:rsidRPr="00FB4824">
              <w:rPr>
                <w:b/>
                <w:sz w:val="20"/>
                <w:szCs w:val="20"/>
              </w:rPr>
              <w:lastRenderedPageBreak/>
              <w:t xml:space="preserve">2. Ecosystem Services Baseline Analysis </w:t>
            </w:r>
          </w:p>
        </w:tc>
        <w:tc>
          <w:tcPr>
            <w:tcW w:w="3366" w:type="dxa"/>
          </w:tcPr>
          <w:p w:rsidR="00D95CC0" w:rsidRDefault="00D95CC0" w:rsidP="00A9124C">
            <w:pPr>
              <w:pStyle w:val="ListParagraph"/>
              <w:ind w:left="0"/>
              <w:contextualSpacing w:val="0"/>
              <w:rPr>
                <w:sz w:val="20"/>
                <w:szCs w:val="20"/>
              </w:rPr>
            </w:pPr>
            <w:r>
              <w:rPr>
                <w:sz w:val="20"/>
                <w:szCs w:val="20"/>
              </w:rPr>
              <w:t>Identification of existing ecosystem services to establish a baseline for monitoring.</w:t>
            </w:r>
            <w:r w:rsidRPr="00207426">
              <w:t xml:space="preserve"> .</w:t>
            </w:r>
            <w:r>
              <w:t xml:space="preserve"> General activities will include:</w:t>
            </w:r>
          </w:p>
        </w:tc>
        <w:tc>
          <w:tcPr>
            <w:tcW w:w="1260" w:type="dxa"/>
          </w:tcPr>
          <w:p w:rsidR="00D95CC0" w:rsidRDefault="00D95CC0" w:rsidP="00A9124C">
            <w:pPr>
              <w:pStyle w:val="ListParagraph"/>
              <w:ind w:left="0"/>
              <w:contextualSpacing w:val="0"/>
              <w:jc w:val="center"/>
              <w:rPr>
                <w:sz w:val="20"/>
                <w:szCs w:val="20"/>
              </w:rPr>
            </w:pPr>
            <w:r>
              <w:rPr>
                <w:sz w:val="20"/>
                <w:szCs w:val="20"/>
              </w:rPr>
              <w:t>30,000</w:t>
            </w:r>
          </w:p>
        </w:tc>
        <w:tc>
          <w:tcPr>
            <w:tcW w:w="1404" w:type="dxa"/>
          </w:tcPr>
          <w:p w:rsidR="00D95CC0" w:rsidRPr="00F137E2" w:rsidRDefault="00D95CC0" w:rsidP="00A9124C">
            <w:pPr>
              <w:pStyle w:val="ListParagraph"/>
              <w:ind w:left="0"/>
              <w:contextualSpacing w:val="0"/>
              <w:jc w:val="center"/>
              <w:rPr>
                <w:sz w:val="20"/>
                <w:szCs w:val="20"/>
              </w:rPr>
            </w:pPr>
          </w:p>
        </w:tc>
        <w:tc>
          <w:tcPr>
            <w:tcW w:w="1476" w:type="dxa"/>
          </w:tcPr>
          <w:p w:rsidR="00D95CC0" w:rsidRDefault="00D95CC0" w:rsidP="00A9124C">
            <w:pPr>
              <w:pStyle w:val="ListParagraph"/>
              <w:ind w:left="0"/>
              <w:contextualSpacing w:val="0"/>
              <w:jc w:val="center"/>
              <w:rPr>
                <w:sz w:val="20"/>
                <w:szCs w:val="20"/>
              </w:rPr>
            </w:pPr>
            <w:r>
              <w:rPr>
                <w:sz w:val="20"/>
                <w:szCs w:val="20"/>
              </w:rPr>
              <w:t>30,000</w:t>
            </w:r>
          </w:p>
        </w:tc>
      </w:tr>
      <w:tr w:rsidR="00D95CC0" w:rsidRPr="00F137E2" w:rsidTr="00A9124C">
        <w:trPr>
          <w:jc w:val="center"/>
        </w:trPr>
        <w:tc>
          <w:tcPr>
            <w:tcW w:w="1927" w:type="dxa"/>
            <w:tcBorders>
              <w:bottom w:val="single" w:sz="4" w:space="0" w:color="auto"/>
            </w:tcBorders>
          </w:tcPr>
          <w:p w:rsidR="00D95CC0" w:rsidRPr="00A43F5F" w:rsidRDefault="00D95CC0" w:rsidP="00A9124C">
            <w:pPr>
              <w:pStyle w:val="ListParagraph"/>
              <w:ind w:left="0"/>
              <w:contextualSpacing w:val="0"/>
              <w:rPr>
                <w:b/>
                <w:sz w:val="20"/>
                <w:szCs w:val="20"/>
              </w:rPr>
            </w:pPr>
            <w:r>
              <w:rPr>
                <w:b/>
                <w:sz w:val="20"/>
                <w:szCs w:val="20"/>
              </w:rPr>
              <w:t>3.</w:t>
            </w:r>
            <w:r w:rsidRPr="00A43F5F">
              <w:rPr>
                <w:b/>
                <w:sz w:val="20"/>
                <w:szCs w:val="20"/>
              </w:rPr>
              <w:t xml:space="preserve"> </w:t>
            </w:r>
            <w:r>
              <w:rPr>
                <w:b/>
                <w:sz w:val="20"/>
                <w:szCs w:val="20"/>
              </w:rPr>
              <w:t>Establishment of Governance Structure</w:t>
            </w:r>
          </w:p>
        </w:tc>
        <w:tc>
          <w:tcPr>
            <w:tcW w:w="3366" w:type="dxa"/>
            <w:tcBorders>
              <w:bottom w:val="single" w:sz="4" w:space="0" w:color="auto"/>
            </w:tcBorders>
          </w:tcPr>
          <w:p w:rsidR="00D95CC0" w:rsidRDefault="00D95CC0" w:rsidP="00A9124C">
            <w:pPr>
              <w:pStyle w:val="ListParagraph"/>
              <w:ind w:left="0"/>
              <w:contextualSpacing w:val="0"/>
              <w:rPr>
                <w:sz w:val="20"/>
                <w:szCs w:val="20"/>
              </w:rPr>
            </w:pPr>
            <w:r>
              <w:rPr>
                <w:sz w:val="20"/>
                <w:szCs w:val="20"/>
              </w:rPr>
              <w:t>The establishment of a governance structure will include the following areas:</w:t>
            </w:r>
          </w:p>
          <w:p w:rsidR="00D95CC0" w:rsidRPr="00773E3C" w:rsidRDefault="00D95CC0" w:rsidP="00A9124C">
            <w:pPr>
              <w:pStyle w:val="ListParagraph"/>
              <w:numPr>
                <w:ilvl w:val="0"/>
                <w:numId w:val="8"/>
              </w:numPr>
              <w:rPr>
                <w:sz w:val="20"/>
                <w:szCs w:val="20"/>
              </w:rPr>
            </w:pPr>
            <w:r w:rsidRPr="00773E3C">
              <w:rPr>
                <w:sz w:val="20"/>
                <w:szCs w:val="20"/>
              </w:rPr>
              <w:t>Legal: identification of any new legislation that might be required and development of a feasible plan for creating such legislation; identification of existing legislation relevant to the functioning of the PES scheme</w:t>
            </w:r>
          </w:p>
          <w:p w:rsidR="00D95CC0" w:rsidRPr="00773E3C" w:rsidRDefault="00D95CC0" w:rsidP="00A9124C">
            <w:pPr>
              <w:pStyle w:val="ListParagraph"/>
              <w:numPr>
                <w:ilvl w:val="0"/>
                <w:numId w:val="8"/>
              </w:numPr>
              <w:rPr>
                <w:sz w:val="20"/>
                <w:szCs w:val="20"/>
              </w:rPr>
            </w:pPr>
            <w:r w:rsidRPr="00773E3C">
              <w:rPr>
                <w:sz w:val="20"/>
                <w:szCs w:val="20"/>
              </w:rPr>
              <w:t>Institutional: permanent administrative mechanism that enforces, monitors, and seeks to expand the PES scheme</w:t>
            </w:r>
          </w:p>
          <w:p w:rsidR="00D95CC0" w:rsidRDefault="00D95CC0" w:rsidP="00A9124C">
            <w:pPr>
              <w:pStyle w:val="ListParagraph"/>
              <w:numPr>
                <w:ilvl w:val="0"/>
                <w:numId w:val="8"/>
              </w:numPr>
              <w:contextualSpacing w:val="0"/>
              <w:rPr>
                <w:sz w:val="20"/>
                <w:szCs w:val="20"/>
              </w:rPr>
            </w:pPr>
            <w:r w:rsidRPr="00773E3C">
              <w:rPr>
                <w:sz w:val="20"/>
                <w:szCs w:val="20"/>
              </w:rPr>
              <w:t>Contractual: Template contracts, types of compensation (i.e., monetary or otherwise), compensation levels and rationale (e.g., levels determined by current and agreed future land uses, opportunity costs, transaction costs, etc.)</w:t>
            </w:r>
          </w:p>
          <w:p w:rsidR="00D95CC0" w:rsidRPr="002B2AF1" w:rsidRDefault="00D95CC0" w:rsidP="00A9124C">
            <w:pPr>
              <w:pStyle w:val="ListParagraph"/>
              <w:numPr>
                <w:ilvl w:val="0"/>
                <w:numId w:val="8"/>
              </w:numPr>
              <w:contextualSpacing w:val="0"/>
              <w:jc w:val="both"/>
              <w:rPr>
                <w:bCs/>
              </w:rPr>
            </w:pPr>
            <w:r>
              <w:t>Financial: identification of potential sources for a sustainable financial scheme that assures its continuity and long-term impacts</w:t>
            </w:r>
          </w:p>
          <w:p w:rsidR="002B2AF1" w:rsidRPr="00D03338" w:rsidRDefault="002B2AF1" w:rsidP="002B2AF1">
            <w:pPr>
              <w:pStyle w:val="ListParagraph"/>
              <w:ind w:left="360"/>
              <w:contextualSpacing w:val="0"/>
              <w:jc w:val="both"/>
              <w:rPr>
                <w:bCs/>
              </w:rPr>
            </w:pPr>
          </w:p>
        </w:tc>
        <w:tc>
          <w:tcPr>
            <w:tcW w:w="1260" w:type="dxa"/>
            <w:tcBorders>
              <w:bottom w:val="single" w:sz="4" w:space="0" w:color="auto"/>
            </w:tcBorders>
            <w:vAlign w:val="center"/>
          </w:tcPr>
          <w:p w:rsidR="00D95CC0" w:rsidRPr="00F137E2" w:rsidRDefault="00D95CC0" w:rsidP="00A9124C">
            <w:pPr>
              <w:pStyle w:val="ListParagraph"/>
              <w:ind w:left="0"/>
              <w:contextualSpacing w:val="0"/>
              <w:jc w:val="center"/>
              <w:rPr>
                <w:sz w:val="20"/>
                <w:szCs w:val="20"/>
              </w:rPr>
            </w:pPr>
            <w:r>
              <w:rPr>
                <w:sz w:val="20"/>
                <w:szCs w:val="20"/>
              </w:rPr>
              <w:t>50,000</w:t>
            </w:r>
          </w:p>
        </w:tc>
        <w:tc>
          <w:tcPr>
            <w:tcW w:w="1404" w:type="dxa"/>
            <w:tcBorders>
              <w:bottom w:val="single" w:sz="4" w:space="0" w:color="auto"/>
            </w:tcBorders>
            <w:vAlign w:val="center"/>
          </w:tcPr>
          <w:p w:rsidR="00D95CC0" w:rsidRPr="00F137E2" w:rsidRDefault="00D95CC0" w:rsidP="00A9124C">
            <w:pPr>
              <w:pStyle w:val="ListParagraph"/>
              <w:ind w:left="0"/>
              <w:contextualSpacing w:val="0"/>
              <w:jc w:val="center"/>
              <w:rPr>
                <w:sz w:val="20"/>
                <w:szCs w:val="20"/>
              </w:rPr>
            </w:pPr>
            <w:r>
              <w:rPr>
                <w:sz w:val="20"/>
                <w:szCs w:val="20"/>
              </w:rPr>
              <w:t>15,000</w:t>
            </w:r>
          </w:p>
        </w:tc>
        <w:tc>
          <w:tcPr>
            <w:tcW w:w="1476" w:type="dxa"/>
            <w:tcBorders>
              <w:bottom w:val="single" w:sz="4" w:space="0" w:color="auto"/>
            </w:tcBorders>
            <w:vAlign w:val="center"/>
          </w:tcPr>
          <w:p w:rsidR="00D95CC0" w:rsidRPr="00F137E2" w:rsidRDefault="00D95CC0" w:rsidP="00A9124C">
            <w:pPr>
              <w:pStyle w:val="ListParagraph"/>
              <w:ind w:left="0"/>
              <w:contextualSpacing w:val="0"/>
              <w:jc w:val="center"/>
              <w:rPr>
                <w:sz w:val="20"/>
                <w:szCs w:val="20"/>
              </w:rPr>
            </w:pPr>
            <w:r>
              <w:rPr>
                <w:sz w:val="20"/>
                <w:szCs w:val="20"/>
              </w:rPr>
              <w:t>65,000</w:t>
            </w:r>
          </w:p>
        </w:tc>
      </w:tr>
      <w:tr w:rsidR="00D95CC0" w:rsidRPr="00F137E2" w:rsidTr="00A9124C">
        <w:trPr>
          <w:jc w:val="center"/>
        </w:trPr>
        <w:tc>
          <w:tcPr>
            <w:tcW w:w="1927" w:type="dxa"/>
          </w:tcPr>
          <w:p w:rsidR="00D95CC0" w:rsidRPr="00A43F5F" w:rsidRDefault="00D95CC0" w:rsidP="00A9124C">
            <w:pPr>
              <w:pStyle w:val="ListParagraph"/>
              <w:ind w:left="0"/>
              <w:contextualSpacing w:val="0"/>
              <w:rPr>
                <w:b/>
                <w:sz w:val="20"/>
                <w:szCs w:val="20"/>
              </w:rPr>
            </w:pPr>
            <w:r>
              <w:rPr>
                <w:b/>
                <w:sz w:val="20"/>
                <w:szCs w:val="20"/>
              </w:rPr>
              <w:t>4. PES Operation Manual</w:t>
            </w:r>
          </w:p>
        </w:tc>
        <w:tc>
          <w:tcPr>
            <w:tcW w:w="3366" w:type="dxa"/>
          </w:tcPr>
          <w:p w:rsidR="00D95CC0" w:rsidRDefault="00D95CC0" w:rsidP="00A9124C">
            <w:pPr>
              <w:pStyle w:val="ListParagraph"/>
              <w:ind w:left="0"/>
              <w:contextualSpacing w:val="0"/>
              <w:rPr>
                <w:sz w:val="20"/>
                <w:szCs w:val="20"/>
              </w:rPr>
            </w:pPr>
            <w:r>
              <w:rPr>
                <w:sz w:val="20"/>
                <w:szCs w:val="20"/>
              </w:rPr>
              <w:t>The PES Operation Manual will include:</w:t>
            </w:r>
          </w:p>
          <w:p w:rsidR="00D95CC0" w:rsidRPr="00C1516D" w:rsidRDefault="00D95CC0" w:rsidP="00A9124C">
            <w:pPr>
              <w:pStyle w:val="ListParagraph"/>
              <w:numPr>
                <w:ilvl w:val="0"/>
                <w:numId w:val="10"/>
              </w:numPr>
              <w:rPr>
                <w:sz w:val="20"/>
                <w:szCs w:val="20"/>
              </w:rPr>
            </w:pPr>
            <w:r w:rsidRPr="00C1516D">
              <w:rPr>
                <w:sz w:val="20"/>
                <w:szCs w:val="20"/>
              </w:rPr>
              <w:t xml:space="preserve">Institutional structure(s) for the long-term operation of the PES scheme, with all roles and </w:t>
            </w:r>
            <w:r w:rsidRPr="00C1516D">
              <w:rPr>
                <w:sz w:val="20"/>
                <w:szCs w:val="20"/>
              </w:rPr>
              <w:lastRenderedPageBreak/>
              <w:t xml:space="preserve">responsibilities clearly defined  </w:t>
            </w:r>
          </w:p>
          <w:p w:rsidR="00D95CC0" w:rsidRPr="00C1516D" w:rsidRDefault="00D95CC0" w:rsidP="00A9124C">
            <w:pPr>
              <w:pStyle w:val="ListParagraph"/>
              <w:numPr>
                <w:ilvl w:val="0"/>
                <w:numId w:val="10"/>
              </w:numPr>
              <w:rPr>
                <w:sz w:val="20"/>
                <w:szCs w:val="20"/>
              </w:rPr>
            </w:pPr>
            <w:r w:rsidRPr="00C1516D">
              <w:rPr>
                <w:sz w:val="20"/>
                <w:szCs w:val="20"/>
              </w:rPr>
              <w:t>Exemplary draft contract arrangements between landowners and the PES administrator</w:t>
            </w:r>
          </w:p>
          <w:p w:rsidR="00D95CC0" w:rsidRPr="00C1516D" w:rsidRDefault="00D95CC0" w:rsidP="00A9124C">
            <w:pPr>
              <w:pStyle w:val="ListParagraph"/>
              <w:numPr>
                <w:ilvl w:val="0"/>
                <w:numId w:val="10"/>
              </w:numPr>
              <w:rPr>
                <w:sz w:val="20"/>
                <w:szCs w:val="20"/>
              </w:rPr>
            </w:pPr>
            <w:r w:rsidRPr="00C1516D">
              <w:rPr>
                <w:sz w:val="20"/>
                <w:szCs w:val="20"/>
              </w:rPr>
              <w:t>M&amp;E plan including indicators, responsible parties, and budgets</w:t>
            </w:r>
          </w:p>
          <w:p w:rsidR="00D95CC0" w:rsidRPr="00C1516D" w:rsidRDefault="00D95CC0" w:rsidP="00A9124C">
            <w:pPr>
              <w:pStyle w:val="ListParagraph"/>
              <w:numPr>
                <w:ilvl w:val="0"/>
                <w:numId w:val="10"/>
              </w:numPr>
              <w:rPr>
                <w:sz w:val="20"/>
                <w:szCs w:val="20"/>
              </w:rPr>
            </w:pPr>
            <w:r w:rsidRPr="00C1516D">
              <w:rPr>
                <w:sz w:val="20"/>
                <w:szCs w:val="20"/>
              </w:rPr>
              <w:t>Relevant legal underpinnings of the scheme, as appropriate</w:t>
            </w:r>
          </w:p>
          <w:p w:rsidR="00D95CC0" w:rsidRPr="00C1516D" w:rsidRDefault="00D95CC0" w:rsidP="00A9124C">
            <w:pPr>
              <w:pStyle w:val="ListParagraph"/>
              <w:numPr>
                <w:ilvl w:val="0"/>
                <w:numId w:val="10"/>
              </w:numPr>
              <w:rPr>
                <w:sz w:val="20"/>
                <w:szCs w:val="20"/>
              </w:rPr>
            </w:pPr>
            <w:r w:rsidRPr="00C1516D">
              <w:rPr>
                <w:sz w:val="20"/>
                <w:szCs w:val="20"/>
              </w:rPr>
              <w:t>Complaints receipt and redress mechanism</w:t>
            </w:r>
          </w:p>
          <w:p w:rsidR="00D95CC0" w:rsidRPr="00C1516D" w:rsidRDefault="00D95CC0" w:rsidP="00A9124C">
            <w:pPr>
              <w:pStyle w:val="ListParagraph"/>
              <w:numPr>
                <w:ilvl w:val="0"/>
                <w:numId w:val="10"/>
              </w:numPr>
              <w:rPr>
                <w:sz w:val="20"/>
                <w:szCs w:val="20"/>
              </w:rPr>
            </w:pPr>
            <w:r w:rsidRPr="00C1516D">
              <w:rPr>
                <w:sz w:val="20"/>
                <w:szCs w:val="20"/>
              </w:rPr>
              <w:t>An overall budget for operation of the PES scheme, including initial capital investments and recurring costs</w:t>
            </w:r>
          </w:p>
        </w:tc>
        <w:tc>
          <w:tcPr>
            <w:tcW w:w="1260" w:type="dxa"/>
            <w:vAlign w:val="center"/>
          </w:tcPr>
          <w:p w:rsidR="00D95CC0" w:rsidRPr="00F137E2" w:rsidRDefault="00D95CC0" w:rsidP="00A9124C">
            <w:pPr>
              <w:pStyle w:val="ListParagraph"/>
              <w:ind w:left="0"/>
              <w:contextualSpacing w:val="0"/>
              <w:jc w:val="center"/>
              <w:rPr>
                <w:sz w:val="20"/>
                <w:szCs w:val="20"/>
              </w:rPr>
            </w:pPr>
            <w:r>
              <w:rPr>
                <w:sz w:val="20"/>
                <w:szCs w:val="20"/>
              </w:rPr>
              <w:lastRenderedPageBreak/>
              <w:t>30,000</w:t>
            </w:r>
          </w:p>
        </w:tc>
        <w:tc>
          <w:tcPr>
            <w:tcW w:w="1404" w:type="dxa"/>
            <w:vAlign w:val="center"/>
          </w:tcPr>
          <w:p w:rsidR="00D95CC0" w:rsidRPr="00F137E2" w:rsidRDefault="00D95CC0" w:rsidP="00A9124C">
            <w:pPr>
              <w:pStyle w:val="ListParagraph"/>
              <w:ind w:left="0"/>
              <w:contextualSpacing w:val="0"/>
              <w:jc w:val="center"/>
              <w:rPr>
                <w:sz w:val="20"/>
                <w:szCs w:val="20"/>
              </w:rPr>
            </w:pPr>
          </w:p>
        </w:tc>
        <w:tc>
          <w:tcPr>
            <w:tcW w:w="1476" w:type="dxa"/>
            <w:vAlign w:val="center"/>
          </w:tcPr>
          <w:p w:rsidR="00D95CC0" w:rsidRPr="00F137E2" w:rsidRDefault="00D95CC0" w:rsidP="00A9124C">
            <w:pPr>
              <w:pStyle w:val="ListParagraph"/>
              <w:ind w:left="0"/>
              <w:contextualSpacing w:val="0"/>
              <w:jc w:val="center"/>
              <w:rPr>
                <w:sz w:val="20"/>
                <w:szCs w:val="20"/>
              </w:rPr>
            </w:pPr>
            <w:r>
              <w:rPr>
                <w:sz w:val="20"/>
                <w:szCs w:val="20"/>
              </w:rPr>
              <w:t>30,000</w:t>
            </w:r>
          </w:p>
        </w:tc>
      </w:tr>
      <w:tr w:rsidR="00D95CC0" w:rsidRPr="00F137E2" w:rsidTr="00A9124C">
        <w:trPr>
          <w:jc w:val="center"/>
        </w:trPr>
        <w:tc>
          <w:tcPr>
            <w:tcW w:w="1927" w:type="dxa"/>
            <w:shd w:val="clear" w:color="auto" w:fill="92CDDC" w:themeFill="accent5" w:themeFillTint="99"/>
          </w:tcPr>
          <w:p w:rsidR="00D95CC0" w:rsidRPr="00F137E2" w:rsidRDefault="00D95CC0" w:rsidP="00A9124C">
            <w:pPr>
              <w:pStyle w:val="ListParagraph"/>
              <w:ind w:left="0"/>
              <w:contextualSpacing w:val="0"/>
              <w:rPr>
                <w:b/>
                <w:sz w:val="20"/>
                <w:szCs w:val="20"/>
              </w:rPr>
            </w:pPr>
            <w:r w:rsidRPr="00F137E2">
              <w:rPr>
                <w:b/>
                <w:sz w:val="20"/>
                <w:szCs w:val="20"/>
              </w:rPr>
              <w:lastRenderedPageBreak/>
              <w:t>TOTAL</w:t>
            </w:r>
          </w:p>
        </w:tc>
        <w:tc>
          <w:tcPr>
            <w:tcW w:w="3366" w:type="dxa"/>
            <w:shd w:val="clear" w:color="auto" w:fill="92CDDC" w:themeFill="accent5" w:themeFillTint="99"/>
          </w:tcPr>
          <w:p w:rsidR="00D95CC0" w:rsidRPr="00F137E2" w:rsidRDefault="00D95CC0" w:rsidP="00A9124C">
            <w:pPr>
              <w:jc w:val="center"/>
              <w:rPr>
                <w:sz w:val="20"/>
                <w:szCs w:val="20"/>
              </w:rPr>
            </w:pPr>
          </w:p>
        </w:tc>
        <w:tc>
          <w:tcPr>
            <w:tcW w:w="1260" w:type="dxa"/>
            <w:shd w:val="clear" w:color="auto" w:fill="92CDDC" w:themeFill="accent5" w:themeFillTint="99"/>
          </w:tcPr>
          <w:p w:rsidR="00D95CC0" w:rsidRPr="00F137E2" w:rsidRDefault="00D95CC0" w:rsidP="00A9124C">
            <w:pPr>
              <w:pStyle w:val="ListParagraph"/>
              <w:ind w:left="0"/>
              <w:contextualSpacing w:val="0"/>
              <w:jc w:val="center"/>
              <w:rPr>
                <w:b/>
                <w:sz w:val="20"/>
                <w:szCs w:val="20"/>
              </w:rPr>
            </w:pPr>
            <w:r>
              <w:rPr>
                <w:b/>
                <w:sz w:val="20"/>
                <w:szCs w:val="20"/>
              </w:rPr>
              <w:t>US$150,000</w:t>
            </w:r>
          </w:p>
        </w:tc>
        <w:tc>
          <w:tcPr>
            <w:tcW w:w="1404" w:type="dxa"/>
            <w:shd w:val="clear" w:color="auto" w:fill="92CDDC" w:themeFill="accent5" w:themeFillTint="99"/>
          </w:tcPr>
          <w:p w:rsidR="00D95CC0" w:rsidRPr="00F137E2" w:rsidRDefault="00D95CC0" w:rsidP="00A9124C">
            <w:pPr>
              <w:pStyle w:val="ListParagraph"/>
              <w:ind w:left="0"/>
              <w:contextualSpacing w:val="0"/>
              <w:jc w:val="center"/>
              <w:rPr>
                <w:b/>
                <w:sz w:val="20"/>
                <w:szCs w:val="20"/>
              </w:rPr>
            </w:pPr>
            <w:r>
              <w:rPr>
                <w:b/>
                <w:sz w:val="20"/>
                <w:szCs w:val="20"/>
              </w:rPr>
              <w:t>15,000</w:t>
            </w:r>
          </w:p>
        </w:tc>
        <w:tc>
          <w:tcPr>
            <w:tcW w:w="1476" w:type="dxa"/>
            <w:shd w:val="clear" w:color="auto" w:fill="92CDDC" w:themeFill="accent5" w:themeFillTint="99"/>
          </w:tcPr>
          <w:p w:rsidR="00D95CC0" w:rsidRPr="00F137E2" w:rsidRDefault="00D95CC0" w:rsidP="00A9124C">
            <w:pPr>
              <w:pStyle w:val="ListParagraph"/>
              <w:ind w:left="0"/>
              <w:contextualSpacing w:val="0"/>
              <w:jc w:val="center"/>
              <w:rPr>
                <w:b/>
                <w:sz w:val="20"/>
                <w:szCs w:val="20"/>
              </w:rPr>
            </w:pPr>
            <w:r>
              <w:rPr>
                <w:b/>
                <w:sz w:val="20"/>
                <w:szCs w:val="20"/>
              </w:rPr>
              <w:t>US$165,000</w:t>
            </w:r>
          </w:p>
        </w:tc>
      </w:tr>
    </w:tbl>
    <w:p w:rsidR="00D95CC0" w:rsidRPr="000E39DC" w:rsidRDefault="00D95CC0" w:rsidP="00D95CC0">
      <w:pPr>
        <w:spacing w:after="0" w:line="240" w:lineRule="auto"/>
        <w:jc w:val="both"/>
      </w:pPr>
    </w:p>
    <w:p w:rsidR="00D95CC0" w:rsidRPr="000E39DC" w:rsidRDefault="00D95CC0" w:rsidP="00834718">
      <w:pPr>
        <w:pStyle w:val="ListParagraph"/>
        <w:numPr>
          <w:ilvl w:val="0"/>
          <w:numId w:val="2"/>
        </w:numPr>
        <w:spacing w:after="120" w:line="240" w:lineRule="auto"/>
        <w:contextualSpacing w:val="0"/>
        <w:jc w:val="both"/>
        <w:rPr>
          <w:b/>
        </w:rPr>
      </w:pPr>
      <w:r w:rsidRPr="000E39DC">
        <w:rPr>
          <w:b/>
        </w:rPr>
        <w:t>Executing agency and execution structure</w:t>
      </w:r>
    </w:p>
    <w:p w:rsidR="00D95CC0" w:rsidRPr="00B77698" w:rsidRDefault="00D95CC0" w:rsidP="00D95CC0">
      <w:pPr>
        <w:pStyle w:val="ListParagraph"/>
        <w:numPr>
          <w:ilvl w:val="0"/>
          <w:numId w:val="13"/>
        </w:numPr>
        <w:jc w:val="both"/>
        <w:rPr>
          <w:vanish/>
        </w:rPr>
      </w:pPr>
    </w:p>
    <w:p w:rsidR="00D95CC0" w:rsidRPr="00B77698" w:rsidRDefault="00D95CC0" w:rsidP="00D95CC0">
      <w:pPr>
        <w:pStyle w:val="ListParagraph"/>
        <w:numPr>
          <w:ilvl w:val="0"/>
          <w:numId w:val="13"/>
        </w:numPr>
        <w:jc w:val="both"/>
        <w:rPr>
          <w:vanish/>
        </w:rPr>
      </w:pPr>
    </w:p>
    <w:p w:rsidR="00D95CC0" w:rsidRPr="00B77698" w:rsidRDefault="00D95CC0" w:rsidP="00D95CC0">
      <w:pPr>
        <w:pStyle w:val="ListParagraph"/>
        <w:numPr>
          <w:ilvl w:val="0"/>
          <w:numId w:val="13"/>
        </w:numPr>
        <w:jc w:val="both"/>
        <w:rPr>
          <w:vanish/>
        </w:rPr>
      </w:pPr>
    </w:p>
    <w:p w:rsidR="00D95CC0" w:rsidRDefault="00D95CC0" w:rsidP="00D95CC0">
      <w:pPr>
        <w:pStyle w:val="ListParagraph"/>
        <w:numPr>
          <w:ilvl w:val="1"/>
          <w:numId w:val="13"/>
        </w:numPr>
        <w:ind w:left="360"/>
        <w:jc w:val="both"/>
      </w:pPr>
      <w:r>
        <w:t xml:space="preserve">The </w:t>
      </w:r>
      <w:r w:rsidR="002B2AF1">
        <w:t xml:space="preserve">Bank will execute this TC </w:t>
      </w:r>
      <w:r>
        <w:t>through VPS/ESG</w:t>
      </w:r>
      <w:r w:rsidR="002B2AF1">
        <w:t xml:space="preserve"> and</w:t>
      </w:r>
      <w:r>
        <w:t xml:space="preserve"> the direct contracting of the American Bird Conservancy (ABC)</w:t>
      </w:r>
      <w:r w:rsidR="00834718">
        <w:t>, see Sole Source Justification under Annex IV.</w:t>
      </w:r>
      <w:r>
        <w:t xml:space="preserve"> ABC, </w:t>
      </w:r>
      <w:hyperlink r:id="rId9" w:history="1">
        <w:r w:rsidRPr="007F33F1">
          <w:rPr>
            <w:rStyle w:val="Hyperlink"/>
          </w:rPr>
          <w:t>http://www.abcbirds.org/</w:t>
        </w:r>
      </w:hyperlink>
      <w:r>
        <w:t>, is an internationally recognized non-governmental organization dedicated to bird habitat conservation and community capacity building. ABC works on an Americas-wide landscape where diverse interests collaborate to ensure that native bird species and their habitats are protected, where their protection is valued by society, and they are routinely considered in all land-use and policy decision-making.</w:t>
      </w:r>
    </w:p>
    <w:p w:rsidR="00D95CC0" w:rsidRDefault="00D95CC0" w:rsidP="00D95CC0">
      <w:pPr>
        <w:pStyle w:val="ListParagraph"/>
        <w:numPr>
          <w:ilvl w:val="1"/>
          <w:numId w:val="13"/>
        </w:numPr>
        <w:ind w:left="360"/>
        <w:jc w:val="both"/>
      </w:pPr>
      <w:r>
        <w:t>ABC operates the most comprehensive and effective threatened bird conservation program in the Americas. Working closely with in-country partners and government agencies, ABC’s international team is leading efforts to develop and implement conservation actions for the most threatened bird species,</w:t>
      </w:r>
    </w:p>
    <w:p w:rsidR="00D95CC0" w:rsidRDefault="00D95CC0" w:rsidP="00D95CC0">
      <w:pPr>
        <w:pStyle w:val="ListParagraph"/>
        <w:ind w:left="360"/>
        <w:jc w:val="both"/>
      </w:pPr>
      <w:r>
        <w:t>such as protecting and restoring their habitat, establishing monitoring programs to ensure conservation goals are met, and helping in-country partners develop long-term, sustainable, financial independence and organizational strength.</w:t>
      </w:r>
    </w:p>
    <w:p w:rsidR="00D95CC0" w:rsidRDefault="00D95CC0" w:rsidP="00D95CC0">
      <w:pPr>
        <w:pStyle w:val="ListParagraph"/>
        <w:numPr>
          <w:ilvl w:val="1"/>
          <w:numId w:val="13"/>
        </w:numPr>
        <w:ind w:left="360"/>
        <w:jc w:val="both"/>
      </w:pPr>
      <w:r>
        <w:t>ABC is a leader in developing sustainable financing mechanisms to ensure the long-term success of projects. The Conservation Birding website (</w:t>
      </w:r>
      <w:r w:rsidRPr="007F33F1">
        <w:rPr>
          <w:rStyle w:val="Hyperlink"/>
        </w:rPr>
        <w:t>http://www.conservationbirding.org/</w:t>
      </w:r>
      <w:r>
        <w:t xml:space="preserve">) is one example of this effort. They also work to develop other sources of sustainable income to finance joint projects including establishing endowment funds (e.g. $2M endowment for </w:t>
      </w:r>
      <w:proofErr w:type="spellStart"/>
      <w:r>
        <w:t>Vilcanota</w:t>
      </w:r>
      <w:proofErr w:type="spellEnd"/>
      <w:r>
        <w:t>, Peru) and developing PES schemes. For the latter, they have been working to secure carbon rights for a project in northern Peru and already have the support of a European-based company investing in the carbon credit market.</w:t>
      </w:r>
    </w:p>
    <w:p w:rsidR="00D95CC0" w:rsidRDefault="00D95CC0" w:rsidP="00D95CC0">
      <w:pPr>
        <w:pStyle w:val="ListParagraph"/>
        <w:numPr>
          <w:ilvl w:val="1"/>
          <w:numId w:val="13"/>
        </w:numPr>
        <w:tabs>
          <w:tab w:val="left" w:pos="450"/>
        </w:tabs>
        <w:ind w:left="360"/>
        <w:jc w:val="both"/>
      </w:pPr>
      <w:r>
        <w:t>Internationally, ABC works with local partners to conduct conservation projects involving the creation and management of protected areas and restoration of habitat through tree planting and other activities on public, private, and communal lands. Its partners include local communities, NGOs, universities, and government agencies. ABC often provides co-financing for its projects, as it plans to do with the proposed project for the Honduran Emerald. It also has access to potential donors that could support the endowment of the PES fund.</w:t>
      </w:r>
    </w:p>
    <w:p w:rsidR="00D95CC0" w:rsidRDefault="00D95CC0" w:rsidP="00D95CC0">
      <w:pPr>
        <w:pStyle w:val="ListParagraph"/>
        <w:numPr>
          <w:ilvl w:val="1"/>
          <w:numId w:val="13"/>
        </w:numPr>
        <w:tabs>
          <w:tab w:val="left" w:pos="450"/>
        </w:tabs>
        <w:ind w:left="360"/>
        <w:jc w:val="both"/>
      </w:pPr>
      <w:r w:rsidRPr="00AC7C99">
        <w:t>With regards to the Honduran Emerald in particular, ABC worked on this species between 2002 and 2006 with funding from the USFWS, Arkansas, and Global Conservation Fund, and also coordinated with the World Bank regarding mitigation for potential impacts on the species fr</w:t>
      </w:r>
      <w:r>
        <w:t xml:space="preserve">om a highway project in the </w:t>
      </w:r>
      <w:proofErr w:type="spellStart"/>
      <w:r>
        <w:t>Agu</w:t>
      </w:r>
      <w:r w:rsidRPr="006671DA">
        <w:t>á</w:t>
      </w:r>
      <w:r w:rsidRPr="00AC7C99">
        <w:t>n</w:t>
      </w:r>
      <w:proofErr w:type="spellEnd"/>
      <w:r w:rsidRPr="00AC7C99">
        <w:t xml:space="preserve"> Valley.</w:t>
      </w:r>
      <w:r>
        <w:t xml:space="preserve"> </w:t>
      </w:r>
    </w:p>
    <w:p w:rsidR="00D95CC0" w:rsidRDefault="00D95CC0" w:rsidP="00D95CC0">
      <w:pPr>
        <w:pStyle w:val="ListParagraph"/>
        <w:numPr>
          <w:ilvl w:val="1"/>
          <w:numId w:val="13"/>
        </w:numPr>
        <w:tabs>
          <w:tab w:val="left" w:pos="450"/>
        </w:tabs>
        <w:ind w:left="360"/>
        <w:jc w:val="both"/>
      </w:pPr>
      <w:r w:rsidRPr="006F138D">
        <w:lastRenderedPageBreak/>
        <w:t>In summary, the IDB can directly contract ABC for the unique requirements of this consultancy because it offers: (a) experience in the design of PES schemes to protect critical biodiversity; (b) matching funds for the project as well as access to potential donors for the PES fund; and (c) direct experience with the Honduran Emerald and its natural habitat</w:t>
      </w:r>
      <w:r>
        <w:t>, which is the primary reason it is uniquely qualified to efficiently execute the TC in a timely and efficient manner</w:t>
      </w:r>
      <w:r w:rsidRPr="006F138D">
        <w:t xml:space="preserve">. </w:t>
      </w:r>
      <w:r>
        <w:t xml:space="preserve"> </w:t>
      </w:r>
      <w:r w:rsidRPr="006F138D">
        <w:t>As such, ABC is uniquely positioned amongst peers for supporting and designing a PES scheme for the protection of the Honduran Emerald.</w:t>
      </w:r>
    </w:p>
    <w:p w:rsidR="00D95CC0" w:rsidRDefault="00D95CC0" w:rsidP="00D95CC0">
      <w:pPr>
        <w:pStyle w:val="ListParagraph"/>
        <w:numPr>
          <w:ilvl w:val="1"/>
          <w:numId w:val="13"/>
        </w:numPr>
        <w:tabs>
          <w:tab w:val="left" w:pos="450"/>
        </w:tabs>
        <w:ind w:left="360"/>
        <w:jc w:val="both"/>
      </w:pPr>
      <w:r>
        <w:t>The execution responsibility of ABC includes coordinating its activities with the HO-L1033 IDB Team Leader and MCAH as the Bank’s executing agency of the HO-L1033.</w:t>
      </w:r>
    </w:p>
    <w:p w:rsidR="00D95CC0" w:rsidRPr="000E39DC" w:rsidRDefault="00D95CC0" w:rsidP="00D95CC0">
      <w:pPr>
        <w:spacing w:after="0" w:line="240" w:lineRule="auto"/>
        <w:jc w:val="both"/>
      </w:pPr>
    </w:p>
    <w:p w:rsidR="00D95CC0" w:rsidRDefault="00D95CC0" w:rsidP="00D95CC0">
      <w:pPr>
        <w:pStyle w:val="ListParagraph"/>
        <w:numPr>
          <w:ilvl w:val="0"/>
          <w:numId w:val="2"/>
        </w:numPr>
        <w:spacing w:after="0" w:line="240" w:lineRule="auto"/>
        <w:contextualSpacing w:val="0"/>
        <w:jc w:val="both"/>
        <w:rPr>
          <w:b/>
        </w:rPr>
      </w:pPr>
      <w:r w:rsidRPr="000E39DC">
        <w:rPr>
          <w:b/>
        </w:rPr>
        <w:t xml:space="preserve">Major issues  </w:t>
      </w:r>
    </w:p>
    <w:p w:rsidR="00D95CC0" w:rsidRPr="000E39DC" w:rsidRDefault="00D95CC0" w:rsidP="00D95CC0">
      <w:pPr>
        <w:pStyle w:val="ListParagraph"/>
        <w:spacing w:after="0" w:line="240" w:lineRule="auto"/>
        <w:ind w:left="360"/>
        <w:contextualSpacing w:val="0"/>
        <w:jc w:val="both"/>
        <w:rPr>
          <w:b/>
        </w:rPr>
      </w:pPr>
    </w:p>
    <w:p w:rsidR="00D95CC0" w:rsidRPr="00B77698" w:rsidRDefault="00D95CC0" w:rsidP="00D95CC0">
      <w:pPr>
        <w:pStyle w:val="ListParagraph"/>
        <w:numPr>
          <w:ilvl w:val="0"/>
          <w:numId w:val="13"/>
        </w:numPr>
        <w:jc w:val="both"/>
        <w:rPr>
          <w:vanish/>
        </w:rPr>
      </w:pPr>
    </w:p>
    <w:p w:rsidR="00D95CC0" w:rsidRDefault="00D95CC0" w:rsidP="00D95CC0">
      <w:pPr>
        <w:pStyle w:val="ListParagraph"/>
        <w:numPr>
          <w:ilvl w:val="1"/>
          <w:numId w:val="13"/>
        </w:numPr>
        <w:ind w:left="360"/>
        <w:jc w:val="both"/>
      </w:pPr>
      <w:r>
        <w:t xml:space="preserve">The risk exists that local landowners will not want to participate in the PES scheme. This risk will be mitigated by providing appropriate incentives based on community feedback and sound studies of existing land use activities and opportunity costs of the land. </w:t>
      </w:r>
    </w:p>
    <w:p w:rsidR="00D95CC0" w:rsidRPr="00794C4D" w:rsidRDefault="00D95CC0" w:rsidP="00D95CC0">
      <w:pPr>
        <w:pStyle w:val="ListParagraph"/>
        <w:spacing w:after="0" w:line="240" w:lineRule="auto"/>
        <w:ind w:left="360"/>
        <w:contextualSpacing w:val="0"/>
        <w:jc w:val="both"/>
      </w:pPr>
    </w:p>
    <w:p w:rsidR="002B2AF1" w:rsidRDefault="002B2AF1" w:rsidP="00D95CC0">
      <w:pPr>
        <w:pStyle w:val="ListParagraph"/>
        <w:numPr>
          <w:ilvl w:val="0"/>
          <w:numId w:val="2"/>
        </w:numPr>
        <w:spacing w:after="0" w:line="240" w:lineRule="auto"/>
        <w:contextualSpacing w:val="0"/>
        <w:jc w:val="both"/>
        <w:rPr>
          <w:b/>
        </w:rPr>
      </w:pPr>
      <w:r>
        <w:rPr>
          <w:b/>
        </w:rPr>
        <w:t xml:space="preserve">Exceptions to Bank policy </w:t>
      </w:r>
    </w:p>
    <w:p w:rsidR="002B2AF1" w:rsidRDefault="002B2AF1" w:rsidP="002B2AF1">
      <w:pPr>
        <w:pStyle w:val="ListParagraph"/>
        <w:spacing w:after="0" w:line="240" w:lineRule="auto"/>
        <w:ind w:left="360"/>
        <w:contextualSpacing w:val="0"/>
        <w:jc w:val="both"/>
        <w:rPr>
          <w:b/>
        </w:rPr>
      </w:pPr>
    </w:p>
    <w:p w:rsidR="002B2AF1" w:rsidRPr="002B2AF1" w:rsidRDefault="002B2AF1" w:rsidP="002B2AF1">
      <w:pPr>
        <w:pStyle w:val="ListParagraph"/>
        <w:numPr>
          <w:ilvl w:val="0"/>
          <w:numId w:val="13"/>
        </w:numPr>
        <w:jc w:val="both"/>
        <w:rPr>
          <w:vanish/>
        </w:rPr>
      </w:pPr>
    </w:p>
    <w:p w:rsidR="00D95CC0" w:rsidRPr="002B2AF1" w:rsidRDefault="00D95CC0" w:rsidP="002B2AF1">
      <w:pPr>
        <w:pStyle w:val="ListParagraph"/>
        <w:numPr>
          <w:ilvl w:val="1"/>
          <w:numId w:val="13"/>
        </w:numPr>
        <w:ind w:left="360"/>
        <w:jc w:val="both"/>
      </w:pPr>
      <w:r w:rsidRPr="002B2AF1">
        <w:t>N/A</w:t>
      </w:r>
    </w:p>
    <w:p w:rsidR="00D95CC0" w:rsidRPr="000E39DC" w:rsidRDefault="00D95CC0" w:rsidP="00D95CC0">
      <w:pPr>
        <w:pStyle w:val="ListParagraph"/>
        <w:spacing w:after="0" w:line="240" w:lineRule="auto"/>
        <w:ind w:left="360"/>
        <w:contextualSpacing w:val="0"/>
        <w:jc w:val="both"/>
      </w:pPr>
    </w:p>
    <w:p w:rsidR="00D95CC0" w:rsidRDefault="00D95CC0" w:rsidP="00D95CC0">
      <w:pPr>
        <w:pStyle w:val="ListParagraph"/>
        <w:numPr>
          <w:ilvl w:val="0"/>
          <w:numId w:val="2"/>
        </w:numPr>
        <w:spacing w:after="0" w:line="240" w:lineRule="auto"/>
        <w:contextualSpacing w:val="0"/>
        <w:jc w:val="both"/>
        <w:rPr>
          <w:b/>
        </w:rPr>
      </w:pPr>
      <w:r w:rsidRPr="000E39DC">
        <w:rPr>
          <w:b/>
        </w:rPr>
        <w:t xml:space="preserve">Environmental and Social Strategy </w:t>
      </w:r>
    </w:p>
    <w:p w:rsidR="00D95CC0" w:rsidRPr="00B77698" w:rsidRDefault="00D95CC0" w:rsidP="00D95CC0">
      <w:pPr>
        <w:pStyle w:val="ListParagraph"/>
        <w:rPr>
          <w:b/>
        </w:rPr>
      </w:pPr>
    </w:p>
    <w:p w:rsidR="002B2AF1" w:rsidRPr="002B2AF1" w:rsidRDefault="002B2AF1" w:rsidP="002B2AF1">
      <w:pPr>
        <w:pStyle w:val="ListParagraph"/>
        <w:numPr>
          <w:ilvl w:val="0"/>
          <w:numId w:val="13"/>
        </w:numPr>
        <w:jc w:val="both"/>
        <w:rPr>
          <w:vanish/>
        </w:rPr>
      </w:pPr>
    </w:p>
    <w:p w:rsidR="00D95CC0" w:rsidRPr="00B77698" w:rsidRDefault="00D95CC0" w:rsidP="000C2520">
      <w:pPr>
        <w:pStyle w:val="ListParagraph"/>
        <w:numPr>
          <w:ilvl w:val="1"/>
          <w:numId w:val="13"/>
        </w:numPr>
        <w:tabs>
          <w:tab w:val="left" w:pos="450"/>
        </w:tabs>
        <w:ind w:left="360"/>
        <w:jc w:val="both"/>
      </w:pPr>
      <w:r w:rsidRPr="000E39DC">
        <w:t>It is not anticipated that the activities to be financed in this TC will have negative direct or indirect social or environmental effects. Following ESG’s project classification process (Safe</w:t>
      </w:r>
      <w:r>
        <w:t>guard Policy Filter</w:t>
      </w:r>
      <w:r w:rsidR="002B2AF1">
        <w:rPr>
          <w:rStyle w:val="FootnoteReference"/>
        </w:rPr>
        <w:footnoteReference w:id="3"/>
      </w:r>
      <w:r>
        <w:t xml:space="preserve"> and Safeguar</w:t>
      </w:r>
      <w:r w:rsidRPr="000E39DC">
        <w:t>d Screening Form</w:t>
      </w:r>
      <w:r w:rsidR="002B2AF1">
        <w:rPr>
          <w:rStyle w:val="FootnoteReference"/>
        </w:rPr>
        <w:footnoteReference w:id="4"/>
      </w:r>
      <w:r w:rsidRPr="000E39DC">
        <w:t>) requirements, it has been determined that this project falls under Category C. No environmental assessment studies or consultations are requir</w:t>
      </w:r>
      <w:r>
        <w:t>ed for Category "C" operations.</w:t>
      </w:r>
    </w:p>
    <w:p w:rsidR="00D95CC0" w:rsidRPr="000E39DC" w:rsidRDefault="00D95CC0" w:rsidP="00D95CC0">
      <w:pPr>
        <w:pStyle w:val="ListParagraph"/>
        <w:spacing w:after="0" w:line="240" w:lineRule="auto"/>
        <w:ind w:left="360"/>
        <w:jc w:val="both"/>
        <w:rPr>
          <w:b/>
        </w:rPr>
      </w:pPr>
    </w:p>
    <w:p w:rsidR="00D95CC0" w:rsidRPr="000E39DC" w:rsidRDefault="00D95CC0" w:rsidP="00D95CC0">
      <w:pPr>
        <w:spacing w:after="0" w:line="240" w:lineRule="auto"/>
        <w:ind w:left="360"/>
        <w:jc w:val="both"/>
        <w:rPr>
          <w:b/>
        </w:rPr>
      </w:pPr>
      <w:r w:rsidRPr="000E39DC">
        <w:rPr>
          <w:b/>
          <w:u w:val="single"/>
        </w:rPr>
        <w:t>Annexes</w:t>
      </w:r>
      <w:r w:rsidRPr="000E39DC">
        <w:rPr>
          <w:b/>
        </w:rPr>
        <w:t>:</w:t>
      </w:r>
    </w:p>
    <w:p w:rsidR="002B2AF1" w:rsidRDefault="00793430" w:rsidP="00D95CC0">
      <w:pPr>
        <w:spacing w:after="0" w:line="240" w:lineRule="auto"/>
        <w:ind w:left="360"/>
        <w:jc w:val="both"/>
        <w:rPr>
          <w:color w:val="000000" w:themeColor="text1"/>
        </w:rPr>
      </w:pPr>
      <w:r>
        <w:rPr>
          <w:color w:val="000000" w:themeColor="text1"/>
        </w:rPr>
        <w:t xml:space="preserve">Annex </w:t>
      </w:r>
      <w:r w:rsidR="002B2AF1">
        <w:rPr>
          <w:color w:val="000000" w:themeColor="text1"/>
        </w:rPr>
        <w:t xml:space="preserve">I: Letter of Request: </w:t>
      </w:r>
      <w:hyperlink r:id="rId10" w:history="1">
        <w:r w:rsidR="002B2AF1">
          <w:rPr>
            <w:rStyle w:val="Hyperlink"/>
          </w:rPr>
          <w:t xml:space="preserve">IDBDOCS-#38177459-Request </w:t>
        </w:r>
        <w:proofErr w:type="spellStart"/>
        <w:r w:rsidR="002B2AF1">
          <w:rPr>
            <w:rStyle w:val="Hyperlink"/>
          </w:rPr>
          <w:t>Letter_Gov</w:t>
        </w:r>
        <w:proofErr w:type="spellEnd"/>
        <w:r w:rsidR="002B2AF1">
          <w:rPr>
            <w:rStyle w:val="Hyperlink"/>
          </w:rPr>
          <w:t xml:space="preserve"> Honduras</w:t>
        </w:r>
      </w:hyperlink>
    </w:p>
    <w:p w:rsidR="00D95CC0" w:rsidRPr="005A42F2" w:rsidRDefault="002B2AF1" w:rsidP="00D95CC0">
      <w:pPr>
        <w:spacing w:after="0" w:line="240" w:lineRule="auto"/>
        <w:ind w:left="360"/>
        <w:jc w:val="both"/>
        <w:rPr>
          <w:color w:val="000000" w:themeColor="text1"/>
        </w:rPr>
      </w:pPr>
      <w:r>
        <w:rPr>
          <w:color w:val="000000" w:themeColor="text1"/>
        </w:rPr>
        <w:t xml:space="preserve">Annex II: </w:t>
      </w:r>
      <w:r w:rsidR="00D95CC0" w:rsidRPr="005A42F2">
        <w:rPr>
          <w:color w:val="000000" w:themeColor="text1"/>
        </w:rPr>
        <w:t xml:space="preserve">Terms of Reference: </w:t>
      </w:r>
      <w:hyperlink r:id="rId11" w:history="1">
        <w:r w:rsidR="0007658C">
          <w:rPr>
            <w:rStyle w:val="Hyperlink"/>
          </w:rPr>
          <w:t>IDBDOCS-#37933011-Annex II: TOR for HO-T1196</w:t>
        </w:r>
      </w:hyperlink>
    </w:p>
    <w:p w:rsidR="0007658C" w:rsidRDefault="00793430" w:rsidP="00D95CC0">
      <w:pPr>
        <w:spacing w:after="0" w:line="240" w:lineRule="auto"/>
        <w:ind w:left="360"/>
        <w:jc w:val="both"/>
        <w:rPr>
          <w:lang w:val="fr-FR"/>
        </w:rPr>
      </w:pPr>
      <w:proofErr w:type="spellStart"/>
      <w:r w:rsidRPr="00793430">
        <w:rPr>
          <w:lang w:val="fr-FR"/>
        </w:rPr>
        <w:t>Annex</w:t>
      </w:r>
      <w:proofErr w:type="spellEnd"/>
      <w:r w:rsidR="002B2AF1">
        <w:rPr>
          <w:lang w:val="fr-FR"/>
        </w:rPr>
        <w:t xml:space="preserve"> III:</w:t>
      </w:r>
      <w:r>
        <w:rPr>
          <w:lang w:val="fr-FR"/>
        </w:rPr>
        <w:t xml:space="preserve"> </w:t>
      </w:r>
      <w:proofErr w:type="spellStart"/>
      <w:r w:rsidR="00D95CC0" w:rsidRPr="007F33F1">
        <w:rPr>
          <w:lang w:val="fr-FR"/>
        </w:rPr>
        <w:t>Procurement</w:t>
      </w:r>
      <w:proofErr w:type="spellEnd"/>
      <w:r w:rsidR="00D95CC0" w:rsidRPr="007F33F1">
        <w:rPr>
          <w:lang w:val="fr-FR"/>
        </w:rPr>
        <w:t xml:space="preserve"> Plan: </w:t>
      </w:r>
      <w:hyperlink r:id="rId12" w:history="1">
        <w:r w:rsidR="0007658C" w:rsidRPr="0007658C">
          <w:rPr>
            <w:rStyle w:val="Hyperlink"/>
            <w:lang w:val="fr-FR"/>
          </w:rPr>
          <w:t xml:space="preserve">IDBDOCS-#37933018-Annex III: HO-T1196 </w:t>
        </w:r>
        <w:proofErr w:type="spellStart"/>
        <w:r w:rsidR="0007658C" w:rsidRPr="0007658C">
          <w:rPr>
            <w:rStyle w:val="Hyperlink"/>
            <w:lang w:val="fr-FR"/>
          </w:rPr>
          <w:t>Procurement</w:t>
        </w:r>
        <w:proofErr w:type="spellEnd"/>
        <w:r w:rsidR="0007658C" w:rsidRPr="0007658C">
          <w:rPr>
            <w:rStyle w:val="Hyperlink"/>
            <w:lang w:val="fr-FR"/>
          </w:rPr>
          <w:t xml:space="preserve"> Plan</w:t>
        </w:r>
      </w:hyperlink>
    </w:p>
    <w:p w:rsidR="00D95CC0" w:rsidRPr="00793430" w:rsidRDefault="002B2AF1" w:rsidP="00D95CC0">
      <w:pPr>
        <w:spacing w:after="0" w:line="240" w:lineRule="auto"/>
        <w:ind w:left="360"/>
        <w:jc w:val="both"/>
        <w:rPr>
          <w:rStyle w:val="Hyperlink"/>
          <w:lang w:val="fr-FR"/>
        </w:rPr>
      </w:pPr>
      <w:proofErr w:type="spellStart"/>
      <w:r>
        <w:rPr>
          <w:lang w:val="fr-FR"/>
        </w:rPr>
        <w:t>Annex</w:t>
      </w:r>
      <w:proofErr w:type="spellEnd"/>
      <w:r>
        <w:rPr>
          <w:lang w:val="fr-FR"/>
        </w:rPr>
        <w:t xml:space="preserve"> IV : </w:t>
      </w:r>
      <w:r w:rsidR="00D95CC0" w:rsidRPr="00793430">
        <w:rPr>
          <w:lang w:val="fr-FR"/>
        </w:rPr>
        <w:t xml:space="preserve">Sole Source Justification: </w:t>
      </w:r>
      <w:hyperlink r:id="rId13" w:history="1">
        <w:r w:rsidR="0007658C">
          <w:rPr>
            <w:rStyle w:val="Hyperlink"/>
          </w:rPr>
          <w:t xml:space="preserve">IDBDOCS-#37932648-Annex IV: SSJ for ABC </w:t>
        </w:r>
      </w:hyperlink>
    </w:p>
    <w:p w:rsidR="0092415B" w:rsidRPr="00793430" w:rsidRDefault="0092415B" w:rsidP="0092415B">
      <w:pPr>
        <w:spacing w:after="0" w:line="240" w:lineRule="auto"/>
        <w:ind w:left="360"/>
        <w:jc w:val="both"/>
        <w:rPr>
          <w:lang w:val="fr-FR"/>
        </w:rPr>
      </w:pPr>
      <w:r w:rsidRPr="00793430">
        <w:rPr>
          <w:lang w:val="fr-FR"/>
        </w:rPr>
        <w:t xml:space="preserve">                                        </w:t>
      </w:r>
      <w:r w:rsidR="00793430">
        <w:rPr>
          <w:lang w:val="fr-FR"/>
        </w:rPr>
        <w:tab/>
        <w:t xml:space="preserve">           </w:t>
      </w:r>
    </w:p>
    <w:p w:rsidR="00D95CC0" w:rsidRPr="00793430" w:rsidRDefault="00D95CC0" w:rsidP="00D95CC0">
      <w:pPr>
        <w:rPr>
          <w:lang w:val="fr-FR"/>
        </w:rPr>
      </w:pPr>
    </w:p>
    <w:p w:rsidR="00111148" w:rsidRPr="00793430" w:rsidRDefault="00111148" w:rsidP="00D95CC0">
      <w:pPr>
        <w:rPr>
          <w:lang w:val="fr-FR"/>
        </w:rPr>
      </w:pPr>
    </w:p>
    <w:sectPr w:rsidR="00111148" w:rsidRPr="00793430" w:rsidSect="000F6AA5">
      <w:footerReference w:type="default" r:id="rId14"/>
      <w:pgSz w:w="12240" w:h="15840"/>
      <w:pgMar w:top="1152" w:right="1296" w:bottom="1152"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F65" w:rsidRDefault="00942F65" w:rsidP="0095711B">
      <w:pPr>
        <w:spacing w:after="0" w:line="240" w:lineRule="auto"/>
      </w:pPr>
      <w:r>
        <w:separator/>
      </w:r>
    </w:p>
  </w:endnote>
  <w:endnote w:type="continuationSeparator" w:id="0">
    <w:p w:rsidR="00942F65" w:rsidRDefault="00942F65" w:rsidP="00957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3875126"/>
      <w:docPartObj>
        <w:docPartGallery w:val="Page Numbers (Bottom of Page)"/>
        <w:docPartUnique/>
      </w:docPartObj>
    </w:sdtPr>
    <w:sdtEndPr/>
    <w:sdtContent>
      <w:p w:rsidR="00DC7D24" w:rsidRDefault="00DC7D24">
        <w:pPr>
          <w:pStyle w:val="Footer"/>
          <w:jc w:val="center"/>
        </w:pPr>
        <w:r>
          <w:fldChar w:fldCharType="begin"/>
        </w:r>
        <w:r>
          <w:instrText xml:space="preserve"> PAGE   \* MERGEFORMAT </w:instrText>
        </w:r>
        <w:r>
          <w:fldChar w:fldCharType="separate"/>
        </w:r>
        <w:r w:rsidR="0043280D">
          <w:rPr>
            <w:noProof/>
          </w:rPr>
          <w:t>4</w:t>
        </w:r>
        <w:r>
          <w:rPr>
            <w:noProof/>
          </w:rPr>
          <w:fldChar w:fldCharType="end"/>
        </w:r>
      </w:p>
    </w:sdtContent>
  </w:sdt>
  <w:p w:rsidR="00DC7D24" w:rsidRDefault="00DC7D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F65" w:rsidRDefault="00942F65" w:rsidP="0095711B">
      <w:pPr>
        <w:spacing w:after="0" w:line="240" w:lineRule="auto"/>
      </w:pPr>
      <w:r>
        <w:separator/>
      </w:r>
    </w:p>
  </w:footnote>
  <w:footnote w:type="continuationSeparator" w:id="0">
    <w:p w:rsidR="00942F65" w:rsidRDefault="00942F65" w:rsidP="0095711B">
      <w:pPr>
        <w:spacing w:after="0" w:line="240" w:lineRule="auto"/>
      </w:pPr>
      <w:r>
        <w:continuationSeparator/>
      </w:r>
    </w:p>
  </w:footnote>
  <w:footnote w:id="1">
    <w:p w:rsidR="00D95CC0" w:rsidRPr="002B2AF1" w:rsidRDefault="00D95CC0" w:rsidP="00D95CC0">
      <w:pPr>
        <w:pStyle w:val="FootnoteText"/>
        <w:rPr>
          <w:color w:val="0000FF"/>
          <w:sz w:val="18"/>
          <w:szCs w:val="18"/>
          <w:u w:val="single"/>
        </w:rPr>
      </w:pPr>
      <w:r w:rsidRPr="002B2AF1">
        <w:rPr>
          <w:rStyle w:val="FootnoteReference"/>
          <w:sz w:val="18"/>
          <w:szCs w:val="18"/>
        </w:rPr>
        <w:footnoteRef/>
      </w:r>
      <w:r w:rsidRPr="002B2AF1">
        <w:rPr>
          <w:sz w:val="18"/>
          <w:szCs w:val="18"/>
        </w:rPr>
        <w:t xml:space="preserve"> IUCN Red List species account can be accessed here: </w:t>
      </w:r>
      <w:hyperlink r:id="rId1" w:history="1">
        <w:r w:rsidRPr="002B2AF1">
          <w:rPr>
            <w:rStyle w:val="Hyperlink"/>
            <w:sz w:val="18"/>
            <w:szCs w:val="18"/>
          </w:rPr>
          <w:t>http://www.iucnredlist.org/details/106001934/0</w:t>
        </w:r>
      </w:hyperlink>
    </w:p>
  </w:footnote>
  <w:footnote w:id="2">
    <w:p w:rsidR="00D95CC0" w:rsidRPr="002B2AF1" w:rsidRDefault="00D95CC0" w:rsidP="00D95CC0">
      <w:pPr>
        <w:pStyle w:val="FootnoteText"/>
        <w:rPr>
          <w:sz w:val="18"/>
          <w:szCs w:val="18"/>
        </w:rPr>
      </w:pPr>
      <w:r w:rsidRPr="002B2AF1">
        <w:rPr>
          <w:rStyle w:val="FootnoteReference"/>
          <w:sz w:val="18"/>
          <w:szCs w:val="18"/>
        </w:rPr>
        <w:footnoteRef/>
      </w:r>
      <w:r w:rsidRPr="002B2AF1">
        <w:rPr>
          <w:sz w:val="18"/>
          <w:szCs w:val="18"/>
        </w:rPr>
        <w:t xml:space="preserve"> http://idbdocs.iadb.org/wsdocs/getDocument.aspx?DOCNUM=37444118</w:t>
      </w:r>
    </w:p>
  </w:footnote>
  <w:footnote w:id="3">
    <w:p w:rsidR="002B2AF1" w:rsidRPr="002B2AF1" w:rsidRDefault="002B2AF1">
      <w:pPr>
        <w:pStyle w:val="FootnoteText"/>
        <w:rPr>
          <w:sz w:val="18"/>
          <w:szCs w:val="18"/>
        </w:rPr>
      </w:pPr>
      <w:r w:rsidRPr="002B2AF1">
        <w:rPr>
          <w:rStyle w:val="FootnoteReference"/>
          <w:sz w:val="18"/>
          <w:szCs w:val="18"/>
        </w:rPr>
        <w:footnoteRef/>
      </w:r>
      <w:r w:rsidRPr="002B2AF1">
        <w:rPr>
          <w:sz w:val="18"/>
          <w:szCs w:val="18"/>
        </w:rPr>
        <w:t xml:space="preserve"> </w:t>
      </w:r>
      <w:hyperlink r:id="rId2" w:history="1">
        <w:r w:rsidRPr="00834718">
          <w:rPr>
            <w:rStyle w:val="Hyperlink"/>
            <w:sz w:val="18"/>
            <w:szCs w:val="18"/>
          </w:rPr>
          <w:t>IDBDOCS-#38177019-2013000637_SPF_HO_T1196</w:t>
        </w:r>
      </w:hyperlink>
    </w:p>
  </w:footnote>
  <w:footnote w:id="4">
    <w:p w:rsidR="002B2AF1" w:rsidRPr="002B2AF1" w:rsidRDefault="002B2AF1">
      <w:pPr>
        <w:pStyle w:val="FootnoteText"/>
        <w:rPr>
          <w:sz w:val="18"/>
          <w:szCs w:val="18"/>
        </w:rPr>
      </w:pPr>
      <w:r w:rsidRPr="002B2AF1">
        <w:rPr>
          <w:rStyle w:val="FootnoteReference"/>
          <w:sz w:val="18"/>
          <w:szCs w:val="18"/>
        </w:rPr>
        <w:footnoteRef/>
      </w:r>
      <w:r w:rsidRPr="002B2AF1">
        <w:rPr>
          <w:sz w:val="18"/>
          <w:szCs w:val="18"/>
        </w:rPr>
        <w:t xml:space="preserve"> </w:t>
      </w:r>
      <w:hyperlink r:id="rId3" w:history="1">
        <w:r w:rsidRPr="002B2AF1">
          <w:rPr>
            <w:rStyle w:val="Hyperlink"/>
            <w:sz w:val="18"/>
            <w:szCs w:val="18"/>
          </w:rPr>
          <w:t>IDBDOCS-#38177020-2013000637_SSF_HO_T1196</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948B0"/>
    <w:multiLevelType w:val="hybridMultilevel"/>
    <w:tmpl w:val="BD4A5972"/>
    <w:lvl w:ilvl="0" w:tplc="0708039C">
      <w:start w:val="2000"/>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9654AF4"/>
    <w:multiLevelType w:val="hybridMultilevel"/>
    <w:tmpl w:val="4B28C1AC"/>
    <w:lvl w:ilvl="0" w:tplc="0708039C">
      <w:start w:val="2000"/>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1F242A5"/>
    <w:multiLevelType w:val="hybridMultilevel"/>
    <w:tmpl w:val="DC289A4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22E4986"/>
    <w:multiLevelType w:val="hybridMultilevel"/>
    <w:tmpl w:val="A8D475C2"/>
    <w:lvl w:ilvl="0" w:tplc="0708039C">
      <w:start w:val="2000"/>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CC10A8F"/>
    <w:multiLevelType w:val="hybridMultilevel"/>
    <w:tmpl w:val="CC44F9F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70E27A4">
      <w:numFmt w:val="bullet"/>
      <w:lvlText w:val="-"/>
      <w:lvlJc w:val="left"/>
      <w:pPr>
        <w:ind w:left="2160" w:hanging="36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661300E"/>
    <w:multiLevelType w:val="hybridMultilevel"/>
    <w:tmpl w:val="89E819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EA313E"/>
    <w:multiLevelType w:val="hybridMultilevel"/>
    <w:tmpl w:val="7E56273E"/>
    <w:lvl w:ilvl="0" w:tplc="61C089F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A901F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F174678"/>
    <w:multiLevelType w:val="hybridMultilevel"/>
    <w:tmpl w:val="61D46F6C"/>
    <w:lvl w:ilvl="0" w:tplc="0708039C">
      <w:start w:val="20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43355FF"/>
    <w:multiLevelType w:val="hybridMultilevel"/>
    <w:tmpl w:val="B008D298"/>
    <w:lvl w:ilvl="0" w:tplc="0708039C">
      <w:start w:val="2000"/>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4445EC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3DA472B"/>
    <w:multiLevelType w:val="hybridMultilevel"/>
    <w:tmpl w:val="A596F61A"/>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529082D"/>
    <w:multiLevelType w:val="hybridMultilevel"/>
    <w:tmpl w:val="B908E0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570267D"/>
    <w:multiLevelType w:val="hybridMultilevel"/>
    <w:tmpl w:val="9370CD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12"/>
  </w:num>
  <w:num w:numId="4">
    <w:abstractNumId w:val="13"/>
  </w:num>
  <w:num w:numId="5">
    <w:abstractNumId w:val="6"/>
  </w:num>
  <w:num w:numId="6">
    <w:abstractNumId w:val="5"/>
  </w:num>
  <w:num w:numId="7">
    <w:abstractNumId w:val="2"/>
  </w:num>
  <w:num w:numId="8">
    <w:abstractNumId w:val="9"/>
  </w:num>
  <w:num w:numId="9">
    <w:abstractNumId w:val="3"/>
  </w:num>
  <w:num w:numId="10">
    <w:abstractNumId w:val="1"/>
  </w:num>
  <w:num w:numId="11">
    <w:abstractNumId w:val="8"/>
  </w:num>
  <w:num w:numId="12">
    <w:abstractNumId w:val="0"/>
  </w:num>
  <w:num w:numId="13">
    <w:abstractNumId w:val="10"/>
  </w:num>
  <w:num w:numId="14">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F989E2D7-473E-417E-B51B-C489A6A2066B}"/>
    <w:docVar w:name="dgnword-eventsink" w:val="239910784"/>
  </w:docVars>
  <w:rsids>
    <w:rsidRoot w:val="0095711B"/>
    <w:rsid w:val="0001008B"/>
    <w:rsid w:val="00012EB7"/>
    <w:rsid w:val="000159FE"/>
    <w:rsid w:val="00017B41"/>
    <w:rsid w:val="00020585"/>
    <w:rsid w:val="000238F2"/>
    <w:rsid w:val="00025E98"/>
    <w:rsid w:val="000269F9"/>
    <w:rsid w:val="000310DC"/>
    <w:rsid w:val="000413EE"/>
    <w:rsid w:val="00042E5A"/>
    <w:rsid w:val="000433DC"/>
    <w:rsid w:val="000469DC"/>
    <w:rsid w:val="00050622"/>
    <w:rsid w:val="0005111F"/>
    <w:rsid w:val="00054A74"/>
    <w:rsid w:val="00056C7C"/>
    <w:rsid w:val="00060E21"/>
    <w:rsid w:val="000651E0"/>
    <w:rsid w:val="000666D0"/>
    <w:rsid w:val="00067755"/>
    <w:rsid w:val="00070872"/>
    <w:rsid w:val="000734F9"/>
    <w:rsid w:val="000738D7"/>
    <w:rsid w:val="00074DDD"/>
    <w:rsid w:val="0007658C"/>
    <w:rsid w:val="00082C9E"/>
    <w:rsid w:val="00086CFF"/>
    <w:rsid w:val="00087160"/>
    <w:rsid w:val="000904A0"/>
    <w:rsid w:val="000960C0"/>
    <w:rsid w:val="000A0308"/>
    <w:rsid w:val="000B3690"/>
    <w:rsid w:val="000B5717"/>
    <w:rsid w:val="000B748C"/>
    <w:rsid w:val="000C246A"/>
    <w:rsid w:val="000C2520"/>
    <w:rsid w:val="000C4157"/>
    <w:rsid w:val="000C53CB"/>
    <w:rsid w:val="000C5796"/>
    <w:rsid w:val="000D203C"/>
    <w:rsid w:val="000E2733"/>
    <w:rsid w:val="000E39DC"/>
    <w:rsid w:val="000E6547"/>
    <w:rsid w:val="000F1B35"/>
    <w:rsid w:val="000F296A"/>
    <w:rsid w:val="000F39D2"/>
    <w:rsid w:val="000F6AA5"/>
    <w:rsid w:val="00102DAE"/>
    <w:rsid w:val="00111148"/>
    <w:rsid w:val="00117795"/>
    <w:rsid w:val="00121378"/>
    <w:rsid w:val="00124040"/>
    <w:rsid w:val="001242A1"/>
    <w:rsid w:val="00124E72"/>
    <w:rsid w:val="0012599E"/>
    <w:rsid w:val="00126210"/>
    <w:rsid w:val="001316E2"/>
    <w:rsid w:val="00135231"/>
    <w:rsid w:val="00135ADB"/>
    <w:rsid w:val="00142796"/>
    <w:rsid w:val="00156BBD"/>
    <w:rsid w:val="00162C77"/>
    <w:rsid w:val="00166119"/>
    <w:rsid w:val="0016724A"/>
    <w:rsid w:val="0017216B"/>
    <w:rsid w:val="0017233A"/>
    <w:rsid w:val="0017460F"/>
    <w:rsid w:val="00180CBC"/>
    <w:rsid w:val="0019056B"/>
    <w:rsid w:val="00191A56"/>
    <w:rsid w:val="00193D85"/>
    <w:rsid w:val="00197278"/>
    <w:rsid w:val="001A33C1"/>
    <w:rsid w:val="001A4E16"/>
    <w:rsid w:val="001A532C"/>
    <w:rsid w:val="001A57D5"/>
    <w:rsid w:val="001A6BE2"/>
    <w:rsid w:val="001A6FEC"/>
    <w:rsid w:val="001B1ED7"/>
    <w:rsid w:val="001B2842"/>
    <w:rsid w:val="001B2F53"/>
    <w:rsid w:val="001B3665"/>
    <w:rsid w:val="001B38F1"/>
    <w:rsid w:val="001B532F"/>
    <w:rsid w:val="001B79D5"/>
    <w:rsid w:val="001C0E7D"/>
    <w:rsid w:val="001C18FD"/>
    <w:rsid w:val="001C6B55"/>
    <w:rsid w:val="001C71D4"/>
    <w:rsid w:val="001D09D7"/>
    <w:rsid w:val="001D0F57"/>
    <w:rsid w:val="001D3BC7"/>
    <w:rsid w:val="001D3FD6"/>
    <w:rsid w:val="001D53DB"/>
    <w:rsid w:val="001D782B"/>
    <w:rsid w:val="001E1AC2"/>
    <w:rsid w:val="001E210A"/>
    <w:rsid w:val="001E49AA"/>
    <w:rsid w:val="001F0173"/>
    <w:rsid w:val="001F41E2"/>
    <w:rsid w:val="001F4C82"/>
    <w:rsid w:val="001F7559"/>
    <w:rsid w:val="0020070B"/>
    <w:rsid w:val="00201EBE"/>
    <w:rsid w:val="00202F30"/>
    <w:rsid w:val="002042FF"/>
    <w:rsid w:val="002071AA"/>
    <w:rsid w:val="00210317"/>
    <w:rsid w:val="002120D5"/>
    <w:rsid w:val="00215EA1"/>
    <w:rsid w:val="00216169"/>
    <w:rsid w:val="00225B5A"/>
    <w:rsid w:val="00231773"/>
    <w:rsid w:val="0023302F"/>
    <w:rsid w:val="00234701"/>
    <w:rsid w:val="00236249"/>
    <w:rsid w:val="00236DE6"/>
    <w:rsid w:val="002412FE"/>
    <w:rsid w:val="002423EA"/>
    <w:rsid w:val="00244A9D"/>
    <w:rsid w:val="00246190"/>
    <w:rsid w:val="0024650D"/>
    <w:rsid w:val="00246C7B"/>
    <w:rsid w:val="00250AD3"/>
    <w:rsid w:val="00255893"/>
    <w:rsid w:val="00256C80"/>
    <w:rsid w:val="002627D9"/>
    <w:rsid w:val="002635CE"/>
    <w:rsid w:val="002660FB"/>
    <w:rsid w:val="00270183"/>
    <w:rsid w:val="0027233C"/>
    <w:rsid w:val="0028065F"/>
    <w:rsid w:val="0028090B"/>
    <w:rsid w:val="0028127C"/>
    <w:rsid w:val="00281D6B"/>
    <w:rsid w:val="00282057"/>
    <w:rsid w:val="00283316"/>
    <w:rsid w:val="00284592"/>
    <w:rsid w:val="00286888"/>
    <w:rsid w:val="0028705C"/>
    <w:rsid w:val="0029203E"/>
    <w:rsid w:val="00296523"/>
    <w:rsid w:val="002B01D5"/>
    <w:rsid w:val="002B19B4"/>
    <w:rsid w:val="002B2AD0"/>
    <w:rsid w:val="002B2AF1"/>
    <w:rsid w:val="002B3BB9"/>
    <w:rsid w:val="002B5722"/>
    <w:rsid w:val="002C1122"/>
    <w:rsid w:val="002C200E"/>
    <w:rsid w:val="002C3534"/>
    <w:rsid w:val="002C5E09"/>
    <w:rsid w:val="002D061B"/>
    <w:rsid w:val="002D1A49"/>
    <w:rsid w:val="002D1A78"/>
    <w:rsid w:val="002D4756"/>
    <w:rsid w:val="002D4B50"/>
    <w:rsid w:val="002D51FF"/>
    <w:rsid w:val="002D647D"/>
    <w:rsid w:val="002E1D4E"/>
    <w:rsid w:val="002E327A"/>
    <w:rsid w:val="002F0CA2"/>
    <w:rsid w:val="002F257A"/>
    <w:rsid w:val="0030203C"/>
    <w:rsid w:val="00302187"/>
    <w:rsid w:val="00302426"/>
    <w:rsid w:val="0030418E"/>
    <w:rsid w:val="0030457D"/>
    <w:rsid w:val="0031276B"/>
    <w:rsid w:val="0031484A"/>
    <w:rsid w:val="003203B4"/>
    <w:rsid w:val="00321746"/>
    <w:rsid w:val="00326FDC"/>
    <w:rsid w:val="00330476"/>
    <w:rsid w:val="00335B4C"/>
    <w:rsid w:val="00340BC1"/>
    <w:rsid w:val="00346C3C"/>
    <w:rsid w:val="00346E79"/>
    <w:rsid w:val="0035082E"/>
    <w:rsid w:val="00350A94"/>
    <w:rsid w:val="003510B9"/>
    <w:rsid w:val="00352BA8"/>
    <w:rsid w:val="00360C7E"/>
    <w:rsid w:val="003619D0"/>
    <w:rsid w:val="003622D9"/>
    <w:rsid w:val="003664F0"/>
    <w:rsid w:val="003747B9"/>
    <w:rsid w:val="0037577D"/>
    <w:rsid w:val="00376F3D"/>
    <w:rsid w:val="0038199F"/>
    <w:rsid w:val="0038637D"/>
    <w:rsid w:val="00390907"/>
    <w:rsid w:val="00392FE8"/>
    <w:rsid w:val="00395A99"/>
    <w:rsid w:val="003964C4"/>
    <w:rsid w:val="00396AD1"/>
    <w:rsid w:val="003A0ABA"/>
    <w:rsid w:val="003A1158"/>
    <w:rsid w:val="003A2EC3"/>
    <w:rsid w:val="003A7135"/>
    <w:rsid w:val="003A73B1"/>
    <w:rsid w:val="003B3287"/>
    <w:rsid w:val="003B547F"/>
    <w:rsid w:val="003B62CF"/>
    <w:rsid w:val="003B6540"/>
    <w:rsid w:val="003B6F30"/>
    <w:rsid w:val="003B7B21"/>
    <w:rsid w:val="003C03D7"/>
    <w:rsid w:val="003C06EF"/>
    <w:rsid w:val="003C4025"/>
    <w:rsid w:val="003C7317"/>
    <w:rsid w:val="003D2892"/>
    <w:rsid w:val="003D550B"/>
    <w:rsid w:val="003D609D"/>
    <w:rsid w:val="003E27F0"/>
    <w:rsid w:val="003E3B13"/>
    <w:rsid w:val="003E4C47"/>
    <w:rsid w:val="003E55F6"/>
    <w:rsid w:val="003E79BB"/>
    <w:rsid w:val="003F0A44"/>
    <w:rsid w:val="003F1F86"/>
    <w:rsid w:val="00401F5A"/>
    <w:rsid w:val="004033E0"/>
    <w:rsid w:val="004114F2"/>
    <w:rsid w:val="00415FA6"/>
    <w:rsid w:val="00416432"/>
    <w:rsid w:val="00416998"/>
    <w:rsid w:val="00416E9E"/>
    <w:rsid w:val="00417FB9"/>
    <w:rsid w:val="0042085F"/>
    <w:rsid w:val="004311D4"/>
    <w:rsid w:val="0043280D"/>
    <w:rsid w:val="00432B12"/>
    <w:rsid w:val="004414F2"/>
    <w:rsid w:val="004428C0"/>
    <w:rsid w:val="00446E18"/>
    <w:rsid w:val="00446EE7"/>
    <w:rsid w:val="0045261E"/>
    <w:rsid w:val="00452861"/>
    <w:rsid w:val="00455A15"/>
    <w:rsid w:val="00457F7E"/>
    <w:rsid w:val="00466A87"/>
    <w:rsid w:val="00466C7E"/>
    <w:rsid w:val="0046790F"/>
    <w:rsid w:val="004755E8"/>
    <w:rsid w:val="004774C7"/>
    <w:rsid w:val="004814D2"/>
    <w:rsid w:val="00482240"/>
    <w:rsid w:val="0049267D"/>
    <w:rsid w:val="00496BA4"/>
    <w:rsid w:val="004A1702"/>
    <w:rsid w:val="004B66EC"/>
    <w:rsid w:val="004B76CF"/>
    <w:rsid w:val="004C7BC9"/>
    <w:rsid w:val="004D4413"/>
    <w:rsid w:val="004D4644"/>
    <w:rsid w:val="004D4F12"/>
    <w:rsid w:val="004D5823"/>
    <w:rsid w:val="004D64A8"/>
    <w:rsid w:val="004D7049"/>
    <w:rsid w:val="004E06D2"/>
    <w:rsid w:val="004E18D6"/>
    <w:rsid w:val="004E2914"/>
    <w:rsid w:val="004E29F6"/>
    <w:rsid w:val="004E4A09"/>
    <w:rsid w:val="004E6F18"/>
    <w:rsid w:val="004E7C22"/>
    <w:rsid w:val="004F0428"/>
    <w:rsid w:val="004F044A"/>
    <w:rsid w:val="004F36A0"/>
    <w:rsid w:val="004F386F"/>
    <w:rsid w:val="004F6447"/>
    <w:rsid w:val="004F7605"/>
    <w:rsid w:val="004F7F0F"/>
    <w:rsid w:val="00500A91"/>
    <w:rsid w:val="0050104A"/>
    <w:rsid w:val="0050349D"/>
    <w:rsid w:val="00503A4F"/>
    <w:rsid w:val="005076C2"/>
    <w:rsid w:val="00511B41"/>
    <w:rsid w:val="005121AC"/>
    <w:rsid w:val="00512620"/>
    <w:rsid w:val="005148F3"/>
    <w:rsid w:val="00515D82"/>
    <w:rsid w:val="005176A2"/>
    <w:rsid w:val="005206BA"/>
    <w:rsid w:val="00520F58"/>
    <w:rsid w:val="005235BF"/>
    <w:rsid w:val="00531E51"/>
    <w:rsid w:val="005354E1"/>
    <w:rsid w:val="005364CE"/>
    <w:rsid w:val="0054008F"/>
    <w:rsid w:val="00544613"/>
    <w:rsid w:val="005504BD"/>
    <w:rsid w:val="00551C9B"/>
    <w:rsid w:val="00556D81"/>
    <w:rsid w:val="0056109B"/>
    <w:rsid w:val="00561E6E"/>
    <w:rsid w:val="00561EC9"/>
    <w:rsid w:val="005624E7"/>
    <w:rsid w:val="005631B0"/>
    <w:rsid w:val="005664BF"/>
    <w:rsid w:val="00566AED"/>
    <w:rsid w:val="00567D1B"/>
    <w:rsid w:val="00570A15"/>
    <w:rsid w:val="00572C39"/>
    <w:rsid w:val="005759A1"/>
    <w:rsid w:val="00575DAF"/>
    <w:rsid w:val="005775A3"/>
    <w:rsid w:val="0058137A"/>
    <w:rsid w:val="005833C9"/>
    <w:rsid w:val="00583497"/>
    <w:rsid w:val="00584A22"/>
    <w:rsid w:val="00584FAA"/>
    <w:rsid w:val="0058749B"/>
    <w:rsid w:val="005925AB"/>
    <w:rsid w:val="00593113"/>
    <w:rsid w:val="00593B39"/>
    <w:rsid w:val="005965C8"/>
    <w:rsid w:val="0059792F"/>
    <w:rsid w:val="005A0370"/>
    <w:rsid w:val="005A1056"/>
    <w:rsid w:val="005A42F2"/>
    <w:rsid w:val="005A43C4"/>
    <w:rsid w:val="005A7080"/>
    <w:rsid w:val="005A7602"/>
    <w:rsid w:val="005B320A"/>
    <w:rsid w:val="005B399C"/>
    <w:rsid w:val="005B3A1B"/>
    <w:rsid w:val="005B74FE"/>
    <w:rsid w:val="005B7CB7"/>
    <w:rsid w:val="005B7F89"/>
    <w:rsid w:val="005C776B"/>
    <w:rsid w:val="005D01B1"/>
    <w:rsid w:val="005D2BB7"/>
    <w:rsid w:val="005D2F97"/>
    <w:rsid w:val="005D3183"/>
    <w:rsid w:val="005D330B"/>
    <w:rsid w:val="005D33B8"/>
    <w:rsid w:val="005D7C7A"/>
    <w:rsid w:val="005D7E9F"/>
    <w:rsid w:val="005E287A"/>
    <w:rsid w:val="005E47B0"/>
    <w:rsid w:val="005F04E4"/>
    <w:rsid w:val="005F0E3B"/>
    <w:rsid w:val="005F1F0B"/>
    <w:rsid w:val="005F4265"/>
    <w:rsid w:val="005F42B3"/>
    <w:rsid w:val="005F4855"/>
    <w:rsid w:val="005F58DA"/>
    <w:rsid w:val="005F7983"/>
    <w:rsid w:val="0060393F"/>
    <w:rsid w:val="006045BC"/>
    <w:rsid w:val="00605904"/>
    <w:rsid w:val="00606234"/>
    <w:rsid w:val="00606318"/>
    <w:rsid w:val="0061572D"/>
    <w:rsid w:val="0061790C"/>
    <w:rsid w:val="00621D52"/>
    <w:rsid w:val="00622206"/>
    <w:rsid w:val="0062725A"/>
    <w:rsid w:val="00627CFF"/>
    <w:rsid w:val="00634591"/>
    <w:rsid w:val="00634BC4"/>
    <w:rsid w:val="00637409"/>
    <w:rsid w:val="00640850"/>
    <w:rsid w:val="00641ED4"/>
    <w:rsid w:val="006427A4"/>
    <w:rsid w:val="00642B05"/>
    <w:rsid w:val="0064369D"/>
    <w:rsid w:val="00645248"/>
    <w:rsid w:val="00646DB9"/>
    <w:rsid w:val="00656D58"/>
    <w:rsid w:val="00662CC7"/>
    <w:rsid w:val="0066315E"/>
    <w:rsid w:val="006661A4"/>
    <w:rsid w:val="006664B0"/>
    <w:rsid w:val="00666F94"/>
    <w:rsid w:val="00667F1F"/>
    <w:rsid w:val="006710B6"/>
    <w:rsid w:val="00673013"/>
    <w:rsid w:val="00675E7A"/>
    <w:rsid w:val="006778C0"/>
    <w:rsid w:val="006829D7"/>
    <w:rsid w:val="00682F3B"/>
    <w:rsid w:val="00686158"/>
    <w:rsid w:val="00691386"/>
    <w:rsid w:val="00691C6D"/>
    <w:rsid w:val="00695967"/>
    <w:rsid w:val="00697E1C"/>
    <w:rsid w:val="006A1798"/>
    <w:rsid w:val="006A4CD2"/>
    <w:rsid w:val="006A572F"/>
    <w:rsid w:val="006A683E"/>
    <w:rsid w:val="006B1D8B"/>
    <w:rsid w:val="006B1F85"/>
    <w:rsid w:val="006C02BF"/>
    <w:rsid w:val="006C02CD"/>
    <w:rsid w:val="006C4E35"/>
    <w:rsid w:val="006D0D86"/>
    <w:rsid w:val="006D640E"/>
    <w:rsid w:val="006E1AC5"/>
    <w:rsid w:val="006F0577"/>
    <w:rsid w:val="006F138D"/>
    <w:rsid w:val="006F470B"/>
    <w:rsid w:val="006F6C92"/>
    <w:rsid w:val="00702A56"/>
    <w:rsid w:val="00705952"/>
    <w:rsid w:val="0070772D"/>
    <w:rsid w:val="00711B1A"/>
    <w:rsid w:val="00713EB3"/>
    <w:rsid w:val="00714DD7"/>
    <w:rsid w:val="007245FC"/>
    <w:rsid w:val="0072470B"/>
    <w:rsid w:val="00724953"/>
    <w:rsid w:val="00725899"/>
    <w:rsid w:val="0072753B"/>
    <w:rsid w:val="00732FBF"/>
    <w:rsid w:val="007347C1"/>
    <w:rsid w:val="00737D78"/>
    <w:rsid w:val="00740555"/>
    <w:rsid w:val="00745BA7"/>
    <w:rsid w:val="00746260"/>
    <w:rsid w:val="00746FA5"/>
    <w:rsid w:val="00747153"/>
    <w:rsid w:val="007474CE"/>
    <w:rsid w:val="00752685"/>
    <w:rsid w:val="00753F4C"/>
    <w:rsid w:val="007627DF"/>
    <w:rsid w:val="00763A92"/>
    <w:rsid w:val="007704A6"/>
    <w:rsid w:val="007710EB"/>
    <w:rsid w:val="00771E99"/>
    <w:rsid w:val="00773E3C"/>
    <w:rsid w:val="00774EBE"/>
    <w:rsid w:val="00782190"/>
    <w:rsid w:val="00782A2A"/>
    <w:rsid w:val="007854CA"/>
    <w:rsid w:val="00792D06"/>
    <w:rsid w:val="00793430"/>
    <w:rsid w:val="00795E7F"/>
    <w:rsid w:val="00796672"/>
    <w:rsid w:val="007A513E"/>
    <w:rsid w:val="007A5481"/>
    <w:rsid w:val="007A7158"/>
    <w:rsid w:val="007B0420"/>
    <w:rsid w:val="007B1630"/>
    <w:rsid w:val="007B39BB"/>
    <w:rsid w:val="007B4452"/>
    <w:rsid w:val="007B500B"/>
    <w:rsid w:val="007B6B61"/>
    <w:rsid w:val="007C0D9A"/>
    <w:rsid w:val="007C0FFC"/>
    <w:rsid w:val="007C12E8"/>
    <w:rsid w:val="007C3372"/>
    <w:rsid w:val="007C3374"/>
    <w:rsid w:val="007C7E24"/>
    <w:rsid w:val="007D0F9E"/>
    <w:rsid w:val="007D1161"/>
    <w:rsid w:val="007D2040"/>
    <w:rsid w:val="007D328B"/>
    <w:rsid w:val="007D75FD"/>
    <w:rsid w:val="007E2376"/>
    <w:rsid w:val="007E2A26"/>
    <w:rsid w:val="007E7B72"/>
    <w:rsid w:val="007E7F1E"/>
    <w:rsid w:val="007F2494"/>
    <w:rsid w:val="007F33F1"/>
    <w:rsid w:val="007F412F"/>
    <w:rsid w:val="007F7D78"/>
    <w:rsid w:val="00800210"/>
    <w:rsid w:val="0080095F"/>
    <w:rsid w:val="00801D9C"/>
    <w:rsid w:val="00802510"/>
    <w:rsid w:val="00803A51"/>
    <w:rsid w:val="00804EDB"/>
    <w:rsid w:val="008052A0"/>
    <w:rsid w:val="00807C07"/>
    <w:rsid w:val="00811A89"/>
    <w:rsid w:val="008175CA"/>
    <w:rsid w:val="00820F26"/>
    <w:rsid w:val="008210AE"/>
    <w:rsid w:val="00823FCF"/>
    <w:rsid w:val="00824FFA"/>
    <w:rsid w:val="00831133"/>
    <w:rsid w:val="0083173E"/>
    <w:rsid w:val="0083285E"/>
    <w:rsid w:val="00834718"/>
    <w:rsid w:val="00841608"/>
    <w:rsid w:val="0084362C"/>
    <w:rsid w:val="00850AF5"/>
    <w:rsid w:val="00851F55"/>
    <w:rsid w:val="00854C56"/>
    <w:rsid w:val="00857DF6"/>
    <w:rsid w:val="00865A6F"/>
    <w:rsid w:val="008679DB"/>
    <w:rsid w:val="00871138"/>
    <w:rsid w:val="0087177C"/>
    <w:rsid w:val="0087190C"/>
    <w:rsid w:val="0087376A"/>
    <w:rsid w:val="008739E3"/>
    <w:rsid w:val="0087474E"/>
    <w:rsid w:val="008764FD"/>
    <w:rsid w:val="0087730B"/>
    <w:rsid w:val="008813B9"/>
    <w:rsid w:val="00881E55"/>
    <w:rsid w:val="008902BA"/>
    <w:rsid w:val="008938B2"/>
    <w:rsid w:val="008943AF"/>
    <w:rsid w:val="00894437"/>
    <w:rsid w:val="00897140"/>
    <w:rsid w:val="0089730B"/>
    <w:rsid w:val="008A2C1D"/>
    <w:rsid w:val="008B1A44"/>
    <w:rsid w:val="008C1B07"/>
    <w:rsid w:val="008C2617"/>
    <w:rsid w:val="008C3A9D"/>
    <w:rsid w:val="008C4A13"/>
    <w:rsid w:val="008D3D98"/>
    <w:rsid w:val="008D51E4"/>
    <w:rsid w:val="008E416D"/>
    <w:rsid w:val="008F15A1"/>
    <w:rsid w:val="00900214"/>
    <w:rsid w:val="009018A2"/>
    <w:rsid w:val="0090483C"/>
    <w:rsid w:val="0090537E"/>
    <w:rsid w:val="00906557"/>
    <w:rsid w:val="00910625"/>
    <w:rsid w:val="00912A60"/>
    <w:rsid w:val="0091363B"/>
    <w:rsid w:val="00922F03"/>
    <w:rsid w:val="0092415B"/>
    <w:rsid w:val="00925C27"/>
    <w:rsid w:val="009264F8"/>
    <w:rsid w:val="00926D1C"/>
    <w:rsid w:val="00933A84"/>
    <w:rsid w:val="00934290"/>
    <w:rsid w:val="00942A10"/>
    <w:rsid w:val="00942F65"/>
    <w:rsid w:val="00945F32"/>
    <w:rsid w:val="0095122E"/>
    <w:rsid w:val="00953879"/>
    <w:rsid w:val="0095662C"/>
    <w:rsid w:val="0095711B"/>
    <w:rsid w:val="00960A44"/>
    <w:rsid w:val="009657FA"/>
    <w:rsid w:val="00966571"/>
    <w:rsid w:val="0097314F"/>
    <w:rsid w:val="00975E99"/>
    <w:rsid w:val="0098124B"/>
    <w:rsid w:val="009815D9"/>
    <w:rsid w:val="0098685E"/>
    <w:rsid w:val="00986DF7"/>
    <w:rsid w:val="00995FF1"/>
    <w:rsid w:val="00997147"/>
    <w:rsid w:val="009974C2"/>
    <w:rsid w:val="009A13FD"/>
    <w:rsid w:val="009A31B3"/>
    <w:rsid w:val="009A5444"/>
    <w:rsid w:val="009A639E"/>
    <w:rsid w:val="009A7882"/>
    <w:rsid w:val="009C388F"/>
    <w:rsid w:val="009C5C06"/>
    <w:rsid w:val="009C67F4"/>
    <w:rsid w:val="009C7A78"/>
    <w:rsid w:val="009D09D7"/>
    <w:rsid w:val="009E0837"/>
    <w:rsid w:val="009E392E"/>
    <w:rsid w:val="009E3BF9"/>
    <w:rsid w:val="009E44A8"/>
    <w:rsid w:val="009E4CE3"/>
    <w:rsid w:val="009E4FB9"/>
    <w:rsid w:val="009E66BE"/>
    <w:rsid w:val="009E7A53"/>
    <w:rsid w:val="009F0EF5"/>
    <w:rsid w:val="009F3CA2"/>
    <w:rsid w:val="009F4055"/>
    <w:rsid w:val="009F5CC4"/>
    <w:rsid w:val="00A066CF"/>
    <w:rsid w:val="00A067E6"/>
    <w:rsid w:val="00A10CD5"/>
    <w:rsid w:val="00A11FFA"/>
    <w:rsid w:val="00A12C27"/>
    <w:rsid w:val="00A13BA6"/>
    <w:rsid w:val="00A13EE1"/>
    <w:rsid w:val="00A15607"/>
    <w:rsid w:val="00A20379"/>
    <w:rsid w:val="00A22E23"/>
    <w:rsid w:val="00A230D8"/>
    <w:rsid w:val="00A23703"/>
    <w:rsid w:val="00A2474F"/>
    <w:rsid w:val="00A262C9"/>
    <w:rsid w:val="00A357F7"/>
    <w:rsid w:val="00A37C9C"/>
    <w:rsid w:val="00A41B4B"/>
    <w:rsid w:val="00A455C7"/>
    <w:rsid w:val="00A4619A"/>
    <w:rsid w:val="00A52BF3"/>
    <w:rsid w:val="00A55E00"/>
    <w:rsid w:val="00A57185"/>
    <w:rsid w:val="00A646ED"/>
    <w:rsid w:val="00A650E0"/>
    <w:rsid w:val="00A67E0D"/>
    <w:rsid w:val="00A70445"/>
    <w:rsid w:val="00A7148D"/>
    <w:rsid w:val="00A73194"/>
    <w:rsid w:val="00A737A3"/>
    <w:rsid w:val="00A75418"/>
    <w:rsid w:val="00A76065"/>
    <w:rsid w:val="00A766BD"/>
    <w:rsid w:val="00A83788"/>
    <w:rsid w:val="00A838B9"/>
    <w:rsid w:val="00A876E7"/>
    <w:rsid w:val="00A92006"/>
    <w:rsid w:val="00A92080"/>
    <w:rsid w:val="00A94B69"/>
    <w:rsid w:val="00A95E54"/>
    <w:rsid w:val="00AA4449"/>
    <w:rsid w:val="00AA46FB"/>
    <w:rsid w:val="00AA7047"/>
    <w:rsid w:val="00AB04CC"/>
    <w:rsid w:val="00AB09F2"/>
    <w:rsid w:val="00AC03CC"/>
    <w:rsid w:val="00AC081B"/>
    <w:rsid w:val="00AC2A43"/>
    <w:rsid w:val="00AC5B6E"/>
    <w:rsid w:val="00AC7197"/>
    <w:rsid w:val="00AC7C99"/>
    <w:rsid w:val="00AD3653"/>
    <w:rsid w:val="00AD5093"/>
    <w:rsid w:val="00AE05E7"/>
    <w:rsid w:val="00AE5413"/>
    <w:rsid w:val="00AE65A9"/>
    <w:rsid w:val="00AF2F55"/>
    <w:rsid w:val="00AF455A"/>
    <w:rsid w:val="00AF5C75"/>
    <w:rsid w:val="00AF6061"/>
    <w:rsid w:val="00AF6FAF"/>
    <w:rsid w:val="00B05FC4"/>
    <w:rsid w:val="00B0776C"/>
    <w:rsid w:val="00B115BD"/>
    <w:rsid w:val="00B13125"/>
    <w:rsid w:val="00B14F70"/>
    <w:rsid w:val="00B176F2"/>
    <w:rsid w:val="00B3076B"/>
    <w:rsid w:val="00B307EC"/>
    <w:rsid w:val="00B33296"/>
    <w:rsid w:val="00B347ED"/>
    <w:rsid w:val="00B35E77"/>
    <w:rsid w:val="00B376D7"/>
    <w:rsid w:val="00B403B4"/>
    <w:rsid w:val="00B40D4B"/>
    <w:rsid w:val="00B436D1"/>
    <w:rsid w:val="00B51843"/>
    <w:rsid w:val="00B52067"/>
    <w:rsid w:val="00B5603E"/>
    <w:rsid w:val="00B5749E"/>
    <w:rsid w:val="00B61DB0"/>
    <w:rsid w:val="00B6569C"/>
    <w:rsid w:val="00B67F09"/>
    <w:rsid w:val="00B72148"/>
    <w:rsid w:val="00B724D6"/>
    <w:rsid w:val="00B74AB4"/>
    <w:rsid w:val="00B74B4C"/>
    <w:rsid w:val="00B758CD"/>
    <w:rsid w:val="00B76F7A"/>
    <w:rsid w:val="00B8331B"/>
    <w:rsid w:val="00B84549"/>
    <w:rsid w:val="00B8510B"/>
    <w:rsid w:val="00B90AF8"/>
    <w:rsid w:val="00B93EDA"/>
    <w:rsid w:val="00B9519A"/>
    <w:rsid w:val="00B96F61"/>
    <w:rsid w:val="00BA0133"/>
    <w:rsid w:val="00BA02C8"/>
    <w:rsid w:val="00BA2455"/>
    <w:rsid w:val="00BA24A2"/>
    <w:rsid w:val="00BA3840"/>
    <w:rsid w:val="00BB2778"/>
    <w:rsid w:val="00BB2835"/>
    <w:rsid w:val="00BB2EB6"/>
    <w:rsid w:val="00BB59FD"/>
    <w:rsid w:val="00BB612A"/>
    <w:rsid w:val="00BC4F39"/>
    <w:rsid w:val="00BC631F"/>
    <w:rsid w:val="00BC74A8"/>
    <w:rsid w:val="00BD01C0"/>
    <w:rsid w:val="00BD4829"/>
    <w:rsid w:val="00BD54DB"/>
    <w:rsid w:val="00BE2444"/>
    <w:rsid w:val="00BE24C7"/>
    <w:rsid w:val="00BE68A6"/>
    <w:rsid w:val="00BF057A"/>
    <w:rsid w:val="00BF3D9F"/>
    <w:rsid w:val="00BF522A"/>
    <w:rsid w:val="00BF77EF"/>
    <w:rsid w:val="00C0347B"/>
    <w:rsid w:val="00C034B1"/>
    <w:rsid w:val="00C03E83"/>
    <w:rsid w:val="00C04EBD"/>
    <w:rsid w:val="00C05E3A"/>
    <w:rsid w:val="00C06824"/>
    <w:rsid w:val="00C1516D"/>
    <w:rsid w:val="00C16BE3"/>
    <w:rsid w:val="00C21D7E"/>
    <w:rsid w:val="00C237E0"/>
    <w:rsid w:val="00C24A62"/>
    <w:rsid w:val="00C27747"/>
    <w:rsid w:val="00C32429"/>
    <w:rsid w:val="00C34F05"/>
    <w:rsid w:val="00C351FD"/>
    <w:rsid w:val="00C35C8E"/>
    <w:rsid w:val="00C37720"/>
    <w:rsid w:val="00C43E24"/>
    <w:rsid w:val="00C45979"/>
    <w:rsid w:val="00C50085"/>
    <w:rsid w:val="00C503A7"/>
    <w:rsid w:val="00C5237D"/>
    <w:rsid w:val="00C5300A"/>
    <w:rsid w:val="00C53A4D"/>
    <w:rsid w:val="00C549CC"/>
    <w:rsid w:val="00C55582"/>
    <w:rsid w:val="00C5730B"/>
    <w:rsid w:val="00C6263A"/>
    <w:rsid w:val="00C63AE8"/>
    <w:rsid w:val="00C64C45"/>
    <w:rsid w:val="00C66817"/>
    <w:rsid w:val="00C6693A"/>
    <w:rsid w:val="00C66DE8"/>
    <w:rsid w:val="00C7212D"/>
    <w:rsid w:val="00C7397A"/>
    <w:rsid w:val="00C7636C"/>
    <w:rsid w:val="00C77C91"/>
    <w:rsid w:val="00C836D1"/>
    <w:rsid w:val="00C873DB"/>
    <w:rsid w:val="00C87849"/>
    <w:rsid w:val="00C90DCA"/>
    <w:rsid w:val="00C92A7F"/>
    <w:rsid w:val="00C9755A"/>
    <w:rsid w:val="00CA0753"/>
    <w:rsid w:val="00CA1BFD"/>
    <w:rsid w:val="00CA49B5"/>
    <w:rsid w:val="00CA5B7C"/>
    <w:rsid w:val="00CB37BC"/>
    <w:rsid w:val="00CB73BA"/>
    <w:rsid w:val="00CC0D96"/>
    <w:rsid w:val="00CD109E"/>
    <w:rsid w:val="00CD173E"/>
    <w:rsid w:val="00CD3C6E"/>
    <w:rsid w:val="00CD6D3F"/>
    <w:rsid w:val="00CE12CC"/>
    <w:rsid w:val="00CE459C"/>
    <w:rsid w:val="00CF0360"/>
    <w:rsid w:val="00CF0F0A"/>
    <w:rsid w:val="00CF3E61"/>
    <w:rsid w:val="00CF4D74"/>
    <w:rsid w:val="00CF4EC0"/>
    <w:rsid w:val="00D029FE"/>
    <w:rsid w:val="00D04301"/>
    <w:rsid w:val="00D04CB3"/>
    <w:rsid w:val="00D05500"/>
    <w:rsid w:val="00D05C72"/>
    <w:rsid w:val="00D061D2"/>
    <w:rsid w:val="00D07AF1"/>
    <w:rsid w:val="00D07EB4"/>
    <w:rsid w:val="00D109AD"/>
    <w:rsid w:val="00D14336"/>
    <w:rsid w:val="00D14BF9"/>
    <w:rsid w:val="00D22331"/>
    <w:rsid w:val="00D2491C"/>
    <w:rsid w:val="00D258F7"/>
    <w:rsid w:val="00D25A6D"/>
    <w:rsid w:val="00D35B4E"/>
    <w:rsid w:val="00D375E9"/>
    <w:rsid w:val="00D41DB8"/>
    <w:rsid w:val="00D4379D"/>
    <w:rsid w:val="00D470C1"/>
    <w:rsid w:val="00D55EA9"/>
    <w:rsid w:val="00D574EA"/>
    <w:rsid w:val="00D61304"/>
    <w:rsid w:val="00D637E4"/>
    <w:rsid w:val="00D72711"/>
    <w:rsid w:val="00D74216"/>
    <w:rsid w:val="00D75B79"/>
    <w:rsid w:val="00D778B1"/>
    <w:rsid w:val="00D80859"/>
    <w:rsid w:val="00D85F2D"/>
    <w:rsid w:val="00D928E6"/>
    <w:rsid w:val="00D95606"/>
    <w:rsid w:val="00D95CC0"/>
    <w:rsid w:val="00D965A5"/>
    <w:rsid w:val="00DA0C8D"/>
    <w:rsid w:val="00DA1ED8"/>
    <w:rsid w:val="00DA5BA3"/>
    <w:rsid w:val="00DB0301"/>
    <w:rsid w:val="00DB1BBB"/>
    <w:rsid w:val="00DB22F1"/>
    <w:rsid w:val="00DB458D"/>
    <w:rsid w:val="00DB785D"/>
    <w:rsid w:val="00DC1E68"/>
    <w:rsid w:val="00DC5B01"/>
    <w:rsid w:val="00DC7D24"/>
    <w:rsid w:val="00DC7E26"/>
    <w:rsid w:val="00DD4557"/>
    <w:rsid w:val="00DD5C75"/>
    <w:rsid w:val="00DE19B4"/>
    <w:rsid w:val="00DE411D"/>
    <w:rsid w:val="00DE43E7"/>
    <w:rsid w:val="00DE4844"/>
    <w:rsid w:val="00DE58C3"/>
    <w:rsid w:val="00DE644F"/>
    <w:rsid w:val="00DE77AF"/>
    <w:rsid w:val="00DF475D"/>
    <w:rsid w:val="00E009DE"/>
    <w:rsid w:val="00E03650"/>
    <w:rsid w:val="00E03C61"/>
    <w:rsid w:val="00E0465D"/>
    <w:rsid w:val="00E04A90"/>
    <w:rsid w:val="00E052AA"/>
    <w:rsid w:val="00E05843"/>
    <w:rsid w:val="00E06203"/>
    <w:rsid w:val="00E0777F"/>
    <w:rsid w:val="00E11794"/>
    <w:rsid w:val="00E1509E"/>
    <w:rsid w:val="00E15B21"/>
    <w:rsid w:val="00E15D4F"/>
    <w:rsid w:val="00E17F8B"/>
    <w:rsid w:val="00E20559"/>
    <w:rsid w:val="00E2125A"/>
    <w:rsid w:val="00E213FF"/>
    <w:rsid w:val="00E21B36"/>
    <w:rsid w:val="00E21E80"/>
    <w:rsid w:val="00E221CA"/>
    <w:rsid w:val="00E23F77"/>
    <w:rsid w:val="00E26598"/>
    <w:rsid w:val="00E30B73"/>
    <w:rsid w:val="00E345E9"/>
    <w:rsid w:val="00E360E6"/>
    <w:rsid w:val="00E421A2"/>
    <w:rsid w:val="00E46C3E"/>
    <w:rsid w:val="00E505A4"/>
    <w:rsid w:val="00E5091D"/>
    <w:rsid w:val="00E52408"/>
    <w:rsid w:val="00E5259A"/>
    <w:rsid w:val="00E52C74"/>
    <w:rsid w:val="00E550F9"/>
    <w:rsid w:val="00E55D28"/>
    <w:rsid w:val="00E575AA"/>
    <w:rsid w:val="00E57C9C"/>
    <w:rsid w:val="00E57F64"/>
    <w:rsid w:val="00E6070C"/>
    <w:rsid w:val="00E616B5"/>
    <w:rsid w:val="00E6171B"/>
    <w:rsid w:val="00E6351A"/>
    <w:rsid w:val="00E65098"/>
    <w:rsid w:val="00E662B1"/>
    <w:rsid w:val="00E6675A"/>
    <w:rsid w:val="00E70299"/>
    <w:rsid w:val="00E71173"/>
    <w:rsid w:val="00E7503E"/>
    <w:rsid w:val="00E75C2A"/>
    <w:rsid w:val="00E75CB3"/>
    <w:rsid w:val="00E7655B"/>
    <w:rsid w:val="00E76D6C"/>
    <w:rsid w:val="00E86028"/>
    <w:rsid w:val="00E9146C"/>
    <w:rsid w:val="00E970F9"/>
    <w:rsid w:val="00E97321"/>
    <w:rsid w:val="00EA165C"/>
    <w:rsid w:val="00EA25E2"/>
    <w:rsid w:val="00EA2D0F"/>
    <w:rsid w:val="00EA3919"/>
    <w:rsid w:val="00EA6620"/>
    <w:rsid w:val="00EB0ED4"/>
    <w:rsid w:val="00EB1120"/>
    <w:rsid w:val="00EB435F"/>
    <w:rsid w:val="00EC1E5E"/>
    <w:rsid w:val="00EC1E71"/>
    <w:rsid w:val="00EC4075"/>
    <w:rsid w:val="00ED2481"/>
    <w:rsid w:val="00ED379A"/>
    <w:rsid w:val="00ED4EF6"/>
    <w:rsid w:val="00ED5067"/>
    <w:rsid w:val="00ED70D1"/>
    <w:rsid w:val="00EE0122"/>
    <w:rsid w:val="00EE6DB1"/>
    <w:rsid w:val="00EF08FD"/>
    <w:rsid w:val="00EF32FB"/>
    <w:rsid w:val="00EF41CE"/>
    <w:rsid w:val="00EF454D"/>
    <w:rsid w:val="00EF46E7"/>
    <w:rsid w:val="00EF58E8"/>
    <w:rsid w:val="00EF64C2"/>
    <w:rsid w:val="00EF7F52"/>
    <w:rsid w:val="00F01618"/>
    <w:rsid w:val="00F02978"/>
    <w:rsid w:val="00F04509"/>
    <w:rsid w:val="00F07E29"/>
    <w:rsid w:val="00F16677"/>
    <w:rsid w:val="00F277AC"/>
    <w:rsid w:val="00F30D1F"/>
    <w:rsid w:val="00F314E7"/>
    <w:rsid w:val="00F316D8"/>
    <w:rsid w:val="00F41D2D"/>
    <w:rsid w:val="00F455F8"/>
    <w:rsid w:val="00F47BA5"/>
    <w:rsid w:val="00F504EB"/>
    <w:rsid w:val="00F50EE4"/>
    <w:rsid w:val="00F51EAA"/>
    <w:rsid w:val="00F53A24"/>
    <w:rsid w:val="00F5599B"/>
    <w:rsid w:val="00F56B76"/>
    <w:rsid w:val="00F62DEE"/>
    <w:rsid w:val="00F6363D"/>
    <w:rsid w:val="00F72899"/>
    <w:rsid w:val="00F74D7D"/>
    <w:rsid w:val="00F8078A"/>
    <w:rsid w:val="00F84603"/>
    <w:rsid w:val="00F848A2"/>
    <w:rsid w:val="00F8592D"/>
    <w:rsid w:val="00F86C00"/>
    <w:rsid w:val="00F92E64"/>
    <w:rsid w:val="00F92F78"/>
    <w:rsid w:val="00F93F57"/>
    <w:rsid w:val="00F954DC"/>
    <w:rsid w:val="00F962F8"/>
    <w:rsid w:val="00FA0156"/>
    <w:rsid w:val="00FA05C3"/>
    <w:rsid w:val="00FA34A3"/>
    <w:rsid w:val="00FA3F59"/>
    <w:rsid w:val="00FB15A7"/>
    <w:rsid w:val="00FB3661"/>
    <w:rsid w:val="00FB4739"/>
    <w:rsid w:val="00FB74E2"/>
    <w:rsid w:val="00FB75C4"/>
    <w:rsid w:val="00FC567A"/>
    <w:rsid w:val="00FC6FEC"/>
    <w:rsid w:val="00FD3746"/>
    <w:rsid w:val="00FD3C33"/>
    <w:rsid w:val="00FD6F7F"/>
    <w:rsid w:val="00FE1499"/>
    <w:rsid w:val="00FE1636"/>
    <w:rsid w:val="00FE17DF"/>
    <w:rsid w:val="00FE1BF9"/>
    <w:rsid w:val="00FE311B"/>
    <w:rsid w:val="00FE569C"/>
    <w:rsid w:val="00FF22F1"/>
    <w:rsid w:val="00FF31E2"/>
    <w:rsid w:val="00FF48EC"/>
    <w:rsid w:val="00FF62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C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nhideWhenUsed/>
    <w:rsid w:val="00593B39"/>
    <w:rPr>
      <w:color w:val="0000FF"/>
      <w:u w:val="single"/>
    </w:rPr>
  </w:style>
  <w:style w:type="character" w:styleId="FollowedHyperlink">
    <w:name w:val="FollowedHyperlink"/>
    <w:basedOn w:val="DefaultParagraphFont"/>
    <w:uiPriority w:val="99"/>
    <w:semiHidden/>
    <w:unhideWhenUsed/>
    <w:rsid w:val="001B79D5"/>
    <w:rPr>
      <w:color w:val="800080" w:themeColor="followedHyperlink"/>
      <w:u w:val="single"/>
    </w:rPr>
  </w:style>
  <w:style w:type="paragraph" w:styleId="FootnoteText">
    <w:name w:val="footnote text"/>
    <w:basedOn w:val="Normal"/>
    <w:link w:val="FootnoteTextChar"/>
    <w:uiPriority w:val="99"/>
    <w:unhideWhenUsed/>
    <w:rsid w:val="009A639E"/>
    <w:pPr>
      <w:spacing w:after="0" w:line="240" w:lineRule="auto"/>
    </w:pPr>
    <w:rPr>
      <w:sz w:val="20"/>
      <w:szCs w:val="20"/>
    </w:rPr>
  </w:style>
  <w:style w:type="character" w:customStyle="1" w:styleId="FootnoteTextChar">
    <w:name w:val="Footnote Text Char"/>
    <w:basedOn w:val="DefaultParagraphFont"/>
    <w:link w:val="FootnoteText"/>
    <w:uiPriority w:val="99"/>
    <w:rsid w:val="009A639E"/>
    <w:rPr>
      <w:sz w:val="20"/>
      <w:szCs w:val="20"/>
    </w:rPr>
  </w:style>
  <w:style w:type="character" w:styleId="FootnoteReference">
    <w:name w:val="footnote reference"/>
    <w:basedOn w:val="DefaultParagraphFont"/>
    <w:uiPriority w:val="99"/>
    <w:unhideWhenUsed/>
    <w:rsid w:val="009A639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C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nhideWhenUsed/>
    <w:rsid w:val="00593B39"/>
    <w:rPr>
      <w:color w:val="0000FF"/>
      <w:u w:val="single"/>
    </w:rPr>
  </w:style>
  <w:style w:type="character" w:styleId="FollowedHyperlink">
    <w:name w:val="FollowedHyperlink"/>
    <w:basedOn w:val="DefaultParagraphFont"/>
    <w:uiPriority w:val="99"/>
    <w:semiHidden/>
    <w:unhideWhenUsed/>
    <w:rsid w:val="001B79D5"/>
    <w:rPr>
      <w:color w:val="800080" w:themeColor="followedHyperlink"/>
      <w:u w:val="single"/>
    </w:rPr>
  </w:style>
  <w:style w:type="paragraph" w:styleId="FootnoteText">
    <w:name w:val="footnote text"/>
    <w:basedOn w:val="Normal"/>
    <w:link w:val="FootnoteTextChar"/>
    <w:uiPriority w:val="99"/>
    <w:unhideWhenUsed/>
    <w:rsid w:val="009A639E"/>
    <w:pPr>
      <w:spacing w:after="0" w:line="240" w:lineRule="auto"/>
    </w:pPr>
    <w:rPr>
      <w:sz w:val="20"/>
      <w:szCs w:val="20"/>
    </w:rPr>
  </w:style>
  <w:style w:type="character" w:customStyle="1" w:styleId="FootnoteTextChar">
    <w:name w:val="Footnote Text Char"/>
    <w:basedOn w:val="DefaultParagraphFont"/>
    <w:link w:val="FootnoteText"/>
    <w:uiPriority w:val="99"/>
    <w:rsid w:val="009A639E"/>
    <w:rPr>
      <w:sz w:val="20"/>
      <w:szCs w:val="20"/>
    </w:rPr>
  </w:style>
  <w:style w:type="character" w:styleId="FootnoteReference">
    <w:name w:val="footnote reference"/>
    <w:basedOn w:val="DefaultParagraphFont"/>
    <w:uiPriority w:val="99"/>
    <w:unhideWhenUsed/>
    <w:rsid w:val="009A63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39522">
      <w:bodyDiv w:val="1"/>
      <w:marLeft w:val="0"/>
      <w:marRight w:val="0"/>
      <w:marTop w:val="0"/>
      <w:marBottom w:val="0"/>
      <w:divBdr>
        <w:top w:val="none" w:sz="0" w:space="0" w:color="auto"/>
        <w:left w:val="none" w:sz="0" w:space="0" w:color="auto"/>
        <w:bottom w:val="none" w:sz="0" w:space="0" w:color="auto"/>
        <w:right w:val="none" w:sz="0" w:space="0" w:color="auto"/>
      </w:divBdr>
      <w:divsChild>
        <w:div w:id="2011977898">
          <w:marLeft w:val="0"/>
          <w:marRight w:val="0"/>
          <w:marTop w:val="0"/>
          <w:marBottom w:val="0"/>
          <w:divBdr>
            <w:top w:val="none" w:sz="0" w:space="0" w:color="auto"/>
            <w:left w:val="none" w:sz="0" w:space="0" w:color="auto"/>
            <w:bottom w:val="none" w:sz="0" w:space="0" w:color="auto"/>
            <w:right w:val="none" w:sz="0" w:space="0" w:color="auto"/>
          </w:divBdr>
          <w:divsChild>
            <w:div w:id="1756899043">
              <w:marLeft w:val="0"/>
              <w:marRight w:val="0"/>
              <w:marTop w:val="0"/>
              <w:marBottom w:val="0"/>
              <w:divBdr>
                <w:top w:val="none" w:sz="0" w:space="0" w:color="auto"/>
                <w:left w:val="none" w:sz="0" w:space="0" w:color="auto"/>
                <w:bottom w:val="none" w:sz="0" w:space="0" w:color="auto"/>
                <w:right w:val="none" w:sz="0" w:space="0" w:color="auto"/>
              </w:divBdr>
              <w:divsChild>
                <w:div w:id="1277103169">
                  <w:marLeft w:val="0"/>
                  <w:marRight w:val="0"/>
                  <w:marTop w:val="0"/>
                  <w:marBottom w:val="0"/>
                  <w:divBdr>
                    <w:top w:val="none" w:sz="0" w:space="0" w:color="auto"/>
                    <w:left w:val="none" w:sz="0" w:space="0" w:color="auto"/>
                    <w:bottom w:val="none" w:sz="0" w:space="0" w:color="auto"/>
                    <w:right w:val="none" w:sz="0" w:space="0" w:color="auto"/>
                  </w:divBdr>
                  <w:divsChild>
                    <w:div w:id="1926719791">
                      <w:marLeft w:val="0"/>
                      <w:marRight w:val="0"/>
                      <w:marTop w:val="0"/>
                      <w:marBottom w:val="0"/>
                      <w:divBdr>
                        <w:top w:val="none" w:sz="0" w:space="0" w:color="auto"/>
                        <w:left w:val="none" w:sz="0" w:space="0" w:color="auto"/>
                        <w:bottom w:val="none" w:sz="0" w:space="0" w:color="auto"/>
                        <w:right w:val="none" w:sz="0" w:space="0" w:color="auto"/>
                      </w:divBdr>
                    </w:div>
                  </w:divsChild>
                </w:div>
                <w:div w:id="748044515">
                  <w:marLeft w:val="0"/>
                  <w:marRight w:val="0"/>
                  <w:marTop w:val="0"/>
                  <w:marBottom w:val="0"/>
                  <w:divBdr>
                    <w:top w:val="none" w:sz="0" w:space="0" w:color="auto"/>
                    <w:left w:val="none" w:sz="0" w:space="0" w:color="auto"/>
                    <w:bottom w:val="none" w:sz="0" w:space="0" w:color="auto"/>
                    <w:right w:val="none" w:sz="0" w:space="0" w:color="auto"/>
                  </w:divBdr>
                  <w:divsChild>
                    <w:div w:id="1586180637">
                      <w:marLeft w:val="0"/>
                      <w:marRight w:val="0"/>
                      <w:marTop w:val="0"/>
                      <w:marBottom w:val="0"/>
                      <w:divBdr>
                        <w:top w:val="none" w:sz="0" w:space="0" w:color="auto"/>
                        <w:left w:val="none" w:sz="0" w:space="0" w:color="auto"/>
                        <w:bottom w:val="none" w:sz="0" w:space="0" w:color="auto"/>
                        <w:right w:val="none" w:sz="0" w:space="0" w:color="auto"/>
                      </w:divBdr>
                      <w:divsChild>
                        <w:div w:id="772286033">
                          <w:marLeft w:val="0"/>
                          <w:marRight w:val="0"/>
                          <w:marTop w:val="0"/>
                          <w:marBottom w:val="0"/>
                          <w:divBdr>
                            <w:top w:val="none" w:sz="0" w:space="0" w:color="auto"/>
                            <w:left w:val="none" w:sz="0" w:space="0" w:color="auto"/>
                            <w:bottom w:val="none" w:sz="0" w:space="0" w:color="auto"/>
                            <w:right w:val="none" w:sz="0" w:space="0" w:color="auto"/>
                          </w:divBdr>
                        </w:div>
                        <w:div w:id="24603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764104">
                  <w:marLeft w:val="0"/>
                  <w:marRight w:val="0"/>
                  <w:marTop w:val="0"/>
                  <w:marBottom w:val="0"/>
                  <w:divBdr>
                    <w:top w:val="none" w:sz="0" w:space="0" w:color="auto"/>
                    <w:left w:val="none" w:sz="0" w:space="0" w:color="auto"/>
                    <w:bottom w:val="none" w:sz="0" w:space="0" w:color="auto"/>
                    <w:right w:val="none" w:sz="0" w:space="0" w:color="auto"/>
                  </w:divBdr>
                  <w:divsChild>
                    <w:div w:id="1464616580">
                      <w:marLeft w:val="0"/>
                      <w:marRight w:val="0"/>
                      <w:marTop w:val="0"/>
                      <w:marBottom w:val="0"/>
                      <w:divBdr>
                        <w:top w:val="none" w:sz="0" w:space="0" w:color="auto"/>
                        <w:left w:val="none" w:sz="0" w:space="0" w:color="auto"/>
                        <w:bottom w:val="none" w:sz="0" w:space="0" w:color="auto"/>
                        <w:right w:val="none" w:sz="0" w:space="0" w:color="auto"/>
                      </w:divBdr>
                    </w:div>
                  </w:divsChild>
                </w:div>
                <w:div w:id="35195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627084">
      <w:bodyDiv w:val="1"/>
      <w:marLeft w:val="0"/>
      <w:marRight w:val="0"/>
      <w:marTop w:val="0"/>
      <w:marBottom w:val="0"/>
      <w:divBdr>
        <w:top w:val="none" w:sz="0" w:space="0" w:color="auto"/>
        <w:left w:val="none" w:sz="0" w:space="0" w:color="auto"/>
        <w:bottom w:val="none" w:sz="0" w:space="0" w:color="auto"/>
        <w:right w:val="none" w:sz="0" w:space="0" w:color="auto"/>
      </w:divBdr>
    </w:div>
    <w:div w:id="590699546">
      <w:bodyDiv w:val="1"/>
      <w:marLeft w:val="0"/>
      <w:marRight w:val="0"/>
      <w:marTop w:val="0"/>
      <w:marBottom w:val="0"/>
      <w:divBdr>
        <w:top w:val="none" w:sz="0" w:space="0" w:color="auto"/>
        <w:left w:val="none" w:sz="0" w:space="0" w:color="auto"/>
        <w:bottom w:val="none" w:sz="0" w:space="0" w:color="auto"/>
        <w:right w:val="none" w:sz="0" w:space="0" w:color="auto"/>
      </w:divBdr>
    </w:div>
    <w:div w:id="1232159776">
      <w:bodyDiv w:val="1"/>
      <w:marLeft w:val="0"/>
      <w:marRight w:val="0"/>
      <w:marTop w:val="0"/>
      <w:marBottom w:val="0"/>
      <w:divBdr>
        <w:top w:val="none" w:sz="0" w:space="0" w:color="auto"/>
        <w:left w:val="none" w:sz="0" w:space="0" w:color="auto"/>
        <w:bottom w:val="none" w:sz="0" w:space="0" w:color="auto"/>
        <w:right w:val="none" w:sz="0" w:space="0" w:color="auto"/>
      </w:divBdr>
      <w:divsChild>
        <w:div w:id="963075858">
          <w:marLeft w:val="0"/>
          <w:marRight w:val="0"/>
          <w:marTop w:val="0"/>
          <w:marBottom w:val="0"/>
          <w:divBdr>
            <w:top w:val="none" w:sz="0" w:space="0" w:color="auto"/>
            <w:left w:val="none" w:sz="0" w:space="0" w:color="auto"/>
            <w:bottom w:val="none" w:sz="0" w:space="0" w:color="auto"/>
            <w:right w:val="none" w:sz="0" w:space="0" w:color="auto"/>
          </w:divBdr>
          <w:divsChild>
            <w:div w:id="842011681">
              <w:marLeft w:val="0"/>
              <w:marRight w:val="0"/>
              <w:marTop w:val="0"/>
              <w:marBottom w:val="0"/>
              <w:divBdr>
                <w:top w:val="none" w:sz="0" w:space="0" w:color="auto"/>
                <w:left w:val="none" w:sz="0" w:space="0" w:color="auto"/>
                <w:bottom w:val="none" w:sz="0" w:space="0" w:color="auto"/>
                <w:right w:val="none" w:sz="0" w:space="0" w:color="auto"/>
              </w:divBdr>
              <w:divsChild>
                <w:div w:id="162164765">
                  <w:marLeft w:val="0"/>
                  <w:marRight w:val="0"/>
                  <w:marTop w:val="0"/>
                  <w:marBottom w:val="0"/>
                  <w:divBdr>
                    <w:top w:val="none" w:sz="0" w:space="0" w:color="auto"/>
                    <w:left w:val="none" w:sz="0" w:space="0" w:color="auto"/>
                    <w:bottom w:val="none" w:sz="0" w:space="0" w:color="auto"/>
                    <w:right w:val="none" w:sz="0" w:space="0" w:color="auto"/>
                  </w:divBdr>
                  <w:divsChild>
                    <w:div w:id="1207180877">
                      <w:marLeft w:val="0"/>
                      <w:marRight w:val="0"/>
                      <w:marTop w:val="0"/>
                      <w:marBottom w:val="0"/>
                      <w:divBdr>
                        <w:top w:val="none" w:sz="0" w:space="0" w:color="auto"/>
                        <w:left w:val="none" w:sz="0" w:space="0" w:color="auto"/>
                        <w:bottom w:val="none" w:sz="0" w:space="0" w:color="auto"/>
                        <w:right w:val="none" w:sz="0" w:space="0" w:color="auto"/>
                      </w:divBdr>
                      <w:divsChild>
                        <w:div w:id="61682964">
                          <w:marLeft w:val="0"/>
                          <w:marRight w:val="0"/>
                          <w:marTop w:val="0"/>
                          <w:marBottom w:val="0"/>
                          <w:divBdr>
                            <w:top w:val="none" w:sz="0" w:space="0" w:color="auto"/>
                            <w:left w:val="none" w:sz="0" w:space="0" w:color="auto"/>
                            <w:bottom w:val="none" w:sz="0" w:space="0" w:color="auto"/>
                            <w:right w:val="none" w:sz="0" w:space="0" w:color="auto"/>
                          </w:divBdr>
                          <w:divsChild>
                            <w:div w:id="716007064">
                              <w:marLeft w:val="0"/>
                              <w:marRight w:val="0"/>
                              <w:marTop w:val="0"/>
                              <w:marBottom w:val="0"/>
                              <w:divBdr>
                                <w:top w:val="none" w:sz="0" w:space="0" w:color="auto"/>
                                <w:left w:val="none" w:sz="0" w:space="0" w:color="auto"/>
                                <w:bottom w:val="none" w:sz="0" w:space="0" w:color="auto"/>
                                <w:right w:val="none" w:sz="0" w:space="0" w:color="auto"/>
                              </w:divBdr>
                              <w:divsChild>
                                <w:div w:id="1358307618">
                                  <w:marLeft w:val="0"/>
                                  <w:marRight w:val="0"/>
                                  <w:marTop w:val="0"/>
                                  <w:marBottom w:val="0"/>
                                  <w:divBdr>
                                    <w:top w:val="none" w:sz="0" w:space="0" w:color="auto"/>
                                    <w:left w:val="none" w:sz="0" w:space="0" w:color="auto"/>
                                    <w:bottom w:val="none" w:sz="0" w:space="0" w:color="auto"/>
                                    <w:right w:val="none" w:sz="0" w:space="0" w:color="auto"/>
                                  </w:divBdr>
                                  <w:divsChild>
                                    <w:div w:id="1151945602">
                                      <w:marLeft w:val="0"/>
                                      <w:marRight w:val="0"/>
                                      <w:marTop w:val="0"/>
                                      <w:marBottom w:val="0"/>
                                      <w:divBdr>
                                        <w:top w:val="single" w:sz="6" w:space="0" w:color="F5F5F5"/>
                                        <w:left w:val="single" w:sz="6" w:space="0" w:color="F5F5F5"/>
                                        <w:bottom w:val="single" w:sz="6" w:space="0" w:color="F5F5F5"/>
                                        <w:right w:val="single" w:sz="6" w:space="0" w:color="F5F5F5"/>
                                      </w:divBdr>
                                      <w:divsChild>
                                        <w:div w:id="1480732507">
                                          <w:marLeft w:val="0"/>
                                          <w:marRight w:val="0"/>
                                          <w:marTop w:val="0"/>
                                          <w:marBottom w:val="0"/>
                                          <w:divBdr>
                                            <w:top w:val="none" w:sz="0" w:space="0" w:color="auto"/>
                                            <w:left w:val="none" w:sz="0" w:space="0" w:color="auto"/>
                                            <w:bottom w:val="none" w:sz="0" w:space="0" w:color="auto"/>
                                            <w:right w:val="none" w:sz="0" w:space="0" w:color="auto"/>
                                          </w:divBdr>
                                          <w:divsChild>
                                            <w:div w:id="47548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7179835">
      <w:bodyDiv w:val="1"/>
      <w:marLeft w:val="0"/>
      <w:marRight w:val="0"/>
      <w:marTop w:val="0"/>
      <w:marBottom w:val="0"/>
      <w:divBdr>
        <w:top w:val="none" w:sz="0" w:space="0" w:color="auto"/>
        <w:left w:val="none" w:sz="0" w:space="0" w:color="auto"/>
        <w:bottom w:val="none" w:sz="0" w:space="0" w:color="auto"/>
        <w:right w:val="none" w:sz="0" w:space="0" w:color="auto"/>
      </w:divBdr>
    </w:div>
    <w:div w:id="201052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PCDOCS://IDBDOCS/37932648/R" TargetMode="Externa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hyperlink" Target="PCDOCS://IDBDOCS/37933018/R"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PCDOCS://IDBDOCS/37933011/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PCDOCS://IDBDOCS/38177459/1" TargetMode="Externa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yperlink" Target="http://www.abcbirds.org/"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PCDOCS://IDBDOCS/38177020/1" TargetMode="External"/><Relationship Id="rId2" Type="http://schemas.openxmlformats.org/officeDocument/2006/relationships/hyperlink" Target="PCDOCS://IDBDOCS/38177019/1" TargetMode="External"/><Relationship Id="rId1" Type="http://schemas.openxmlformats.org/officeDocument/2006/relationships/hyperlink" Target="http://www.iucnredlist.org/details/10600193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61E52969D2650428D7EBFED0CCFBB1F" ma:contentTypeVersion="0" ma:contentTypeDescription="A content type to manage public (operations) IDB documents" ma:contentTypeScope="" ma:versionID="e34aad0f5bacf0febb30f3b6e29f2341">
  <xsd:schema xmlns:xsd="http://www.w3.org/2001/XMLSchema" xmlns:xs="http://www.w3.org/2001/XMLSchema" xmlns:p="http://schemas.microsoft.com/office/2006/metadata/properties" xmlns:ns2="9c571b2f-e523-4ab2-ba2e-09e151a03ef4" targetNamespace="http://schemas.microsoft.com/office/2006/metadata/properties" ma:root="true" ma:fieldsID="4f32c5dd488d5d8caf8715745ccb806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7b6cc8-aa77-492b-a3d9-e2df0bc5e2b3}" ma:internalName="TaxCatchAll" ma:showField="CatchAllData"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7b6cc8-aa77-492b-a3d9-e2df0bc5e2b3}" ma:internalName="TaxCatchAllLabel" ma:readOnly="true" ma:showField="CatchAllDataLabel"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37933026</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INE/RND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ashleyc</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HO-L1033,HO-T1196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Identifier>
    <Disclosure_x0020_Activity xmlns="9c571b2f-e523-4ab2-ba2e-09e151a03ef4">Approved TC document</Disclosure_x0020_Activity>
    <Webtopic xmlns="9c571b2f-e523-4ab2-ba2e-09e151a03ef4">PA-CSV</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12DDE5CC-9818-497D-B650-B4C4635D5118}"/>
</file>

<file path=customXml/itemProps2.xml><?xml version="1.0" encoding="utf-8"?>
<ds:datastoreItem xmlns:ds="http://schemas.openxmlformats.org/officeDocument/2006/customXml" ds:itemID="{D85FC4AA-E703-4308-8EFD-51A8263AC90B}"/>
</file>

<file path=customXml/itemProps3.xml><?xml version="1.0" encoding="utf-8"?>
<ds:datastoreItem xmlns:ds="http://schemas.openxmlformats.org/officeDocument/2006/customXml" ds:itemID="{C1E2E2B6-FAAC-41B4-A1F5-CECE05955AB4}"/>
</file>

<file path=customXml/itemProps4.xml><?xml version="1.0" encoding="utf-8"?>
<ds:datastoreItem xmlns:ds="http://schemas.openxmlformats.org/officeDocument/2006/customXml" ds:itemID="{BC0DC2E6-2E9A-4273-94F6-966A292D163E}"/>
</file>

<file path=customXml/itemProps5.xml><?xml version="1.0" encoding="utf-8"?>
<ds:datastoreItem xmlns:ds="http://schemas.openxmlformats.org/officeDocument/2006/customXml" ds:itemID="{8A7784EA-AA0D-4869-B1B2-99560CD1AC3B}"/>
</file>

<file path=customXml/itemProps6.xml><?xml version="1.0" encoding="utf-8"?>
<ds:datastoreItem xmlns:ds="http://schemas.openxmlformats.org/officeDocument/2006/customXml" ds:itemID="{693D043E-4C1D-416E-9B34-2C525630DC61}"/>
</file>

<file path=docProps/app.xml><?xml version="1.0" encoding="utf-8"?>
<Properties xmlns="http://schemas.openxmlformats.org/officeDocument/2006/extended-properties" xmlns:vt="http://schemas.openxmlformats.org/officeDocument/2006/docPropsVTypes">
  <Template>Normal.dotm</Template>
  <TotalTime>135</TotalTime>
  <Pages>7</Pages>
  <Words>2737</Words>
  <Characters>15602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18303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HONDURAS_ Agalta Valley payment for Ecosystem Services Scheme_ HO-T1196</dc:title>
  <dc:creator>Yolanda Strachan</dc:creator>
  <cp:lastModifiedBy>Test</cp:lastModifiedBy>
  <cp:revision>40</cp:revision>
  <cp:lastPrinted>2013-10-28T22:04:00Z</cp:lastPrinted>
  <dcterms:created xsi:type="dcterms:W3CDTF">2013-07-29T18:35:00Z</dcterms:created>
  <dcterms:modified xsi:type="dcterms:W3CDTF">2013-10-28T22:32:00Z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0x01010046CF21643EE8D14686A648AA6DAD089200C61E52969D2650428D7EBFED0CCFBB1F</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