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SubSubPar"/>
        <w:numPr>
          <w:ilvl w:val="0"/>
          <w:numId w:val="0"/>
        </w:numPr>
        <w:spacing w:after="0"/>
        <w:jc w:val="center"/>
        <w:rPr>
          <w:rFonts w:ascii="Arial" w:hAnsi="Arial" w:cs="Arial"/>
          <w:smallCaps/>
          <w:sz w:val="22"/>
          <w:szCs w:val="22"/>
          <w:lang w:val="es-ES"/>
        </w:rPr>
      </w:pPr>
      <w:bookmarkStart w:id="0" w:name="_GoBack"/>
      <w:bookmarkEnd w:id="0"/>
      <w:r>
        <w:rPr>
          <w:rFonts w:ascii="Arial" w:hAnsi="Arial" w:cs="Arial"/>
          <w:smallCaps/>
          <w:sz w:val="22"/>
          <w:szCs w:val="22"/>
          <w:lang w:val="es-ES"/>
        </w:rPr>
        <w:t>Documento del Banco Interamericano de Desarrollo</w:t>
      </w: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Argentina</w:t>
      </w:r>
    </w:p>
    <w:p>
      <w:pPr>
        <w:tabs>
          <w:tab w:val="left" w:pos="1440"/>
          <w:tab w:val="left" w:pos="3060"/>
        </w:tabs>
        <w:jc w:val="center"/>
        <w:rPr>
          <w:rFonts w:ascii="Arial" w:hAnsi="Arial" w:cs="Arial"/>
          <w:b/>
          <w:smallCaps/>
          <w:sz w:val="28"/>
          <w:szCs w:val="28"/>
          <w:lang w:val="es-ES"/>
        </w:rPr>
      </w:pPr>
    </w:p>
    <w:p>
      <w:pPr>
        <w:tabs>
          <w:tab w:val="left" w:pos="1440"/>
          <w:tab w:val="left" w:pos="3060"/>
        </w:tabs>
        <w:jc w:val="center"/>
        <w:rPr>
          <w:rFonts w:ascii="Arial" w:hAnsi="Arial" w:cs="Arial"/>
          <w:b/>
          <w:smallCaps/>
          <w:sz w:val="28"/>
          <w:szCs w:val="28"/>
          <w:lang w:val="es-ES"/>
        </w:rPr>
      </w:pPr>
    </w:p>
    <w:p>
      <w:pPr>
        <w:tabs>
          <w:tab w:val="left" w:pos="1440"/>
          <w:tab w:val="left" w:pos="3060"/>
        </w:tabs>
        <w:jc w:val="center"/>
        <w:rPr>
          <w:rFonts w:ascii="Arial" w:hAnsi="Arial" w:cs="Arial"/>
          <w:b/>
          <w:smallCaps/>
          <w:sz w:val="28"/>
          <w:szCs w:val="28"/>
          <w:lang w:val="es-ES"/>
        </w:rPr>
      </w:pPr>
    </w:p>
    <w:p>
      <w:pPr>
        <w:tabs>
          <w:tab w:val="left" w:pos="1440"/>
          <w:tab w:val="left" w:pos="3060"/>
        </w:tabs>
        <w:rPr>
          <w:rFonts w:ascii="Arial" w:hAnsi="Arial" w:cs="Arial"/>
          <w:smallCaps/>
          <w:sz w:val="22"/>
          <w:szCs w:val="22"/>
          <w:lang w:val="es-ES"/>
        </w:rPr>
      </w:pPr>
    </w:p>
    <w:p>
      <w:pPr>
        <w:tabs>
          <w:tab w:val="left" w:pos="1440"/>
          <w:tab w:val="left" w:pos="3060"/>
        </w:tabs>
        <w:rPr>
          <w:rFonts w:ascii="Arial" w:hAnsi="Arial" w:cs="Arial"/>
          <w:smallCaps/>
          <w:sz w:val="22"/>
          <w:szCs w:val="22"/>
          <w:lang w:val="es-ES"/>
        </w:rPr>
      </w:pPr>
    </w:p>
    <w:p>
      <w:pPr>
        <w:tabs>
          <w:tab w:val="left" w:pos="1440"/>
          <w:tab w:val="left" w:pos="3060"/>
        </w:tabs>
        <w:rPr>
          <w:rFonts w:ascii="Arial" w:hAnsi="Arial" w:cs="Arial"/>
          <w:smallCaps/>
          <w:sz w:val="22"/>
          <w:szCs w:val="22"/>
          <w:lang w:val="es-ES"/>
        </w:rPr>
      </w:pPr>
    </w:p>
    <w:p>
      <w:pPr>
        <w:tabs>
          <w:tab w:val="left" w:pos="1440"/>
          <w:tab w:val="left" w:pos="3060"/>
        </w:tabs>
        <w:rPr>
          <w:rFonts w:ascii="Arial" w:hAnsi="Arial" w:cs="Arial"/>
          <w:smallCaps/>
          <w:sz w:val="22"/>
          <w:szCs w:val="22"/>
          <w:lang w:val="es-ES"/>
        </w:rPr>
      </w:pPr>
    </w:p>
    <w:p>
      <w:pPr>
        <w:tabs>
          <w:tab w:val="left" w:pos="1440"/>
          <w:tab w:val="left" w:pos="3060"/>
        </w:tabs>
        <w:rPr>
          <w:rFonts w:ascii="Arial" w:hAnsi="Arial" w:cs="Arial"/>
          <w:smallCaps/>
          <w:sz w:val="22"/>
          <w:szCs w:val="22"/>
          <w:lang w:val="es-ES"/>
        </w:rPr>
      </w:pPr>
    </w:p>
    <w:p>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Programa para Impulsar el Crecimiento</w:t>
      </w:r>
    </w:p>
    <w:p>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(AR-L1283)</w:t>
      </w:r>
    </w:p>
    <w:p>
      <w:pPr>
        <w:tabs>
          <w:tab w:val="left" w:pos="1440"/>
          <w:tab w:val="left" w:pos="3060"/>
        </w:tabs>
        <w:jc w:val="center"/>
        <w:rPr>
          <w:rFonts w:ascii="Arial" w:hAnsi="Arial" w:cs="Arial"/>
          <w:b/>
          <w:smallCaps/>
          <w:sz w:val="28"/>
          <w:szCs w:val="28"/>
          <w:lang w:val="es-ES"/>
        </w:rPr>
      </w:pPr>
    </w:p>
    <w:p>
      <w:pPr>
        <w:tabs>
          <w:tab w:val="left" w:pos="1440"/>
          <w:tab w:val="left" w:pos="3060"/>
        </w:tabs>
        <w:jc w:val="center"/>
        <w:rPr>
          <w:rFonts w:ascii="Arial" w:hAnsi="Arial" w:cs="Arial"/>
          <w:b/>
          <w:smallCaps/>
          <w:sz w:val="28"/>
          <w:szCs w:val="28"/>
          <w:lang w:val="es-ES"/>
        </w:rPr>
      </w:pPr>
    </w:p>
    <w:p>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Evaluación </w:t>
      </w:r>
    </w:p>
    <w:p>
      <w:pPr>
        <w:tabs>
          <w:tab w:val="left" w:pos="1440"/>
          <w:tab w:val="left" w:pos="3060"/>
        </w:tabs>
        <w:jc w:val="center"/>
        <w:rPr>
          <w:rFonts w:ascii="Arial" w:hAnsi="Arial" w:cs="Arial"/>
          <w:b/>
          <w:smallCaps/>
          <w:sz w:val="28"/>
          <w:szCs w:val="28"/>
          <w:lang w:val="es-ES"/>
        </w:rPr>
      </w:pPr>
    </w:p>
    <w:p>
      <w:pPr>
        <w:pStyle w:val="Newpage"/>
        <w:rPr>
          <w:rFonts w:ascii="Arial" w:hAnsi="Arial" w:cs="Arial"/>
          <w:b w:val="0"/>
          <w:caps/>
          <w:smallCaps w:val="0"/>
          <w:sz w:val="22"/>
          <w:szCs w:val="22"/>
        </w:rPr>
      </w:pPr>
    </w:p>
    <w:p>
      <w:pPr>
        <w:tabs>
          <w:tab w:val="left" w:pos="1440"/>
          <w:tab w:val="left" w:pos="3060"/>
        </w:tabs>
        <w:jc w:val="center"/>
        <w:rPr>
          <w:rFonts w:ascii="Arial" w:hAnsi="Arial" w:cs="Arial"/>
          <w:b/>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tabs>
          <w:tab w:val="left" w:pos="1440"/>
          <w:tab w:val="left" w:pos="3060"/>
        </w:tabs>
        <w:jc w:val="center"/>
        <w:rPr>
          <w:rFonts w:ascii="Arial" w:hAnsi="Arial" w:cs="Arial"/>
          <w:sz w:val="22"/>
          <w:szCs w:val="22"/>
          <w:lang w:val="es-ES"/>
        </w:rPr>
      </w:pPr>
    </w:p>
    <w:p>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Pr>
          <w:rFonts w:ascii="Arial" w:hAnsi="Arial" w:cs="Arial"/>
          <w:sz w:val="22"/>
          <w:szCs w:val="22"/>
          <w:lang w:val="es-ES"/>
        </w:rPr>
        <w:t xml:space="preserve">Este documento fue preparado por: Emilio Pineda (IFD/FMM) y Alejandro Rasteletti (IFD/FMM). </w:t>
      </w:r>
    </w:p>
    <w:p>
      <w:pPr>
        <w:tabs>
          <w:tab w:val="left" w:pos="1440"/>
          <w:tab w:val="left" w:pos="3060"/>
        </w:tabs>
        <w:outlineLvl w:val="0"/>
        <w:rPr>
          <w:rFonts w:ascii="Arial" w:hAnsi="Arial" w:cs="Arial"/>
          <w:sz w:val="20"/>
          <w:lang w:val="es-ES"/>
        </w:rPr>
      </w:pPr>
    </w:p>
    <w:p>
      <w:pPr>
        <w:tabs>
          <w:tab w:val="left" w:pos="1440"/>
          <w:tab w:val="left" w:pos="3060"/>
        </w:tabs>
        <w:outlineLvl w:val="0"/>
        <w:rPr>
          <w:rFonts w:ascii="Arial" w:hAnsi="Arial" w:cs="Arial"/>
          <w:sz w:val="22"/>
          <w:szCs w:val="22"/>
          <w:lang w:val="es-ES"/>
        </w:rPr>
        <w:sectPr>
          <w:headerReference w:type="even" r:id="rId14"/>
          <w:headerReference w:type="default" r:id="rId15"/>
          <w:footerReference w:type="even" r:id="rId16"/>
          <w:pgSz w:w="12240" w:h="15840" w:code="1"/>
          <w:pgMar w:top="1440" w:right="1800" w:bottom="1440" w:left="1800" w:header="706" w:footer="706" w:gutter="0"/>
          <w:pgNumType w:fmt="lowerRoman" w:start="1"/>
          <w:cols w:space="720"/>
          <w:formProt w:val="0"/>
          <w:titlePg/>
        </w:sectPr>
      </w:pPr>
    </w:p>
    <w:p>
      <w:pPr>
        <w:pStyle w:val="Newpage"/>
        <w:rPr>
          <w:rFonts w:ascii="Arial" w:hAnsi="Arial" w:cs="Arial"/>
          <w:szCs w:val="24"/>
        </w:rPr>
      </w:pPr>
      <w:r>
        <w:rPr>
          <w:rFonts w:ascii="Arial" w:hAnsi="Arial" w:cs="Arial"/>
          <w:szCs w:val="24"/>
        </w:rPr>
        <w:lastRenderedPageBreak/>
        <w:t>Índice</w:t>
      </w:r>
    </w:p>
    <w:p>
      <w:pPr>
        <w:pStyle w:val="Newpage"/>
        <w:rPr>
          <w:rFonts w:ascii="Arial" w:hAnsi="Arial" w:cs="Arial"/>
          <w:sz w:val="22"/>
          <w:szCs w:val="22"/>
        </w:rPr>
      </w:pPr>
    </w:p>
    <w:p>
      <w:pPr>
        <w:pStyle w:val="TOC1"/>
        <w:rPr>
          <w:rFonts w:eastAsiaTheme="minorEastAsia"/>
          <w:b w:val="0"/>
          <w:smallCaps w:val="0"/>
          <w:sz w:val="22"/>
          <w:szCs w:val="22"/>
          <w:lang w:val="es-MX"/>
        </w:rPr>
      </w:pPr>
      <w:r>
        <w:rPr>
          <w:noProof w:val="0"/>
          <w:sz w:val="22"/>
          <w:szCs w:val="22"/>
          <w:lang w:val="es-ES"/>
        </w:rPr>
        <w:fldChar w:fldCharType="begin"/>
      </w:r>
      <w:r>
        <w:rPr>
          <w:noProof w:val="0"/>
          <w:sz w:val="22"/>
          <w:szCs w:val="22"/>
          <w:lang w:val="es-ES"/>
        </w:rPr>
        <w:instrText xml:space="preserve"> TOC \f \t "Chapter,1,FirstHeading,2,SecHeading,3" </w:instrText>
      </w:r>
      <w:r>
        <w:rPr>
          <w:noProof w:val="0"/>
          <w:sz w:val="22"/>
          <w:szCs w:val="22"/>
          <w:lang w:val="es-ES"/>
        </w:rPr>
        <w:fldChar w:fldCharType="separate"/>
      </w:r>
      <w:r>
        <w:rPr>
          <w:sz w:val="22"/>
          <w:szCs w:val="22"/>
        </w:rPr>
        <w:t>I.</w:t>
      </w:r>
      <w:r>
        <w:rPr>
          <w:rFonts w:eastAsiaTheme="minorEastAsia"/>
          <w:b w:val="0"/>
          <w:smallCaps w:val="0"/>
          <w:sz w:val="22"/>
          <w:szCs w:val="22"/>
          <w:lang w:val="es-MX"/>
        </w:rPr>
        <w:tab/>
      </w:r>
      <w:r>
        <w:rPr>
          <w:sz w:val="22"/>
          <w:szCs w:val="22"/>
        </w:rPr>
        <w:t>Introducción</w:t>
      </w:r>
      <w:r>
        <w:rPr>
          <w:sz w:val="22"/>
          <w:szCs w:val="22"/>
        </w:rPr>
        <w:tab/>
      </w:r>
      <w:r>
        <w:rPr>
          <w:sz w:val="22"/>
          <w:szCs w:val="22"/>
        </w:rPr>
        <w:fldChar w:fldCharType="begin"/>
      </w:r>
      <w:r>
        <w:rPr>
          <w:sz w:val="22"/>
          <w:szCs w:val="22"/>
        </w:rPr>
        <w:instrText xml:space="preserve"> PAGEREF _Toc508728370 \h </w:instrText>
      </w:r>
      <w:r>
        <w:rPr>
          <w:sz w:val="22"/>
          <w:szCs w:val="22"/>
        </w:rPr>
      </w:r>
      <w:r>
        <w:rPr>
          <w:sz w:val="22"/>
          <w:szCs w:val="22"/>
        </w:rPr>
        <w:fldChar w:fldCharType="separate"/>
      </w:r>
      <w:r>
        <w:rPr>
          <w:sz w:val="22"/>
          <w:szCs w:val="22"/>
        </w:rPr>
        <w:t>3</w:t>
      </w:r>
      <w:r>
        <w:rPr>
          <w:sz w:val="22"/>
          <w:szCs w:val="22"/>
        </w:rPr>
        <w:fldChar w:fldCharType="end"/>
      </w:r>
    </w:p>
    <w:p>
      <w:pPr>
        <w:pStyle w:val="TOC1"/>
        <w:rPr>
          <w:rFonts w:eastAsiaTheme="minorEastAsia"/>
          <w:b w:val="0"/>
          <w:smallCaps w:val="0"/>
          <w:sz w:val="22"/>
          <w:szCs w:val="22"/>
          <w:lang w:val="es-MX"/>
        </w:rPr>
      </w:pPr>
      <w:r>
        <w:rPr>
          <w:sz w:val="22"/>
          <w:szCs w:val="22"/>
        </w:rPr>
        <w:t>II.</w:t>
      </w:r>
      <w:r>
        <w:rPr>
          <w:rFonts w:eastAsiaTheme="minorEastAsia"/>
          <w:b w:val="0"/>
          <w:smallCaps w:val="0"/>
          <w:sz w:val="22"/>
          <w:szCs w:val="22"/>
          <w:lang w:val="es-MX"/>
        </w:rPr>
        <w:tab/>
      </w:r>
      <w:r>
        <w:rPr>
          <w:sz w:val="22"/>
          <w:szCs w:val="22"/>
        </w:rPr>
        <w:t>Monitoreo</w:t>
      </w:r>
      <w:r>
        <w:rPr>
          <w:sz w:val="22"/>
          <w:szCs w:val="22"/>
        </w:rPr>
        <w:tab/>
      </w:r>
      <w:r>
        <w:rPr>
          <w:sz w:val="22"/>
          <w:szCs w:val="22"/>
        </w:rPr>
        <w:fldChar w:fldCharType="begin"/>
      </w:r>
      <w:r>
        <w:rPr>
          <w:sz w:val="22"/>
          <w:szCs w:val="22"/>
        </w:rPr>
        <w:instrText xml:space="preserve"> PAGEREF _Toc508728371 \h </w:instrText>
      </w:r>
      <w:r>
        <w:rPr>
          <w:sz w:val="22"/>
          <w:szCs w:val="22"/>
        </w:rPr>
      </w:r>
      <w:r>
        <w:rPr>
          <w:sz w:val="22"/>
          <w:szCs w:val="22"/>
        </w:rPr>
        <w:fldChar w:fldCharType="separate"/>
      </w:r>
      <w:r>
        <w:rPr>
          <w:sz w:val="22"/>
          <w:szCs w:val="22"/>
        </w:rPr>
        <w:t>4</w:t>
      </w:r>
      <w:r>
        <w:rPr>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A.</w:t>
      </w:r>
      <w:r>
        <w:rPr>
          <w:rFonts w:ascii="Arial" w:eastAsiaTheme="minorEastAsia" w:hAnsi="Arial" w:cs="Arial"/>
          <w:sz w:val="22"/>
          <w:szCs w:val="22"/>
          <w:lang w:val="es-MX"/>
        </w:rPr>
        <w:tab/>
      </w:r>
      <w:r>
        <w:rPr>
          <w:rFonts w:ascii="Arial" w:hAnsi="Arial" w:cs="Arial"/>
          <w:sz w:val="22"/>
          <w:szCs w:val="22"/>
        </w:rPr>
        <w:t>Indicadores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_Toc508728372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4</w:t>
      </w:r>
      <w:r>
        <w:rPr>
          <w:rFonts w:ascii="Arial" w:hAnsi="Arial" w:cs="Arial"/>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B.</w:t>
      </w:r>
      <w:r>
        <w:rPr>
          <w:rFonts w:ascii="Arial" w:eastAsiaTheme="minorEastAsia" w:hAnsi="Arial" w:cs="Arial"/>
          <w:sz w:val="22"/>
          <w:szCs w:val="22"/>
          <w:lang w:val="es-MX"/>
        </w:rPr>
        <w:tab/>
      </w:r>
      <w:r>
        <w:rPr>
          <w:rFonts w:ascii="Arial" w:hAnsi="Arial" w:cs="Arial"/>
          <w:sz w:val="22"/>
          <w:szCs w:val="22"/>
        </w:rPr>
        <w:t>Recopilación de Datos e Instrumentos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_Toc508728373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4</w:t>
      </w:r>
      <w:r>
        <w:rPr>
          <w:rFonts w:ascii="Arial" w:hAnsi="Arial" w:cs="Arial"/>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C.</w:t>
      </w:r>
      <w:r>
        <w:rPr>
          <w:rFonts w:ascii="Arial" w:eastAsiaTheme="minorEastAsia" w:hAnsi="Arial" w:cs="Arial"/>
          <w:sz w:val="22"/>
          <w:szCs w:val="22"/>
          <w:lang w:val="es-MX"/>
        </w:rPr>
        <w:tab/>
      </w:r>
      <w:r>
        <w:rPr>
          <w:rFonts w:ascii="Arial" w:hAnsi="Arial" w:cs="Arial"/>
          <w:sz w:val="22"/>
          <w:szCs w:val="22"/>
        </w:rPr>
        <w:t>Presentación de Informes</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_Toc508728374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5</w:t>
      </w:r>
      <w:r>
        <w:rPr>
          <w:rFonts w:ascii="Arial" w:hAnsi="Arial" w:cs="Arial"/>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D.</w:t>
      </w:r>
      <w:r>
        <w:rPr>
          <w:rFonts w:ascii="Arial" w:eastAsiaTheme="minorEastAsia" w:hAnsi="Arial" w:cs="Arial"/>
          <w:sz w:val="22"/>
          <w:szCs w:val="22"/>
          <w:lang w:val="es-MX"/>
        </w:rPr>
        <w:tab/>
      </w:r>
      <w:r>
        <w:rPr>
          <w:rFonts w:ascii="Arial" w:hAnsi="Arial" w:cs="Arial"/>
          <w:sz w:val="22"/>
          <w:szCs w:val="22"/>
        </w:rPr>
        <w:t>Coordinación, Plan de Trabajo y Presupuesto del Seguimiento</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_Toc508728375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5</w:t>
      </w:r>
      <w:r>
        <w:rPr>
          <w:rFonts w:ascii="Arial" w:hAnsi="Arial" w:cs="Arial"/>
          <w:sz w:val="22"/>
          <w:szCs w:val="22"/>
        </w:rPr>
        <w:fldChar w:fldCharType="end"/>
      </w:r>
    </w:p>
    <w:p>
      <w:pPr>
        <w:pStyle w:val="TOC1"/>
        <w:rPr>
          <w:rFonts w:eastAsiaTheme="minorEastAsia"/>
          <w:b w:val="0"/>
          <w:smallCaps w:val="0"/>
          <w:sz w:val="22"/>
          <w:szCs w:val="22"/>
          <w:lang w:val="es-MX"/>
        </w:rPr>
      </w:pPr>
      <w:r>
        <w:rPr>
          <w:sz w:val="22"/>
          <w:szCs w:val="22"/>
        </w:rPr>
        <w:t>III.</w:t>
      </w:r>
      <w:r>
        <w:rPr>
          <w:rFonts w:eastAsiaTheme="minorEastAsia"/>
          <w:b w:val="0"/>
          <w:smallCaps w:val="0"/>
          <w:sz w:val="22"/>
          <w:szCs w:val="22"/>
          <w:lang w:val="es-MX"/>
        </w:rPr>
        <w:tab/>
      </w:r>
      <w:r>
        <w:rPr>
          <w:sz w:val="22"/>
          <w:szCs w:val="22"/>
        </w:rPr>
        <w:t>Evaluación</w:t>
      </w:r>
      <w:r>
        <w:rPr>
          <w:sz w:val="22"/>
          <w:szCs w:val="22"/>
        </w:rPr>
        <w:tab/>
      </w:r>
      <w:r>
        <w:rPr>
          <w:sz w:val="22"/>
          <w:szCs w:val="22"/>
        </w:rPr>
        <w:fldChar w:fldCharType="begin"/>
      </w:r>
      <w:r>
        <w:rPr>
          <w:sz w:val="22"/>
          <w:szCs w:val="22"/>
        </w:rPr>
        <w:instrText xml:space="preserve"> PAGEREF _Toc508728376 \h </w:instrText>
      </w:r>
      <w:r>
        <w:rPr>
          <w:sz w:val="22"/>
          <w:szCs w:val="22"/>
        </w:rPr>
      </w:r>
      <w:r>
        <w:rPr>
          <w:sz w:val="22"/>
          <w:szCs w:val="22"/>
        </w:rPr>
        <w:fldChar w:fldCharType="separate"/>
      </w:r>
      <w:r>
        <w:rPr>
          <w:sz w:val="22"/>
          <w:szCs w:val="22"/>
        </w:rPr>
        <w:t>5</w:t>
      </w:r>
      <w:r>
        <w:rPr>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A.</w:t>
      </w:r>
      <w:r>
        <w:rPr>
          <w:rFonts w:ascii="Arial" w:eastAsiaTheme="minorEastAsia" w:hAnsi="Arial" w:cs="Arial"/>
          <w:sz w:val="22"/>
          <w:szCs w:val="22"/>
          <w:lang w:val="es-MX"/>
        </w:rPr>
        <w:tab/>
      </w:r>
      <w:r>
        <w:rPr>
          <w:rFonts w:ascii="Arial" w:hAnsi="Arial" w:cs="Arial"/>
          <w:sz w:val="22"/>
          <w:szCs w:val="22"/>
        </w:rPr>
        <w:t>Principales Preguntas de la Evaluación</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_Toc508728377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5</w:t>
      </w:r>
      <w:r>
        <w:rPr>
          <w:rFonts w:ascii="Arial" w:hAnsi="Arial" w:cs="Arial"/>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B.</w:t>
      </w:r>
      <w:r>
        <w:rPr>
          <w:rFonts w:ascii="Arial" w:eastAsiaTheme="minorEastAsia" w:hAnsi="Arial" w:cs="Arial"/>
          <w:sz w:val="22"/>
          <w:szCs w:val="22"/>
          <w:lang w:val="es-MX"/>
        </w:rPr>
        <w:tab/>
      </w:r>
      <w:r>
        <w:rPr>
          <w:rFonts w:ascii="Arial" w:hAnsi="Arial" w:cs="Arial"/>
          <w:sz w:val="22"/>
          <w:szCs w:val="22"/>
        </w:rPr>
        <w:t>Conocimiento Existente</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_Toc508728378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6</w:t>
      </w:r>
      <w:r>
        <w:rPr>
          <w:rFonts w:ascii="Arial" w:hAnsi="Arial" w:cs="Arial"/>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C.</w:t>
      </w:r>
      <w:r>
        <w:rPr>
          <w:rFonts w:ascii="Arial" w:eastAsiaTheme="minorEastAsia" w:hAnsi="Arial" w:cs="Arial"/>
          <w:sz w:val="22"/>
          <w:szCs w:val="22"/>
          <w:lang w:val="es-MX"/>
        </w:rPr>
        <w:tab/>
      </w:r>
      <w:r>
        <w:rPr>
          <w:rFonts w:ascii="Arial" w:hAnsi="Arial" w:cs="Arial"/>
          <w:sz w:val="22"/>
          <w:szCs w:val="22"/>
        </w:rPr>
        <w:t>Metodología de la Evaluación Ex-Post</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_Toc508728379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7</w:t>
      </w:r>
      <w:r>
        <w:rPr>
          <w:rFonts w:ascii="Arial" w:hAnsi="Arial" w:cs="Arial"/>
          <w:sz w:val="22"/>
          <w:szCs w:val="22"/>
        </w:rPr>
        <w:fldChar w:fldCharType="end"/>
      </w:r>
    </w:p>
    <w:p>
      <w:pPr>
        <w:pStyle w:val="TOC2"/>
        <w:rPr>
          <w:rFonts w:ascii="Arial" w:eastAsiaTheme="minorEastAsia" w:hAnsi="Arial" w:cs="Arial"/>
          <w:sz w:val="22"/>
          <w:szCs w:val="22"/>
          <w:lang w:val="es-MX"/>
        </w:rPr>
      </w:pPr>
      <w:r>
        <w:rPr>
          <w:rFonts w:ascii="Arial" w:hAnsi="Arial" w:cs="Arial"/>
          <w:sz w:val="22"/>
          <w:szCs w:val="22"/>
        </w:rPr>
        <w:t>D.</w:t>
      </w:r>
      <w:r>
        <w:rPr>
          <w:rFonts w:ascii="Arial" w:eastAsiaTheme="minorEastAsia" w:hAnsi="Arial" w:cs="Arial"/>
          <w:sz w:val="22"/>
          <w:szCs w:val="22"/>
          <w:lang w:val="es-MX"/>
        </w:rPr>
        <w:tab/>
      </w:r>
      <w:r>
        <w:rPr>
          <w:rFonts w:ascii="Arial" w:hAnsi="Arial" w:cs="Arial"/>
          <w:sz w:val="22"/>
          <w:szCs w:val="22"/>
        </w:rPr>
        <w:t>Aspectos Técnicos de la Metodología Seleccionada</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PAGEREF _Toc508728380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8</w:t>
      </w:r>
      <w:r>
        <w:rPr>
          <w:rFonts w:ascii="Arial" w:hAnsi="Arial" w:cs="Arial"/>
          <w:sz w:val="22"/>
          <w:szCs w:val="22"/>
        </w:rPr>
        <w:fldChar w:fldCharType="end"/>
      </w:r>
    </w:p>
    <w:p>
      <w:pPr>
        <w:pStyle w:val="TOC3"/>
        <w:rPr>
          <w:rFonts w:ascii="Arial" w:hAnsi="Arial" w:cs="Arial"/>
          <w:sz w:val="22"/>
          <w:szCs w:val="22"/>
        </w:rPr>
      </w:pPr>
      <w:r>
        <w:rPr>
          <w:rFonts w:ascii="Arial" w:hAnsi="Arial" w:cs="Arial"/>
          <w:sz w:val="22"/>
          <w:szCs w:val="22"/>
        </w:rPr>
        <w:fldChar w:fldCharType="end"/>
      </w:r>
    </w:p>
    <w:p>
      <w:pPr>
        <w:rPr>
          <w:lang w:val="es-ES"/>
        </w:rPr>
      </w:pPr>
    </w:p>
    <w:p>
      <w:pPr>
        <w:rPr>
          <w:rFonts w:ascii="Arial" w:hAnsi="Arial" w:cs="Arial"/>
          <w:sz w:val="22"/>
          <w:szCs w:val="22"/>
          <w:lang w:val="es-ES"/>
        </w:rPr>
      </w:pPr>
    </w:p>
    <w:p>
      <w:pPr>
        <w:spacing w:after="200" w:line="276" w:lineRule="auto"/>
        <w:rPr>
          <w:rFonts w:ascii="Arial" w:hAnsi="Arial" w:cs="Arial"/>
          <w:sz w:val="22"/>
          <w:szCs w:val="22"/>
          <w:lang w:val="es-ES"/>
        </w:rPr>
      </w:pPr>
      <w:r>
        <w:rPr>
          <w:rFonts w:ascii="Arial" w:hAnsi="Arial" w:cs="Arial"/>
          <w:sz w:val="22"/>
          <w:szCs w:val="22"/>
          <w:lang w:val="es-ES"/>
        </w:rPr>
        <w:br w:type="page"/>
      </w:r>
    </w:p>
    <w:p>
      <w:pPr>
        <w:rPr>
          <w:rFonts w:ascii="Arial" w:hAnsi="Arial" w:cs="Arial"/>
          <w:sz w:val="22"/>
          <w:szCs w:val="22"/>
          <w:lang w:val="es-ES"/>
        </w:rPr>
      </w:pPr>
    </w:p>
    <w:p>
      <w:pPr>
        <w:rPr>
          <w:rFonts w:ascii="Arial" w:hAnsi="Arial" w:cs="Arial"/>
          <w:sz w:val="22"/>
          <w:szCs w:val="22"/>
          <w:lang w:val="es-ES"/>
        </w:rPr>
      </w:pPr>
    </w:p>
    <w:tbl>
      <w:tblPr>
        <w:tblW w:w="8640" w:type="dxa"/>
        <w:tblInd w:w="108" w:type="dxa"/>
        <w:tblLook w:val="01E0" w:firstRow="1" w:lastRow="1" w:firstColumn="1" w:lastColumn="1" w:noHBand="0" w:noVBand="0"/>
      </w:tblPr>
      <w:tblGrid>
        <w:gridCol w:w="1512"/>
        <w:gridCol w:w="7128"/>
      </w:tblGrid>
      <w:tr>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pPr>
              <w:spacing w:before="20" w:after="20"/>
              <w:jc w:val="center"/>
              <w:rPr>
                <w:rFonts w:ascii="Arial" w:eastAsia="Arial Unicode MS" w:hAnsi="Arial" w:cs="Arial"/>
                <w:b/>
                <w:bCs/>
                <w:smallCaps/>
                <w:sz w:val="22"/>
                <w:szCs w:val="22"/>
                <w:lang w:val="es-ES"/>
              </w:rPr>
            </w:pPr>
            <w:r>
              <w:rPr>
                <w:rFonts w:ascii="Arial" w:eastAsia="Arial Unicode MS" w:hAnsi="Arial" w:cs="Arial"/>
                <w:b/>
                <w:bCs/>
                <w:smallCaps/>
                <w:sz w:val="22"/>
                <w:szCs w:val="22"/>
                <w:lang w:val="es-ES"/>
              </w:rPr>
              <w:t>Abreviaturas</w:t>
            </w:r>
          </w:p>
        </w:tc>
      </w:tr>
      <w:tr>
        <w:trPr>
          <w:cantSplit/>
        </w:trPr>
        <w:tc>
          <w:tcPr>
            <w:tcW w:w="1512" w:type="dxa"/>
            <w:tcBorders>
              <w:top w:val="single" w:sz="4" w:space="0" w:color="auto"/>
              <w:left w:val="single" w:sz="4" w:space="0" w:color="auto"/>
            </w:tcBorders>
          </w:tcPr>
          <w:p>
            <w:pPr>
              <w:spacing w:before="20" w:after="20"/>
              <w:rPr>
                <w:rFonts w:ascii="Arial" w:hAnsi="Arial" w:cs="Arial"/>
                <w:sz w:val="4"/>
                <w:szCs w:val="4"/>
                <w:highlight w:val="yellow"/>
                <w:lang w:val="en-US"/>
              </w:rPr>
            </w:pPr>
          </w:p>
          <w:p>
            <w:pPr>
              <w:spacing w:before="20" w:after="20"/>
              <w:rPr>
                <w:rFonts w:ascii="Arial" w:hAnsi="Arial" w:cs="Arial"/>
                <w:sz w:val="22"/>
                <w:szCs w:val="22"/>
                <w:lang w:val="en-US"/>
              </w:rPr>
            </w:pPr>
            <w:r>
              <w:rPr>
                <w:rFonts w:ascii="Arial" w:hAnsi="Arial" w:cs="Arial"/>
                <w:sz w:val="22"/>
                <w:szCs w:val="22"/>
                <w:lang w:val="en-US"/>
              </w:rPr>
              <w:t>BID</w:t>
            </w:r>
          </w:p>
          <w:p>
            <w:pPr>
              <w:spacing w:before="20" w:after="20"/>
              <w:rPr>
                <w:rFonts w:ascii="Arial" w:hAnsi="Arial" w:cs="Arial"/>
                <w:sz w:val="22"/>
                <w:szCs w:val="22"/>
                <w:lang w:val="en-US"/>
              </w:rPr>
            </w:pPr>
            <w:r>
              <w:rPr>
                <w:rFonts w:ascii="Arial" w:hAnsi="Arial" w:cs="Arial"/>
                <w:sz w:val="22"/>
                <w:szCs w:val="22"/>
                <w:lang w:val="en-US"/>
              </w:rPr>
              <w:t>INDEC</w:t>
            </w:r>
          </w:p>
          <w:p>
            <w:pPr>
              <w:spacing w:before="20" w:after="20"/>
              <w:rPr>
                <w:rFonts w:ascii="Arial" w:hAnsi="Arial" w:cs="Arial"/>
                <w:sz w:val="22"/>
                <w:szCs w:val="22"/>
                <w:lang w:val="en-US"/>
              </w:rPr>
            </w:pPr>
            <w:r>
              <w:rPr>
                <w:rFonts w:ascii="Arial" w:hAnsi="Arial" w:cs="Arial"/>
                <w:sz w:val="22"/>
                <w:szCs w:val="22"/>
                <w:lang w:val="en-US"/>
              </w:rPr>
              <w:t>MH</w:t>
            </w:r>
          </w:p>
          <w:p>
            <w:pPr>
              <w:spacing w:before="20" w:after="20"/>
              <w:rPr>
                <w:rFonts w:ascii="Arial" w:hAnsi="Arial" w:cs="Arial"/>
                <w:sz w:val="22"/>
                <w:szCs w:val="22"/>
                <w:lang w:val="en-US"/>
              </w:rPr>
            </w:pPr>
            <w:r>
              <w:rPr>
                <w:rFonts w:ascii="Arial" w:hAnsi="Arial" w:cs="Arial"/>
                <w:sz w:val="22"/>
                <w:szCs w:val="22"/>
                <w:lang w:val="en-US"/>
              </w:rPr>
              <w:t>MF</w:t>
            </w:r>
          </w:p>
          <w:p>
            <w:pPr>
              <w:spacing w:before="20" w:after="20"/>
              <w:rPr>
                <w:rFonts w:ascii="Arial" w:hAnsi="Arial" w:cs="Arial"/>
                <w:sz w:val="22"/>
                <w:szCs w:val="22"/>
                <w:lang w:val="en-US"/>
              </w:rPr>
            </w:pPr>
            <w:r>
              <w:rPr>
                <w:rFonts w:ascii="Arial" w:hAnsi="Arial" w:cs="Arial"/>
                <w:sz w:val="22"/>
                <w:szCs w:val="22"/>
                <w:lang w:val="en-US"/>
              </w:rPr>
              <w:t>OCDE</w:t>
            </w:r>
          </w:p>
          <w:p>
            <w:pPr>
              <w:spacing w:before="20" w:after="20"/>
              <w:rPr>
                <w:rFonts w:ascii="Arial" w:hAnsi="Arial" w:cs="Arial"/>
                <w:sz w:val="22"/>
                <w:szCs w:val="22"/>
                <w:lang w:val="en-US"/>
              </w:rPr>
            </w:pPr>
            <w:r>
              <w:rPr>
                <w:rFonts w:ascii="Arial" w:hAnsi="Arial" w:cs="Arial"/>
                <w:sz w:val="22"/>
                <w:szCs w:val="22"/>
                <w:lang w:val="en-US"/>
              </w:rPr>
              <w:t>PCR</w:t>
            </w:r>
          </w:p>
          <w:p>
            <w:pPr>
              <w:spacing w:before="20" w:after="20"/>
              <w:rPr>
                <w:rFonts w:ascii="Arial" w:hAnsi="Arial" w:cs="Arial"/>
                <w:sz w:val="22"/>
                <w:szCs w:val="22"/>
                <w:lang w:val="en-US"/>
              </w:rPr>
            </w:pPr>
            <w:r>
              <w:rPr>
                <w:rFonts w:ascii="Arial" w:hAnsi="Arial" w:cs="Arial"/>
                <w:sz w:val="22"/>
                <w:szCs w:val="22"/>
                <w:lang w:val="en-US"/>
              </w:rPr>
              <w:t>PIB</w:t>
            </w:r>
          </w:p>
        </w:tc>
        <w:tc>
          <w:tcPr>
            <w:tcW w:w="7128" w:type="dxa"/>
            <w:tcBorders>
              <w:top w:val="single" w:sz="4" w:space="0" w:color="auto"/>
              <w:right w:val="single" w:sz="4" w:space="0" w:color="auto"/>
            </w:tcBorders>
          </w:tcPr>
          <w:p>
            <w:pPr>
              <w:spacing w:before="20" w:after="20"/>
              <w:rPr>
                <w:rFonts w:ascii="Arial" w:eastAsiaTheme="minorHAnsi" w:hAnsi="Arial" w:cs="Arial"/>
                <w:sz w:val="4"/>
                <w:szCs w:val="4"/>
                <w:highlight w:val="yellow"/>
                <w:lang w:val="es-MX"/>
              </w:rPr>
            </w:pPr>
          </w:p>
          <w:p>
            <w:pPr>
              <w:spacing w:before="20" w:after="20"/>
              <w:rPr>
                <w:rFonts w:ascii="Arial" w:eastAsiaTheme="minorHAnsi" w:hAnsi="Arial" w:cs="Arial"/>
                <w:sz w:val="22"/>
                <w:szCs w:val="22"/>
                <w:lang w:val="es-MX"/>
              </w:rPr>
            </w:pPr>
            <w:r>
              <w:rPr>
                <w:rFonts w:ascii="Arial" w:eastAsiaTheme="minorHAnsi" w:hAnsi="Arial" w:cs="Arial"/>
                <w:sz w:val="22"/>
                <w:szCs w:val="22"/>
                <w:lang w:val="es-MX"/>
              </w:rPr>
              <w:t>Banco Interamericano de Desarrollo</w:t>
            </w:r>
          </w:p>
          <w:p>
            <w:pPr>
              <w:spacing w:before="20" w:after="20"/>
              <w:rPr>
                <w:rFonts w:ascii="Arial" w:hAnsi="Arial" w:cs="Arial"/>
                <w:sz w:val="22"/>
                <w:szCs w:val="22"/>
                <w:lang w:val="es-MX"/>
              </w:rPr>
            </w:pPr>
            <w:r>
              <w:rPr>
                <w:rFonts w:ascii="Arial" w:hAnsi="Arial" w:cs="Arial"/>
                <w:sz w:val="22"/>
                <w:szCs w:val="22"/>
                <w:lang w:val="es-MX"/>
              </w:rPr>
              <w:t>Instituto Nacional de Estadísticas y Censos</w:t>
            </w:r>
          </w:p>
          <w:p>
            <w:pPr>
              <w:spacing w:before="20" w:after="20"/>
              <w:rPr>
                <w:rFonts w:ascii="Arial" w:hAnsi="Arial" w:cs="Arial"/>
                <w:sz w:val="22"/>
                <w:szCs w:val="22"/>
              </w:rPr>
            </w:pPr>
            <w:r>
              <w:rPr>
                <w:rFonts w:ascii="Arial" w:hAnsi="Arial" w:cs="Arial"/>
                <w:sz w:val="22"/>
                <w:szCs w:val="22"/>
              </w:rPr>
              <w:t>Ministerio de Hacienda</w:t>
            </w:r>
          </w:p>
          <w:p>
            <w:pPr>
              <w:spacing w:before="20" w:after="20"/>
              <w:rPr>
                <w:rFonts w:ascii="Arial" w:hAnsi="Arial" w:cs="Arial"/>
                <w:sz w:val="22"/>
                <w:szCs w:val="22"/>
                <w:lang w:val="es-MX"/>
              </w:rPr>
            </w:pPr>
            <w:r>
              <w:rPr>
                <w:rFonts w:ascii="Arial" w:hAnsi="Arial" w:cs="Arial"/>
                <w:sz w:val="22"/>
                <w:szCs w:val="22"/>
                <w:lang w:val="es-MX"/>
              </w:rPr>
              <w:t>Ministerio de Finanzas</w:t>
            </w:r>
          </w:p>
          <w:p>
            <w:pPr>
              <w:spacing w:before="20" w:after="20"/>
              <w:rPr>
                <w:rFonts w:ascii="Arial" w:eastAsiaTheme="minorHAnsi" w:hAnsi="Arial" w:cs="Arial"/>
                <w:i/>
                <w:iCs/>
                <w:sz w:val="22"/>
                <w:szCs w:val="22"/>
                <w:lang w:val="es-MX"/>
              </w:rPr>
            </w:pPr>
            <w:r>
              <w:rPr>
                <w:rFonts w:ascii="Arial" w:eastAsiaTheme="minorHAnsi" w:hAnsi="Arial" w:cs="Arial"/>
                <w:iCs/>
                <w:sz w:val="22"/>
                <w:szCs w:val="22"/>
                <w:lang w:val="es-MX"/>
              </w:rPr>
              <w:t>Organización para la Cooperación y el Desarrollo Económico</w:t>
            </w:r>
          </w:p>
          <w:p>
            <w:pPr>
              <w:spacing w:before="20" w:after="20"/>
              <w:rPr>
                <w:rFonts w:ascii="Arial" w:hAnsi="Arial" w:cs="Arial"/>
                <w:sz w:val="22"/>
                <w:szCs w:val="22"/>
                <w:lang w:val="es-MX"/>
              </w:rPr>
            </w:pPr>
            <w:r>
              <w:rPr>
                <w:rFonts w:ascii="Arial" w:hAnsi="Arial" w:cs="Arial"/>
                <w:sz w:val="22"/>
                <w:szCs w:val="22"/>
                <w:lang w:val="es-ES"/>
              </w:rPr>
              <w:t xml:space="preserve">Informe de Terminación de Proyecto (Project </w:t>
            </w:r>
            <w:r>
              <w:rPr>
                <w:rFonts w:ascii="Arial" w:hAnsi="Arial" w:cs="Arial"/>
                <w:sz w:val="22"/>
                <w:szCs w:val="22"/>
              </w:rPr>
              <w:t>Completion</w:t>
            </w:r>
            <w:r>
              <w:rPr>
                <w:rFonts w:ascii="Arial" w:hAnsi="Arial" w:cs="Arial"/>
                <w:sz w:val="22"/>
                <w:szCs w:val="22"/>
                <w:lang w:val="es-ES"/>
              </w:rPr>
              <w:t xml:space="preserve"> Report)</w:t>
            </w:r>
          </w:p>
          <w:p>
            <w:pPr>
              <w:spacing w:before="20" w:after="20"/>
              <w:rPr>
                <w:rFonts w:ascii="Arial" w:eastAsiaTheme="minorHAnsi" w:hAnsi="Arial" w:cs="Arial"/>
                <w:sz w:val="22"/>
                <w:szCs w:val="22"/>
                <w:lang w:val="es-MX"/>
              </w:rPr>
            </w:pPr>
            <w:r>
              <w:rPr>
                <w:rFonts w:ascii="Arial" w:eastAsiaTheme="minorHAnsi" w:hAnsi="Arial" w:cs="Arial"/>
                <w:sz w:val="22"/>
                <w:szCs w:val="22"/>
                <w:lang w:val="es-MX"/>
              </w:rPr>
              <w:t>Producto Interno Bruto</w:t>
            </w:r>
          </w:p>
        </w:tc>
      </w:tr>
      <w:tr>
        <w:trPr>
          <w:cantSplit/>
        </w:trPr>
        <w:tc>
          <w:tcPr>
            <w:tcW w:w="1512" w:type="dxa"/>
            <w:tcBorders>
              <w:left w:val="single" w:sz="4" w:space="0" w:color="auto"/>
              <w:bottom w:val="single" w:sz="4" w:space="0" w:color="auto"/>
            </w:tcBorders>
          </w:tcPr>
          <w:p>
            <w:pPr>
              <w:spacing w:before="20" w:after="20"/>
              <w:rPr>
                <w:rFonts w:ascii="Arial" w:hAnsi="Arial" w:cs="Arial"/>
                <w:sz w:val="22"/>
                <w:szCs w:val="22"/>
                <w:highlight w:val="yellow"/>
                <w:lang w:val="es-ES"/>
              </w:rPr>
            </w:pPr>
            <w:r>
              <w:rPr>
                <w:rFonts w:ascii="Arial" w:hAnsi="Arial" w:cs="Arial"/>
                <w:sz w:val="22"/>
                <w:szCs w:val="22"/>
                <w:lang w:val="es-ES"/>
              </w:rPr>
              <w:t>POD</w:t>
            </w:r>
          </w:p>
        </w:tc>
        <w:tc>
          <w:tcPr>
            <w:tcW w:w="7128" w:type="dxa"/>
            <w:tcBorders>
              <w:bottom w:val="single" w:sz="4" w:space="0" w:color="auto"/>
              <w:right w:val="single" w:sz="4" w:space="0" w:color="auto"/>
            </w:tcBorders>
          </w:tcPr>
          <w:p>
            <w:pPr>
              <w:spacing w:before="20" w:after="20"/>
              <w:rPr>
                <w:rFonts w:ascii="Arial" w:hAnsi="Arial" w:cs="Arial"/>
                <w:sz w:val="22"/>
                <w:szCs w:val="22"/>
                <w:highlight w:val="yellow"/>
                <w:lang w:val="es-ES"/>
              </w:rPr>
            </w:pPr>
            <w:r>
              <w:rPr>
                <w:rFonts w:ascii="Arial" w:hAnsi="Arial" w:cs="Arial"/>
                <w:sz w:val="22"/>
                <w:szCs w:val="22"/>
                <w:lang w:val="es-ES"/>
              </w:rPr>
              <w:t>Propuesta para el Desarrollo de la Operación</w:t>
            </w:r>
          </w:p>
          <w:p>
            <w:pPr>
              <w:spacing w:before="20" w:after="20"/>
              <w:rPr>
                <w:rFonts w:ascii="Arial" w:hAnsi="Arial" w:cs="Arial"/>
                <w:i/>
                <w:sz w:val="4"/>
                <w:szCs w:val="4"/>
                <w:highlight w:val="yellow"/>
                <w:lang w:val="es-ES"/>
              </w:rPr>
            </w:pPr>
          </w:p>
        </w:tc>
      </w:tr>
    </w:tbl>
    <w:p>
      <w:pPr>
        <w:pStyle w:val="AbbrDesc"/>
        <w:tabs>
          <w:tab w:val="left" w:pos="1440"/>
        </w:tabs>
        <w:rPr>
          <w:rFonts w:ascii="Arial" w:hAnsi="Arial" w:cs="Arial"/>
          <w:sz w:val="22"/>
          <w:szCs w:val="22"/>
          <w:lang w:val="es-ES"/>
        </w:rPr>
        <w:sectPr>
          <w:headerReference w:type="first" r:id="rId17"/>
          <w:pgSz w:w="12240" w:h="15840" w:code="1"/>
          <w:pgMar w:top="1440" w:right="1800" w:bottom="1440" w:left="1800" w:header="706" w:footer="706" w:gutter="0"/>
          <w:pgNumType w:fmt="lowerRoman" w:start="1"/>
          <w:cols w:space="720"/>
          <w:formProt w:val="0"/>
          <w:titlePg/>
        </w:sectPr>
      </w:pPr>
    </w:p>
    <w:p>
      <w:pPr>
        <w:spacing w:after="200" w:line="276" w:lineRule="auto"/>
        <w:rPr>
          <w:rFonts w:ascii="Arial" w:hAnsi="Arial" w:cs="Arial"/>
          <w:b/>
          <w:smallCaps/>
          <w:szCs w:val="22"/>
          <w:lang w:val="es-ES"/>
        </w:rPr>
      </w:pPr>
      <w:r>
        <w:rPr>
          <w:rFonts w:ascii="Arial" w:hAnsi="Arial" w:cs="Arial"/>
          <w:szCs w:val="22"/>
        </w:rPr>
        <w:br w:type="page"/>
      </w:r>
    </w:p>
    <w:p>
      <w:pPr>
        <w:pStyle w:val="Chapter"/>
        <w:spacing w:before="360"/>
        <w:rPr>
          <w:rFonts w:ascii="Arial" w:hAnsi="Arial" w:cs="Arial"/>
          <w:szCs w:val="22"/>
        </w:rPr>
      </w:pPr>
      <w:bookmarkStart w:id="1" w:name="_Toc508728370"/>
      <w:r>
        <w:rPr>
          <w:rFonts w:ascii="Arial" w:hAnsi="Arial" w:cs="Arial"/>
          <w:szCs w:val="22"/>
        </w:rPr>
        <w:lastRenderedPageBreak/>
        <w:t>Introducción</w:t>
      </w:r>
      <w:bookmarkEnd w:id="1"/>
      <w:r>
        <w:rPr>
          <w:rFonts w:ascii="Arial" w:hAnsi="Arial" w:cs="Arial"/>
          <w:szCs w:val="22"/>
        </w:rPr>
        <w:t xml:space="preserve"> </w:t>
      </w:r>
    </w:p>
    <w:p>
      <w:pPr>
        <w:pStyle w:val="Paragraph"/>
        <w:autoSpaceDE w:val="0"/>
        <w:autoSpaceDN w:val="0"/>
        <w:adjustRightInd w:val="0"/>
        <w:spacing w:after="0"/>
        <w:rPr>
          <w:rFonts w:ascii="Arial" w:hAnsi="Arial" w:cs="Arial"/>
          <w:sz w:val="22"/>
          <w:szCs w:val="22"/>
        </w:rPr>
      </w:pPr>
      <w:r>
        <w:rPr>
          <w:rFonts w:ascii="Arial" w:eastAsiaTheme="minorHAnsi" w:hAnsi="Arial" w:cs="Arial"/>
          <w:sz w:val="22"/>
          <w:szCs w:val="22"/>
          <w:lang w:val="es-MX"/>
        </w:rPr>
        <w:t xml:space="preserve">El programa tiene como objetivo fortalecer la inversión privada y pública a fin de promover el crecimiento económico en Argentina. Los objetivos específicos del programa son: (i) incrementar la inversión privada; y (ii) modernizar el marco normativo-institucional para mejorar la eficiencia en la inversión pública. </w:t>
      </w:r>
    </w:p>
    <w:p>
      <w:pPr>
        <w:pStyle w:val="Paragraph"/>
        <w:spacing w:after="0"/>
        <w:rPr>
          <w:rFonts w:ascii="Arial" w:hAnsi="Arial" w:cs="Arial"/>
          <w:sz w:val="22"/>
          <w:szCs w:val="22"/>
        </w:rPr>
      </w:pPr>
      <w:r>
        <w:rPr>
          <w:rFonts w:ascii="Arial" w:hAnsi="Arial" w:cs="Arial"/>
          <w:sz w:val="22"/>
          <w:szCs w:val="22"/>
        </w:rPr>
        <w:t>El programa se estructura en tres componentes</w:t>
      </w:r>
      <w:r>
        <w:rPr>
          <w:rFonts w:ascii="Arial" w:hAnsi="Arial" w:cs="Arial"/>
          <w:spacing w:val="-4"/>
          <w:sz w:val="22"/>
          <w:szCs w:val="22"/>
        </w:rPr>
        <w:t>. El primer componente se relaciona con el marco</w:t>
      </w:r>
      <w:r>
        <w:rPr>
          <w:rFonts w:ascii="Arial" w:hAnsi="Arial" w:cs="Arial"/>
          <w:bCs/>
          <w:sz w:val="22"/>
          <w:szCs w:val="22"/>
        </w:rPr>
        <w:t xml:space="preserve"> macroeconómico y </w:t>
      </w:r>
      <w:r>
        <w:rPr>
          <w:rFonts w:ascii="Arial" w:hAnsi="Arial" w:cs="Arial"/>
          <w:sz w:val="22"/>
          <w:szCs w:val="22"/>
        </w:rPr>
        <w:t xml:space="preserve">tiene como objetivo mantener un contexto macroeconómico compatible con los objetivos del programa. </w:t>
      </w:r>
    </w:p>
    <w:p>
      <w:pPr>
        <w:pStyle w:val="Paragraph"/>
        <w:autoSpaceDE w:val="0"/>
        <w:autoSpaceDN w:val="0"/>
        <w:adjustRightInd w:val="0"/>
        <w:spacing w:after="0"/>
        <w:rPr>
          <w:rFonts w:ascii="Arial" w:hAnsi="Arial" w:cs="Arial"/>
          <w:sz w:val="22"/>
          <w:szCs w:val="22"/>
        </w:rPr>
      </w:pPr>
      <w:r>
        <w:rPr>
          <w:rFonts w:ascii="Arial" w:hAnsi="Arial" w:cs="Arial"/>
          <w:sz w:val="22"/>
          <w:szCs w:val="22"/>
        </w:rPr>
        <w:t>El segundo componente hace referencia a la mejora del clima de negocios para la inversión e innovación privada</w:t>
      </w:r>
      <w:r>
        <w:rPr>
          <w:rFonts w:ascii="Arial" w:hAnsi="Arial" w:cs="Arial"/>
          <w:color w:val="000000"/>
          <w:spacing w:val="-4"/>
          <w:sz w:val="22"/>
          <w:szCs w:val="22"/>
        </w:rPr>
        <w:t>. Para esto se</w:t>
      </w:r>
      <w:r>
        <w:rPr>
          <w:rFonts w:ascii="Arial" w:hAnsi="Arial" w:cs="Arial"/>
          <w:sz w:val="22"/>
          <w:szCs w:val="22"/>
        </w:rPr>
        <w:t xml:space="preserve"> </w:t>
      </w:r>
      <w:r>
        <w:rPr>
          <w:rFonts w:ascii="Arial" w:eastAsiaTheme="minorHAnsi" w:hAnsi="Arial" w:cs="Arial"/>
          <w:sz w:val="22"/>
          <w:szCs w:val="22"/>
          <w:lang w:val="es-MX"/>
        </w:rPr>
        <w:t>prevén las siguientes acciones: (i) promoción de un marco regulatorio de responsabilidad fiscal a nivel nacional y subnacional, que permita la reducción de la presión tributaria global al mismo tiempo que asegure la sostenibilidad fiscal; (ii) optimización del esquema tributario a nivel nacional y provincial para fortalecer</w:t>
      </w:r>
      <w:r>
        <w:rPr>
          <w:rFonts w:ascii="Arial" w:hAnsi="Arial" w:cs="Arial"/>
          <w:sz w:val="22"/>
          <w:szCs w:val="22"/>
        </w:rPr>
        <w:t xml:space="preserve"> </w:t>
      </w:r>
      <w:r>
        <w:rPr>
          <w:rFonts w:ascii="Arial" w:eastAsiaTheme="minorHAnsi" w:hAnsi="Arial" w:cs="Arial"/>
          <w:sz w:val="22"/>
          <w:szCs w:val="22"/>
          <w:lang w:val="es-MX"/>
        </w:rPr>
        <w:t>los incentivos a la inversión privada y que faciliten el acceso al financiamiento incluyendo reducción de la tasa marginal a las ganancias corporativas, mínimo no imponible para contribuciones patronales y reducción de las tasas de ingresos brutos; y (iii) modificaciones que reduzcan los costos transaccionales para la iniciación y operación de actividades económicas innovadoras incluyendo la reglamentación de la Ley de Apoyo al Capital Emprendedor.</w:t>
      </w:r>
    </w:p>
    <w:p>
      <w:pPr>
        <w:pStyle w:val="Paragraph"/>
        <w:autoSpaceDE w:val="0"/>
        <w:autoSpaceDN w:val="0"/>
        <w:adjustRightInd w:val="0"/>
        <w:spacing w:after="0"/>
        <w:rPr>
          <w:rFonts w:ascii="Arial" w:hAnsi="Arial" w:cs="Arial"/>
          <w:sz w:val="22"/>
          <w:szCs w:val="22"/>
        </w:rPr>
      </w:pPr>
      <w:r>
        <w:rPr>
          <w:rFonts w:ascii="Arial" w:hAnsi="Arial" w:cs="Arial"/>
          <w:color w:val="000000"/>
          <w:spacing w:val="-4"/>
          <w:sz w:val="22"/>
          <w:szCs w:val="22"/>
        </w:rPr>
        <w:t xml:space="preserve">El tercer componente busca fortalecer </w:t>
      </w:r>
      <w:r>
        <w:rPr>
          <w:rFonts w:ascii="Arial" w:hAnsi="Arial" w:cs="Arial"/>
          <w:sz w:val="22"/>
          <w:szCs w:val="22"/>
          <w:lang w:val="es-MX"/>
        </w:rPr>
        <w:t xml:space="preserve">la eficiencia de la inversión pública, a través de: </w:t>
      </w:r>
      <w:r>
        <w:rPr>
          <w:rFonts w:ascii="Arial" w:eastAsiaTheme="minorHAnsi" w:hAnsi="Arial" w:cs="Arial"/>
          <w:sz w:val="22"/>
          <w:szCs w:val="22"/>
          <w:lang w:val="es-MX"/>
        </w:rPr>
        <w:t xml:space="preserve">(i) la modernización del marco institucional de la Dirección Nacional de Inversión Pública a fin de fortalecer la evaluación ex ante de proyectos; (ii) la modernización del marco institucional para fortalecer la gestión en los ministerios de las asociaciones público-privadas e inversiones con financiamiento externo a fin de incrementar su eficiencia operativa y financiera en diversos órganos del Poder Ejecutivo; (iii) la optimización del comportamiento y seguimiento de las empresas públicas en torno a la eficacia de sus inversiones, conforme los criterios establecidos por la Organización para la Cooperación y el Desarrollo Económico (OCDE); y (iv) la aprobación de normativa específica en torno al régimen de contratos de participación público-privada, con foco en la regulación de este tipo de contratos y el fortalecimiento de la unidad institucional destinada a la supervisión de los mismos. </w:t>
      </w:r>
    </w:p>
    <w:p>
      <w:pPr>
        <w:pStyle w:val="Paragraph"/>
        <w:spacing w:after="0"/>
        <w:rPr>
          <w:rFonts w:ascii="Arial" w:hAnsi="Arial" w:cs="Arial"/>
          <w:sz w:val="22"/>
          <w:szCs w:val="22"/>
        </w:rPr>
      </w:pPr>
      <w:r>
        <w:rPr>
          <w:rFonts w:ascii="Arial" w:hAnsi="Arial" w:cs="Arial"/>
          <w:sz w:val="22"/>
          <w:szCs w:val="22"/>
        </w:rPr>
        <w:t xml:space="preserve">El plan de monitoreo y evaluación de la presente operación consta dos secciones. La primera sección se refiere al monitoreo del programa, el que se realizará principalmente a través de informes oficiales que incluirán información detallada y presentarán la evidencia correspondiente al cumplimiento de las condiciones planteadas por el programa. La segunda sección cubre la evaluación ex post del programa. Las principales preguntas de la evaluación ex-post estarán referidas a si se lograron los impactos y resultados deseados en términos de fortalecer el crecimiento económico y alentar la inversión privada. A través del análisis realizado se tratará de identificar lecciones aprendidas para futuras operaciones del Banco en esta área. Asimismo, se evaluará si la reducción de los impuestos distorsivos alentó una mayor inversión por parte de las empresas. </w:t>
      </w:r>
    </w:p>
    <w:p>
      <w:pPr>
        <w:pStyle w:val="Paragraph"/>
        <w:numPr>
          <w:ilvl w:val="0"/>
          <w:numId w:val="0"/>
        </w:numPr>
        <w:spacing w:after="0"/>
        <w:rPr>
          <w:rFonts w:ascii="Arial" w:hAnsi="Arial" w:cs="Arial"/>
          <w:sz w:val="22"/>
          <w:szCs w:val="22"/>
        </w:rPr>
      </w:pPr>
    </w:p>
    <w:p>
      <w:pPr>
        <w:pStyle w:val="Chapter"/>
        <w:keepNext w:val="0"/>
        <w:widowControl w:val="0"/>
        <w:spacing w:before="360"/>
        <w:rPr>
          <w:rFonts w:ascii="Arial" w:hAnsi="Arial" w:cs="Arial"/>
          <w:szCs w:val="22"/>
        </w:rPr>
      </w:pPr>
      <w:bookmarkStart w:id="2" w:name="_Toc508728371"/>
      <w:r>
        <w:rPr>
          <w:rFonts w:ascii="Arial" w:hAnsi="Arial" w:cs="Arial"/>
          <w:szCs w:val="22"/>
        </w:rPr>
        <w:lastRenderedPageBreak/>
        <w:t>Monitoreo</w:t>
      </w:r>
      <w:bookmarkEnd w:id="2"/>
    </w:p>
    <w:p>
      <w:pPr>
        <w:pStyle w:val="Paragraph"/>
        <w:spacing w:after="0"/>
        <w:rPr>
          <w:rFonts w:ascii="Arial" w:hAnsi="Arial" w:cs="Arial"/>
          <w:sz w:val="22"/>
          <w:szCs w:val="22"/>
        </w:rPr>
      </w:pPr>
      <w:r>
        <w:rPr>
          <w:rFonts w:ascii="Arial" w:hAnsi="Arial" w:cs="Arial"/>
          <w:color w:val="000000"/>
          <w:sz w:val="22"/>
          <w:szCs w:val="22"/>
        </w:rPr>
        <w:t>A lo largo de la ejecución de la serie programática, se le hará seguimiento continuo a los indicadores de productos establecidos en la matriz de resultados. Dichos productos son claves, dado que coinciden con las condiciones establecidas en la Matriz de Políticas. El Cuadro 1 describe los indicadores de producto a los que se hará seguimiento durante la ejecución del programa, y una verificación final en el 2020, cuando las reformas introducidas ya habrán terminado de generar los productos esperados. producir los impactos iniciales esperados.</w:t>
      </w:r>
    </w:p>
    <w:p>
      <w:pPr>
        <w:pStyle w:val="Chapter"/>
        <w:numPr>
          <w:ilvl w:val="0"/>
          <w:numId w:val="0"/>
        </w:numPr>
        <w:spacing w:after="120"/>
        <w:ind w:firstLine="288"/>
        <w:rPr>
          <w:rFonts w:ascii="Times New Roman Bold" w:hAnsi="Times New Roman Bold"/>
          <w:smallCaps w:val="0"/>
        </w:rPr>
        <w:sectPr>
          <w:headerReference w:type="even" r:id="rId18"/>
          <w:headerReference w:type="default" r:id="rId19"/>
          <w:headerReference w:type="first" r:id="rId20"/>
          <w:type w:val="continuous"/>
          <w:pgSz w:w="12240" w:h="15840" w:code="1"/>
          <w:pgMar w:top="1440" w:right="1800" w:bottom="1440" w:left="1800" w:header="706" w:footer="706" w:gutter="0"/>
          <w:cols w:space="720"/>
          <w:formProt w:val="0"/>
          <w:titlePg/>
        </w:sectPr>
      </w:pPr>
    </w:p>
    <w:p>
      <w:pPr>
        <w:pStyle w:val="Chapter"/>
        <w:numPr>
          <w:ilvl w:val="0"/>
          <w:numId w:val="0"/>
        </w:numPr>
        <w:spacing w:after="120"/>
        <w:ind w:firstLine="288"/>
        <w:rPr>
          <w:rFonts w:ascii="Arial" w:hAnsi="Arial" w:cs="Arial"/>
          <w:smallCaps w:val="0"/>
          <w:sz w:val="22"/>
        </w:rPr>
      </w:pPr>
      <w:r>
        <w:rPr>
          <w:rFonts w:ascii="Arial" w:hAnsi="Arial" w:cs="Arial"/>
          <w:smallCaps w:val="0"/>
          <w:sz w:val="22"/>
        </w:rPr>
        <w:lastRenderedPageBreak/>
        <w:t>Cuadro 1. Indicadores de Productos</w:t>
      </w:r>
    </w:p>
    <w:tbl>
      <w:tblPr>
        <w:tblW w:w="132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79"/>
        <w:gridCol w:w="1260"/>
        <w:gridCol w:w="1080"/>
        <w:gridCol w:w="1440"/>
        <w:gridCol w:w="720"/>
        <w:gridCol w:w="1080"/>
        <w:gridCol w:w="2070"/>
        <w:gridCol w:w="2381"/>
      </w:tblGrid>
      <w:tr>
        <w:trPr>
          <w:trHeight w:val="20"/>
          <w:tblHeader/>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Unidad de Medida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 xml:space="preserve">Línea de Base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109" w:right="-116"/>
              <w:jc w:val="center"/>
              <w:rPr>
                <w:rFonts w:ascii="Arial" w:hAnsi="Arial" w:cs="Arial"/>
                <w:b/>
                <w:noProof/>
                <w:sz w:val="20"/>
                <w:lang w:eastAsia="zh-CN"/>
              </w:rPr>
            </w:pPr>
            <w:r>
              <w:rPr>
                <w:rFonts w:ascii="Arial" w:hAnsi="Arial" w:cs="Arial"/>
                <w:b/>
                <w:noProof/>
                <w:sz w:val="20"/>
                <w:lang w:eastAsia="zh-CN"/>
              </w:rPr>
              <w:t xml:space="preserve">Año </w:t>
            </w:r>
          </w:p>
          <w:p>
            <w:pPr>
              <w:spacing w:before="20" w:after="20"/>
              <w:ind w:left="-109" w:right="-116"/>
              <w:jc w:val="center"/>
              <w:rPr>
                <w:rFonts w:ascii="Arial" w:hAnsi="Arial" w:cs="Arial"/>
                <w:b/>
                <w:noProof/>
                <w:sz w:val="20"/>
                <w:lang w:eastAsia="zh-CN"/>
              </w:rPr>
            </w:pPr>
            <w:r>
              <w:rPr>
                <w:rFonts w:ascii="Arial" w:hAnsi="Arial" w:cs="Arial"/>
                <w:b/>
                <w:noProof/>
                <w:sz w:val="20"/>
                <w:lang w:eastAsia="zh-CN"/>
              </w:rPr>
              <w:t>Línea de Base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2018</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Meta Final</w:t>
            </w:r>
          </w:p>
          <w:p>
            <w:pPr>
              <w:spacing w:before="20" w:after="20"/>
              <w:ind w:left="-80" w:right="-116"/>
              <w:jc w:val="center"/>
              <w:rPr>
                <w:rFonts w:ascii="Arial" w:hAnsi="Arial" w:cs="Arial"/>
                <w:b/>
                <w:noProof/>
                <w:sz w:val="20"/>
                <w:lang w:eastAsia="zh-CN"/>
              </w:rPr>
            </w:pPr>
            <w:r>
              <w:rPr>
                <w:rFonts w:ascii="Arial" w:hAnsi="Arial" w:cs="Arial"/>
                <w:b/>
                <w:noProof/>
                <w:sz w:val="20"/>
                <w:lang w:eastAsia="zh-CN"/>
              </w:rPr>
              <w:t>(2018)</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 xml:space="preserve">Medios de Verificación </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pPr>
              <w:spacing w:before="20" w:after="20"/>
              <w:ind w:left="-80" w:right="-116"/>
              <w:jc w:val="center"/>
              <w:rPr>
                <w:rFonts w:ascii="Arial" w:hAnsi="Arial" w:cs="Arial"/>
                <w:b/>
                <w:noProof/>
                <w:sz w:val="20"/>
                <w:lang w:eastAsia="zh-CN"/>
              </w:rPr>
            </w:pPr>
            <w:r>
              <w:rPr>
                <w:rFonts w:ascii="Arial" w:hAnsi="Arial" w:cs="Arial"/>
                <w:b/>
                <w:noProof/>
                <w:sz w:val="20"/>
                <w:lang w:eastAsia="zh-CN"/>
              </w:rPr>
              <w:t>Comentarios</w:t>
            </w:r>
          </w:p>
        </w:tc>
      </w:tr>
      <w:tr>
        <w:trPr>
          <w:trHeight w:val="432"/>
        </w:trPr>
        <w:tc>
          <w:tcPr>
            <w:tcW w:w="1321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pPr>
              <w:spacing w:before="20" w:after="20"/>
              <w:rPr>
                <w:rFonts w:ascii="Arial" w:hAnsi="Arial" w:cs="Arial"/>
                <w:b/>
                <w:noProof/>
                <w:sz w:val="20"/>
                <w:lang w:eastAsia="zh-CN"/>
              </w:rPr>
            </w:pPr>
            <w:r>
              <w:rPr>
                <w:rFonts w:ascii="Arial" w:hAnsi="Arial" w:cs="Arial"/>
                <w:b/>
                <w:noProof/>
                <w:sz w:val="20"/>
                <w:lang w:eastAsia="zh-CN"/>
              </w:rPr>
              <w:t>Componente I Estabilidad Macroeconómica</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pPr>
              <w:pStyle w:val="ListParagraph"/>
              <w:spacing w:before="20" w:after="20"/>
              <w:ind w:left="0"/>
              <w:rPr>
                <w:rFonts w:ascii="Arial" w:hAnsi="Arial" w:cs="Arial"/>
                <w:noProof/>
                <w:sz w:val="20"/>
                <w:lang w:val="es-ES" w:eastAsia="zh-CN"/>
              </w:rPr>
            </w:pPr>
            <w:r>
              <w:rPr>
                <w:rFonts w:ascii="Arial" w:hAnsi="Arial" w:cs="Arial"/>
                <w:sz w:val="20"/>
                <w:lang w:val="es-ES"/>
              </w:rPr>
              <w:t xml:space="preserve">Informe de Evaluación independiente de Condiciones Macroeconómicos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jc w:val="center"/>
              <w:rPr>
                <w:rFonts w:ascii="Arial" w:hAnsi="Arial" w:cs="Arial"/>
                <w:noProof/>
                <w:sz w:val="20"/>
                <w:lang w:eastAsia="zh-CN"/>
              </w:rPr>
            </w:pPr>
            <w:r>
              <w:rPr>
                <w:rFonts w:ascii="Arial" w:hAnsi="Arial" w:cs="Arial"/>
                <w:noProof/>
                <w:sz w:val="20"/>
                <w:lang w:eastAsia="zh-CN"/>
              </w:rPr>
              <w:t>Informe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 xml:space="preserve">1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rPr>
                <w:rFonts w:ascii="Arial" w:hAnsi="Arial" w:cs="Arial"/>
                <w:noProof/>
                <w:sz w:val="20"/>
                <w:lang w:val="es-ES" w:eastAsia="zh-CN"/>
              </w:rPr>
            </w:pPr>
            <w:r>
              <w:rPr>
                <w:rFonts w:ascii="Arial" w:eastAsia="Arial" w:hAnsi="Arial" w:cs="Arial"/>
                <w:sz w:val="20"/>
                <w:lang w:val="es-ES"/>
              </w:rPr>
              <w:t xml:space="preserve">BID, Oficina del Economista en Jefe </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432"/>
        </w:trPr>
        <w:tc>
          <w:tcPr>
            <w:tcW w:w="1321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pPr>
              <w:spacing w:before="20" w:after="20"/>
              <w:rPr>
                <w:rFonts w:ascii="Arial" w:hAnsi="Arial" w:cs="Arial"/>
                <w:b/>
                <w:noProof/>
                <w:sz w:val="20"/>
                <w:lang w:eastAsia="zh-CN"/>
              </w:rPr>
            </w:pPr>
            <w:r>
              <w:rPr>
                <w:rFonts w:ascii="Arial" w:hAnsi="Arial" w:cs="Arial"/>
                <w:b/>
                <w:noProof/>
                <w:sz w:val="20"/>
                <w:lang w:eastAsia="zh-CN"/>
              </w:rPr>
              <w:t>Componente II: Mejora del Clima de Inversión</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pPr>
              <w:pStyle w:val="ListParagraph"/>
              <w:spacing w:before="20" w:after="20"/>
              <w:ind w:left="0"/>
              <w:rPr>
                <w:rFonts w:ascii="Arial" w:hAnsi="Arial" w:cs="Arial"/>
                <w:noProof/>
                <w:sz w:val="20"/>
                <w:lang w:val="es-ES" w:eastAsia="zh-CN"/>
              </w:rPr>
            </w:pPr>
            <w:bookmarkStart w:id="3" w:name="_Hlk509911831"/>
            <w:r>
              <w:rPr>
                <w:rFonts w:ascii="Arial" w:eastAsia="Arial" w:hAnsi="Arial" w:cs="Arial"/>
                <w:sz w:val="20"/>
                <w:lang w:val="es-ES"/>
              </w:rPr>
              <w:t>Ley de Reforma Tributaria aprobada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jc w:val="center"/>
              <w:rPr>
                <w:rFonts w:ascii="Arial" w:hAnsi="Arial" w:cs="Arial"/>
                <w:noProof/>
                <w:sz w:val="20"/>
                <w:lang w:eastAsia="zh-CN"/>
              </w:rPr>
            </w:pPr>
            <w:r>
              <w:rPr>
                <w:rFonts w:ascii="Arial" w:hAnsi="Arial" w:cs="Arial"/>
                <w:noProof/>
                <w:sz w:val="20"/>
                <w:lang w:eastAsia="zh-CN"/>
              </w:rPr>
              <w:t xml:space="preserve">Ley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bookmarkEnd w:id="3"/>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pPr>
              <w:pStyle w:val="ListParagraph"/>
              <w:spacing w:before="20" w:after="20"/>
              <w:ind w:left="0"/>
              <w:rPr>
                <w:rFonts w:ascii="Arial" w:hAnsi="Arial" w:cs="Arial"/>
                <w:noProof/>
                <w:sz w:val="20"/>
                <w:lang w:val="es-ES" w:eastAsia="zh-CN"/>
              </w:rPr>
            </w:pPr>
            <w:r>
              <w:rPr>
                <w:rFonts w:ascii="Arial" w:hAnsi="Arial" w:cs="Arial"/>
                <w:sz w:val="20"/>
                <w:lang w:val="es-ES"/>
              </w:rPr>
              <w:t>Ley sobre Consenso Fiscal aprobada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 xml:space="preserve">Ley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color w:val="000000" w:themeColor="text1"/>
                <w:sz w:val="20"/>
                <w:lang w:val="es-ES"/>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color w:val="000000"/>
                <w:sz w:val="20"/>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rPr>
                <w:rFonts w:ascii="Arial" w:hAnsi="Arial" w:cs="Arial"/>
                <w:noProof/>
                <w:sz w:val="20"/>
                <w:lang w:val="es-ES" w:eastAsia="zh-CN"/>
              </w:rPr>
            </w:pPr>
            <w:r>
              <w:rPr>
                <w:rFonts w:ascii="Arial" w:hAnsi="Arial" w:cs="Arial"/>
                <w:sz w:val="20"/>
                <w:lang w:val="es-ES"/>
              </w:rPr>
              <w:t>Ley Régimen Federal de Responsabilidad Fiscal y Buenas Prácticas de Gobierno aprobado.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Ley</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rPr>
                <w:rFonts w:ascii="Arial" w:hAnsi="Arial" w:cs="Arial"/>
                <w:noProof/>
                <w:sz w:val="20"/>
                <w:lang w:val="es-ES" w:eastAsia="zh-CN"/>
              </w:rPr>
            </w:pPr>
            <w:r>
              <w:rPr>
                <w:rFonts w:ascii="Arial" w:eastAsia="Arial" w:hAnsi="Arial" w:cs="Arial"/>
                <w:sz w:val="20"/>
                <w:lang w:val="es-ES"/>
              </w:rPr>
              <w:t>Decreto Reglamentario de la Ley de Apoyo al Capital Emprendedor</w:t>
            </w:r>
            <w:r>
              <w:rPr>
                <w:rFonts w:ascii="Arial" w:hAnsi="Arial" w:cs="Arial"/>
                <w:noProof/>
                <w:color w:val="000000" w:themeColor="text1"/>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rPr>
                <w:rFonts w:ascii="Arial" w:eastAsia="Arial" w:hAnsi="Arial" w:cs="Arial"/>
                <w:sz w:val="20"/>
                <w:lang w:val="es-ES"/>
              </w:rPr>
            </w:pPr>
            <w:r>
              <w:rPr>
                <w:rFonts w:ascii="Arial" w:hAnsi="Arial" w:cs="Arial"/>
                <w:sz w:val="20"/>
                <w:lang w:val="es-ES"/>
              </w:rPr>
              <w:t>Proyectos de Ley orientados a disminuir las barreras regulatorias y controles para el desarrollo de las empresas privadas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Proyectos de Ley</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2</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2</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eastAsia="Arial" w:hAnsi="Arial" w:cs="Arial"/>
                <w:sz w:val="20"/>
                <w:lang w:val="es-ES"/>
              </w:rPr>
            </w:pPr>
            <w:r>
              <w:rPr>
                <w:rFonts w:ascii="Arial" w:eastAsia="Arial" w:hAnsi="Arial" w:cs="Arial"/>
                <w:sz w:val="20"/>
                <w:lang w:val="es-ES"/>
              </w:rPr>
              <w:t>Copia de los proyectos ingresados al Poder Legislativo</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color w:val="000000"/>
                <w:sz w:val="20"/>
              </w:rPr>
            </w:pPr>
            <w:r>
              <w:rPr>
                <w:rFonts w:ascii="Arial" w:hAnsi="Arial" w:cs="Arial"/>
                <w:noProof/>
                <w:color w:val="000000"/>
                <w:sz w:val="20"/>
              </w:rPr>
              <w:t>Línea de base y metas a diciembre de cada año.</w:t>
            </w:r>
          </w:p>
        </w:tc>
      </w:tr>
      <w:tr>
        <w:trPr>
          <w:trHeight w:val="432"/>
        </w:trPr>
        <w:tc>
          <w:tcPr>
            <w:tcW w:w="1321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pPr>
              <w:spacing w:before="20" w:after="20"/>
              <w:rPr>
                <w:rFonts w:ascii="Arial" w:hAnsi="Arial" w:cs="Arial"/>
                <w:b/>
                <w:noProof/>
                <w:sz w:val="20"/>
                <w:lang w:eastAsia="zh-CN"/>
              </w:rPr>
            </w:pPr>
            <w:r>
              <w:rPr>
                <w:rFonts w:ascii="Arial" w:hAnsi="Arial" w:cs="Arial"/>
                <w:b/>
                <w:noProof/>
                <w:sz w:val="20"/>
                <w:lang w:eastAsia="zh-CN"/>
              </w:rPr>
              <w:t>Componente III: Mejora de la eficiencia de la inversión pública</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pPr>
              <w:pStyle w:val="ListParagraph"/>
              <w:spacing w:before="20" w:after="20"/>
              <w:ind w:left="0"/>
              <w:rPr>
                <w:rFonts w:ascii="Arial" w:hAnsi="Arial" w:cs="Arial"/>
                <w:noProof/>
                <w:sz w:val="20"/>
                <w:lang w:val="es-ES" w:eastAsia="zh-CN"/>
              </w:rPr>
            </w:pPr>
            <w:r>
              <w:rPr>
                <w:rFonts w:ascii="Arial" w:hAnsi="Arial" w:cs="Arial"/>
                <w:sz w:val="20"/>
                <w:lang w:val="es-ES"/>
              </w:rPr>
              <w:t xml:space="preserve">Decreto de Reubicación institucional de la Dirección Nacional de Inversión Pública (DNIP) a la órbita de la Jefatura de Gabinete de Ministros (JGM).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pPr>
              <w:pStyle w:val="ListParagraph"/>
              <w:spacing w:before="20" w:after="20"/>
              <w:ind w:left="0"/>
              <w:rPr>
                <w:rFonts w:ascii="Arial" w:hAnsi="Arial" w:cs="Arial"/>
                <w:noProof/>
                <w:sz w:val="20"/>
                <w:lang w:val="es-ES" w:eastAsia="zh-CN"/>
              </w:rPr>
            </w:pPr>
            <w:r>
              <w:rPr>
                <w:rFonts w:ascii="Arial" w:hAnsi="Arial" w:cs="Arial"/>
                <w:sz w:val="20"/>
                <w:lang w:val="es-ES"/>
              </w:rPr>
              <w:lastRenderedPageBreak/>
              <w:t>Decreto de Centralización de la gestión de proyectos con financiamiento externo y/o proyectos de participación público-privada a fin de optimizar su ejecución</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rPr>
                <w:rFonts w:ascii="Arial" w:hAnsi="Arial" w:cs="Arial"/>
                <w:noProof/>
                <w:sz w:val="20"/>
                <w:lang w:val="es-ES" w:eastAsia="zh-CN"/>
              </w:rPr>
            </w:pPr>
            <w:r>
              <w:rPr>
                <w:rFonts w:ascii="Arial" w:hAnsi="Arial" w:cs="Arial"/>
                <w:sz w:val="20"/>
                <w:lang w:val="es-ES"/>
              </w:rPr>
              <w:t xml:space="preserve">Decreto de Unidad bajo la órbita de JGM que centralice la supervisión y monitoreo de las Empresas Públicas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rPr>
                <w:rFonts w:ascii="Arial" w:hAnsi="Arial" w:cs="Arial"/>
                <w:noProof/>
                <w:sz w:val="20"/>
                <w:lang w:val="es-ES" w:eastAsia="zh-CN"/>
              </w:rPr>
            </w:pPr>
            <w:r>
              <w:rPr>
                <w:rFonts w:ascii="Arial" w:hAnsi="Arial" w:cs="Arial"/>
                <w:sz w:val="20"/>
                <w:lang w:val="es-ES"/>
              </w:rPr>
              <w:t>Decreto de Lineamientos de Buen Gobierno para Empresas de Participación Estatal Mayoritaria de Argentina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r>
        <w:trPr>
          <w:trHeight w:val="20"/>
        </w:trPr>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pStyle w:val="ListParagraph"/>
              <w:spacing w:before="20" w:after="20"/>
              <w:ind w:left="0"/>
              <w:rPr>
                <w:rFonts w:ascii="Arial" w:hAnsi="Arial" w:cs="Arial"/>
                <w:noProof/>
                <w:sz w:val="20"/>
                <w:lang w:val="es-ES" w:eastAsia="zh-CN"/>
              </w:rPr>
            </w:pPr>
            <w:r>
              <w:rPr>
                <w:rFonts w:ascii="Arial" w:hAnsi="Arial" w:cs="Arial"/>
                <w:sz w:val="20"/>
                <w:lang w:val="es-ES"/>
              </w:rPr>
              <w:t xml:space="preserve">Decreto de Asignación de misiones y responsabilidades de la Subsecretaria de Participación Público-Privada en la órbita del Ministerio de Finanzas de la Nación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lang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2016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pPr>
              <w:spacing w:before="20" w:after="20"/>
              <w:jc w:val="center"/>
              <w:rPr>
                <w:rFonts w:ascii="Arial" w:hAnsi="Arial" w:cs="Arial"/>
                <w:noProof/>
                <w:sz w:val="20"/>
                <w:lang w:eastAsia="zh-CN"/>
              </w:rPr>
            </w:pPr>
            <w:r>
              <w:rPr>
                <w:rFonts w:ascii="Arial" w:hAnsi="Arial" w:cs="Arial"/>
                <w:noProof/>
                <w:sz w:val="20"/>
              </w:rPr>
              <w:t>1</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val="es-ES" w:eastAsia="zh-CN"/>
              </w:rPr>
            </w:pPr>
            <w:r>
              <w:rPr>
                <w:rFonts w:ascii="Arial" w:eastAsia="Arial" w:hAnsi="Arial" w:cs="Arial"/>
                <w:sz w:val="20"/>
                <w:lang w:val="es-ES"/>
              </w:rPr>
              <w:t>Publicación en el Boletín Oficial de la República Argentina</w:t>
            </w:r>
          </w:p>
        </w:tc>
        <w:tc>
          <w:tcPr>
            <w:tcW w:w="2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before="20" w:after="20"/>
              <w:rPr>
                <w:rFonts w:ascii="Arial" w:hAnsi="Arial" w:cs="Arial"/>
                <w:noProof/>
                <w:sz w:val="20"/>
                <w:lang w:eastAsia="zh-CN"/>
              </w:rPr>
            </w:pPr>
            <w:r>
              <w:rPr>
                <w:rFonts w:ascii="Arial" w:hAnsi="Arial" w:cs="Arial"/>
                <w:noProof/>
                <w:color w:val="000000"/>
                <w:sz w:val="20"/>
              </w:rPr>
              <w:t>Línea de base y metas a diciembre de cada año.</w:t>
            </w:r>
          </w:p>
        </w:tc>
      </w:tr>
    </w:tbl>
    <w:p>
      <w:pPr>
        <w:pStyle w:val="FirstHeading"/>
        <w:spacing w:after="0"/>
        <w:rPr>
          <w:rFonts w:ascii="Arial" w:hAnsi="Arial" w:cs="Arial"/>
          <w:sz w:val="22"/>
          <w:szCs w:val="22"/>
        </w:rPr>
        <w:sectPr>
          <w:pgSz w:w="15840" w:h="12240" w:orient="landscape" w:code="1"/>
          <w:pgMar w:top="1800" w:right="1440" w:bottom="1800" w:left="1440" w:header="706" w:footer="706" w:gutter="0"/>
          <w:cols w:space="720"/>
          <w:formProt w:val="0"/>
          <w:titlePg/>
          <w:docGrid w:linePitch="326"/>
        </w:sectPr>
      </w:pPr>
    </w:p>
    <w:p>
      <w:pPr>
        <w:pStyle w:val="FirstHeading"/>
        <w:rPr>
          <w:rFonts w:ascii="Arial" w:hAnsi="Arial" w:cs="Arial"/>
          <w:sz w:val="2"/>
          <w:szCs w:val="2"/>
        </w:rPr>
      </w:pPr>
    </w:p>
    <w:p>
      <w:pPr>
        <w:pStyle w:val="FirstHeading"/>
        <w:spacing w:after="0"/>
        <w:rPr>
          <w:rFonts w:ascii="Arial" w:hAnsi="Arial" w:cs="Arial"/>
          <w:sz w:val="22"/>
          <w:szCs w:val="22"/>
        </w:rPr>
      </w:pPr>
      <w:bookmarkStart w:id="4" w:name="_Toc508728373"/>
      <w:r>
        <w:rPr>
          <w:rFonts w:ascii="Arial" w:hAnsi="Arial" w:cs="Arial"/>
          <w:sz w:val="22"/>
          <w:szCs w:val="22"/>
        </w:rPr>
        <w:t>B.</w:t>
      </w:r>
      <w:r>
        <w:rPr>
          <w:rFonts w:ascii="Arial" w:hAnsi="Arial" w:cs="Arial"/>
          <w:sz w:val="22"/>
          <w:szCs w:val="22"/>
        </w:rPr>
        <w:tab/>
        <w:t>Recolección de Datos e Instrumentos</w:t>
      </w:r>
      <w:bookmarkEnd w:id="4"/>
    </w:p>
    <w:p>
      <w:pPr>
        <w:pStyle w:val="Paragraph"/>
        <w:tabs>
          <w:tab w:val="num" w:pos="1440"/>
        </w:tabs>
        <w:spacing w:after="0"/>
        <w:rPr>
          <w:rFonts w:ascii="Arial" w:hAnsi="Arial" w:cs="Arial"/>
          <w:sz w:val="22"/>
          <w:szCs w:val="22"/>
        </w:rPr>
      </w:pPr>
      <w:r>
        <w:rPr>
          <w:rFonts w:ascii="Arial" w:hAnsi="Arial" w:cs="Arial"/>
          <w:color w:val="000000"/>
          <w:sz w:val="22"/>
          <w:szCs w:val="22"/>
        </w:rPr>
        <w:t xml:space="preserve">A nivel de productos, la información será presentada por el Ministerio de Finanzas (MF) al BID, como parte del proceso de elaboración del informe de cumplimiento de los compromisos contractuales. En dicho informe se verificará el avance o el cumplimiento de cada uno de los indicadores de producto durante el período evaluado y se presentará la documentación de respaldo correspondiente (por ejemplo, evidencia de la publicación de la normativa correspondiente en Boletín Oficial de la República Argentina). </w:t>
      </w:r>
    </w:p>
    <w:p>
      <w:pPr>
        <w:pStyle w:val="Paragraph"/>
        <w:tabs>
          <w:tab w:val="num" w:pos="1440"/>
        </w:tabs>
        <w:spacing w:after="0"/>
        <w:rPr>
          <w:rFonts w:ascii="Arial" w:hAnsi="Arial" w:cs="Arial"/>
          <w:sz w:val="22"/>
          <w:szCs w:val="22"/>
        </w:rPr>
      </w:pPr>
      <w:r>
        <w:rPr>
          <w:rFonts w:ascii="Arial" w:hAnsi="Arial" w:cs="Arial"/>
          <w:color w:val="000000"/>
          <w:sz w:val="22"/>
          <w:szCs w:val="22"/>
        </w:rPr>
        <w:t xml:space="preserve">Para el monitoreo de los resultados, se utilizará la información publicada en medios oficiales por parte del Gobierno de Argentina. También se utilizará información provista por el Ministerio de Hacienda (MH), la jefatura de gabinete de ministros </w:t>
      </w:r>
      <w:r>
        <w:rPr>
          <w:rFonts w:ascii="Arial" w:hAnsi="Arial" w:cs="Arial"/>
          <w:noProof/>
          <w:sz w:val="22"/>
          <w:szCs w:val="22"/>
        </w:rPr>
        <w:t>la Secretaría de Emprendimiento y Pyme del Ministerio de Producción</w:t>
      </w:r>
      <w:r>
        <w:rPr>
          <w:rFonts w:ascii="Arial" w:hAnsi="Arial" w:cs="Arial"/>
          <w:color w:val="000000"/>
          <w:sz w:val="22"/>
          <w:szCs w:val="22"/>
        </w:rPr>
        <w:t>.</w:t>
      </w:r>
    </w:p>
    <w:p>
      <w:pPr>
        <w:pStyle w:val="FirstHeading"/>
        <w:spacing w:before="240" w:after="0"/>
        <w:rPr>
          <w:rFonts w:ascii="Arial" w:hAnsi="Arial" w:cs="Arial"/>
          <w:noProof/>
          <w:sz w:val="22"/>
          <w:szCs w:val="22"/>
        </w:rPr>
      </w:pPr>
      <w:bookmarkStart w:id="5" w:name="_Toc508728374"/>
      <w:r>
        <w:rPr>
          <w:rFonts w:ascii="Arial" w:hAnsi="Arial" w:cs="Arial"/>
          <w:sz w:val="22"/>
          <w:szCs w:val="22"/>
        </w:rPr>
        <w:t>C.</w:t>
      </w:r>
      <w:r>
        <w:rPr>
          <w:rFonts w:ascii="Arial" w:hAnsi="Arial" w:cs="Arial"/>
          <w:sz w:val="22"/>
          <w:szCs w:val="22"/>
        </w:rPr>
        <w:tab/>
        <w:t>Presentación de Informes</w:t>
      </w:r>
      <w:bookmarkEnd w:id="5"/>
    </w:p>
    <w:p>
      <w:pPr>
        <w:pStyle w:val="Paragraph"/>
        <w:tabs>
          <w:tab w:val="num" w:pos="1440"/>
        </w:tabs>
        <w:spacing w:after="0"/>
        <w:rPr>
          <w:rFonts w:ascii="Arial" w:hAnsi="Arial" w:cs="Arial"/>
          <w:sz w:val="22"/>
          <w:szCs w:val="22"/>
        </w:rPr>
      </w:pPr>
      <w:r>
        <w:rPr>
          <w:rFonts w:ascii="Arial" w:hAnsi="Arial" w:cs="Arial"/>
          <w:color w:val="000000"/>
          <w:sz w:val="22"/>
          <w:szCs w:val="22"/>
        </w:rPr>
        <w:t>El principal insumo de monitoreo de la operación será el informe de cumplimiento de los compromisos contractuales del préstamo, a ser entregado posteriormente a la aprobación del Programa por parte del Directorio del Banco, y previo al desembolso de los recursos del préstamo. Este informe deberá verificar el cumplimiento de los compromisos definidos para esta operación en la Matriz de Políticas (ver Anexo II de la Propuesta de Desarrollo de la Operación, POD).</w:t>
      </w:r>
    </w:p>
    <w:p>
      <w:pPr>
        <w:pStyle w:val="Paragraph"/>
        <w:tabs>
          <w:tab w:val="num" w:pos="1440"/>
        </w:tabs>
        <w:spacing w:after="0"/>
        <w:rPr>
          <w:rFonts w:ascii="Arial" w:hAnsi="Arial" w:cs="Arial"/>
          <w:sz w:val="22"/>
          <w:szCs w:val="22"/>
        </w:rPr>
      </w:pPr>
      <w:r>
        <w:rPr>
          <w:rFonts w:ascii="Arial" w:hAnsi="Arial" w:cs="Arial"/>
          <w:color w:val="000000"/>
          <w:sz w:val="22"/>
          <w:szCs w:val="22"/>
        </w:rPr>
        <w:t>La evaluación final del programa se realizará al finalizar el plazo de ejecución de la segunda operación de la serie programática y examinará los resultados alcanzados por el programa, medidos en cuanto al logro de las metas y desempeño de los indicadores establecidos en la Matriz de Resultados y los indicadores del cuadro 1. En caso de no darse una segunda operación, la evaluación final se realizará en la segunda mitad de 2021.</w:t>
      </w:r>
    </w:p>
    <w:p>
      <w:pPr>
        <w:pStyle w:val="FirstHeading"/>
        <w:spacing w:before="240" w:after="0"/>
        <w:rPr>
          <w:rFonts w:ascii="Arial" w:hAnsi="Arial" w:cs="Arial"/>
          <w:noProof/>
          <w:sz w:val="22"/>
          <w:szCs w:val="22"/>
        </w:rPr>
      </w:pPr>
      <w:bookmarkStart w:id="6" w:name="_Toc508728375"/>
      <w:r>
        <w:rPr>
          <w:rFonts w:ascii="Arial" w:hAnsi="Arial" w:cs="Arial"/>
          <w:sz w:val="22"/>
          <w:szCs w:val="22"/>
        </w:rPr>
        <w:t>D.</w:t>
      </w:r>
      <w:r>
        <w:rPr>
          <w:rFonts w:ascii="Arial" w:hAnsi="Arial" w:cs="Arial"/>
          <w:sz w:val="22"/>
          <w:szCs w:val="22"/>
        </w:rPr>
        <w:tab/>
        <w:t>Coordinación, Plan de Trabajo y Presupuesto del Seguimiento</w:t>
      </w:r>
      <w:bookmarkEnd w:id="6"/>
    </w:p>
    <w:p>
      <w:pPr>
        <w:pStyle w:val="Paragraph"/>
        <w:tabs>
          <w:tab w:val="num" w:pos="1440"/>
        </w:tabs>
        <w:spacing w:after="0"/>
        <w:rPr>
          <w:rFonts w:ascii="Arial" w:hAnsi="Arial" w:cs="Arial"/>
          <w:color w:val="000000"/>
          <w:sz w:val="22"/>
          <w:szCs w:val="22"/>
        </w:rPr>
      </w:pPr>
      <w:r>
        <w:rPr>
          <w:rFonts w:ascii="Arial" w:hAnsi="Arial" w:cs="Arial"/>
          <w:color w:val="000000"/>
          <w:sz w:val="22"/>
          <w:szCs w:val="22"/>
        </w:rPr>
        <w:t xml:space="preserve">Las actividades de monitoreo y elaboración de informes serán coordinadas por el equipo de proyecto de este programa en conjunto con el MF, con quienes se ha acordado monitorear los indicadores propuestos en este programa. Se planea realizar una reunión de supervisión semestralmente, para la discusión del progreso de los indicadores de monitoreo y la verificación del cumplimiento de los mecanismos activadores de operaciones subsiguientes, tal como se define en la Matriz de Políticas. </w:t>
      </w:r>
    </w:p>
    <w:p>
      <w:pPr>
        <w:pStyle w:val="Paragraph"/>
        <w:tabs>
          <w:tab w:val="num" w:pos="1440"/>
        </w:tabs>
        <w:spacing w:after="0"/>
        <w:rPr>
          <w:rFonts w:ascii="Arial" w:hAnsi="Arial" w:cs="Arial"/>
          <w:color w:val="000000"/>
          <w:sz w:val="22"/>
          <w:szCs w:val="22"/>
        </w:rPr>
      </w:pPr>
      <w:r>
        <w:rPr>
          <w:rFonts w:ascii="Arial" w:hAnsi="Arial" w:cs="Arial"/>
          <w:color w:val="000000"/>
          <w:sz w:val="22"/>
          <w:szCs w:val="22"/>
        </w:rPr>
        <w:t xml:space="preserve">El MF proveerá los datos para la realización de las evaluaciones. Las evaluaciones serán realizadas por especialistas del BID o, de no ser posible por restricciones de tiempo, las mismas serían realizadas por consultores y se financiarían con recursos administrativos.  </w:t>
      </w:r>
    </w:p>
    <w:p>
      <w:pPr>
        <w:spacing w:before="240" w:after="40"/>
        <w:jc w:val="center"/>
        <w:rPr>
          <w:rFonts w:ascii="Arial" w:hAnsi="Arial" w:cs="Arial"/>
          <w:b/>
          <w:sz w:val="22"/>
          <w:szCs w:val="22"/>
          <w:lang w:val="es-ES"/>
        </w:rPr>
      </w:pPr>
    </w:p>
    <w:p>
      <w:pPr>
        <w:spacing w:before="240" w:after="40"/>
        <w:jc w:val="center"/>
        <w:rPr>
          <w:rFonts w:ascii="Arial" w:hAnsi="Arial" w:cs="Arial"/>
          <w:b/>
          <w:sz w:val="22"/>
          <w:szCs w:val="22"/>
          <w:lang w:val="es-ES"/>
        </w:rPr>
      </w:pPr>
    </w:p>
    <w:p>
      <w:pPr>
        <w:spacing w:before="240" w:after="40"/>
        <w:jc w:val="center"/>
        <w:rPr>
          <w:rFonts w:ascii="Arial" w:hAnsi="Arial" w:cs="Arial"/>
          <w:b/>
          <w:sz w:val="22"/>
          <w:szCs w:val="22"/>
          <w:lang w:val="es-ES"/>
        </w:rPr>
      </w:pPr>
    </w:p>
    <w:p>
      <w:pPr>
        <w:spacing w:before="240" w:after="40"/>
        <w:jc w:val="center"/>
        <w:rPr>
          <w:rFonts w:ascii="Arial" w:hAnsi="Arial" w:cs="Arial"/>
          <w:b/>
          <w:sz w:val="22"/>
          <w:szCs w:val="22"/>
          <w:lang w:val="es-ES"/>
        </w:rPr>
      </w:pPr>
      <w:r>
        <w:rPr>
          <w:rFonts w:ascii="Arial" w:hAnsi="Arial" w:cs="Arial"/>
          <w:b/>
          <w:sz w:val="22"/>
          <w:szCs w:val="22"/>
          <w:lang w:val="es-ES"/>
        </w:rPr>
        <w:lastRenderedPageBreak/>
        <w:t xml:space="preserve">Cuadro 2: </w:t>
      </w:r>
      <w:r>
        <w:rPr>
          <w:rFonts w:ascii="Arial" w:hAnsi="Arial" w:cs="Arial"/>
          <w:b/>
          <w:bCs/>
          <w:color w:val="000000"/>
          <w:sz w:val="22"/>
          <w:szCs w:val="22"/>
          <w:lang w:val="es-ES"/>
        </w:rPr>
        <w:t>Principales actividades de seguimiento/Productos por actividad</w:t>
      </w:r>
    </w:p>
    <w:tbl>
      <w:tblPr>
        <w:tblW w:w="8464" w:type="dxa"/>
        <w:jc w:val="center"/>
        <w:tblLayout w:type="fixed"/>
        <w:tblLook w:val="04A0" w:firstRow="1" w:lastRow="0" w:firstColumn="1" w:lastColumn="0" w:noHBand="0" w:noVBand="1"/>
      </w:tblPr>
      <w:tblGrid>
        <w:gridCol w:w="3060"/>
        <w:gridCol w:w="720"/>
        <w:gridCol w:w="720"/>
        <w:gridCol w:w="720"/>
        <w:gridCol w:w="1080"/>
        <w:gridCol w:w="990"/>
        <w:gridCol w:w="1174"/>
      </w:tblGrid>
      <w:tr>
        <w:trPr>
          <w:trHeight w:val="315"/>
          <w:tblHeader/>
          <w:jc w:val="center"/>
        </w:trPr>
        <w:tc>
          <w:tcPr>
            <w:tcW w:w="306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720" w:type="dxa"/>
            <w:vMerge w:val="restart"/>
            <w:tcBorders>
              <w:top w:val="single" w:sz="8" w:space="0" w:color="000000"/>
              <w:left w:val="nil"/>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2019</w:t>
            </w:r>
          </w:p>
        </w:tc>
        <w:tc>
          <w:tcPr>
            <w:tcW w:w="720" w:type="dxa"/>
            <w:vMerge w:val="restart"/>
            <w:tcBorders>
              <w:top w:val="single" w:sz="8" w:space="0" w:color="000000"/>
              <w:left w:val="single" w:sz="8" w:space="0" w:color="000000"/>
              <w:right w:val="single" w:sz="8" w:space="0" w:color="000000"/>
            </w:tcBorders>
            <w:shd w:val="clear" w:color="000000" w:fill="8DB3E2"/>
          </w:tcPr>
          <w:p>
            <w:pPr>
              <w:jc w:val="center"/>
              <w:rPr>
                <w:rFonts w:ascii="Arial" w:hAnsi="Arial" w:cs="Arial"/>
                <w:b/>
                <w:bCs/>
                <w:color w:val="000000"/>
                <w:sz w:val="20"/>
                <w:lang w:val="es-ES"/>
              </w:rPr>
            </w:pPr>
          </w:p>
          <w:p>
            <w:pPr>
              <w:rPr>
                <w:rFonts w:ascii="Arial" w:hAnsi="Arial" w:cs="Arial"/>
                <w:b/>
                <w:bCs/>
                <w:color w:val="000000"/>
                <w:sz w:val="12"/>
                <w:szCs w:val="12"/>
                <w:lang w:val="es-ES"/>
              </w:rPr>
            </w:pPr>
          </w:p>
          <w:p>
            <w:pPr>
              <w:jc w:val="center"/>
              <w:rPr>
                <w:rFonts w:ascii="Arial" w:hAnsi="Arial" w:cs="Arial"/>
                <w:b/>
                <w:bCs/>
                <w:color w:val="000000"/>
                <w:sz w:val="20"/>
                <w:lang w:val="es-ES"/>
              </w:rPr>
            </w:pPr>
            <w:r>
              <w:rPr>
                <w:rFonts w:ascii="Arial" w:hAnsi="Arial" w:cs="Arial"/>
                <w:b/>
                <w:bCs/>
                <w:color w:val="000000"/>
                <w:sz w:val="20"/>
                <w:lang w:val="es-ES"/>
              </w:rPr>
              <w:t>2020</w:t>
            </w:r>
          </w:p>
        </w:tc>
        <w:tc>
          <w:tcPr>
            <w:tcW w:w="720" w:type="dxa"/>
            <w:vMerge w:val="restart"/>
            <w:tcBorders>
              <w:top w:val="single" w:sz="8" w:space="0" w:color="000000"/>
              <w:left w:val="single" w:sz="8" w:space="0" w:color="000000"/>
              <w:right w:val="single" w:sz="8" w:space="0" w:color="000000"/>
            </w:tcBorders>
            <w:shd w:val="clear" w:color="000000" w:fill="8DB3E2"/>
            <w:vAlign w:val="center"/>
          </w:tcPr>
          <w:p>
            <w:pPr>
              <w:jc w:val="center"/>
              <w:rPr>
                <w:rFonts w:ascii="Arial" w:hAnsi="Arial" w:cs="Arial"/>
                <w:b/>
                <w:bCs/>
                <w:color w:val="000000"/>
                <w:sz w:val="20"/>
                <w:lang w:val="es-ES"/>
              </w:rPr>
            </w:pPr>
            <w:r>
              <w:rPr>
                <w:rFonts w:ascii="Arial" w:hAnsi="Arial" w:cs="Arial"/>
                <w:b/>
                <w:bCs/>
                <w:color w:val="000000"/>
                <w:sz w:val="20"/>
                <w:lang w:val="es-ES"/>
              </w:rPr>
              <w:t>2021</w:t>
            </w:r>
          </w:p>
        </w:tc>
        <w:tc>
          <w:tcPr>
            <w:tcW w:w="108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Respon-sable</w:t>
            </w:r>
          </w:p>
        </w:tc>
        <w:tc>
          <w:tcPr>
            <w:tcW w:w="990" w:type="dxa"/>
            <w:tcBorders>
              <w:top w:val="single" w:sz="8" w:space="0" w:color="000000"/>
              <w:left w:val="nil"/>
              <w:bottom w:val="nil"/>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Costo</w:t>
            </w:r>
          </w:p>
        </w:tc>
        <w:tc>
          <w:tcPr>
            <w:tcW w:w="1174"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Financia-miento</w:t>
            </w:r>
          </w:p>
        </w:tc>
      </w:tr>
      <w:tr>
        <w:trPr>
          <w:trHeight w:val="645"/>
          <w:tblHeader/>
          <w:jc w:val="center"/>
        </w:trPr>
        <w:tc>
          <w:tcPr>
            <w:tcW w:w="3060" w:type="dxa"/>
            <w:vMerge/>
            <w:tcBorders>
              <w:top w:val="single" w:sz="8" w:space="0" w:color="000000"/>
              <w:left w:val="single" w:sz="8" w:space="0" w:color="000000"/>
              <w:bottom w:val="single" w:sz="8" w:space="0" w:color="000000"/>
              <w:right w:val="single" w:sz="8" w:space="0" w:color="000000"/>
            </w:tcBorders>
            <w:vAlign w:val="center"/>
            <w:hideMark/>
          </w:tcPr>
          <w:p>
            <w:pPr>
              <w:rPr>
                <w:rFonts w:ascii="Arial" w:hAnsi="Arial" w:cs="Arial"/>
                <w:b/>
                <w:bCs/>
                <w:color w:val="000000"/>
                <w:sz w:val="20"/>
                <w:lang w:val="en-US"/>
              </w:rPr>
            </w:pPr>
          </w:p>
        </w:tc>
        <w:tc>
          <w:tcPr>
            <w:tcW w:w="720" w:type="dxa"/>
            <w:vMerge/>
            <w:tcBorders>
              <w:left w:val="nil"/>
              <w:bottom w:val="single" w:sz="8" w:space="0" w:color="000000"/>
              <w:right w:val="single" w:sz="8" w:space="0" w:color="000000"/>
            </w:tcBorders>
            <w:shd w:val="clear" w:color="000000" w:fill="C6D9F1"/>
            <w:vAlign w:val="center"/>
          </w:tcPr>
          <w:p>
            <w:pPr>
              <w:jc w:val="center"/>
              <w:rPr>
                <w:rFonts w:ascii="Arial" w:hAnsi="Arial" w:cs="Arial"/>
                <w:b/>
                <w:bCs/>
                <w:color w:val="000000"/>
                <w:sz w:val="20"/>
                <w:lang w:val="en-US"/>
              </w:rPr>
            </w:pPr>
          </w:p>
        </w:tc>
        <w:tc>
          <w:tcPr>
            <w:tcW w:w="720" w:type="dxa"/>
            <w:vMerge/>
            <w:tcBorders>
              <w:left w:val="single" w:sz="8" w:space="0" w:color="000000"/>
              <w:bottom w:val="single" w:sz="8" w:space="0" w:color="000000"/>
              <w:right w:val="single" w:sz="8" w:space="0" w:color="000000"/>
            </w:tcBorders>
          </w:tcPr>
          <w:p>
            <w:pPr>
              <w:rPr>
                <w:rFonts w:ascii="Arial" w:hAnsi="Arial" w:cs="Arial"/>
                <w:b/>
                <w:bCs/>
                <w:color w:val="000000"/>
                <w:sz w:val="20"/>
                <w:lang w:val="en-US"/>
              </w:rPr>
            </w:pPr>
          </w:p>
        </w:tc>
        <w:tc>
          <w:tcPr>
            <w:tcW w:w="720" w:type="dxa"/>
            <w:vMerge/>
            <w:tcBorders>
              <w:left w:val="single" w:sz="8" w:space="0" w:color="000000"/>
              <w:bottom w:val="single" w:sz="8" w:space="0" w:color="000000"/>
              <w:right w:val="single" w:sz="8" w:space="0" w:color="000000"/>
            </w:tcBorders>
          </w:tcPr>
          <w:p>
            <w:pPr>
              <w:rPr>
                <w:rFonts w:ascii="Arial" w:hAnsi="Arial" w:cs="Arial"/>
                <w:b/>
                <w:bCs/>
                <w:color w:val="000000"/>
                <w:sz w:val="20"/>
                <w:lang w:val="en-US"/>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pPr>
              <w:rPr>
                <w:rFonts w:ascii="Arial" w:hAnsi="Arial" w:cs="Arial"/>
                <w:b/>
                <w:bCs/>
                <w:color w:val="000000"/>
                <w:sz w:val="20"/>
                <w:lang w:val="en-US"/>
              </w:rPr>
            </w:pPr>
          </w:p>
        </w:tc>
        <w:tc>
          <w:tcPr>
            <w:tcW w:w="990" w:type="dxa"/>
            <w:tcBorders>
              <w:top w:val="nil"/>
              <w:left w:val="nil"/>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US$</w:t>
            </w:r>
          </w:p>
        </w:tc>
        <w:tc>
          <w:tcPr>
            <w:tcW w:w="1174" w:type="dxa"/>
            <w:vMerge/>
            <w:tcBorders>
              <w:top w:val="single" w:sz="8" w:space="0" w:color="000000"/>
              <w:left w:val="single" w:sz="8" w:space="0" w:color="000000"/>
              <w:bottom w:val="single" w:sz="8" w:space="0" w:color="000000"/>
              <w:right w:val="single" w:sz="8" w:space="0" w:color="000000"/>
            </w:tcBorders>
            <w:vAlign w:val="center"/>
            <w:hideMark/>
          </w:tcPr>
          <w:p>
            <w:pPr>
              <w:rPr>
                <w:rFonts w:ascii="Arial" w:hAnsi="Arial" w:cs="Arial"/>
                <w:b/>
                <w:bCs/>
                <w:color w:val="000000"/>
                <w:sz w:val="20"/>
                <w:lang w:val="en-US"/>
              </w:rPr>
            </w:pPr>
          </w:p>
        </w:tc>
      </w:tr>
      <w:tr>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tcPr>
          <w:p>
            <w:pPr>
              <w:rPr>
                <w:rFonts w:ascii="Arial" w:hAnsi="Arial" w:cs="Arial"/>
                <w:color w:val="000000"/>
                <w:sz w:val="20"/>
                <w:lang w:val="es-ES"/>
              </w:rPr>
            </w:pPr>
            <w:r>
              <w:rPr>
                <w:rFonts w:ascii="Arial" w:hAnsi="Arial" w:cs="Arial"/>
                <w:color w:val="000000"/>
                <w:sz w:val="20"/>
                <w:lang w:val="es-ES"/>
              </w:rPr>
              <w:t>Reuniones de Supervisión</w:t>
            </w:r>
          </w:p>
        </w:tc>
        <w:tc>
          <w:tcPr>
            <w:tcW w:w="720" w:type="dxa"/>
            <w:tcBorders>
              <w:top w:val="nil"/>
              <w:left w:val="single" w:sz="8" w:space="0" w:color="000000"/>
              <w:bottom w:val="single" w:sz="4" w:space="0" w:color="000000"/>
              <w:right w:val="single" w:sz="8" w:space="0" w:color="000000"/>
            </w:tcBorders>
            <w:shd w:val="clear" w:color="auto" w:fill="auto"/>
            <w:vAlign w:val="center"/>
          </w:tcPr>
          <w:p>
            <w:pPr>
              <w:jc w:val="center"/>
              <w:rPr>
                <w:rFonts w:ascii="Arial" w:hAnsi="Arial" w:cs="Arial"/>
                <w:color w:val="000000"/>
                <w:sz w:val="20"/>
                <w:lang w:val="en-US"/>
              </w:rPr>
            </w:pPr>
            <w:r>
              <w:rPr>
                <w:rFonts w:ascii="Arial" w:hAnsi="Arial" w:cs="Arial"/>
                <w:color w:val="000000"/>
                <w:sz w:val="20"/>
                <w:lang w:val="en-US"/>
              </w:rPr>
              <w:t>1</w:t>
            </w:r>
          </w:p>
        </w:tc>
        <w:tc>
          <w:tcPr>
            <w:tcW w:w="720" w:type="dxa"/>
            <w:tcBorders>
              <w:top w:val="nil"/>
              <w:left w:val="single" w:sz="8" w:space="0" w:color="000000"/>
              <w:bottom w:val="single" w:sz="8" w:space="0" w:color="000000"/>
              <w:right w:val="single" w:sz="8" w:space="0" w:color="000000"/>
            </w:tcBorders>
          </w:tcPr>
          <w:p>
            <w:pPr>
              <w:jc w:val="center"/>
              <w:rPr>
                <w:rFonts w:ascii="Arial" w:hAnsi="Arial" w:cs="Arial"/>
                <w:color w:val="000000"/>
                <w:sz w:val="4"/>
                <w:szCs w:val="4"/>
                <w:lang w:val="es-ES"/>
              </w:rPr>
            </w:pPr>
          </w:p>
          <w:p>
            <w:pPr>
              <w:jc w:val="center"/>
              <w:rPr>
                <w:rFonts w:ascii="Arial" w:hAnsi="Arial" w:cs="Arial"/>
                <w:color w:val="000000"/>
                <w:sz w:val="4"/>
                <w:szCs w:val="4"/>
                <w:lang w:val="es-ES"/>
              </w:rPr>
            </w:pPr>
            <w:r>
              <w:rPr>
                <w:rFonts w:ascii="Arial" w:hAnsi="Arial" w:cs="Arial"/>
                <w:color w:val="000000"/>
                <w:sz w:val="20"/>
                <w:lang w:val="es-ES"/>
              </w:rPr>
              <w:t>2</w:t>
            </w:r>
          </w:p>
        </w:tc>
        <w:tc>
          <w:tcPr>
            <w:tcW w:w="720" w:type="dxa"/>
            <w:tcBorders>
              <w:top w:val="nil"/>
              <w:left w:val="single" w:sz="8" w:space="0" w:color="000000"/>
              <w:bottom w:val="single" w:sz="8" w:space="0" w:color="000000"/>
              <w:right w:val="single" w:sz="8" w:space="0" w:color="000000"/>
            </w:tcBorders>
            <w:vAlign w:val="center"/>
          </w:tcPr>
          <w:p>
            <w:pPr>
              <w:jc w:val="center"/>
              <w:rPr>
                <w:rFonts w:ascii="Arial" w:hAnsi="Arial" w:cs="Arial"/>
                <w:color w:val="000000"/>
                <w:sz w:val="20"/>
                <w:lang w:val="es-ES"/>
              </w:rPr>
            </w:pPr>
            <w:r>
              <w:rPr>
                <w:rFonts w:ascii="Arial" w:hAnsi="Arial" w:cs="Arial"/>
                <w:color w:val="000000"/>
                <w:sz w:val="20"/>
                <w:lang w:val="es-ES"/>
              </w:rPr>
              <w:t>2</w:t>
            </w:r>
          </w:p>
        </w:tc>
        <w:tc>
          <w:tcPr>
            <w:tcW w:w="1080" w:type="dxa"/>
            <w:tcBorders>
              <w:top w:val="nil"/>
              <w:left w:val="single" w:sz="8" w:space="0" w:color="000000"/>
              <w:bottom w:val="single" w:sz="8" w:space="0" w:color="000000"/>
              <w:right w:val="single" w:sz="8" w:space="0" w:color="000000"/>
            </w:tcBorders>
            <w:shd w:val="clear" w:color="auto" w:fill="auto"/>
            <w:vAlign w:val="center"/>
          </w:tcPr>
          <w:p>
            <w:pPr>
              <w:jc w:val="center"/>
              <w:rPr>
                <w:rFonts w:ascii="Arial" w:hAnsi="Arial" w:cs="Arial"/>
                <w:color w:val="000000"/>
                <w:sz w:val="20"/>
                <w:lang w:val="es-ES"/>
              </w:rPr>
            </w:pPr>
            <w:r>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tcPr>
          <w:p>
            <w:pPr>
              <w:jc w:val="right"/>
              <w:rPr>
                <w:rFonts w:ascii="Arial" w:hAnsi="Arial" w:cs="Arial"/>
                <w:color w:val="000000"/>
                <w:sz w:val="20"/>
                <w:lang w:val="en-US"/>
              </w:rPr>
            </w:pPr>
            <w:r>
              <w:rPr>
                <w:rFonts w:ascii="Arial" w:hAnsi="Arial" w:cs="Arial"/>
                <w:color w:val="000000"/>
                <w:sz w:val="20"/>
                <w:lang w:val="en-US"/>
              </w:rPr>
              <w:t>0</w:t>
            </w:r>
          </w:p>
        </w:tc>
        <w:tc>
          <w:tcPr>
            <w:tcW w:w="1174" w:type="dxa"/>
            <w:tcBorders>
              <w:top w:val="nil"/>
              <w:left w:val="nil"/>
              <w:bottom w:val="single" w:sz="8" w:space="0" w:color="000000"/>
              <w:right w:val="single" w:sz="8" w:space="0" w:color="000000"/>
            </w:tcBorders>
            <w:shd w:val="clear" w:color="auto" w:fill="auto"/>
            <w:vAlign w:val="center"/>
          </w:tcPr>
          <w:p>
            <w:pPr>
              <w:jc w:val="center"/>
              <w:rPr>
                <w:rFonts w:ascii="Arial" w:hAnsi="Arial" w:cs="Arial"/>
                <w:color w:val="000000"/>
                <w:sz w:val="20"/>
                <w:lang w:val="en-US"/>
              </w:rPr>
            </w:pPr>
            <w:r>
              <w:rPr>
                <w:rFonts w:ascii="Arial" w:hAnsi="Arial" w:cs="Arial"/>
                <w:color w:val="000000"/>
                <w:sz w:val="20"/>
                <w:lang w:val="en-US"/>
              </w:rPr>
              <w:t>BID</w:t>
            </w:r>
          </w:p>
        </w:tc>
      </w:tr>
      <w:tr>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hideMark/>
          </w:tcPr>
          <w:p>
            <w:pPr>
              <w:rPr>
                <w:rFonts w:ascii="Arial" w:hAnsi="Arial" w:cs="Arial"/>
                <w:color w:val="000000"/>
                <w:sz w:val="20"/>
                <w:lang w:val="en-US"/>
              </w:rPr>
            </w:pPr>
            <w:r>
              <w:rPr>
                <w:rFonts w:ascii="Arial" w:hAnsi="Arial" w:cs="Arial"/>
                <w:color w:val="000000"/>
                <w:sz w:val="20"/>
                <w:lang w:val="es-ES"/>
              </w:rPr>
              <w:t>Primer Informe de Seguimiento</w:t>
            </w:r>
          </w:p>
        </w:tc>
        <w:tc>
          <w:tcPr>
            <w:tcW w:w="720" w:type="dxa"/>
            <w:tcBorders>
              <w:top w:val="nil"/>
              <w:left w:val="single" w:sz="8" w:space="0" w:color="000000"/>
              <w:bottom w:val="single" w:sz="4" w:space="0" w:color="000000"/>
              <w:right w:val="single" w:sz="8" w:space="0" w:color="000000"/>
            </w:tcBorders>
            <w:shd w:val="clear" w:color="auto" w:fill="auto"/>
            <w:vAlign w:val="center"/>
          </w:tcPr>
          <w:p>
            <w:pPr>
              <w:jc w:val="center"/>
              <w:rPr>
                <w:rFonts w:ascii="Arial" w:hAnsi="Arial" w:cs="Arial"/>
                <w:color w:val="000000"/>
                <w:sz w:val="20"/>
                <w:lang w:val="en-US"/>
              </w:rPr>
            </w:pPr>
            <w:r>
              <w:rPr>
                <w:rFonts w:ascii="Arial" w:hAnsi="Arial" w:cs="Arial"/>
                <w:color w:val="000000"/>
                <w:sz w:val="20"/>
                <w:lang w:val="en-US"/>
              </w:rPr>
              <w:t>1</w:t>
            </w:r>
          </w:p>
        </w:tc>
        <w:tc>
          <w:tcPr>
            <w:tcW w:w="720" w:type="dxa"/>
            <w:tcBorders>
              <w:top w:val="nil"/>
              <w:left w:val="single" w:sz="8" w:space="0" w:color="000000"/>
              <w:bottom w:val="single" w:sz="8" w:space="0" w:color="000000"/>
              <w:right w:val="single" w:sz="8" w:space="0" w:color="000000"/>
            </w:tcBorders>
          </w:tcPr>
          <w:p>
            <w:pPr>
              <w:jc w:val="center"/>
              <w:rPr>
                <w:rFonts w:ascii="Arial" w:hAnsi="Arial" w:cs="Arial"/>
                <w:color w:val="000000"/>
                <w:sz w:val="4"/>
                <w:szCs w:val="4"/>
                <w:lang w:val="es-ES"/>
              </w:rPr>
            </w:pPr>
          </w:p>
          <w:p>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pPr>
              <w:jc w:val="center"/>
              <w:rPr>
                <w:rFonts w:ascii="Arial" w:hAnsi="Arial" w:cs="Arial"/>
                <w:color w:val="000000"/>
                <w:sz w:val="20"/>
                <w:lang w:val="es-ES"/>
              </w:rPr>
            </w:pPr>
          </w:p>
        </w:tc>
        <w:tc>
          <w:tcPr>
            <w:tcW w:w="1080" w:type="dxa"/>
            <w:tcBorders>
              <w:top w:val="nil"/>
              <w:left w:val="single" w:sz="8" w:space="0" w:color="000000"/>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pPr>
              <w:jc w:val="right"/>
              <w:rPr>
                <w:rFonts w:ascii="Arial" w:hAnsi="Arial" w:cs="Arial"/>
                <w:color w:val="000000"/>
                <w:sz w:val="20"/>
                <w:lang w:val="en-US"/>
              </w:rPr>
            </w:pPr>
            <w:r>
              <w:rPr>
                <w:rFonts w:ascii="Arial" w:hAnsi="Arial" w:cs="Arial"/>
                <w:color w:val="000000"/>
                <w:sz w:val="20"/>
                <w:lang w:val="en-US"/>
              </w:rPr>
              <w:t>2,500</w:t>
            </w:r>
          </w:p>
        </w:tc>
        <w:tc>
          <w:tcPr>
            <w:tcW w:w="1174" w:type="dxa"/>
            <w:tcBorders>
              <w:top w:val="nil"/>
              <w:left w:val="nil"/>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n-US"/>
              </w:rPr>
              <w:t>BID</w:t>
            </w:r>
          </w:p>
        </w:tc>
      </w:tr>
      <w:tr>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hideMark/>
          </w:tcPr>
          <w:p>
            <w:pPr>
              <w:rPr>
                <w:rFonts w:ascii="Arial" w:hAnsi="Arial" w:cs="Arial"/>
                <w:color w:val="000000"/>
                <w:sz w:val="20"/>
                <w:lang w:val="en-US"/>
              </w:rPr>
            </w:pPr>
            <w:r>
              <w:rPr>
                <w:rFonts w:ascii="Arial" w:hAnsi="Arial" w:cs="Arial"/>
                <w:color w:val="000000"/>
                <w:sz w:val="20"/>
                <w:lang w:val="es-ES"/>
              </w:rPr>
              <w:t>Segundo Informe de Seguimiento</w:t>
            </w:r>
          </w:p>
        </w:tc>
        <w:tc>
          <w:tcPr>
            <w:tcW w:w="720" w:type="dxa"/>
            <w:tcBorders>
              <w:top w:val="nil"/>
              <w:left w:val="single" w:sz="8" w:space="0" w:color="000000"/>
              <w:bottom w:val="single" w:sz="4" w:space="0" w:color="000000"/>
              <w:right w:val="single" w:sz="8" w:space="0" w:color="000000"/>
            </w:tcBorders>
            <w:shd w:val="clear" w:color="auto" w:fill="auto"/>
            <w:vAlign w:val="center"/>
          </w:tcPr>
          <w:p>
            <w:pPr>
              <w:rPr>
                <w:rFonts w:ascii="Arial" w:hAnsi="Arial" w:cs="Arial"/>
                <w:color w:val="000000"/>
                <w:sz w:val="20"/>
                <w:lang w:val="en-US"/>
              </w:rPr>
            </w:pPr>
          </w:p>
        </w:tc>
        <w:tc>
          <w:tcPr>
            <w:tcW w:w="720" w:type="dxa"/>
            <w:tcBorders>
              <w:top w:val="nil"/>
              <w:left w:val="single" w:sz="8" w:space="0" w:color="000000"/>
              <w:bottom w:val="single" w:sz="8" w:space="0" w:color="000000"/>
              <w:right w:val="single" w:sz="8" w:space="0" w:color="000000"/>
            </w:tcBorders>
          </w:tcPr>
          <w:p>
            <w:pPr>
              <w:jc w:val="center"/>
              <w:rPr>
                <w:rFonts w:ascii="Arial" w:hAnsi="Arial" w:cs="Arial"/>
                <w:color w:val="000000"/>
                <w:sz w:val="8"/>
                <w:szCs w:val="8"/>
                <w:lang w:val="es-ES"/>
              </w:rPr>
            </w:pPr>
          </w:p>
          <w:p>
            <w:pPr>
              <w:jc w:val="center"/>
              <w:rPr>
                <w:rFonts w:ascii="Arial" w:hAnsi="Arial" w:cs="Arial"/>
                <w:color w:val="000000"/>
                <w:sz w:val="20"/>
                <w:lang w:val="es-ES"/>
              </w:rPr>
            </w:pPr>
            <w:r>
              <w:rPr>
                <w:rFonts w:ascii="Arial" w:hAnsi="Arial" w:cs="Arial"/>
                <w:color w:val="000000"/>
                <w:sz w:val="20"/>
                <w:lang w:val="es-ES"/>
              </w:rPr>
              <w:t>1</w:t>
            </w:r>
          </w:p>
        </w:tc>
        <w:tc>
          <w:tcPr>
            <w:tcW w:w="720" w:type="dxa"/>
            <w:tcBorders>
              <w:top w:val="nil"/>
              <w:left w:val="single" w:sz="8" w:space="0" w:color="000000"/>
              <w:bottom w:val="single" w:sz="8" w:space="0" w:color="000000"/>
              <w:right w:val="single" w:sz="8" w:space="0" w:color="000000"/>
            </w:tcBorders>
            <w:vAlign w:val="center"/>
          </w:tcPr>
          <w:p>
            <w:pPr>
              <w:jc w:val="center"/>
              <w:rPr>
                <w:rFonts w:ascii="Arial" w:hAnsi="Arial" w:cs="Arial"/>
                <w:color w:val="000000"/>
                <w:sz w:val="20"/>
                <w:lang w:val="es-ES"/>
              </w:rPr>
            </w:pPr>
          </w:p>
        </w:tc>
        <w:tc>
          <w:tcPr>
            <w:tcW w:w="1080" w:type="dxa"/>
            <w:tcBorders>
              <w:top w:val="nil"/>
              <w:left w:val="single" w:sz="8" w:space="0" w:color="000000"/>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pPr>
              <w:jc w:val="right"/>
              <w:rPr>
                <w:rFonts w:ascii="Arial" w:hAnsi="Arial" w:cs="Arial"/>
                <w:color w:val="000000"/>
                <w:sz w:val="20"/>
                <w:lang w:val="en-US"/>
              </w:rPr>
            </w:pPr>
            <w:r>
              <w:rPr>
                <w:rFonts w:ascii="Arial" w:hAnsi="Arial" w:cs="Arial"/>
                <w:color w:val="000000"/>
                <w:sz w:val="20"/>
                <w:lang w:val="en-US"/>
              </w:rPr>
              <w:t>2,500</w:t>
            </w:r>
          </w:p>
        </w:tc>
        <w:tc>
          <w:tcPr>
            <w:tcW w:w="1174" w:type="dxa"/>
            <w:tcBorders>
              <w:top w:val="nil"/>
              <w:left w:val="nil"/>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n-US"/>
              </w:rPr>
              <w:t>BID</w:t>
            </w:r>
          </w:p>
        </w:tc>
      </w:tr>
      <w:tr>
        <w:trPr>
          <w:trHeight w:val="525"/>
          <w:jc w:val="center"/>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pPr>
              <w:rPr>
                <w:rFonts w:ascii="Arial" w:hAnsi="Arial" w:cs="Arial"/>
                <w:color w:val="000000"/>
                <w:sz w:val="20"/>
                <w:lang w:val="es-ES"/>
              </w:rPr>
            </w:pPr>
            <w:r>
              <w:rPr>
                <w:rFonts w:ascii="Arial" w:hAnsi="Arial" w:cs="Arial"/>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right"/>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tcPr>
          <w:p>
            <w:pP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pPr>
              <w:rPr>
                <w:rFonts w:ascii="Arial" w:hAnsi="Arial" w:cs="Arial"/>
                <w:color w:val="000000"/>
                <w:sz w:val="20"/>
                <w:lang w:val="es-ES"/>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center"/>
              <w:rPr>
                <w:rFonts w:ascii="Arial" w:hAnsi="Arial" w:cs="Arial"/>
                <w:color w:val="000000"/>
                <w:sz w:val="20"/>
                <w:lang w:val="es-ES"/>
              </w:rPr>
            </w:pP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right"/>
              <w:rPr>
                <w:rFonts w:ascii="Arial" w:hAnsi="Arial" w:cs="Arial"/>
                <w:color w:val="000000"/>
                <w:sz w:val="20"/>
                <w:lang w:val="en-US"/>
              </w:rPr>
            </w:pPr>
            <w:r>
              <w:rPr>
                <w:rFonts w:ascii="Arial" w:hAnsi="Arial" w:cs="Arial"/>
                <w:color w:val="000000"/>
                <w:sz w:val="20"/>
                <w:lang w:val="en-US"/>
              </w:rPr>
              <w:t>5,000</w:t>
            </w:r>
          </w:p>
        </w:tc>
        <w:tc>
          <w:tcPr>
            <w:tcW w:w="1174"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center"/>
              <w:rPr>
                <w:rFonts w:ascii="Arial" w:hAnsi="Arial" w:cs="Arial"/>
                <w:color w:val="000000"/>
                <w:sz w:val="20"/>
                <w:lang w:val="en-US"/>
              </w:rPr>
            </w:pPr>
          </w:p>
        </w:tc>
      </w:tr>
    </w:tbl>
    <w:p>
      <w:pPr>
        <w:pStyle w:val="Chapter"/>
        <w:rPr>
          <w:rFonts w:ascii="Arial" w:hAnsi="Arial" w:cs="Arial"/>
          <w:szCs w:val="22"/>
        </w:rPr>
      </w:pPr>
      <w:bookmarkStart w:id="7" w:name="_Toc508728376"/>
      <w:r>
        <w:rPr>
          <w:rFonts w:ascii="Arial" w:hAnsi="Arial" w:cs="Arial"/>
          <w:szCs w:val="22"/>
        </w:rPr>
        <w:t>Evaluación</w:t>
      </w:r>
      <w:bookmarkEnd w:id="7"/>
    </w:p>
    <w:p>
      <w:pPr>
        <w:pStyle w:val="FirstHeading"/>
        <w:spacing w:after="0"/>
        <w:rPr>
          <w:rFonts w:ascii="Arial" w:hAnsi="Arial" w:cs="Arial"/>
          <w:noProof/>
          <w:sz w:val="22"/>
          <w:szCs w:val="22"/>
        </w:rPr>
      </w:pPr>
      <w:bookmarkStart w:id="8" w:name="_Toc508728377"/>
      <w:r>
        <w:rPr>
          <w:rFonts w:ascii="Arial" w:hAnsi="Arial" w:cs="Arial"/>
          <w:sz w:val="22"/>
          <w:szCs w:val="22"/>
        </w:rPr>
        <w:t>A.</w:t>
      </w:r>
      <w:r>
        <w:rPr>
          <w:rFonts w:ascii="Arial" w:hAnsi="Arial" w:cs="Arial"/>
          <w:sz w:val="22"/>
          <w:szCs w:val="22"/>
        </w:rPr>
        <w:tab/>
      </w:r>
      <w:r>
        <w:rPr>
          <w:rFonts w:ascii="Arial" w:hAnsi="Arial" w:cs="Arial"/>
          <w:noProof/>
          <w:sz w:val="22"/>
          <w:szCs w:val="22"/>
        </w:rPr>
        <w:t>Principales Preguntas de la Evaluación</w:t>
      </w:r>
      <w:bookmarkEnd w:id="8"/>
    </w:p>
    <w:p>
      <w:pPr>
        <w:pStyle w:val="Paragraph"/>
        <w:spacing w:after="0"/>
        <w:rPr>
          <w:rFonts w:ascii="Arial" w:hAnsi="Arial" w:cs="Arial"/>
          <w:sz w:val="22"/>
          <w:szCs w:val="22"/>
        </w:rPr>
      </w:pPr>
      <w:r>
        <w:rPr>
          <w:rFonts w:ascii="Arial" w:hAnsi="Arial" w:cs="Arial"/>
          <w:sz w:val="22"/>
          <w:szCs w:val="22"/>
        </w:rPr>
        <w:t xml:space="preserve">El objetivo de esta </w:t>
      </w:r>
      <w:r>
        <w:rPr>
          <w:rFonts w:ascii="Arial" w:eastAsiaTheme="minorHAnsi" w:hAnsi="Arial" w:cs="Arial"/>
          <w:sz w:val="22"/>
          <w:szCs w:val="22"/>
          <w:lang w:val="es-MX"/>
        </w:rPr>
        <w:t>serie programática es fortalecer la inversión privada y pública a fin de promover el crecimiento económico en Argentina. Los objetivos específicos del programa son: (i) incrementar la inversión privada; y (ii) modernizar el marco normativo-institucional para mejorar la eficiencia en la inversión pública</w:t>
      </w:r>
      <w:r>
        <w:rPr>
          <w:rFonts w:ascii="Arial" w:hAnsi="Arial" w:cs="Arial"/>
          <w:sz w:val="22"/>
          <w:szCs w:val="22"/>
          <w:lang w:val="es-ES_tradnl"/>
        </w:rPr>
        <w:t>. La serie</w:t>
      </w:r>
      <w:r>
        <w:rPr>
          <w:rFonts w:ascii="Arial" w:hAnsi="Arial" w:cs="Arial"/>
          <w:spacing w:val="-4"/>
          <w:sz w:val="22"/>
          <w:szCs w:val="22"/>
        </w:rPr>
        <w:t xml:space="preserve"> se estructura en dos Operaciones Programáticas de Apoyo a Reformas de Políticas</w:t>
      </w:r>
      <w:r>
        <w:rPr>
          <w:rFonts w:ascii="Arial" w:hAnsi="Arial" w:cs="Arial"/>
          <w:sz w:val="22"/>
          <w:szCs w:val="22"/>
        </w:rPr>
        <w:t>.</w:t>
      </w:r>
    </w:p>
    <w:p>
      <w:pPr>
        <w:pStyle w:val="Paragraph"/>
        <w:spacing w:after="0"/>
        <w:rPr>
          <w:rFonts w:ascii="Arial" w:hAnsi="Arial" w:cs="Arial"/>
          <w:sz w:val="22"/>
          <w:szCs w:val="22"/>
        </w:rPr>
      </w:pPr>
      <w:r>
        <w:rPr>
          <w:rFonts w:ascii="Arial" w:hAnsi="Arial" w:cs="Arial"/>
          <w:sz w:val="22"/>
          <w:szCs w:val="22"/>
        </w:rPr>
        <w:t xml:space="preserve">Para la evaluación </w:t>
      </w:r>
      <w:r>
        <w:rPr>
          <w:rFonts w:ascii="Arial" w:hAnsi="Arial" w:cs="Arial"/>
          <w:i/>
          <w:sz w:val="22"/>
          <w:szCs w:val="22"/>
        </w:rPr>
        <w:t>ex-post</w:t>
      </w:r>
      <w:r>
        <w:rPr>
          <w:rFonts w:ascii="Arial" w:hAnsi="Arial" w:cs="Arial"/>
          <w:sz w:val="22"/>
          <w:szCs w:val="22"/>
        </w:rPr>
        <w:t xml:space="preserve">, las principales preguntas están referidas a si las reformas introducidas lograron el impacto deseado en términos de </w:t>
      </w:r>
      <w:r>
        <w:rPr>
          <w:rFonts w:ascii="Arial" w:eastAsiaTheme="minorHAnsi" w:hAnsi="Arial" w:cs="Arial"/>
          <w:sz w:val="22"/>
          <w:szCs w:val="22"/>
          <w:lang w:val="es-MX"/>
        </w:rPr>
        <w:t>promover el crecimiento económico</w:t>
      </w:r>
      <w:r>
        <w:rPr>
          <w:rFonts w:ascii="Arial" w:hAnsi="Arial" w:cs="Arial"/>
          <w:sz w:val="22"/>
          <w:szCs w:val="22"/>
        </w:rPr>
        <w:t>. Asimismo, se evaluará si la reducción de los impuestos distorsivos alentó una mayor inversión por parte de las empresas.</w:t>
      </w:r>
    </w:p>
    <w:p>
      <w:pPr>
        <w:pStyle w:val="Paragraph"/>
        <w:spacing w:after="0"/>
        <w:rPr>
          <w:rFonts w:ascii="Arial" w:hAnsi="Arial" w:cs="Arial"/>
          <w:sz w:val="22"/>
          <w:szCs w:val="22"/>
        </w:rPr>
      </w:pPr>
      <w:r>
        <w:rPr>
          <w:rFonts w:ascii="Arial" w:hAnsi="Arial" w:cs="Arial"/>
          <w:sz w:val="22"/>
          <w:szCs w:val="22"/>
        </w:rPr>
        <w:t>La evaluación final del Programa, la cual se vera reflejada en el Informe de Terminación de Proyecto (PCR, por sus siglas en inglés), dará cuenta de la evolución de los indicadores de impacto y resultados contemplados en la Matriz de Resultados del programa (Cuadro 3).</w:t>
      </w:r>
    </w:p>
    <w:p>
      <w:pPr>
        <w:pStyle w:val="Paragraph"/>
        <w:numPr>
          <w:ilvl w:val="0"/>
          <w:numId w:val="0"/>
        </w:numPr>
        <w:spacing w:after="0"/>
        <w:ind w:left="720"/>
        <w:rPr>
          <w:rFonts w:ascii="Arial" w:hAnsi="Arial" w:cs="Arial"/>
          <w:sz w:val="22"/>
          <w:szCs w:val="22"/>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pPr>
    </w:p>
    <w:p>
      <w:pPr>
        <w:rPr>
          <w:lang w:val="es-ES"/>
        </w:rPr>
        <w:sectPr>
          <w:pgSz w:w="12240" w:h="15840" w:code="1"/>
          <w:pgMar w:top="1440" w:right="1800" w:bottom="1440" w:left="1800" w:header="706" w:footer="706" w:gutter="0"/>
          <w:cols w:space="720"/>
          <w:formProt w:val="0"/>
          <w:titlePg/>
          <w:docGrid w:linePitch="326"/>
        </w:sectPr>
      </w:pPr>
    </w:p>
    <w:p>
      <w:pPr>
        <w:pStyle w:val="Paragraph"/>
        <w:numPr>
          <w:ilvl w:val="0"/>
          <w:numId w:val="0"/>
        </w:numPr>
        <w:spacing w:before="360"/>
        <w:ind w:left="720"/>
        <w:jc w:val="center"/>
        <w:rPr>
          <w:rFonts w:ascii="Arial" w:hAnsi="Arial" w:cs="Arial"/>
          <w:b/>
          <w:sz w:val="20"/>
        </w:rPr>
      </w:pPr>
      <w:r>
        <w:rPr>
          <w:rFonts w:ascii="Arial" w:hAnsi="Arial" w:cs="Arial"/>
          <w:b/>
          <w:sz w:val="22"/>
          <w:szCs w:val="22"/>
        </w:rPr>
        <w:lastRenderedPageBreak/>
        <w:t>Cuadro 3: Indicadores de impacto y resultados</w:t>
      </w:r>
      <w:r>
        <w:rPr>
          <w:rFonts w:ascii="Arial" w:hAnsi="Arial" w:cs="Arial"/>
          <w:b/>
          <w:sz w:val="20"/>
        </w:rPr>
        <w:t xml:space="preserve"> </w:t>
      </w:r>
    </w:p>
    <w:tbl>
      <w:tblPr>
        <w:tblW w:w="13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1530"/>
        <w:gridCol w:w="1620"/>
        <w:gridCol w:w="1620"/>
        <w:gridCol w:w="1530"/>
        <w:gridCol w:w="2070"/>
        <w:gridCol w:w="1440"/>
        <w:gridCol w:w="1530"/>
      </w:tblGrid>
      <w:tr>
        <w:trPr>
          <w:trHeight w:val="20"/>
          <w:jc w:val="center"/>
        </w:trPr>
        <w:tc>
          <w:tcPr>
            <w:tcW w:w="2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Indicadores</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Unidad de Medida</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 xml:space="preserve">Línea de Base </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 xml:space="preserve">Año </w:t>
            </w:r>
          </w:p>
          <w:p>
            <w:pPr>
              <w:ind w:left="-107" w:right="-76"/>
              <w:jc w:val="center"/>
              <w:rPr>
                <w:rFonts w:ascii="Arial" w:hAnsi="Arial" w:cs="Arial"/>
                <w:b/>
                <w:noProof/>
                <w:sz w:val="20"/>
                <w:lang w:eastAsia="zh-CN"/>
              </w:rPr>
            </w:pPr>
            <w:r>
              <w:rPr>
                <w:rFonts w:ascii="Arial" w:hAnsi="Arial" w:cs="Arial"/>
                <w:b/>
                <w:noProof/>
                <w:sz w:val="20"/>
                <w:lang w:eastAsia="zh-CN"/>
              </w:rPr>
              <w:t>Línea de Base</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Meta Final</w:t>
            </w:r>
          </w:p>
          <w:p>
            <w:pPr>
              <w:ind w:left="-107" w:right="-76"/>
              <w:jc w:val="center"/>
              <w:rPr>
                <w:rFonts w:ascii="Arial" w:hAnsi="Arial" w:cs="Arial"/>
                <w:b/>
                <w:noProof/>
                <w:sz w:val="20"/>
                <w:lang w:eastAsia="zh-CN"/>
              </w:rPr>
            </w:pPr>
            <w:r>
              <w:rPr>
                <w:rFonts w:ascii="Arial" w:hAnsi="Arial" w:cs="Arial"/>
                <w:b/>
                <w:noProof/>
                <w:sz w:val="20"/>
                <w:lang w:eastAsia="zh-CN"/>
              </w:rPr>
              <w:t>(2021)</w:t>
            </w:r>
          </w:p>
        </w:tc>
        <w:tc>
          <w:tcPr>
            <w:tcW w:w="2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 xml:space="preserve">Medios de Verificación </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Frecuencia</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ind w:left="-107" w:right="-76"/>
              <w:jc w:val="center"/>
              <w:rPr>
                <w:rFonts w:ascii="Arial" w:hAnsi="Arial" w:cs="Arial"/>
                <w:b/>
                <w:noProof/>
                <w:sz w:val="20"/>
                <w:lang w:eastAsia="zh-CN"/>
              </w:rPr>
            </w:pPr>
            <w:r>
              <w:rPr>
                <w:rFonts w:ascii="Arial" w:hAnsi="Arial" w:cs="Arial"/>
                <w:b/>
                <w:noProof/>
                <w:sz w:val="20"/>
                <w:lang w:eastAsia="zh-CN"/>
              </w:rPr>
              <w:t>Metodología</w:t>
            </w:r>
          </w:p>
        </w:tc>
      </w:tr>
      <w:tr>
        <w:trPr>
          <w:trHeight w:val="20"/>
          <w:jc w:val="center"/>
        </w:trPr>
        <w:tc>
          <w:tcPr>
            <w:tcW w:w="13765" w:type="dxa"/>
            <w:gridSpan w:val="8"/>
            <w:tcBorders>
              <w:top w:val="single" w:sz="4" w:space="0" w:color="auto"/>
              <w:left w:val="single" w:sz="4" w:space="0" w:color="auto"/>
              <w:bottom w:val="single" w:sz="4" w:space="0" w:color="auto"/>
              <w:right w:val="single" w:sz="4" w:space="0" w:color="auto"/>
            </w:tcBorders>
            <w:vAlign w:val="center"/>
          </w:tcPr>
          <w:p>
            <w:pPr>
              <w:jc w:val="both"/>
              <w:rPr>
                <w:rFonts w:ascii="Arial" w:eastAsia="Arial" w:hAnsi="Arial" w:cs="Arial"/>
                <w:sz w:val="20"/>
              </w:rPr>
            </w:pPr>
            <w:r>
              <w:rPr>
                <w:rFonts w:ascii="Arial" w:eastAsia="Arial" w:hAnsi="Arial" w:cs="Arial"/>
                <w:sz w:val="20"/>
              </w:rPr>
              <w:t>El objetivo de esta serie programática es fortalecer la inversión privada y pública a fin de promover el crecimiento económico en Argentina.</w:t>
            </w:r>
          </w:p>
        </w:tc>
      </w:tr>
      <w:tr>
        <w:trPr>
          <w:trHeight w:val="20"/>
          <w:jc w:val="center"/>
        </w:trPr>
        <w:tc>
          <w:tcPr>
            <w:tcW w:w="2425" w:type="dxa"/>
            <w:tcBorders>
              <w:top w:val="single" w:sz="4" w:space="0" w:color="auto"/>
              <w:left w:val="single" w:sz="4" w:space="0" w:color="auto"/>
              <w:bottom w:val="single" w:sz="4" w:space="0" w:color="auto"/>
              <w:right w:val="single" w:sz="4" w:space="0" w:color="auto"/>
            </w:tcBorders>
            <w:vAlign w:val="center"/>
            <w:hideMark/>
          </w:tcPr>
          <w:p>
            <w:pPr>
              <w:pStyle w:val="ListParagraph"/>
              <w:spacing w:before="20" w:after="20"/>
              <w:ind w:left="0"/>
              <w:contextualSpacing w:val="0"/>
              <w:rPr>
                <w:rFonts w:ascii="Arial" w:hAnsi="Arial" w:cs="Arial"/>
                <w:noProof/>
                <w:color w:val="0070C0"/>
                <w:sz w:val="20"/>
                <w:highlight w:val="yellow"/>
                <w:lang w:eastAsia="zh-CN"/>
              </w:rPr>
            </w:pPr>
            <w:r>
              <w:rPr>
                <w:rFonts w:ascii="Arial" w:hAnsi="Arial" w:cs="Arial"/>
                <w:noProof/>
                <w:sz w:val="20"/>
                <w:lang w:eastAsia="zh-CN"/>
              </w:rPr>
              <w:t>Promedio móvil de crecimiento en términos del PIB</w:t>
            </w:r>
            <w:r>
              <w:rPr>
                <w:rStyle w:val="FootnoteReference"/>
                <w:rFonts w:ascii="Arial" w:hAnsi="Arial" w:cs="Arial"/>
                <w:noProof/>
                <w:sz w:val="20"/>
                <w:lang w:eastAsia="zh-CN"/>
              </w:rPr>
              <w:footnoteReference w:id="2"/>
            </w:r>
            <w:r>
              <w:rPr>
                <w:rFonts w:ascii="Arial" w:hAnsi="Arial" w:cs="Arial"/>
                <w:noProof/>
                <w:sz w:val="20"/>
                <w:lang w:eastAsia="zh-CN"/>
              </w:rPr>
              <w:t xml:space="preserve"> </w:t>
            </w:r>
            <w:r>
              <w:rPr>
                <w:rFonts w:ascii="Arial" w:hAnsi="Arial" w:cs="Arial"/>
                <w:noProof/>
                <w:color w:val="0070C0"/>
                <w:sz w:val="20"/>
                <w:highlight w:val="yellow"/>
                <w:lang w:eastAsia="zh-CN"/>
              </w:rPr>
              <w:t xml:space="preserve"> </w:t>
            </w:r>
          </w:p>
          <w:p>
            <w:pPr>
              <w:pStyle w:val="ListParagraph"/>
              <w:ind w:left="0"/>
              <w:rPr>
                <w:rFonts w:ascii="Arial" w:hAnsi="Arial" w:cs="Arial"/>
                <w:noProof/>
                <w:color w:val="0070C0"/>
                <w:sz w:val="20"/>
                <w:highlight w:val="yellow"/>
                <w:lang w:eastAsia="zh-CN"/>
              </w:rPr>
            </w:pP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 xml:space="preserve">Promedio móvil </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1,3%</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2015-2017</w:t>
            </w: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2,3</w:t>
            </w:r>
          </w:p>
        </w:tc>
        <w:tc>
          <w:tcPr>
            <w:tcW w:w="207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Series Trimestrales de Oferta y Demanda globales del INDEC, publicadas en www.indec.gob.ar</w:t>
            </w:r>
          </w:p>
        </w:tc>
        <w:tc>
          <w:tcPr>
            <w:tcW w:w="1440" w:type="dxa"/>
            <w:tcBorders>
              <w:top w:val="single" w:sz="4" w:space="0" w:color="auto"/>
              <w:left w:val="single" w:sz="4" w:space="0" w:color="auto"/>
              <w:bottom w:val="single" w:sz="4" w:space="0" w:color="auto"/>
              <w:right w:val="single" w:sz="4" w:space="0" w:color="auto"/>
            </w:tcBorders>
          </w:tcPr>
          <w:p>
            <w:pPr>
              <w:jc w:val="both"/>
              <w:rPr>
                <w:rFonts w:ascii="Arial" w:hAnsi="Arial" w:cs="Arial"/>
                <w:noProof/>
                <w:sz w:val="20"/>
              </w:rPr>
            </w:pPr>
          </w:p>
          <w:p>
            <w:pPr>
              <w:jc w:val="both"/>
              <w:rPr>
                <w:rFonts w:ascii="Arial" w:hAnsi="Arial" w:cs="Arial"/>
                <w:noProof/>
                <w:sz w:val="20"/>
              </w:rPr>
            </w:pPr>
            <w:r>
              <w:rPr>
                <w:rFonts w:ascii="Arial" w:hAnsi="Arial" w:cs="Arial"/>
                <w:noProof/>
                <w:sz w:val="20"/>
              </w:rPr>
              <w:t>Trimestral</w:t>
            </w:r>
          </w:p>
        </w:tc>
        <w:tc>
          <w:tcPr>
            <w:tcW w:w="1530" w:type="dxa"/>
            <w:tcBorders>
              <w:top w:val="single" w:sz="4" w:space="0" w:color="auto"/>
              <w:left w:val="single" w:sz="4" w:space="0" w:color="auto"/>
              <w:bottom w:val="single" w:sz="4" w:space="0" w:color="auto"/>
              <w:right w:val="single" w:sz="4" w:space="0" w:color="auto"/>
            </w:tcBorders>
          </w:tcPr>
          <w:p>
            <w:pPr>
              <w:jc w:val="center"/>
              <w:rPr>
                <w:rFonts w:ascii="Arial" w:hAnsi="Arial" w:cs="Arial"/>
                <w:noProof/>
                <w:sz w:val="20"/>
              </w:rPr>
            </w:pPr>
            <w:r>
              <w:rPr>
                <w:rFonts w:ascii="Arial" w:hAnsi="Arial" w:cs="Arial"/>
                <w:noProof/>
                <w:sz w:val="20"/>
              </w:rPr>
              <w:t>Antes y después</w:t>
            </w:r>
          </w:p>
        </w:tc>
      </w:tr>
      <w:tr>
        <w:trPr>
          <w:trHeight w:val="413"/>
          <w:jc w:val="center"/>
        </w:trPr>
        <w:tc>
          <w:tcPr>
            <w:tcW w:w="2425" w:type="dxa"/>
            <w:tcBorders>
              <w:top w:val="single" w:sz="4" w:space="0" w:color="auto"/>
              <w:left w:val="single" w:sz="4" w:space="0" w:color="auto"/>
              <w:bottom w:val="single" w:sz="4" w:space="0" w:color="auto"/>
              <w:right w:val="single" w:sz="4" w:space="0" w:color="auto"/>
            </w:tcBorders>
            <w:vAlign w:val="center"/>
            <w:hideMark/>
          </w:tcPr>
          <w:p>
            <w:pPr>
              <w:pStyle w:val="ListParagraph"/>
              <w:ind w:left="0"/>
              <w:rPr>
                <w:rFonts w:ascii="Arial" w:hAnsi="Arial" w:cs="Arial"/>
                <w:noProof/>
                <w:sz w:val="20"/>
                <w:lang w:eastAsia="zh-CN"/>
              </w:rPr>
            </w:pPr>
            <w:r>
              <w:rPr>
                <w:rFonts w:ascii="Arial" w:hAnsi="Arial" w:cs="Arial"/>
                <w:noProof/>
                <w:sz w:val="20"/>
              </w:rPr>
              <w:t>Formación Bruta de Capital Fijo/PIB</w:t>
            </w:r>
            <w:r>
              <w:rPr>
                <w:rStyle w:val="FootnoteReference"/>
                <w:rFonts w:ascii="Arial" w:hAnsi="Arial" w:cs="Arial"/>
                <w:noProof/>
                <w:sz w:val="20"/>
              </w:rPr>
              <w:footnoteReference w:id="3"/>
            </w:r>
            <w:r>
              <w:rPr>
                <w:rFonts w:ascii="Arial" w:hAnsi="Arial" w:cs="Arial"/>
                <w:noProof/>
                <w:sz w:val="20"/>
              </w:rPr>
              <w:t xml:space="preserve"> </w:t>
            </w: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14,8%</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2016</w:t>
            </w: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19%</w:t>
            </w:r>
          </w:p>
        </w:tc>
        <w:tc>
          <w:tcPr>
            <w:tcW w:w="207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Series Trimestrales de Oferta y Demanda globales del INDEC, publicadas en www.indec.gob.ar</w:t>
            </w:r>
          </w:p>
        </w:tc>
        <w:tc>
          <w:tcPr>
            <w:tcW w:w="1440" w:type="dxa"/>
            <w:tcBorders>
              <w:top w:val="single" w:sz="4" w:space="0" w:color="auto"/>
              <w:left w:val="single" w:sz="4" w:space="0" w:color="auto"/>
              <w:bottom w:val="single" w:sz="4" w:space="0" w:color="auto"/>
              <w:right w:val="single" w:sz="4" w:space="0" w:color="auto"/>
            </w:tcBorders>
          </w:tcPr>
          <w:p>
            <w:pPr>
              <w:jc w:val="both"/>
              <w:rPr>
                <w:rFonts w:ascii="Arial" w:hAnsi="Arial" w:cs="Arial"/>
                <w:noProof/>
                <w:sz w:val="20"/>
              </w:rPr>
            </w:pPr>
          </w:p>
          <w:p>
            <w:pPr>
              <w:jc w:val="both"/>
              <w:rPr>
                <w:rFonts w:ascii="Arial" w:hAnsi="Arial" w:cs="Arial"/>
                <w:noProof/>
                <w:sz w:val="20"/>
              </w:rPr>
            </w:pPr>
            <w:r>
              <w:rPr>
                <w:rFonts w:ascii="Arial" w:hAnsi="Arial" w:cs="Arial"/>
                <w:noProof/>
                <w:sz w:val="20"/>
              </w:rPr>
              <w:t>Trimestral</w:t>
            </w:r>
          </w:p>
        </w:tc>
        <w:tc>
          <w:tcPr>
            <w:tcW w:w="1530" w:type="dxa"/>
            <w:tcBorders>
              <w:top w:val="single" w:sz="4" w:space="0" w:color="auto"/>
              <w:left w:val="single" w:sz="4" w:space="0" w:color="auto"/>
              <w:bottom w:val="single" w:sz="4" w:space="0" w:color="auto"/>
              <w:right w:val="single" w:sz="4" w:space="0" w:color="auto"/>
            </w:tcBorders>
          </w:tcPr>
          <w:p>
            <w:pPr>
              <w:jc w:val="center"/>
              <w:rPr>
                <w:rFonts w:ascii="Arial" w:hAnsi="Arial" w:cs="Arial"/>
                <w:noProof/>
                <w:sz w:val="20"/>
              </w:rPr>
            </w:pPr>
            <w:r>
              <w:rPr>
                <w:rFonts w:ascii="Arial" w:hAnsi="Arial" w:cs="Arial"/>
                <w:noProof/>
                <w:sz w:val="20"/>
              </w:rPr>
              <w:t>Antes y después</w:t>
            </w:r>
          </w:p>
        </w:tc>
      </w:tr>
    </w:tbl>
    <w:p>
      <w:pPr>
        <w:pStyle w:val="Paragraph"/>
        <w:numPr>
          <w:ilvl w:val="0"/>
          <w:numId w:val="0"/>
        </w:numPr>
        <w:spacing w:after="0"/>
        <w:ind w:left="720" w:hanging="720"/>
        <w:rPr>
          <w:rFonts w:ascii="Arial" w:hAnsi="Arial" w:cs="Arial"/>
          <w:sz w:val="22"/>
          <w:szCs w:val="22"/>
          <w:lang w:val="es-ES_tradnl"/>
        </w:rPr>
      </w:pPr>
    </w:p>
    <w:tbl>
      <w:tblPr>
        <w:tblW w:w="13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5"/>
        <w:gridCol w:w="1530"/>
        <w:gridCol w:w="1620"/>
        <w:gridCol w:w="1620"/>
        <w:gridCol w:w="1440"/>
        <w:gridCol w:w="2070"/>
        <w:gridCol w:w="1440"/>
        <w:gridCol w:w="1630"/>
      </w:tblGrid>
      <w:tr>
        <w:trPr>
          <w:trHeight w:val="20"/>
          <w:tblHeader/>
          <w:jc w:val="center"/>
        </w:trPr>
        <w:tc>
          <w:tcPr>
            <w:tcW w:w="2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Indicadores</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Unidad de Medida</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 xml:space="preserve">Línea de Base </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 xml:space="preserve">Año </w:t>
            </w:r>
          </w:p>
          <w:p>
            <w:pPr>
              <w:ind w:left="-107" w:right="-76"/>
              <w:jc w:val="center"/>
              <w:rPr>
                <w:rFonts w:ascii="Arial" w:hAnsi="Arial" w:cs="Arial"/>
                <w:b/>
                <w:noProof/>
                <w:sz w:val="20"/>
                <w:lang w:eastAsia="zh-CN"/>
              </w:rPr>
            </w:pPr>
            <w:r>
              <w:rPr>
                <w:rFonts w:ascii="Arial" w:hAnsi="Arial" w:cs="Arial"/>
                <w:b/>
                <w:noProof/>
                <w:sz w:val="20"/>
                <w:lang w:eastAsia="zh-CN"/>
              </w:rPr>
              <w:t>Línea de Base</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Meta Final</w:t>
            </w:r>
          </w:p>
          <w:p>
            <w:pPr>
              <w:ind w:left="-107" w:right="-76"/>
              <w:jc w:val="center"/>
              <w:rPr>
                <w:rFonts w:ascii="Arial" w:hAnsi="Arial" w:cs="Arial"/>
                <w:b/>
                <w:noProof/>
                <w:sz w:val="20"/>
                <w:lang w:eastAsia="zh-CN"/>
              </w:rPr>
            </w:pPr>
            <w:r>
              <w:rPr>
                <w:rFonts w:ascii="Arial" w:hAnsi="Arial" w:cs="Arial"/>
                <w:b/>
                <w:noProof/>
                <w:sz w:val="20"/>
                <w:lang w:eastAsia="zh-CN"/>
              </w:rPr>
              <w:t>(2021)</w:t>
            </w:r>
          </w:p>
        </w:tc>
        <w:tc>
          <w:tcPr>
            <w:tcW w:w="2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Medios de Verificación</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ind w:left="-107" w:right="-76"/>
              <w:jc w:val="center"/>
              <w:rPr>
                <w:rFonts w:ascii="Arial" w:hAnsi="Arial" w:cs="Arial"/>
                <w:b/>
                <w:noProof/>
                <w:sz w:val="20"/>
                <w:lang w:eastAsia="zh-CN"/>
              </w:rPr>
            </w:pPr>
            <w:r>
              <w:rPr>
                <w:rFonts w:ascii="Arial" w:hAnsi="Arial" w:cs="Arial"/>
                <w:b/>
                <w:noProof/>
                <w:sz w:val="20"/>
                <w:lang w:eastAsia="zh-CN"/>
              </w:rPr>
              <w:t>Frecuencia</w:t>
            </w:r>
          </w:p>
        </w:tc>
        <w:tc>
          <w:tcPr>
            <w:tcW w:w="1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ind w:left="-107" w:right="-76"/>
              <w:jc w:val="center"/>
              <w:rPr>
                <w:rFonts w:ascii="Arial" w:hAnsi="Arial" w:cs="Arial"/>
                <w:b/>
                <w:noProof/>
                <w:sz w:val="20"/>
                <w:lang w:eastAsia="zh-CN"/>
              </w:rPr>
            </w:pPr>
            <w:r>
              <w:rPr>
                <w:rFonts w:ascii="Arial" w:hAnsi="Arial" w:cs="Arial"/>
                <w:b/>
                <w:noProof/>
                <w:sz w:val="20"/>
                <w:lang w:eastAsia="zh-CN"/>
              </w:rPr>
              <w:t>Metodología</w:t>
            </w:r>
          </w:p>
        </w:tc>
      </w:tr>
      <w:tr>
        <w:trPr>
          <w:trHeight w:val="20"/>
          <w:jc w:val="center"/>
        </w:trPr>
        <w:tc>
          <w:tcPr>
            <w:tcW w:w="13865" w:type="dxa"/>
            <w:gridSpan w:val="8"/>
            <w:tcBorders>
              <w:top w:val="single" w:sz="4" w:space="0" w:color="auto"/>
              <w:left w:val="single" w:sz="4" w:space="0" w:color="auto"/>
              <w:bottom w:val="single" w:sz="4" w:space="0" w:color="auto"/>
              <w:right w:val="single" w:sz="4" w:space="0" w:color="auto"/>
            </w:tcBorders>
          </w:tcPr>
          <w:p>
            <w:pPr>
              <w:rPr>
                <w:rFonts w:ascii="Arial" w:eastAsia="Arial" w:hAnsi="Arial" w:cs="Arial"/>
                <w:sz w:val="20"/>
              </w:rPr>
            </w:pPr>
            <w:r>
              <w:rPr>
                <w:rFonts w:ascii="Arial" w:eastAsia="Arial" w:hAnsi="Arial" w:cs="Arial"/>
                <w:sz w:val="20"/>
              </w:rPr>
              <w:t>(i) Modernizar el marco impositivo-institucional para incrementar la inversión privada</w:t>
            </w:r>
          </w:p>
        </w:tc>
      </w:tr>
      <w:tr>
        <w:trPr>
          <w:trHeight w:val="20"/>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pPr>
              <w:pStyle w:val="ListParagraph"/>
              <w:ind w:left="0"/>
              <w:rPr>
                <w:rFonts w:ascii="Arial" w:hAnsi="Arial" w:cs="Arial"/>
                <w:noProof/>
                <w:sz w:val="20"/>
                <w:lang w:eastAsia="zh-CN"/>
              </w:rPr>
            </w:pPr>
            <w:r>
              <w:rPr>
                <w:rFonts w:ascii="Arial" w:hAnsi="Arial" w:cs="Arial"/>
                <w:noProof/>
                <w:sz w:val="20"/>
              </w:rPr>
              <w:t>Recaudación tributaria de impuestos distorsivos/PIB</w:t>
            </w:r>
            <w:r>
              <w:rPr>
                <w:rStyle w:val="FootnoteReference"/>
                <w:rFonts w:ascii="Arial" w:hAnsi="Arial" w:cs="Arial"/>
                <w:noProof/>
                <w:sz w:val="20"/>
              </w:rPr>
              <w:footnoteReference w:id="4"/>
            </w: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7,8%</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2017</w:t>
            </w:r>
          </w:p>
        </w:tc>
        <w:tc>
          <w:tcPr>
            <w:tcW w:w="144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6,3%</w:t>
            </w:r>
          </w:p>
        </w:tc>
        <w:tc>
          <w:tcPr>
            <w:tcW w:w="207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rPr>
            </w:pPr>
          </w:p>
          <w:p>
            <w:pPr>
              <w:rPr>
                <w:rFonts w:ascii="Arial" w:hAnsi="Arial" w:cs="Arial"/>
                <w:noProof/>
                <w:sz w:val="20"/>
                <w:lang w:eastAsia="zh-CN"/>
              </w:rPr>
            </w:pPr>
            <w:r>
              <w:rPr>
                <w:rFonts w:ascii="Arial" w:hAnsi="Arial" w:cs="Arial"/>
                <w:noProof/>
                <w:sz w:val="20"/>
              </w:rPr>
              <w:t xml:space="preserve">Boletin Fiscal del Ministerio de Hacienda para los impuestos a la renta e ICDB, y la Información Fiscal Provincial y </w:t>
            </w:r>
            <w:r>
              <w:rPr>
                <w:rFonts w:ascii="Arial" w:hAnsi="Arial" w:cs="Arial"/>
                <w:noProof/>
                <w:sz w:val="20"/>
              </w:rPr>
              <w:lastRenderedPageBreak/>
              <w:t>Municipal del portal para IIB. Localizados en www.minhacienda.gob.ar</w:t>
            </w:r>
          </w:p>
        </w:tc>
        <w:tc>
          <w:tcPr>
            <w:tcW w:w="144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r>
              <w:rPr>
                <w:rFonts w:ascii="Arial" w:hAnsi="Arial" w:cs="Arial"/>
                <w:noProof/>
                <w:sz w:val="20"/>
                <w:lang w:eastAsia="zh-CN"/>
              </w:rPr>
              <w:t>Anual</w:t>
            </w:r>
          </w:p>
        </w:tc>
        <w:tc>
          <w:tcPr>
            <w:tcW w:w="163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r>
              <w:rPr>
                <w:rFonts w:ascii="Arial" w:hAnsi="Arial" w:cs="Arial"/>
                <w:noProof/>
                <w:sz w:val="20"/>
                <w:lang w:eastAsia="zh-CN"/>
              </w:rPr>
              <w:t>Antes y después</w:t>
            </w:r>
          </w:p>
        </w:tc>
      </w:tr>
      <w:tr>
        <w:trPr>
          <w:trHeight w:val="20"/>
          <w:jc w:val="center"/>
        </w:trPr>
        <w:tc>
          <w:tcPr>
            <w:tcW w:w="13865" w:type="dxa"/>
            <w:gridSpan w:val="8"/>
            <w:tcBorders>
              <w:top w:val="single" w:sz="4" w:space="0" w:color="auto"/>
              <w:left w:val="single" w:sz="4" w:space="0" w:color="auto"/>
              <w:bottom w:val="single" w:sz="4" w:space="0" w:color="auto"/>
              <w:right w:val="single" w:sz="4" w:space="0" w:color="auto"/>
            </w:tcBorders>
            <w:vAlign w:val="center"/>
          </w:tcPr>
          <w:p>
            <w:pPr>
              <w:rPr>
                <w:rFonts w:ascii="Arial" w:eastAsia="Arial" w:hAnsi="Arial" w:cs="Arial"/>
                <w:sz w:val="20"/>
              </w:rPr>
            </w:pPr>
            <w:r>
              <w:rPr>
                <w:rFonts w:ascii="Arial" w:eastAsia="Arial" w:hAnsi="Arial" w:cs="Arial"/>
                <w:sz w:val="20"/>
              </w:rPr>
              <w:t>(ii) Modernizar el marco normativo</w:t>
            </w:r>
            <w:r>
              <w:rPr>
                <w:rFonts w:ascii="Arial" w:eastAsia="Arial" w:hAnsi="Arial" w:cs="Arial"/>
                <w:sz w:val="20"/>
              </w:rPr>
              <w:noBreakHyphen/>
              <w:t>institucional para mejorar la eficiencia en la inversión pública.</w:t>
            </w:r>
          </w:p>
        </w:tc>
      </w:tr>
      <w:tr>
        <w:trPr>
          <w:trHeight w:val="20"/>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pPr>
              <w:pStyle w:val="ListParagraph"/>
              <w:ind w:left="0"/>
              <w:rPr>
                <w:rFonts w:ascii="Arial" w:hAnsi="Arial" w:cs="Arial"/>
                <w:noProof/>
                <w:sz w:val="20"/>
                <w:lang w:eastAsia="zh-CN"/>
              </w:rPr>
            </w:pPr>
            <w:r>
              <w:rPr>
                <w:rFonts w:ascii="Arial" w:hAnsi="Arial" w:cs="Arial"/>
                <w:noProof/>
                <w:sz w:val="20"/>
              </w:rPr>
              <w:t>Inversion publica anual nacional registrada en el BAPIN / Total inversion publica anual nacional</w:t>
            </w:r>
            <w:r>
              <w:rPr>
                <w:rStyle w:val="FootnoteReference"/>
                <w:rFonts w:ascii="Arial" w:hAnsi="Arial" w:cs="Arial"/>
                <w:noProof/>
                <w:sz w:val="20"/>
              </w:rPr>
              <w:footnoteReference w:id="5"/>
            </w:r>
            <w:r>
              <w:rPr>
                <w:rFonts w:ascii="Arial" w:hAnsi="Arial" w:cs="Arial"/>
                <w:noProof/>
                <w:sz w:val="20"/>
              </w:rPr>
              <w:t>”</w:t>
            </w: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lang w:eastAsia="zh-CN"/>
              </w:rPr>
              <w:t>25%</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2017</w:t>
            </w:r>
          </w:p>
        </w:tc>
        <w:tc>
          <w:tcPr>
            <w:tcW w:w="144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eastAsia="zh-CN"/>
              </w:rPr>
            </w:pPr>
            <w:r>
              <w:rPr>
                <w:rFonts w:ascii="Arial" w:hAnsi="Arial" w:cs="Arial"/>
                <w:noProof/>
                <w:sz w:val="20"/>
              </w:rPr>
              <w:t>80%</w:t>
            </w:r>
          </w:p>
        </w:tc>
        <w:tc>
          <w:tcPr>
            <w:tcW w:w="207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rPr>
            </w:pPr>
          </w:p>
          <w:p>
            <w:pPr>
              <w:rPr>
                <w:rFonts w:ascii="Arial" w:hAnsi="Arial" w:cs="Arial"/>
                <w:noProof/>
                <w:sz w:val="20"/>
                <w:lang w:eastAsia="zh-CN"/>
              </w:rPr>
            </w:pPr>
            <w:r>
              <w:rPr>
                <w:rFonts w:ascii="Arial" w:hAnsi="Arial" w:cs="Arial"/>
                <w:noProof/>
                <w:sz w:val="20"/>
              </w:rPr>
              <w:t>Informe de la DNIP a ser recabado por el Organismo Ejecutor</w:t>
            </w:r>
          </w:p>
        </w:tc>
        <w:tc>
          <w:tcPr>
            <w:tcW w:w="144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r>
              <w:rPr>
                <w:rFonts w:ascii="Arial" w:hAnsi="Arial" w:cs="Arial"/>
                <w:noProof/>
                <w:sz w:val="20"/>
                <w:lang w:eastAsia="zh-CN"/>
              </w:rPr>
              <w:t>Anual</w:t>
            </w:r>
          </w:p>
        </w:tc>
        <w:tc>
          <w:tcPr>
            <w:tcW w:w="163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r>
              <w:rPr>
                <w:rFonts w:ascii="Arial" w:hAnsi="Arial" w:cs="Arial"/>
                <w:noProof/>
                <w:sz w:val="20"/>
                <w:lang w:eastAsia="zh-CN"/>
              </w:rPr>
              <w:t>Antes y después</w:t>
            </w:r>
          </w:p>
        </w:tc>
      </w:tr>
      <w:tr>
        <w:trPr>
          <w:trHeight w:val="2384"/>
          <w:jc w:val="center"/>
        </w:trPr>
        <w:tc>
          <w:tcPr>
            <w:tcW w:w="2515" w:type="dxa"/>
            <w:tcBorders>
              <w:top w:val="single" w:sz="4" w:space="0" w:color="auto"/>
              <w:left w:val="single" w:sz="4" w:space="0" w:color="auto"/>
              <w:bottom w:val="single" w:sz="4" w:space="0" w:color="auto"/>
              <w:right w:val="single" w:sz="4" w:space="0" w:color="auto"/>
            </w:tcBorders>
            <w:vAlign w:val="center"/>
          </w:tcPr>
          <w:p>
            <w:pPr>
              <w:pStyle w:val="ListParagraph"/>
              <w:ind w:left="0"/>
              <w:rPr>
                <w:rFonts w:ascii="Arial" w:hAnsi="Arial" w:cs="Arial"/>
                <w:noProof/>
                <w:sz w:val="20"/>
                <w:lang w:val="es-ES"/>
              </w:rPr>
            </w:pPr>
            <w:r>
              <w:rPr>
                <w:rFonts w:ascii="Arial" w:hAnsi="Arial" w:cs="Arial"/>
                <w:noProof/>
                <w:sz w:val="20"/>
                <w:lang w:val="es-ES"/>
              </w:rPr>
              <w:t>Emprendimientos de base tecnológica reciben financiamiento de los fondos apoyados por el FONDCE</w:t>
            </w:r>
            <w:r>
              <w:rPr>
                <w:rStyle w:val="FootnoteReference"/>
                <w:rFonts w:ascii="Arial" w:hAnsi="Arial" w:cs="Arial"/>
                <w:noProof/>
                <w:sz w:val="20"/>
                <w:lang w:val="es-ES"/>
              </w:rPr>
              <w:footnoteReference w:id="6"/>
            </w:r>
            <w:r>
              <w:rPr>
                <w:rFonts w:ascii="Arial" w:hAnsi="Arial" w:cs="Arial"/>
                <w:noProof/>
                <w:sz w:val="20"/>
                <w:lang w:val="es-ES"/>
              </w:rPr>
              <w:t xml:space="preserve"> </w:t>
            </w:r>
          </w:p>
        </w:tc>
        <w:tc>
          <w:tcPr>
            <w:tcW w:w="15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val="es-ES"/>
              </w:rPr>
            </w:pPr>
            <w:r>
              <w:rPr>
                <w:rFonts w:ascii="Arial" w:hAnsi="Arial" w:cs="Arial"/>
                <w:noProof/>
                <w:sz w:val="20"/>
                <w:lang w:val="es-ES"/>
              </w:rPr>
              <w:t xml:space="preserve">Número de empresas </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val="es-ES" w:eastAsia="zh-CN"/>
              </w:rPr>
            </w:pPr>
            <w:r>
              <w:rPr>
                <w:rFonts w:ascii="Arial" w:hAnsi="Arial" w:cs="Arial"/>
                <w:noProof/>
                <w:sz w:val="20"/>
                <w:lang w:val="es-ES" w:eastAsia="zh-CN"/>
              </w:rPr>
              <w:t>0</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val="es-ES"/>
              </w:rPr>
            </w:pPr>
            <w:r>
              <w:rPr>
                <w:rFonts w:ascii="Arial" w:hAnsi="Arial" w:cs="Arial"/>
                <w:noProof/>
                <w:sz w:val="20"/>
                <w:lang w:val="es-ES"/>
              </w:rPr>
              <w:t>2017</w:t>
            </w:r>
          </w:p>
        </w:tc>
        <w:tc>
          <w:tcPr>
            <w:tcW w:w="144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noProof/>
                <w:sz w:val="20"/>
                <w:lang w:val="es-ES"/>
              </w:rPr>
            </w:pPr>
            <w:r>
              <w:rPr>
                <w:rFonts w:ascii="Arial" w:hAnsi="Arial" w:cs="Arial"/>
                <w:noProof/>
                <w:sz w:val="20"/>
                <w:lang w:val="es-ES"/>
              </w:rPr>
              <w:t>10</w:t>
            </w:r>
          </w:p>
        </w:tc>
        <w:tc>
          <w:tcPr>
            <w:tcW w:w="207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val="es-ES"/>
              </w:rPr>
            </w:pPr>
          </w:p>
          <w:p>
            <w:pPr>
              <w:rPr>
                <w:rFonts w:ascii="Arial" w:hAnsi="Arial" w:cs="Arial"/>
                <w:noProof/>
                <w:sz w:val="20"/>
                <w:lang w:val="es-ES"/>
              </w:rPr>
            </w:pPr>
            <w:r>
              <w:rPr>
                <w:rFonts w:ascii="Arial" w:hAnsi="Arial" w:cs="Arial"/>
                <w:noProof/>
                <w:sz w:val="20"/>
                <w:lang w:val="es-ES"/>
              </w:rPr>
              <w:t>Informes de la Secretaría de Emprendimiento y Pyme del Ministerio de Producción a ser recabado por el Organismo Ejecutor</w:t>
            </w:r>
          </w:p>
        </w:tc>
        <w:tc>
          <w:tcPr>
            <w:tcW w:w="144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r>
              <w:rPr>
                <w:rFonts w:ascii="Arial" w:hAnsi="Arial" w:cs="Arial"/>
                <w:noProof/>
                <w:sz w:val="20"/>
                <w:lang w:eastAsia="zh-CN"/>
              </w:rPr>
              <w:t xml:space="preserve">Anual </w:t>
            </w:r>
          </w:p>
        </w:tc>
        <w:tc>
          <w:tcPr>
            <w:tcW w:w="1630" w:type="dxa"/>
            <w:tcBorders>
              <w:top w:val="single" w:sz="4" w:space="0" w:color="auto"/>
              <w:left w:val="single" w:sz="4" w:space="0" w:color="auto"/>
              <w:bottom w:val="single" w:sz="4" w:space="0" w:color="auto"/>
              <w:right w:val="single" w:sz="4" w:space="0" w:color="auto"/>
            </w:tcBorders>
          </w:tcPr>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p>
          <w:p>
            <w:pPr>
              <w:rPr>
                <w:rFonts w:ascii="Arial" w:hAnsi="Arial" w:cs="Arial"/>
                <w:noProof/>
                <w:sz w:val="20"/>
                <w:lang w:eastAsia="zh-CN"/>
              </w:rPr>
            </w:pPr>
            <w:r>
              <w:rPr>
                <w:rFonts w:ascii="Arial" w:hAnsi="Arial" w:cs="Arial"/>
                <w:noProof/>
                <w:sz w:val="20"/>
                <w:lang w:eastAsia="zh-CN"/>
              </w:rPr>
              <w:t>Antes y después</w:t>
            </w:r>
          </w:p>
        </w:tc>
      </w:tr>
    </w:tbl>
    <w:p>
      <w:pPr>
        <w:pStyle w:val="Paragraph"/>
        <w:numPr>
          <w:ilvl w:val="0"/>
          <w:numId w:val="0"/>
        </w:numPr>
        <w:spacing w:after="0"/>
        <w:ind w:left="720" w:hanging="720"/>
        <w:rPr>
          <w:rFonts w:ascii="Arial" w:hAnsi="Arial" w:cs="Arial"/>
          <w:sz w:val="22"/>
          <w:szCs w:val="22"/>
          <w:lang w:val="es-ES_tradnl"/>
        </w:rPr>
      </w:pPr>
    </w:p>
    <w:p>
      <w:pPr>
        <w:pStyle w:val="Paragraph"/>
        <w:numPr>
          <w:ilvl w:val="0"/>
          <w:numId w:val="0"/>
        </w:numPr>
        <w:spacing w:after="0"/>
        <w:ind w:left="720" w:hanging="720"/>
        <w:rPr>
          <w:rFonts w:ascii="Arial" w:hAnsi="Arial" w:cs="Arial"/>
          <w:sz w:val="22"/>
          <w:szCs w:val="22"/>
          <w:lang w:val="es-ES_tradnl"/>
        </w:rPr>
      </w:pPr>
    </w:p>
    <w:p>
      <w:pPr>
        <w:pStyle w:val="Paragraph"/>
        <w:numPr>
          <w:ilvl w:val="0"/>
          <w:numId w:val="0"/>
        </w:numPr>
        <w:spacing w:after="0"/>
        <w:ind w:left="720" w:hanging="720"/>
        <w:rPr>
          <w:rFonts w:ascii="Arial" w:hAnsi="Arial" w:cs="Arial"/>
          <w:sz w:val="22"/>
          <w:szCs w:val="22"/>
          <w:lang w:val="es-ES_tradnl"/>
        </w:rPr>
        <w:sectPr>
          <w:pgSz w:w="15840" w:h="12240" w:orient="landscape" w:code="1"/>
          <w:pgMar w:top="1800" w:right="1440" w:bottom="1800" w:left="1440" w:header="706" w:footer="706" w:gutter="0"/>
          <w:cols w:space="720"/>
          <w:formProt w:val="0"/>
          <w:titlePg/>
          <w:docGrid w:linePitch="326"/>
        </w:sectPr>
      </w:pPr>
    </w:p>
    <w:p>
      <w:pPr>
        <w:pStyle w:val="FirstHeading"/>
        <w:spacing w:before="240" w:after="0"/>
        <w:rPr>
          <w:rFonts w:ascii="Arial" w:hAnsi="Arial" w:cs="Arial"/>
          <w:noProof/>
          <w:sz w:val="22"/>
          <w:szCs w:val="22"/>
        </w:rPr>
      </w:pPr>
      <w:bookmarkStart w:id="9" w:name="_Toc508728378"/>
      <w:r>
        <w:rPr>
          <w:rFonts w:ascii="Arial" w:hAnsi="Arial" w:cs="Arial"/>
          <w:sz w:val="22"/>
          <w:szCs w:val="22"/>
        </w:rPr>
        <w:lastRenderedPageBreak/>
        <w:t>B.</w:t>
      </w:r>
      <w:r>
        <w:rPr>
          <w:rFonts w:ascii="Arial" w:hAnsi="Arial" w:cs="Arial"/>
          <w:sz w:val="22"/>
          <w:szCs w:val="22"/>
        </w:rPr>
        <w:tab/>
        <w:t>Conocimiento Existente</w:t>
      </w:r>
      <w:bookmarkEnd w:id="9"/>
    </w:p>
    <w:p>
      <w:pPr>
        <w:pStyle w:val="Paragraph"/>
        <w:tabs>
          <w:tab w:val="clear" w:pos="720"/>
          <w:tab w:val="num" w:pos="2448"/>
        </w:tabs>
        <w:autoSpaceDE w:val="0"/>
        <w:autoSpaceDN w:val="0"/>
        <w:adjustRightInd w:val="0"/>
        <w:spacing w:after="0"/>
        <w:rPr>
          <w:rFonts w:ascii="Arial" w:hAnsi="Arial" w:cs="Arial"/>
          <w:sz w:val="22"/>
          <w:szCs w:val="22"/>
        </w:rPr>
      </w:pPr>
      <w:r>
        <w:rPr>
          <w:rFonts w:ascii="Arial" w:hAnsi="Arial" w:cs="Arial"/>
          <w:sz w:val="22"/>
          <w:szCs w:val="22"/>
        </w:rPr>
        <w:t xml:space="preserve">Existen diversos análisis que dan cuenta que </w:t>
      </w:r>
      <w:r>
        <w:rPr>
          <w:rFonts w:ascii="Arial" w:eastAsiaTheme="minorHAnsi" w:hAnsi="Arial" w:cs="Arial"/>
          <w:sz w:val="22"/>
          <w:szCs w:val="22"/>
          <w:lang w:val="es-MX"/>
        </w:rPr>
        <w:t>Argentina enfrenta un desafío estructural de acelerar su crecimiento económico en el mediano plazo. Los principales factores que explican el bajo crecimiento incluyen una baja tasa de inversión y una baja productividad</w:t>
      </w:r>
      <w:r>
        <w:rPr>
          <w:rFonts w:ascii="Arial" w:eastAsiaTheme="minorHAnsi" w:hAnsi="Arial" w:cs="Arial"/>
          <w:sz w:val="14"/>
          <w:szCs w:val="14"/>
          <w:lang w:val="es-MX"/>
        </w:rPr>
        <w:t xml:space="preserve"> </w:t>
      </w:r>
      <w:r>
        <w:rPr>
          <w:rFonts w:ascii="Arial" w:eastAsiaTheme="minorHAnsi" w:hAnsi="Arial" w:cs="Arial"/>
          <w:sz w:val="22"/>
          <w:szCs w:val="22"/>
          <w:lang w:val="es-MX"/>
        </w:rPr>
        <w:t>(BID, 2016; OCDE, 2017).</w:t>
      </w:r>
      <w:r>
        <w:rPr>
          <w:rFonts w:ascii="Arial" w:hAnsi="Arial" w:cs="Arial"/>
          <w:sz w:val="22"/>
          <w:szCs w:val="22"/>
        </w:rPr>
        <w:t xml:space="preserve"> Para enfrentar estos retos, el programa busca apoyar al Gobierno en</w:t>
      </w:r>
      <w:r>
        <w:rPr>
          <w:rFonts w:ascii="Arial" w:eastAsiaTheme="minorHAnsi" w:hAnsi="Arial" w:cs="Arial"/>
          <w:sz w:val="22"/>
          <w:szCs w:val="22"/>
          <w:lang w:val="es-MX"/>
        </w:rPr>
        <w:t>: (i) la mejora en el clima de inversión e innovación; y (ii) el fortalecimiento de la eficiencia de la inversión pública</w:t>
      </w:r>
      <w:r>
        <w:rPr>
          <w:rFonts w:ascii="Arial" w:hAnsi="Arial" w:cs="Arial"/>
          <w:sz w:val="22"/>
          <w:szCs w:val="22"/>
        </w:rPr>
        <w:t>.</w:t>
      </w:r>
    </w:p>
    <w:p>
      <w:pPr>
        <w:pStyle w:val="Paragraph"/>
        <w:spacing w:after="0"/>
        <w:rPr>
          <w:rFonts w:ascii="Arial" w:hAnsi="Arial" w:cs="Arial"/>
          <w:sz w:val="22"/>
          <w:szCs w:val="22"/>
        </w:rPr>
      </w:pPr>
      <w:r>
        <w:rPr>
          <w:rFonts w:ascii="Arial" w:hAnsi="Arial" w:cs="Arial"/>
          <w:sz w:val="22"/>
          <w:szCs w:val="22"/>
          <w:lang w:val="es-AR"/>
        </w:rPr>
        <w:t>En lo referente a las medidas propuestas para mejorar el clima de inversión, existe en la literatura económica evidencia que las principales medidas propuestas en las distintas áreas de intervención del programa son efectivas para alcanzar los fines buscados. A continuación, se describen las principales evidencias en las distintas áreas de intervención.</w:t>
      </w:r>
    </w:p>
    <w:p>
      <w:pPr>
        <w:pStyle w:val="Paragraph"/>
        <w:autoSpaceDE w:val="0"/>
        <w:autoSpaceDN w:val="0"/>
        <w:adjustRightInd w:val="0"/>
        <w:spacing w:after="0"/>
        <w:rPr>
          <w:rFonts w:ascii="Arial" w:hAnsi="Arial" w:cs="Arial"/>
          <w:sz w:val="22"/>
          <w:szCs w:val="22"/>
          <w:lang w:val="es-MX"/>
        </w:rPr>
      </w:pPr>
      <w:r>
        <w:rPr>
          <w:rFonts w:ascii="Arial" w:hAnsi="Arial" w:cs="Arial"/>
          <w:i/>
          <w:sz w:val="22"/>
          <w:szCs w:val="22"/>
          <w:lang w:val="es-AR"/>
        </w:rPr>
        <w:t xml:space="preserve">Estructura Tributaria y Crecimiento Económico. </w:t>
      </w:r>
      <w:r>
        <w:rPr>
          <w:rFonts w:ascii="Arial" w:eastAsia="Calibri" w:hAnsi="Arial" w:cs="Arial"/>
          <w:bCs/>
          <w:sz w:val="22"/>
          <w:szCs w:val="22"/>
          <w:lang w:val="es-ES_tradnl"/>
        </w:rPr>
        <w:t>El programa apoya la modernización del esquema tributario nacional y subnacional, a fin de primer la inversión y el empleo de calidad. A nivel nacional se apoya en: (i) la reducción de la tasa marginal a las ganancias corporativas; (ii) la implementación de un mínimo no imponible para las contribuciones patronales; y (ii) la promoción de la inversión en innovación. A nivel subnacional se buscará modificar el impuesto a los ingresos brutos y el impuesto a los sellos. Existen varios estudios en la literatura empírica que encuentran que impuestos distorsivos afectan el crecimiento económico. Entre estos trabajos vale destacar los de Kneller y otros (1999) y Gemmell y otros (2011) para los países desarrollado y Acosta-Ormaechea y Yoo (2012) para países desarrollados y en desarrollo. Por su parte, Arnold (2008) y Arnold y otros (2011) encuentran que, entre los impuestos distorsivos, los impuestos sobre la renta corporativa son los más perjudiciales. Si bien estos trabajos no discuten los mecanismos económicos que llevan a la menor tasa de crecimiento, estos mecanismos pueden estar relacionados con una reducción en la inversión privada y en la productividad. Shwellnus y Arnold (2008) y Vartia (2008) encuentran que los impuestos corporativos reducen la inversión y la productividad. Adicionalmente, Vartia (2008) también encuentra que los incentivos fiscales a la investigación y el desarrollo incrementan la productividad.</w:t>
      </w:r>
    </w:p>
    <w:p>
      <w:pPr>
        <w:pStyle w:val="Paragraph"/>
        <w:autoSpaceDE w:val="0"/>
        <w:autoSpaceDN w:val="0"/>
        <w:adjustRightInd w:val="0"/>
        <w:spacing w:after="0"/>
        <w:rPr>
          <w:rFonts w:ascii="Arial" w:hAnsi="Arial" w:cs="Arial"/>
          <w:sz w:val="22"/>
          <w:szCs w:val="22"/>
          <w:lang w:val="es-MX"/>
        </w:rPr>
      </w:pPr>
      <w:r>
        <w:rPr>
          <w:rFonts w:ascii="Arial" w:hAnsi="Arial" w:cs="Arial"/>
          <w:i/>
          <w:sz w:val="22"/>
          <w:szCs w:val="22"/>
          <w:lang w:val="es-AR"/>
        </w:rPr>
        <w:t>Responsabilidad Fiscal.</w:t>
      </w:r>
      <w:r>
        <w:rPr>
          <w:rFonts w:ascii="Arial" w:hAnsi="Arial" w:cs="Arial"/>
          <w:sz w:val="22"/>
          <w:szCs w:val="22"/>
          <w:lang w:val="es-AR"/>
        </w:rPr>
        <w:t xml:space="preserve"> </w:t>
      </w:r>
      <w:r>
        <w:rPr>
          <w:rFonts w:ascii="Arial" w:eastAsia="Calibri" w:hAnsi="Arial" w:cs="Arial"/>
          <w:bCs/>
          <w:sz w:val="22"/>
          <w:szCs w:val="22"/>
          <w:lang w:val="es-ES_tradnl"/>
        </w:rPr>
        <w:t>El programa apoya el establecimiento de acuerdos entre el Gobierno Nacional y los Gobiernos provinciales, a fin de promover el equilibrio fiscal y la reducción de la presión fiscal. El involucramiento del Gobierno Nacional en temas de responsabilidad fiscal es una buena práctica respaldada en la literatura.</w:t>
      </w:r>
      <w:r>
        <w:rPr>
          <w:rFonts w:ascii="Arial" w:hAnsi="Arial" w:cs="Arial"/>
          <w:sz w:val="22"/>
          <w:szCs w:val="22"/>
          <w:lang w:val="es-MX"/>
        </w:rPr>
        <w:t xml:space="preserve"> </w:t>
      </w:r>
      <w:r>
        <w:rPr>
          <w:rFonts w:ascii="Arial" w:hAnsi="Arial" w:cs="Arial"/>
          <w:sz w:val="22"/>
          <w:szCs w:val="22"/>
          <w:lang w:val="es-AR"/>
        </w:rPr>
        <w:t xml:space="preserve">Rodden y Eskeland (2003) </w:t>
      </w:r>
      <w:r>
        <w:rPr>
          <w:rFonts w:ascii="Arial" w:eastAsia="Calibri" w:hAnsi="Arial" w:cs="Arial"/>
          <w:bCs/>
          <w:sz w:val="22"/>
          <w:szCs w:val="22"/>
          <w:lang w:val="es-ES_tradnl"/>
        </w:rPr>
        <w:t xml:space="preserve">encuentran que la </w:t>
      </w:r>
      <w:r>
        <w:rPr>
          <w:rFonts w:ascii="Arial" w:hAnsi="Arial" w:cs="Arial"/>
          <w:sz w:val="22"/>
          <w:szCs w:val="22"/>
          <w:lang w:val="es-AR"/>
        </w:rPr>
        <w:t xml:space="preserve">efectividad de los controles al endeudamiento de gobiernos subnacionales se ve incrementada en contextos de fuerte monitoreo por parte del gobierno central o del mercado. En Brasil e India, donde existe un importante control del gobierno central, Martell (2008) y Kishore y Prasad (2007), respectivamente, encuentran que las restricciones impuestas en los arreglos intergubernamentales fueron efectivas en alentar la disciplina fiscal. En España, </w:t>
      </w:r>
      <w:r>
        <w:rPr>
          <w:rFonts w:ascii="Arial" w:hAnsi="Arial" w:cs="Arial"/>
          <w:color w:val="000000"/>
          <w:sz w:val="22"/>
          <w:szCs w:val="22"/>
          <w:lang w:val="es-AR"/>
        </w:rPr>
        <w:t>Cabasés y otros (2007) encuentran que las restricciones institucionales al endeudamiento ocasionaron una mayor disciplina financiera en las políticas de endeudamiento adoptadas por los gobiernos locales.</w:t>
      </w:r>
    </w:p>
    <w:p>
      <w:pPr>
        <w:pStyle w:val="Paragraph"/>
        <w:autoSpaceDE w:val="0"/>
        <w:autoSpaceDN w:val="0"/>
        <w:adjustRightInd w:val="0"/>
        <w:spacing w:after="0"/>
        <w:rPr>
          <w:rFonts w:ascii="Arial" w:hAnsi="Arial" w:cs="Arial"/>
          <w:sz w:val="22"/>
          <w:szCs w:val="22"/>
          <w:lang w:val="es-MX"/>
        </w:rPr>
      </w:pPr>
      <w:r>
        <w:rPr>
          <w:rFonts w:ascii="Arial" w:hAnsi="Arial" w:cs="Arial"/>
          <w:i/>
          <w:sz w:val="22"/>
          <w:szCs w:val="22"/>
        </w:rPr>
        <w:t xml:space="preserve">Costos de Transacción para </w:t>
      </w:r>
      <w:r>
        <w:rPr>
          <w:rFonts w:ascii="Arial" w:hAnsi="Arial" w:cs="Arial"/>
          <w:i/>
          <w:sz w:val="22"/>
          <w:szCs w:val="22"/>
          <w:lang w:val="es-AR"/>
        </w:rPr>
        <w:t>Empresas.</w:t>
      </w:r>
      <w:r>
        <w:rPr>
          <w:rFonts w:ascii="Arial" w:hAnsi="Arial" w:cs="Arial"/>
          <w:sz w:val="22"/>
          <w:szCs w:val="22"/>
          <w:lang w:val="es-AR"/>
        </w:rPr>
        <w:t xml:space="preserve"> </w:t>
      </w:r>
      <w:r>
        <w:rPr>
          <w:rFonts w:ascii="Arial" w:eastAsia="Calibri" w:hAnsi="Arial" w:cs="Arial"/>
          <w:bCs/>
          <w:sz w:val="22"/>
          <w:szCs w:val="22"/>
          <w:lang w:val="es-AR"/>
        </w:rPr>
        <w:t xml:space="preserve">El programa apoya el fortalecimiento de la inversión en emprendedurismo, a través de la creación de instituciones de </w:t>
      </w:r>
      <w:r>
        <w:rPr>
          <w:rFonts w:ascii="Arial" w:eastAsia="Calibri" w:hAnsi="Arial" w:cs="Arial"/>
          <w:bCs/>
          <w:sz w:val="22"/>
          <w:szCs w:val="22"/>
          <w:lang w:val="es-AR"/>
        </w:rPr>
        <w:lastRenderedPageBreak/>
        <w:t xml:space="preserve">capital emprendedor y la reducción de barreras al desarrollo de empresas privadas. Altas barreras al emprendedurismo pueden afectar el crecimiento económico, al desalentar la creación de nuevas empresas que introduzcan nueva competencia a las empresas ya existentes. Klapper y otros (2006) encuentran que, en ausencia de esta competencia, las empresas existentes tienden a crecer menos y ser menos productivas. Por otro lado, a </w:t>
      </w:r>
      <w:r>
        <w:rPr>
          <w:rFonts w:ascii="Arial" w:eastAsia="Calibri" w:hAnsi="Arial" w:cs="Arial"/>
          <w:bCs/>
          <w:sz w:val="22"/>
          <w:szCs w:val="22"/>
          <w:lang w:val="es-MX"/>
        </w:rPr>
        <w:t xml:space="preserve">nivel agregado, reducir las barreras de negocios </w:t>
      </w:r>
      <w:r>
        <w:rPr>
          <w:rFonts w:ascii="Arial" w:hAnsi="Arial" w:cs="Arial"/>
          <w:sz w:val="22"/>
          <w:szCs w:val="22"/>
        </w:rPr>
        <w:t>tiende a acelerar el crecimiento económico. Un estudio de Djankov y otros (2006), utilizando medidas objetivas de regulaciones de negocios en 135 países, encuentra que países con mejores regulaciones crecen más rápido. El estudio estima que pasar del peor al mejor cuartil de calidad de regulación de negocios lleva a un incremento promedio de 2,3 puntos porcentuales en la tasa anual de crecimiento.</w:t>
      </w:r>
    </w:p>
    <w:p>
      <w:pPr>
        <w:pStyle w:val="Paragraph"/>
        <w:autoSpaceDE w:val="0"/>
        <w:autoSpaceDN w:val="0"/>
        <w:adjustRightInd w:val="0"/>
        <w:spacing w:after="0"/>
        <w:rPr>
          <w:rFonts w:ascii="Arial" w:hAnsi="Arial" w:cs="Arial"/>
          <w:sz w:val="22"/>
          <w:szCs w:val="22"/>
          <w:lang w:val="es-MX"/>
        </w:rPr>
      </w:pPr>
      <w:r>
        <w:rPr>
          <w:rFonts w:ascii="Arial" w:hAnsi="Arial" w:cs="Arial"/>
          <w:bCs/>
          <w:i/>
          <w:sz w:val="22"/>
          <w:szCs w:val="22"/>
        </w:rPr>
        <w:t>Inversión pública.</w:t>
      </w:r>
      <w:r>
        <w:rPr>
          <w:rFonts w:ascii="Arial" w:hAnsi="Arial" w:cs="Arial"/>
          <w:sz w:val="22"/>
          <w:szCs w:val="22"/>
        </w:rPr>
        <w:t xml:space="preserve"> </w:t>
      </w:r>
      <w:r>
        <w:rPr>
          <w:rFonts w:ascii="Arial" w:hAnsi="Arial" w:cs="Arial"/>
          <w:sz w:val="22"/>
          <w:szCs w:val="22"/>
          <w:lang w:val="es-MX"/>
        </w:rPr>
        <w:t xml:space="preserve">La operación busca </w:t>
      </w:r>
      <w:r>
        <w:rPr>
          <w:rFonts w:ascii="Arial" w:eastAsiaTheme="minorHAnsi" w:hAnsi="Arial" w:cs="Arial"/>
          <w:sz w:val="22"/>
          <w:szCs w:val="22"/>
          <w:lang w:val="es-MX"/>
        </w:rPr>
        <w:t>modernizar</w:t>
      </w:r>
      <w:r>
        <w:rPr>
          <w:rFonts w:ascii="Arial" w:hAnsi="Arial" w:cs="Arial"/>
          <w:sz w:val="22"/>
          <w:szCs w:val="22"/>
          <w:lang w:val="es-MX"/>
        </w:rPr>
        <w:t xml:space="preserve"> </w:t>
      </w:r>
      <w:r>
        <w:rPr>
          <w:rFonts w:ascii="Arial" w:eastAsiaTheme="minorHAnsi" w:hAnsi="Arial" w:cs="Arial"/>
          <w:sz w:val="22"/>
          <w:szCs w:val="22"/>
          <w:lang w:val="es-MX"/>
        </w:rPr>
        <w:t>el marco normativo-institucional para mejorar la eficiencia en la inversión pública</w:t>
      </w:r>
      <w:r>
        <w:rPr>
          <w:rFonts w:ascii="Arial" w:hAnsi="Arial" w:cs="Arial"/>
          <w:sz w:val="22"/>
          <w:szCs w:val="22"/>
        </w:rPr>
        <w:t>. Para esto se fortalecerá la gestión de la inversión pública tradicional y de las participaciones público-privadas, as</w:t>
      </w:r>
      <w:r>
        <w:rPr>
          <w:rFonts w:ascii="Arial" w:hAnsi="Arial" w:cs="Arial"/>
          <w:sz w:val="22"/>
          <w:szCs w:val="22"/>
          <w:lang w:val="es-MX"/>
        </w:rPr>
        <w:t xml:space="preserve">í </w:t>
      </w:r>
      <w:r>
        <w:rPr>
          <w:rFonts w:ascii="Arial" w:hAnsi="Arial" w:cs="Arial"/>
          <w:sz w:val="22"/>
          <w:szCs w:val="22"/>
        </w:rPr>
        <w:t xml:space="preserve">también como la inversión realizada por empresas públicas. </w:t>
      </w:r>
      <w:r>
        <w:rPr>
          <w:rFonts w:ascii="Arial" w:hAnsi="Arial" w:cs="Arial"/>
          <w:sz w:val="22"/>
          <w:szCs w:val="22"/>
          <w:lang w:val="es-MX"/>
        </w:rPr>
        <w:t xml:space="preserve">La literatura empírica resalta la importancia del proceso de diseño, selección, implementación y evaluación de proyectos en el impacto final de las inversiones (Esfahani y Ramirez, 2003). </w:t>
      </w:r>
      <w:r>
        <w:rPr>
          <w:rFonts w:ascii="Arial" w:hAnsi="Arial" w:cs="Arial"/>
          <w:sz w:val="22"/>
          <w:szCs w:val="22"/>
        </w:rPr>
        <w:t xml:space="preserve">Gupta y otros (2014) encuentran que la calidad de la inversión pública, medida por variables que capturan lo adecuado de los procesos de selección e implementación de proyectos, afecta positivamente el crecimiento económico, particularmente en países de bajos ingresos. </w:t>
      </w:r>
      <w:r>
        <w:rPr>
          <w:rFonts w:ascii="Arial" w:hAnsi="Arial" w:cs="Arial"/>
          <w:sz w:val="22"/>
          <w:szCs w:val="22"/>
          <w:lang w:val="es-MX"/>
        </w:rPr>
        <w:t>En una línea similar, el Fondo Monetario Internacional (2015), haciendo uso del método de análisis envolvente de datos (DEA, por sus siglas en inglés), encuentra que existe un espacio importante para mejorar la eficiencia del gasto en inversión en los países emergentes. Mejorando la eficiencia del gasto en inversión pública, los países emergentes podrían, en promedio, mejorar la calidad de su infraestructura en un 40% sin necesidad de incrementar su gasto. Esta cifra es del 27% para los países desarrollados y de 55% para los países de menores ingresos.  Es decir, producto de las debilidades en el proceso de la inversión pública, el país emergente promedio tiene un “desperdicio” de alrededor del 40% en su inversión pública.</w:t>
      </w:r>
    </w:p>
    <w:p>
      <w:pPr>
        <w:pStyle w:val="FirstHeading"/>
        <w:spacing w:before="240" w:after="0"/>
        <w:rPr>
          <w:rFonts w:ascii="Arial" w:hAnsi="Arial" w:cs="Arial"/>
          <w:noProof/>
          <w:sz w:val="22"/>
          <w:szCs w:val="22"/>
        </w:rPr>
      </w:pPr>
      <w:bookmarkStart w:id="10" w:name="_Toc508728379"/>
      <w:r>
        <w:rPr>
          <w:rFonts w:ascii="Arial" w:hAnsi="Arial" w:cs="Arial"/>
          <w:sz w:val="22"/>
          <w:szCs w:val="22"/>
        </w:rPr>
        <w:t>C.</w:t>
      </w:r>
      <w:r>
        <w:rPr>
          <w:rFonts w:ascii="Arial" w:hAnsi="Arial" w:cs="Arial"/>
          <w:sz w:val="22"/>
          <w:szCs w:val="22"/>
        </w:rPr>
        <w:tab/>
        <w:t>Metodología de la Evaluación Ex Post</w:t>
      </w:r>
      <w:bookmarkEnd w:id="10"/>
      <w:r>
        <w:rPr>
          <w:rFonts w:ascii="Arial" w:hAnsi="Arial" w:cs="Arial"/>
          <w:sz w:val="22"/>
          <w:szCs w:val="22"/>
        </w:rPr>
        <w:t xml:space="preserve"> </w:t>
      </w:r>
    </w:p>
    <w:p>
      <w:pPr>
        <w:pStyle w:val="Paragraph"/>
        <w:autoSpaceDE w:val="0"/>
        <w:autoSpaceDN w:val="0"/>
        <w:adjustRightInd w:val="0"/>
        <w:spacing w:after="0"/>
        <w:rPr>
          <w:rFonts w:ascii="Arial" w:hAnsi="Arial" w:cs="Arial"/>
          <w:b/>
          <w:sz w:val="22"/>
          <w:szCs w:val="22"/>
        </w:rPr>
      </w:pPr>
      <w:r>
        <w:rPr>
          <w:rFonts w:ascii="Arial" w:hAnsi="Arial" w:cs="Arial"/>
          <w:sz w:val="22"/>
          <w:szCs w:val="22"/>
        </w:rPr>
        <w:t xml:space="preserve">La </w:t>
      </w:r>
      <w:r>
        <w:rPr>
          <w:rFonts w:ascii="Arial" w:hAnsi="Arial" w:cs="Arial"/>
          <w:b/>
          <w:sz w:val="22"/>
          <w:szCs w:val="22"/>
        </w:rPr>
        <w:t>evaluación ex-post</w:t>
      </w:r>
      <w:r>
        <w:rPr>
          <w:rFonts w:ascii="Arial" w:hAnsi="Arial" w:cs="Arial"/>
          <w:sz w:val="22"/>
          <w:szCs w:val="22"/>
        </w:rPr>
        <w:t xml:space="preserve"> del Programa constará de dos partes. Por un lado, se realizará un análisis de cómo evolucionó la tasa de </w:t>
      </w:r>
      <w:r>
        <w:rPr>
          <w:rFonts w:ascii="Arial" w:eastAsiaTheme="minorHAnsi" w:hAnsi="Arial" w:cs="Arial"/>
          <w:sz w:val="22"/>
          <w:szCs w:val="22"/>
          <w:lang w:val="es-MX"/>
        </w:rPr>
        <w:t>crecimiento económico y el nivel de inversión pública y privada.</w:t>
      </w:r>
      <w:r>
        <w:rPr>
          <w:rFonts w:ascii="Arial" w:hAnsi="Arial" w:cs="Arial"/>
          <w:sz w:val="22"/>
          <w:szCs w:val="22"/>
        </w:rPr>
        <w:t xml:space="preserve"> Por otro lado, se analizará el impacto de la reducción de los impuestos distorsivos alentó una mayor inversión por parte de las empresas.</w:t>
      </w:r>
    </w:p>
    <w:p>
      <w:pPr>
        <w:pStyle w:val="Paragraph"/>
        <w:spacing w:after="0"/>
        <w:rPr>
          <w:rFonts w:ascii="Arial" w:hAnsi="Arial" w:cs="Arial"/>
          <w:b/>
          <w:sz w:val="22"/>
          <w:szCs w:val="22"/>
        </w:rPr>
      </w:pPr>
      <w:r>
        <w:rPr>
          <w:rFonts w:ascii="Arial" w:hAnsi="Arial" w:cs="Arial"/>
          <w:sz w:val="22"/>
          <w:szCs w:val="22"/>
        </w:rPr>
        <w:t xml:space="preserve">El análisis de cómo evolucionaron la tasa de </w:t>
      </w:r>
      <w:r>
        <w:rPr>
          <w:rFonts w:ascii="Arial" w:eastAsiaTheme="minorHAnsi" w:hAnsi="Arial" w:cs="Arial"/>
          <w:sz w:val="22"/>
          <w:szCs w:val="22"/>
          <w:lang w:val="es-MX"/>
        </w:rPr>
        <w:t>crecimiento económico y el nivel de inversión privada</w:t>
      </w:r>
      <w:r>
        <w:rPr>
          <w:rFonts w:ascii="Arial" w:hAnsi="Arial" w:cs="Arial"/>
          <w:sz w:val="22"/>
          <w:szCs w:val="22"/>
        </w:rPr>
        <w:t xml:space="preserve"> consistirá en un análisis antes y después, sin atribución de resultados. Utilizando modelos de contabilidad del crecimiento similar al de Daude y Fernandez-Arias (2010), se determinará qué porcentaje del crecimiento se explica por la acumulación de capital físico. Este análisis se incluirá en Informe de Terminación de Proyecto (PCR, por sus siglas en inglés) y será realizado por funcionarios del BID, posiblemente contando con el apoyo de un consultor contratado para este fin.</w:t>
      </w:r>
    </w:p>
    <w:p>
      <w:pPr>
        <w:pStyle w:val="Paragraph"/>
        <w:spacing w:after="0"/>
        <w:rPr>
          <w:rFonts w:ascii="Arial" w:hAnsi="Arial" w:cs="Arial"/>
          <w:sz w:val="22"/>
          <w:szCs w:val="22"/>
        </w:rPr>
      </w:pPr>
      <w:r>
        <w:rPr>
          <w:rFonts w:ascii="Arial" w:hAnsi="Arial" w:cs="Arial"/>
          <w:sz w:val="22"/>
          <w:szCs w:val="22"/>
        </w:rPr>
        <w:t xml:space="preserve">Por otro lado, como parte de la evaluación ex-post de la operación se analizará si la reducción de los impuestos distorsivos alentó una mayor inversión por parte de las empresas. </w:t>
      </w:r>
      <w:r>
        <w:rPr>
          <w:rFonts w:ascii="Arial" w:hAnsi="Arial" w:cs="Arial"/>
          <w:color w:val="000000"/>
          <w:sz w:val="22"/>
          <w:szCs w:val="22"/>
        </w:rPr>
        <w:t xml:space="preserve">Entre las medidas de políticas incluidas en el programa se incluye </w:t>
      </w:r>
      <w:r>
        <w:rPr>
          <w:rFonts w:ascii="Arial" w:hAnsi="Arial" w:cs="Arial"/>
          <w:sz w:val="22"/>
          <w:szCs w:val="22"/>
        </w:rPr>
        <w:lastRenderedPageBreak/>
        <w:t>una reducción de la tasa marginal aplicada a las ganancias corporativas y una modificación del impuesto provincial sobre los ingresos brutos. Si bien se espera que la reducción de estos impuestos aliente la inversión en capital físico, el efecto de dicha reducción de impuestos sobre la inversión no se conoce actualmente y será estimada de manera ex-post. Este estudio contribuirá, por lo tanto, al análisis del impacto 2 de la Matriz de Resultados (</w:t>
      </w:r>
      <w:r>
        <w:rPr>
          <w:rFonts w:ascii="Arial" w:hAnsi="Arial" w:cs="Arial"/>
          <w:sz w:val="22"/>
          <w:szCs w:val="22"/>
          <w:lang w:val="es-AR"/>
        </w:rPr>
        <w:t>formación bruta de capital fijo, como ratio del PIB nominal</w:t>
      </w:r>
      <w:r>
        <w:rPr>
          <w:rFonts w:ascii="Arial" w:hAnsi="Arial" w:cs="Arial"/>
          <w:sz w:val="22"/>
          <w:szCs w:val="22"/>
        </w:rPr>
        <w:t>).</w:t>
      </w:r>
    </w:p>
    <w:p>
      <w:pPr>
        <w:pStyle w:val="FirstHeading"/>
        <w:spacing w:before="240" w:after="0"/>
        <w:rPr>
          <w:rFonts w:ascii="Arial" w:hAnsi="Arial" w:cs="Arial"/>
          <w:noProof/>
          <w:sz w:val="22"/>
          <w:szCs w:val="22"/>
        </w:rPr>
      </w:pPr>
      <w:bookmarkStart w:id="11" w:name="_Toc508728380"/>
      <w:r>
        <w:rPr>
          <w:rFonts w:ascii="Arial" w:hAnsi="Arial" w:cs="Arial"/>
          <w:sz w:val="22"/>
          <w:szCs w:val="22"/>
        </w:rPr>
        <w:t>D.</w:t>
      </w:r>
      <w:r>
        <w:rPr>
          <w:rFonts w:ascii="Arial" w:hAnsi="Arial" w:cs="Arial"/>
          <w:sz w:val="22"/>
          <w:szCs w:val="22"/>
        </w:rPr>
        <w:tab/>
        <w:t>Aspectos Técnicos de la Metodología Seleccionada</w:t>
      </w:r>
      <w:bookmarkEnd w:id="11"/>
    </w:p>
    <w:p>
      <w:pPr>
        <w:pStyle w:val="Paragraph"/>
        <w:spacing w:after="0"/>
        <w:rPr>
          <w:rFonts w:ascii="Arial" w:hAnsi="Arial" w:cs="Arial"/>
          <w:sz w:val="22"/>
          <w:szCs w:val="22"/>
        </w:rPr>
      </w:pPr>
      <w:r>
        <w:rPr>
          <w:rFonts w:ascii="Arial" w:hAnsi="Arial" w:cs="Arial"/>
          <w:sz w:val="22"/>
          <w:szCs w:val="22"/>
        </w:rPr>
        <w:t>En lo referente al estudio sobre</w:t>
      </w:r>
      <w:r>
        <w:rPr>
          <w:rFonts w:ascii="Arial" w:hAnsi="Arial" w:cs="Arial"/>
          <w:b/>
          <w:sz w:val="22"/>
          <w:szCs w:val="22"/>
        </w:rPr>
        <w:t xml:space="preserve"> impuestos a las empresas e inversión</w:t>
      </w:r>
      <w:r>
        <w:rPr>
          <w:rFonts w:ascii="Arial" w:hAnsi="Arial" w:cs="Arial"/>
          <w:sz w:val="22"/>
          <w:szCs w:val="22"/>
        </w:rPr>
        <w:t xml:space="preserve">, se explotarán los diferentes patrones de inversión entre las distintas industrias, a fin de determinar si las reformas tributarias tuvieron un impacto en la inversión. Para esto se utilizará una metodología similar a la empleada en Hsieh y Parker (2007) para estudiar una reforma del impuesto a la renta corporativa en Chile. Al igual que en el caso de Hsieh y Parker (2007), se partirá del supuesto que un número importante de firmas en Argentina presentan restricciones para el acceso al crédito, lo cual restringe el monto de inversión. Este supuesto es razonable dado el bajo nivel de desarrollo de los mercados de capitales en Argentina. En este contexto, una reforma tributaria que disminuya los impuestos pagados por las empresas tiene el potencial de incrementar la inversión, dado que se incrementan los flujos de beneficios, que pueden ser destinados a la inversión en capital físico. Ahora bien, dado que existen industrias que son más dependientes del financiamiento externo que otras, el incremento observado en la inversión debería ser mayor en aquellas industrias que son más intensivas en el uso de fuentes de financiamiento externas a la firma. </w:t>
      </w:r>
    </w:p>
    <w:p>
      <w:pPr>
        <w:pStyle w:val="Paragraph"/>
        <w:numPr>
          <w:ilvl w:val="0"/>
          <w:numId w:val="0"/>
        </w:numPr>
        <w:spacing w:after="0"/>
        <w:ind w:left="720"/>
        <w:rPr>
          <w:rFonts w:ascii="Arial" w:hAnsi="Arial" w:cs="Arial"/>
          <w:sz w:val="22"/>
          <w:szCs w:val="22"/>
        </w:rPr>
      </w:pPr>
      <w:r>
        <w:rPr>
          <w:rFonts w:ascii="Arial" w:hAnsi="Arial" w:cs="Arial"/>
          <w:sz w:val="22"/>
          <w:szCs w:val="22"/>
        </w:rPr>
        <w:t>Para corroborar esta hipótesis se utilizará una estrategia de identificación de diferencias en diferencias, estimándose la siguiente ecuación:</w:t>
      </w:r>
    </w:p>
    <w:p>
      <w:pPr>
        <w:pStyle w:val="Paragraph"/>
        <w:numPr>
          <w:ilvl w:val="0"/>
          <w:numId w:val="0"/>
        </w:numPr>
        <w:spacing w:after="0"/>
        <w:ind w:left="720"/>
        <w:rPr>
          <w:rFonts w:ascii="Arial" w:hAnsi="Arial" w:cs="Arial"/>
          <w:sz w:val="22"/>
          <w:szCs w:val="22"/>
        </w:rPr>
      </w:pPr>
      <m:oMathPara>
        <m:oMath>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n,t</m:t>
                  </m:r>
                </m:sub>
              </m:sSub>
            </m:num>
            <m:den>
              <m:sSub>
                <m:sSubPr>
                  <m:ctrlPr>
                    <w:rPr>
                      <w:rFonts w:ascii="Cambria Math" w:hAnsi="Cambria Math" w:cs="Arial"/>
                      <w:i/>
                      <w:sz w:val="22"/>
                      <w:szCs w:val="22"/>
                    </w:rPr>
                  </m:ctrlPr>
                </m:sSubPr>
                <m:e>
                  <m:r>
                    <w:rPr>
                      <w:rFonts w:ascii="Cambria Math" w:hAnsi="Cambria Math" w:cs="Arial"/>
                      <w:sz w:val="22"/>
                      <w:szCs w:val="22"/>
                    </w:rPr>
                    <m:t>K</m:t>
                  </m:r>
                </m:e>
                <m:sub>
                  <m:r>
                    <w:rPr>
                      <w:rFonts w:ascii="Cambria Math" w:hAnsi="Cambria Math" w:cs="Arial"/>
                      <w:sz w:val="22"/>
                      <w:szCs w:val="22"/>
                    </w:rPr>
                    <m:t>n,t</m:t>
                  </m:r>
                </m:sub>
              </m:sSub>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α</m:t>
              </m:r>
            </m:e>
            <m:sub>
              <m:r>
                <w:rPr>
                  <w:rFonts w:ascii="Cambria Math" w:hAnsi="Cambria Math" w:cs="Arial"/>
                  <w:sz w:val="22"/>
                  <w:szCs w:val="22"/>
                </w:rPr>
                <m:t>n</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γ</m:t>
              </m:r>
            </m:e>
            <m:sub>
              <m:r>
                <w:rPr>
                  <w:rFonts w:ascii="Cambria Math" w:hAnsi="Cambria Math" w:cs="Arial"/>
                  <w:sz w:val="22"/>
                  <w:szCs w:val="22"/>
                </w:rPr>
                <m:t>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E</m:t>
              </m:r>
            </m:sub>
          </m:sSub>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n</m:t>
              </m:r>
            </m:sub>
          </m:sSub>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D</m:t>
              </m:r>
            </m:sub>
          </m:sSub>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n</m:t>
              </m:r>
            </m:sub>
          </m:sSub>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n,t</m:t>
              </m:r>
            </m:sub>
          </m:sSub>
        </m:oMath>
      </m:oMathPara>
    </w:p>
    <w:p>
      <w:pPr>
        <w:pStyle w:val="Paragraph"/>
        <w:numPr>
          <w:ilvl w:val="0"/>
          <w:numId w:val="0"/>
        </w:numPr>
        <w:spacing w:after="0"/>
        <w:ind w:left="720"/>
        <w:rPr>
          <w:rFonts w:ascii="Arial" w:hAnsi="Arial" w:cs="Arial"/>
          <w:sz w:val="22"/>
          <w:szCs w:val="22"/>
        </w:rPr>
      </w:pPr>
      <w:r>
        <w:rPr>
          <w:rFonts w:ascii="Arial" w:hAnsi="Arial" w:cs="Arial"/>
          <w:sz w:val="22"/>
          <w:szCs w:val="22"/>
        </w:rPr>
        <w:t xml:space="preserve">donde </w:t>
      </w:r>
      <m:oMath>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n,t</m:t>
            </m:r>
          </m:sub>
        </m:sSub>
      </m:oMath>
      <w:r>
        <w:rPr>
          <w:rFonts w:ascii="Arial" w:hAnsi="Arial"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K</m:t>
            </m:r>
          </m:e>
          <m:sub>
            <m:r>
              <w:rPr>
                <w:rFonts w:ascii="Cambria Math" w:hAnsi="Cambria Math" w:cs="Arial"/>
                <w:sz w:val="22"/>
                <w:szCs w:val="22"/>
              </w:rPr>
              <m:t>n,t</m:t>
            </m:r>
          </m:sub>
        </m:sSub>
      </m:oMath>
      <w:r>
        <w:rPr>
          <w:rFonts w:ascii="Arial" w:hAnsi="Arial" w:cs="Arial"/>
          <w:sz w:val="22"/>
          <w:szCs w:val="22"/>
        </w:rPr>
        <w:t xml:space="preserve"> son, respectivamente, el monto total de inversión y el stock de capital en una industria </w:t>
      </w:r>
      <w:r>
        <w:rPr>
          <w:rFonts w:ascii="Arial" w:hAnsi="Arial" w:cs="Arial"/>
          <w:i/>
          <w:sz w:val="22"/>
          <w:szCs w:val="22"/>
        </w:rPr>
        <w:t>n</w:t>
      </w:r>
      <w:r>
        <w:rPr>
          <w:rFonts w:ascii="Arial" w:hAnsi="Arial" w:cs="Arial"/>
          <w:sz w:val="22"/>
          <w:szCs w:val="22"/>
        </w:rPr>
        <w:t xml:space="preserve"> en el año </w:t>
      </w:r>
      <w:r>
        <w:rPr>
          <w:rFonts w:ascii="Arial" w:hAnsi="Arial" w:cs="Arial"/>
          <w:i/>
          <w:sz w:val="22"/>
          <w:szCs w:val="22"/>
        </w:rPr>
        <w:t xml:space="preserve">t; </w:t>
      </w:r>
      <m:oMath>
        <m:sSub>
          <m:sSubPr>
            <m:ctrlPr>
              <w:rPr>
                <w:rFonts w:ascii="Cambria Math" w:hAnsi="Cambria Math" w:cs="Arial"/>
                <w:i/>
                <w:sz w:val="22"/>
                <w:szCs w:val="22"/>
              </w:rPr>
            </m:ctrlPr>
          </m:sSubPr>
          <m:e>
            <m:r>
              <w:rPr>
                <w:rFonts w:ascii="Cambria Math" w:hAnsi="Cambria Math" w:cs="Arial"/>
                <w:sz w:val="22"/>
                <w:szCs w:val="22"/>
              </w:rPr>
              <m:t>α</m:t>
            </m:r>
          </m:e>
          <m:sub>
            <m:r>
              <w:rPr>
                <w:rFonts w:ascii="Cambria Math" w:hAnsi="Cambria Math" w:cs="Arial"/>
                <w:sz w:val="22"/>
                <w:szCs w:val="22"/>
              </w:rPr>
              <m:t>n</m:t>
            </m:r>
          </m:sub>
        </m:sSub>
      </m:oMath>
      <w:r>
        <w:rPr>
          <w:rFonts w:ascii="Arial" w:hAnsi="Arial"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γ</m:t>
            </m:r>
          </m:e>
          <m:sub>
            <m:r>
              <w:rPr>
                <w:rFonts w:ascii="Cambria Math" w:hAnsi="Cambria Math" w:cs="Arial"/>
                <w:sz w:val="22"/>
                <w:szCs w:val="22"/>
              </w:rPr>
              <m:t>t</m:t>
            </m:r>
          </m:sub>
        </m:sSub>
      </m:oMath>
      <w:r>
        <w:rPr>
          <w:rFonts w:ascii="Arial" w:hAnsi="Arial" w:cs="Arial"/>
          <w:sz w:val="22"/>
          <w:szCs w:val="22"/>
        </w:rPr>
        <w:t xml:space="preserve"> son efectos fijos por industria y por año; </w:t>
      </w: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n</m:t>
            </m:r>
          </m:sub>
        </m:sSub>
      </m:oMath>
      <w:r>
        <w:rPr>
          <w:rFonts w:ascii="Arial" w:hAnsi="Arial" w:cs="Arial"/>
          <w:sz w:val="22"/>
          <w:szCs w:val="22"/>
        </w:rPr>
        <w:t xml:space="preserve"> representa la dependencia en financiamiento externo de una industria n, de acuerdo a la medición realizada por Rajan y Zingales (1998); </w:t>
      </w:r>
      <m:oMath>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t</m:t>
            </m:r>
          </m:sub>
        </m:sSub>
      </m:oMath>
      <w:r>
        <w:rPr>
          <w:rFonts w:ascii="Arial" w:hAnsi="Arial" w:cs="Arial"/>
          <w:sz w:val="22"/>
          <w:szCs w:val="22"/>
        </w:rPr>
        <w:t xml:space="preserve"> es una variable dummy que toma el valor uno para los años después de las reformas introducidas;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n</m:t>
            </m:r>
          </m:sub>
        </m:sSub>
      </m:oMath>
      <w:r>
        <w:rPr>
          <w:rFonts w:ascii="Arial" w:hAnsi="Arial" w:cs="Arial"/>
          <w:sz w:val="22"/>
          <w:szCs w:val="22"/>
        </w:rPr>
        <w:t xml:space="preserve"> son variables de control. Finalmente, </w:t>
      </w:r>
      <m:oMath>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n,t</m:t>
            </m:r>
          </m:sub>
        </m:sSub>
      </m:oMath>
      <w:r>
        <w:rPr>
          <w:rFonts w:ascii="Arial" w:hAnsi="Arial" w:cs="Arial"/>
          <w:sz w:val="22"/>
          <w:szCs w:val="22"/>
        </w:rPr>
        <w:t xml:space="preserve"> es el término de error. El coeficiente de interés en esta regresión es </w:t>
      </w:r>
      <m:oMath>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E</m:t>
            </m:r>
          </m:sub>
        </m:sSub>
      </m:oMath>
      <w:r>
        <w:rPr>
          <w:rFonts w:ascii="Arial" w:hAnsi="Arial" w:cs="Arial"/>
          <w:sz w:val="22"/>
          <w:szCs w:val="22"/>
        </w:rPr>
        <w:t>, que mide en qué medida la ratio de inversión a capital es mayor para industrias que son más dependiente del financiamiento externo en los años posteriores a la reforma.</w:t>
      </w:r>
    </w:p>
    <w:p>
      <w:pPr>
        <w:pStyle w:val="Paragraph"/>
        <w:numPr>
          <w:ilvl w:val="0"/>
          <w:numId w:val="0"/>
        </w:numPr>
        <w:spacing w:after="0"/>
        <w:ind w:left="720"/>
        <w:rPr>
          <w:rFonts w:ascii="Arial" w:hAnsi="Arial" w:cs="Arial"/>
          <w:sz w:val="22"/>
          <w:szCs w:val="22"/>
        </w:rPr>
      </w:pPr>
      <w:r>
        <w:rPr>
          <w:rFonts w:ascii="Arial" w:hAnsi="Arial" w:cs="Arial"/>
          <w:sz w:val="22"/>
          <w:szCs w:val="22"/>
        </w:rPr>
        <w:t xml:space="preserve">Para estimar esta ecuación se utilizará información agregada a nivel de industria, utilizando la agrupación a dos dígitos del Internacional Standard Industrial Classification of All Economic Activities (ISIC). De considerarse conveniente, la ecuación anteriormente presentada podrá estimarse a nivel de empresa, en vez de a nivel de industria. La información provendrá de la Encuesta Industrial Anual, producida por el INDEC y se espera abarque los años 2013 a 2020. </w:t>
      </w:r>
    </w:p>
    <w:p>
      <w:pPr>
        <w:pStyle w:val="FirstHeading"/>
        <w:spacing w:before="240" w:after="0"/>
        <w:rPr>
          <w:rFonts w:ascii="Arial" w:hAnsi="Arial" w:cs="Arial"/>
          <w:noProof/>
          <w:sz w:val="22"/>
          <w:szCs w:val="22"/>
        </w:rPr>
      </w:pPr>
      <w:r>
        <w:rPr>
          <w:rFonts w:ascii="Arial" w:hAnsi="Arial" w:cs="Arial"/>
          <w:sz w:val="22"/>
          <w:szCs w:val="22"/>
        </w:rPr>
        <w:t>E.</w:t>
      </w:r>
      <w:r>
        <w:rPr>
          <w:rFonts w:ascii="Arial" w:hAnsi="Arial" w:cs="Arial"/>
          <w:sz w:val="22"/>
          <w:szCs w:val="22"/>
        </w:rPr>
        <w:tab/>
        <w:t>Coordinación, Plan de Trabajo y Presupuesto de la Evaluación</w:t>
      </w:r>
    </w:p>
    <w:p>
      <w:pPr>
        <w:pStyle w:val="Paragraph"/>
        <w:spacing w:after="0"/>
        <w:rPr>
          <w:rFonts w:ascii="Arial" w:hAnsi="Arial" w:cs="Arial"/>
          <w:sz w:val="22"/>
          <w:szCs w:val="22"/>
        </w:rPr>
      </w:pPr>
      <w:r>
        <w:rPr>
          <w:rFonts w:ascii="Arial" w:hAnsi="Arial" w:cs="Arial"/>
          <w:sz w:val="22"/>
          <w:szCs w:val="22"/>
        </w:rPr>
        <w:t xml:space="preserve">Este plan de evaluación será ejecutado por el BID en estrecha coordinación con el equipo del </w:t>
      </w:r>
      <w:r>
        <w:rPr>
          <w:rFonts w:ascii="Arial" w:eastAsia="Arial Unicode MS" w:hAnsi="Arial" w:cs="Arial"/>
          <w:sz w:val="22"/>
          <w:szCs w:val="22"/>
        </w:rPr>
        <w:t>MH</w:t>
      </w:r>
      <w:r>
        <w:rPr>
          <w:rFonts w:ascii="Arial" w:hAnsi="Arial" w:cs="Arial"/>
          <w:sz w:val="22"/>
          <w:szCs w:val="22"/>
        </w:rPr>
        <w:t xml:space="preserve">. Los plazos y el presupuesto asignado a cada una de las </w:t>
      </w:r>
      <w:r>
        <w:rPr>
          <w:rFonts w:ascii="Arial" w:hAnsi="Arial" w:cs="Arial"/>
          <w:sz w:val="22"/>
          <w:szCs w:val="22"/>
        </w:rPr>
        <w:lastRenderedPageBreak/>
        <w:t>evaluaciones de impacto y su fuente de financiamiento se detallan en el Cuadro 3</w:t>
      </w:r>
      <w:r>
        <w:rPr>
          <w:rFonts w:ascii="Arial" w:hAnsi="Arial" w:cs="Arial"/>
          <w:sz w:val="22"/>
          <w:szCs w:val="22"/>
          <w:lang w:val="es-ES_tradnl"/>
        </w:rPr>
        <w:t xml:space="preserve">. </w:t>
      </w:r>
    </w:p>
    <w:p>
      <w:pPr>
        <w:spacing w:before="240" w:after="40"/>
        <w:jc w:val="center"/>
        <w:rPr>
          <w:rFonts w:ascii="Arial" w:hAnsi="Arial" w:cs="Arial"/>
          <w:b/>
          <w:sz w:val="22"/>
          <w:szCs w:val="22"/>
          <w:lang w:val="es-ES"/>
        </w:rPr>
      </w:pPr>
      <w:r>
        <w:rPr>
          <w:rFonts w:ascii="Arial" w:hAnsi="Arial" w:cs="Arial"/>
          <w:b/>
          <w:sz w:val="22"/>
          <w:szCs w:val="22"/>
          <w:lang w:val="es-ES"/>
        </w:rPr>
        <w:t xml:space="preserve">Cuadro 3: </w:t>
      </w:r>
      <w:r>
        <w:rPr>
          <w:rFonts w:ascii="Arial" w:hAnsi="Arial" w:cs="Arial"/>
          <w:b/>
          <w:bCs/>
          <w:color w:val="000000"/>
          <w:sz w:val="22"/>
          <w:szCs w:val="22"/>
          <w:lang w:val="es-ES"/>
        </w:rPr>
        <w:t>Principales actividades de evaluación</w:t>
      </w:r>
    </w:p>
    <w:tbl>
      <w:tblPr>
        <w:tblW w:w="8464" w:type="dxa"/>
        <w:jc w:val="center"/>
        <w:tblLayout w:type="fixed"/>
        <w:tblLook w:val="04A0" w:firstRow="1" w:lastRow="0" w:firstColumn="1" w:lastColumn="0" w:noHBand="0" w:noVBand="1"/>
      </w:tblPr>
      <w:tblGrid>
        <w:gridCol w:w="3060"/>
        <w:gridCol w:w="720"/>
        <w:gridCol w:w="720"/>
        <w:gridCol w:w="720"/>
        <w:gridCol w:w="1080"/>
        <w:gridCol w:w="990"/>
        <w:gridCol w:w="1174"/>
      </w:tblGrid>
      <w:tr>
        <w:trPr>
          <w:trHeight w:val="315"/>
          <w:tblHeader/>
          <w:jc w:val="center"/>
        </w:trPr>
        <w:tc>
          <w:tcPr>
            <w:tcW w:w="306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720" w:type="dxa"/>
            <w:vMerge w:val="restart"/>
            <w:tcBorders>
              <w:top w:val="single" w:sz="8" w:space="0" w:color="000000"/>
              <w:left w:val="nil"/>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2018</w:t>
            </w:r>
          </w:p>
        </w:tc>
        <w:tc>
          <w:tcPr>
            <w:tcW w:w="720" w:type="dxa"/>
            <w:vMerge w:val="restart"/>
            <w:tcBorders>
              <w:top w:val="single" w:sz="8" w:space="0" w:color="000000"/>
              <w:left w:val="single" w:sz="8" w:space="0" w:color="000000"/>
              <w:right w:val="single" w:sz="8" w:space="0" w:color="000000"/>
            </w:tcBorders>
            <w:shd w:val="clear" w:color="000000" w:fill="8DB3E2"/>
          </w:tcPr>
          <w:p>
            <w:pPr>
              <w:jc w:val="center"/>
              <w:rPr>
                <w:rFonts w:ascii="Arial" w:hAnsi="Arial" w:cs="Arial"/>
                <w:b/>
                <w:bCs/>
                <w:color w:val="000000"/>
                <w:sz w:val="20"/>
                <w:lang w:val="es-ES"/>
              </w:rPr>
            </w:pPr>
          </w:p>
          <w:p>
            <w:pPr>
              <w:rPr>
                <w:rFonts w:ascii="Arial" w:hAnsi="Arial" w:cs="Arial"/>
                <w:b/>
                <w:bCs/>
                <w:color w:val="000000"/>
                <w:sz w:val="12"/>
                <w:szCs w:val="12"/>
                <w:lang w:val="es-ES"/>
              </w:rPr>
            </w:pPr>
          </w:p>
          <w:p>
            <w:pPr>
              <w:jc w:val="center"/>
              <w:rPr>
                <w:rFonts w:ascii="Arial" w:hAnsi="Arial" w:cs="Arial"/>
                <w:b/>
                <w:bCs/>
                <w:color w:val="000000"/>
                <w:sz w:val="20"/>
                <w:lang w:val="es-ES"/>
              </w:rPr>
            </w:pPr>
            <w:r>
              <w:rPr>
                <w:rFonts w:ascii="Arial" w:hAnsi="Arial" w:cs="Arial"/>
                <w:b/>
                <w:bCs/>
                <w:color w:val="000000"/>
                <w:sz w:val="20"/>
                <w:lang w:val="es-ES"/>
              </w:rPr>
              <w:t>2019</w:t>
            </w:r>
          </w:p>
        </w:tc>
        <w:tc>
          <w:tcPr>
            <w:tcW w:w="720" w:type="dxa"/>
            <w:vMerge w:val="restart"/>
            <w:tcBorders>
              <w:top w:val="single" w:sz="8" w:space="0" w:color="000000"/>
              <w:left w:val="single" w:sz="8" w:space="0" w:color="000000"/>
              <w:right w:val="single" w:sz="8" w:space="0" w:color="000000"/>
            </w:tcBorders>
            <w:shd w:val="clear" w:color="000000" w:fill="8DB3E2"/>
            <w:vAlign w:val="center"/>
          </w:tcPr>
          <w:p>
            <w:pPr>
              <w:jc w:val="center"/>
              <w:rPr>
                <w:rFonts w:ascii="Arial" w:hAnsi="Arial" w:cs="Arial"/>
                <w:b/>
                <w:bCs/>
                <w:color w:val="000000"/>
                <w:sz w:val="20"/>
                <w:lang w:val="es-ES"/>
              </w:rPr>
            </w:pPr>
            <w:r>
              <w:rPr>
                <w:rFonts w:ascii="Arial" w:hAnsi="Arial" w:cs="Arial"/>
                <w:b/>
                <w:bCs/>
                <w:color w:val="000000"/>
                <w:sz w:val="20"/>
                <w:lang w:val="es-ES"/>
              </w:rPr>
              <w:t>2020</w:t>
            </w:r>
          </w:p>
        </w:tc>
        <w:tc>
          <w:tcPr>
            <w:tcW w:w="108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Respon-sable</w:t>
            </w:r>
          </w:p>
        </w:tc>
        <w:tc>
          <w:tcPr>
            <w:tcW w:w="990" w:type="dxa"/>
            <w:tcBorders>
              <w:top w:val="single" w:sz="8" w:space="0" w:color="000000"/>
              <w:left w:val="nil"/>
              <w:bottom w:val="nil"/>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Costo</w:t>
            </w:r>
          </w:p>
        </w:tc>
        <w:tc>
          <w:tcPr>
            <w:tcW w:w="1174"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Financia-miento</w:t>
            </w:r>
          </w:p>
        </w:tc>
      </w:tr>
      <w:tr>
        <w:trPr>
          <w:trHeight w:val="645"/>
          <w:tblHeader/>
          <w:jc w:val="center"/>
        </w:trPr>
        <w:tc>
          <w:tcPr>
            <w:tcW w:w="3060" w:type="dxa"/>
            <w:vMerge/>
            <w:tcBorders>
              <w:top w:val="single" w:sz="8" w:space="0" w:color="000000"/>
              <w:left w:val="single" w:sz="8" w:space="0" w:color="000000"/>
              <w:bottom w:val="single" w:sz="8" w:space="0" w:color="000000"/>
              <w:right w:val="single" w:sz="8" w:space="0" w:color="000000"/>
            </w:tcBorders>
            <w:vAlign w:val="center"/>
            <w:hideMark/>
          </w:tcPr>
          <w:p>
            <w:pPr>
              <w:rPr>
                <w:rFonts w:ascii="Arial" w:hAnsi="Arial" w:cs="Arial"/>
                <w:b/>
                <w:bCs/>
                <w:color w:val="000000"/>
                <w:sz w:val="20"/>
                <w:lang w:val="en-US"/>
              </w:rPr>
            </w:pPr>
          </w:p>
        </w:tc>
        <w:tc>
          <w:tcPr>
            <w:tcW w:w="720" w:type="dxa"/>
            <w:vMerge/>
            <w:tcBorders>
              <w:left w:val="nil"/>
              <w:bottom w:val="single" w:sz="8" w:space="0" w:color="000000"/>
              <w:right w:val="single" w:sz="8" w:space="0" w:color="000000"/>
            </w:tcBorders>
            <w:shd w:val="clear" w:color="000000" w:fill="C6D9F1"/>
            <w:vAlign w:val="center"/>
          </w:tcPr>
          <w:p>
            <w:pPr>
              <w:jc w:val="center"/>
              <w:rPr>
                <w:rFonts w:ascii="Arial" w:hAnsi="Arial" w:cs="Arial"/>
                <w:b/>
                <w:bCs/>
                <w:color w:val="000000"/>
                <w:sz w:val="20"/>
                <w:lang w:val="en-US"/>
              </w:rPr>
            </w:pPr>
          </w:p>
        </w:tc>
        <w:tc>
          <w:tcPr>
            <w:tcW w:w="720" w:type="dxa"/>
            <w:vMerge/>
            <w:tcBorders>
              <w:left w:val="single" w:sz="8" w:space="0" w:color="000000"/>
              <w:bottom w:val="single" w:sz="8" w:space="0" w:color="000000"/>
              <w:right w:val="single" w:sz="8" w:space="0" w:color="000000"/>
            </w:tcBorders>
          </w:tcPr>
          <w:p>
            <w:pPr>
              <w:rPr>
                <w:rFonts w:ascii="Arial" w:hAnsi="Arial" w:cs="Arial"/>
                <w:b/>
                <w:bCs/>
                <w:color w:val="000000"/>
                <w:sz w:val="20"/>
                <w:lang w:val="en-US"/>
              </w:rPr>
            </w:pPr>
          </w:p>
        </w:tc>
        <w:tc>
          <w:tcPr>
            <w:tcW w:w="720" w:type="dxa"/>
            <w:vMerge/>
            <w:tcBorders>
              <w:left w:val="single" w:sz="8" w:space="0" w:color="000000"/>
              <w:bottom w:val="single" w:sz="8" w:space="0" w:color="000000"/>
              <w:right w:val="single" w:sz="8" w:space="0" w:color="000000"/>
            </w:tcBorders>
          </w:tcPr>
          <w:p>
            <w:pPr>
              <w:rPr>
                <w:rFonts w:ascii="Arial" w:hAnsi="Arial" w:cs="Arial"/>
                <w:b/>
                <w:bCs/>
                <w:color w:val="000000"/>
                <w:sz w:val="20"/>
                <w:lang w:val="en-US"/>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pPr>
              <w:rPr>
                <w:rFonts w:ascii="Arial" w:hAnsi="Arial" w:cs="Arial"/>
                <w:b/>
                <w:bCs/>
                <w:color w:val="000000"/>
                <w:sz w:val="20"/>
                <w:lang w:val="en-US"/>
              </w:rPr>
            </w:pPr>
          </w:p>
        </w:tc>
        <w:tc>
          <w:tcPr>
            <w:tcW w:w="990" w:type="dxa"/>
            <w:tcBorders>
              <w:top w:val="nil"/>
              <w:left w:val="nil"/>
              <w:bottom w:val="single" w:sz="8" w:space="0" w:color="000000"/>
              <w:right w:val="single" w:sz="8" w:space="0" w:color="000000"/>
            </w:tcBorders>
            <w:shd w:val="clear" w:color="000000" w:fill="8DB3E2"/>
            <w:vAlign w:val="center"/>
            <w:hideMark/>
          </w:tcPr>
          <w:p>
            <w:pPr>
              <w:jc w:val="center"/>
              <w:rPr>
                <w:rFonts w:ascii="Arial" w:hAnsi="Arial" w:cs="Arial"/>
                <w:b/>
                <w:bCs/>
                <w:color w:val="000000"/>
                <w:sz w:val="20"/>
                <w:lang w:val="en-US"/>
              </w:rPr>
            </w:pPr>
            <w:r>
              <w:rPr>
                <w:rFonts w:ascii="Arial" w:hAnsi="Arial" w:cs="Arial"/>
                <w:b/>
                <w:bCs/>
                <w:color w:val="000000"/>
                <w:sz w:val="20"/>
                <w:lang w:val="es-ES"/>
              </w:rPr>
              <w:t>US$</w:t>
            </w:r>
          </w:p>
        </w:tc>
        <w:tc>
          <w:tcPr>
            <w:tcW w:w="1174" w:type="dxa"/>
            <w:vMerge/>
            <w:tcBorders>
              <w:top w:val="single" w:sz="8" w:space="0" w:color="000000"/>
              <w:left w:val="single" w:sz="8" w:space="0" w:color="000000"/>
              <w:bottom w:val="single" w:sz="8" w:space="0" w:color="000000"/>
              <w:right w:val="single" w:sz="8" w:space="0" w:color="000000"/>
            </w:tcBorders>
            <w:vAlign w:val="center"/>
            <w:hideMark/>
          </w:tcPr>
          <w:p>
            <w:pPr>
              <w:rPr>
                <w:rFonts w:ascii="Arial" w:hAnsi="Arial" w:cs="Arial"/>
                <w:b/>
                <w:bCs/>
                <w:color w:val="000000"/>
                <w:sz w:val="20"/>
                <w:lang w:val="en-US"/>
              </w:rPr>
            </w:pPr>
          </w:p>
        </w:tc>
      </w:tr>
      <w:tr>
        <w:trPr>
          <w:trHeight w:val="525"/>
          <w:jc w:val="center"/>
        </w:trPr>
        <w:tc>
          <w:tcPr>
            <w:tcW w:w="3060" w:type="dxa"/>
            <w:tcBorders>
              <w:top w:val="nil"/>
              <w:left w:val="single" w:sz="8" w:space="0" w:color="000000"/>
              <w:bottom w:val="single" w:sz="8" w:space="0" w:color="000000"/>
              <w:right w:val="single" w:sz="8" w:space="0" w:color="000000"/>
            </w:tcBorders>
            <w:shd w:val="clear" w:color="auto" w:fill="auto"/>
            <w:vAlign w:val="center"/>
            <w:hideMark/>
          </w:tcPr>
          <w:p>
            <w:pPr>
              <w:rPr>
                <w:rFonts w:ascii="Arial" w:hAnsi="Arial" w:cs="Arial"/>
                <w:color w:val="000000"/>
                <w:sz w:val="20"/>
                <w:lang w:val="es-ES"/>
              </w:rPr>
            </w:pPr>
            <w:r>
              <w:rPr>
                <w:rFonts w:ascii="Arial" w:hAnsi="Arial" w:cs="Arial"/>
                <w:color w:val="000000"/>
                <w:sz w:val="20"/>
                <w:lang w:val="es-ES"/>
              </w:rPr>
              <w:t xml:space="preserve">Evaluación ex–post del Programa </w:t>
            </w:r>
          </w:p>
        </w:tc>
        <w:tc>
          <w:tcPr>
            <w:tcW w:w="720" w:type="dxa"/>
            <w:tcBorders>
              <w:top w:val="nil"/>
              <w:left w:val="single" w:sz="8" w:space="0" w:color="000000"/>
              <w:bottom w:val="single" w:sz="8" w:space="0" w:color="000000"/>
              <w:right w:val="single" w:sz="8" w:space="0" w:color="000000"/>
            </w:tcBorders>
            <w:shd w:val="clear" w:color="auto" w:fill="auto"/>
            <w:vAlign w:val="center"/>
          </w:tcPr>
          <w:p>
            <w:pPr>
              <w:jc w:val="right"/>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tcPr>
          <w:p>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pPr>
              <w:jc w:val="center"/>
              <w:rPr>
                <w:rFonts w:ascii="Arial" w:hAnsi="Arial" w:cs="Arial"/>
                <w:color w:val="000000"/>
                <w:sz w:val="20"/>
                <w:lang w:val="es-ES"/>
              </w:rPr>
            </w:pPr>
            <w:r>
              <w:rPr>
                <w:rFonts w:ascii="Arial" w:hAnsi="Arial" w:cs="Arial"/>
                <w:color w:val="000000"/>
                <w:sz w:val="20"/>
                <w:lang w:val="es-ES"/>
              </w:rPr>
              <w:t>1</w:t>
            </w:r>
          </w:p>
        </w:tc>
        <w:tc>
          <w:tcPr>
            <w:tcW w:w="1080" w:type="dxa"/>
            <w:tcBorders>
              <w:top w:val="nil"/>
              <w:left w:val="single" w:sz="8" w:space="0" w:color="000000"/>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pPr>
              <w:jc w:val="right"/>
              <w:rPr>
                <w:rFonts w:ascii="Arial" w:hAnsi="Arial" w:cs="Arial"/>
                <w:color w:val="000000"/>
                <w:sz w:val="20"/>
                <w:lang w:val="en-US"/>
              </w:rPr>
            </w:pPr>
            <w:r>
              <w:rPr>
                <w:rFonts w:ascii="Arial" w:hAnsi="Arial" w:cs="Arial"/>
                <w:color w:val="000000"/>
                <w:sz w:val="20"/>
                <w:lang w:val="en-US"/>
              </w:rPr>
              <w:t>10,000</w:t>
            </w:r>
          </w:p>
        </w:tc>
        <w:tc>
          <w:tcPr>
            <w:tcW w:w="1174" w:type="dxa"/>
            <w:tcBorders>
              <w:top w:val="nil"/>
              <w:left w:val="nil"/>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n-US"/>
              </w:rPr>
              <w:t>BID</w:t>
            </w:r>
          </w:p>
        </w:tc>
      </w:tr>
      <w:tr>
        <w:trPr>
          <w:trHeight w:val="525"/>
          <w:jc w:val="center"/>
        </w:trPr>
        <w:tc>
          <w:tcPr>
            <w:tcW w:w="3060" w:type="dxa"/>
            <w:tcBorders>
              <w:top w:val="nil"/>
              <w:left w:val="single" w:sz="8" w:space="0" w:color="000000"/>
              <w:bottom w:val="single" w:sz="8" w:space="0" w:color="000000"/>
              <w:right w:val="single" w:sz="8" w:space="0" w:color="000000"/>
            </w:tcBorders>
            <w:shd w:val="clear" w:color="auto" w:fill="auto"/>
            <w:vAlign w:val="center"/>
            <w:hideMark/>
          </w:tcPr>
          <w:p>
            <w:pPr>
              <w:rPr>
                <w:rFonts w:ascii="Arial" w:hAnsi="Arial" w:cs="Arial"/>
                <w:color w:val="000000"/>
                <w:sz w:val="20"/>
                <w:lang w:val="es-ES"/>
              </w:rPr>
            </w:pPr>
            <w:r>
              <w:rPr>
                <w:rFonts w:ascii="Arial" w:hAnsi="Arial" w:cs="Arial"/>
                <w:color w:val="000000"/>
                <w:sz w:val="20"/>
                <w:lang w:val="es-ES"/>
              </w:rPr>
              <w:t xml:space="preserve">Evaluaciones de medidas específicas del Programa </w:t>
            </w:r>
          </w:p>
        </w:tc>
        <w:tc>
          <w:tcPr>
            <w:tcW w:w="720" w:type="dxa"/>
            <w:tcBorders>
              <w:top w:val="nil"/>
              <w:left w:val="single" w:sz="8" w:space="0" w:color="000000"/>
              <w:bottom w:val="single" w:sz="8" w:space="0" w:color="000000"/>
              <w:right w:val="single" w:sz="8" w:space="0" w:color="000000"/>
            </w:tcBorders>
            <w:shd w:val="clear" w:color="auto" w:fill="auto"/>
            <w:vAlign w:val="center"/>
          </w:tcPr>
          <w:p>
            <w:pPr>
              <w:jc w:val="right"/>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tcPr>
          <w:p>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pPr>
              <w:jc w:val="center"/>
              <w:rPr>
                <w:rFonts w:ascii="Arial" w:hAnsi="Arial" w:cs="Arial"/>
                <w:color w:val="000000"/>
                <w:sz w:val="20"/>
                <w:lang w:val="es-ES"/>
              </w:rPr>
            </w:pPr>
            <w:r>
              <w:rPr>
                <w:rFonts w:ascii="Arial" w:hAnsi="Arial" w:cs="Arial"/>
                <w:color w:val="000000"/>
                <w:sz w:val="20"/>
                <w:lang w:val="es-ES"/>
              </w:rPr>
              <w:t>1</w:t>
            </w:r>
          </w:p>
        </w:tc>
        <w:tc>
          <w:tcPr>
            <w:tcW w:w="1080" w:type="dxa"/>
            <w:tcBorders>
              <w:top w:val="nil"/>
              <w:left w:val="single" w:sz="8" w:space="0" w:color="000000"/>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pPr>
              <w:jc w:val="right"/>
              <w:rPr>
                <w:rFonts w:ascii="Arial" w:hAnsi="Arial" w:cs="Arial"/>
                <w:color w:val="000000"/>
                <w:sz w:val="20"/>
                <w:lang w:val="en-US"/>
              </w:rPr>
            </w:pPr>
            <w:r>
              <w:rPr>
                <w:rFonts w:ascii="Arial" w:hAnsi="Arial" w:cs="Arial"/>
                <w:color w:val="000000"/>
                <w:sz w:val="20"/>
                <w:lang w:val="en-US"/>
              </w:rPr>
              <w:t>35,000</w:t>
            </w:r>
          </w:p>
        </w:tc>
        <w:tc>
          <w:tcPr>
            <w:tcW w:w="1174" w:type="dxa"/>
            <w:tcBorders>
              <w:top w:val="nil"/>
              <w:left w:val="nil"/>
              <w:bottom w:val="single" w:sz="8" w:space="0" w:color="000000"/>
              <w:right w:val="single" w:sz="8" w:space="0" w:color="000000"/>
            </w:tcBorders>
            <w:shd w:val="clear" w:color="auto" w:fill="auto"/>
            <w:vAlign w:val="center"/>
            <w:hideMark/>
          </w:tcPr>
          <w:p>
            <w:pPr>
              <w:jc w:val="center"/>
              <w:rPr>
                <w:rFonts w:ascii="Arial" w:hAnsi="Arial" w:cs="Arial"/>
                <w:color w:val="000000"/>
                <w:sz w:val="20"/>
                <w:lang w:val="en-US"/>
              </w:rPr>
            </w:pPr>
            <w:r>
              <w:rPr>
                <w:rFonts w:ascii="Arial" w:hAnsi="Arial" w:cs="Arial"/>
                <w:color w:val="000000"/>
                <w:sz w:val="20"/>
                <w:lang w:val="en-US"/>
              </w:rPr>
              <w:t>BID</w:t>
            </w:r>
          </w:p>
        </w:tc>
      </w:tr>
      <w:tr>
        <w:trPr>
          <w:trHeight w:val="525"/>
          <w:jc w:val="center"/>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pPr>
              <w:rPr>
                <w:rFonts w:ascii="Arial" w:hAnsi="Arial" w:cs="Arial"/>
                <w:b/>
                <w:color w:val="000000"/>
                <w:sz w:val="20"/>
                <w:lang w:val="es-ES"/>
              </w:rPr>
            </w:pPr>
            <w:r>
              <w:rPr>
                <w:rFonts w:ascii="Arial" w:hAnsi="Arial" w:cs="Arial"/>
                <w:b/>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right"/>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tcPr>
          <w:p>
            <w:pPr>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pPr>
              <w:rPr>
                <w:rFonts w:ascii="Arial" w:hAnsi="Arial" w:cs="Arial"/>
                <w:b/>
                <w:color w:val="000000"/>
                <w:sz w:val="20"/>
                <w:lang w:val="es-ES"/>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center"/>
              <w:rPr>
                <w:rFonts w:ascii="Arial" w:hAnsi="Arial" w:cs="Arial"/>
                <w:b/>
                <w:color w:val="000000"/>
                <w:sz w:val="20"/>
                <w:lang w:val="es-ES"/>
              </w:rPr>
            </w:pP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right"/>
              <w:rPr>
                <w:rFonts w:ascii="Arial" w:hAnsi="Arial" w:cs="Arial"/>
                <w:b/>
                <w:color w:val="000000"/>
                <w:sz w:val="20"/>
                <w:lang w:val="en-US"/>
              </w:rPr>
            </w:pPr>
            <w:r>
              <w:rPr>
                <w:rFonts w:ascii="Arial" w:hAnsi="Arial" w:cs="Arial"/>
                <w:b/>
                <w:color w:val="000000"/>
                <w:sz w:val="20"/>
                <w:lang w:val="en-US"/>
              </w:rPr>
              <w:t>45,000</w:t>
            </w:r>
          </w:p>
        </w:tc>
        <w:tc>
          <w:tcPr>
            <w:tcW w:w="1174"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center"/>
              <w:rPr>
                <w:rFonts w:ascii="Arial" w:hAnsi="Arial" w:cs="Arial"/>
                <w:color w:val="000000"/>
                <w:sz w:val="20"/>
                <w:lang w:val="en-US"/>
              </w:rPr>
            </w:pPr>
            <w:r>
              <w:rPr>
                <w:rFonts w:ascii="Arial" w:hAnsi="Arial" w:cs="Arial"/>
                <w:color w:val="000000"/>
                <w:sz w:val="20"/>
                <w:lang w:val="en-US"/>
              </w:rPr>
              <w:t>BID</w:t>
            </w:r>
          </w:p>
        </w:tc>
      </w:tr>
    </w:tbl>
    <w:p>
      <w:pPr>
        <w:spacing w:after="200" w:line="276" w:lineRule="auto"/>
        <w:rPr>
          <w:rFonts w:ascii="Arial" w:hAnsi="Arial" w:cs="Arial"/>
          <w:b/>
          <w:sz w:val="22"/>
          <w:szCs w:val="22"/>
          <w:lang w:val="es-ES"/>
        </w:rPr>
      </w:pPr>
    </w:p>
    <w:p>
      <w:pPr>
        <w:pStyle w:val="Paragraph"/>
        <w:numPr>
          <w:ilvl w:val="0"/>
          <w:numId w:val="0"/>
        </w:numPr>
        <w:spacing w:after="0"/>
        <w:rPr>
          <w:rFonts w:ascii="Arial" w:hAnsi="Arial" w:cs="Arial"/>
          <w:sz w:val="22"/>
          <w:szCs w:val="22"/>
        </w:rPr>
      </w:pPr>
    </w:p>
    <w:p>
      <w:pPr>
        <w:spacing w:after="200" w:line="276" w:lineRule="auto"/>
        <w:rPr>
          <w:lang w:val="es-ES"/>
        </w:rPr>
      </w:pPr>
      <w:r>
        <w:rPr>
          <w:lang w:val="es-ES"/>
        </w:rPr>
        <w:br w:type="page"/>
      </w:r>
    </w:p>
    <w:p>
      <w:pPr>
        <w:spacing w:after="120" w:line="276" w:lineRule="auto"/>
        <w:rPr>
          <w:rFonts w:ascii="Arial" w:hAnsi="Arial" w:cs="Arial"/>
          <w:b/>
          <w:sz w:val="22"/>
          <w:szCs w:val="22"/>
          <w:lang w:val="es-MX"/>
        </w:rPr>
      </w:pPr>
      <w:r>
        <w:rPr>
          <w:rFonts w:ascii="Arial" w:hAnsi="Arial" w:cs="Arial"/>
          <w:b/>
          <w:sz w:val="22"/>
          <w:szCs w:val="22"/>
          <w:lang w:val="es-MX"/>
        </w:rPr>
        <w:lastRenderedPageBreak/>
        <w:t>Referencias</w:t>
      </w:r>
    </w:p>
    <w:p>
      <w:pPr>
        <w:spacing w:after="60"/>
        <w:ind w:left="720" w:hanging="720"/>
        <w:jc w:val="both"/>
        <w:rPr>
          <w:rFonts w:ascii="Arial" w:hAnsi="Arial" w:cs="Arial"/>
          <w:sz w:val="22"/>
          <w:szCs w:val="22"/>
          <w:lang w:val="en-US"/>
        </w:rPr>
      </w:pPr>
      <w:r>
        <w:rPr>
          <w:rFonts w:ascii="Arial" w:hAnsi="Arial" w:cs="Arial"/>
          <w:sz w:val="22"/>
          <w:szCs w:val="22"/>
          <w:lang w:val="es-MX"/>
        </w:rPr>
        <w:t xml:space="preserve">Acosta-Ormaechea, S.; y Yoo, J. 2012. </w:t>
      </w:r>
      <w:r>
        <w:rPr>
          <w:rFonts w:ascii="Arial" w:hAnsi="Arial" w:cs="Arial"/>
          <w:sz w:val="22"/>
          <w:szCs w:val="22"/>
          <w:lang w:val="en-US"/>
        </w:rPr>
        <w:t>“Tax Composition and Growth: A Broad Cross-Country Perspective”, IMF Working Paper. WP/12/257.</w:t>
      </w:r>
    </w:p>
    <w:p>
      <w:pPr>
        <w:spacing w:after="60"/>
        <w:ind w:left="720" w:hanging="720"/>
        <w:jc w:val="both"/>
        <w:rPr>
          <w:rFonts w:ascii="Arial" w:hAnsi="Arial" w:cs="Arial"/>
          <w:sz w:val="22"/>
          <w:szCs w:val="22"/>
          <w:lang w:val="en-US"/>
        </w:rPr>
      </w:pPr>
      <w:r>
        <w:rPr>
          <w:rFonts w:ascii="Arial" w:hAnsi="Arial" w:cs="Arial"/>
          <w:sz w:val="22"/>
          <w:szCs w:val="22"/>
          <w:lang w:val="en-US"/>
        </w:rPr>
        <w:t>Arnold, J. 2008. “Do tax structures affect aggregate economic growth? Empirical evidence from a panel of OECD countries”, OECD Economics Department Working Papers, No. 643.</w:t>
      </w:r>
    </w:p>
    <w:p>
      <w:pPr>
        <w:spacing w:after="60"/>
        <w:ind w:left="720" w:hanging="720"/>
        <w:jc w:val="both"/>
        <w:rPr>
          <w:rFonts w:ascii="Arial" w:hAnsi="Arial" w:cs="Arial"/>
          <w:sz w:val="22"/>
          <w:szCs w:val="22"/>
          <w:lang w:val="en-US"/>
        </w:rPr>
      </w:pPr>
      <w:r>
        <w:rPr>
          <w:rFonts w:ascii="Arial" w:hAnsi="Arial" w:cs="Arial"/>
          <w:sz w:val="22"/>
          <w:szCs w:val="22"/>
          <w:lang w:val="en-US"/>
        </w:rPr>
        <w:t>Arnold, J., Brys, B., Heady, C., Johansson, A., Schwellnus, C.; y Vartia. L. 2011. “Tax policy for economic recovery and growth”, The Economic Journal, Vol. 121: pp. 59-80.</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BID. “Country Development Challenges, Argentina”.</w:t>
      </w:r>
    </w:p>
    <w:p>
      <w:pPr>
        <w:spacing w:after="60" w:line="276" w:lineRule="auto"/>
        <w:ind w:left="720" w:hanging="720"/>
        <w:jc w:val="both"/>
        <w:rPr>
          <w:rFonts w:ascii="Arial" w:hAnsi="Arial" w:cs="Arial"/>
          <w:sz w:val="22"/>
          <w:szCs w:val="22"/>
          <w:lang w:val="en-US"/>
        </w:rPr>
      </w:pPr>
      <w:r>
        <w:rPr>
          <w:rFonts w:ascii="Arial" w:hAnsi="Arial" w:cs="Arial"/>
          <w:sz w:val="22"/>
          <w:szCs w:val="22"/>
          <w:lang w:val="es-MX"/>
        </w:rPr>
        <w:t xml:space="preserve">Cabasés, F., P. Pascual, y J. Vallés. </w:t>
      </w:r>
      <w:r>
        <w:rPr>
          <w:rFonts w:ascii="Arial" w:hAnsi="Arial" w:cs="Arial"/>
          <w:sz w:val="22"/>
          <w:szCs w:val="22"/>
          <w:lang w:val="en-US"/>
        </w:rPr>
        <w:t>2007. “The Effectiveness of Institutional Borrowing Restrictions: Empirical Evidence from Spanish Municipalities”, Public Choice, Vol. 131(3): pp. 293–313.</w:t>
      </w:r>
    </w:p>
    <w:p>
      <w:pPr>
        <w:spacing w:after="60" w:line="276" w:lineRule="auto"/>
        <w:ind w:left="720" w:hanging="720"/>
        <w:jc w:val="both"/>
        <w:rPr>
          <w:rFonts w:ascii="Arial" w:hAnsi="Arial" w:cs="Arial"/>
          <w:sz w:val="22"/>
          <w:szCs w:val="22"/>
          <w:lang w:val="en-US"/>
        </w:rPr>
      </w:pPr>
      <w:r>
        <w:rPr>
          <w:rFonts w:ascii="Arial" w:hAnsi="Arial" w:cs="Arial"/>
          <w:sz w:val="22"/>
          <w:szCs w:val="22"/>
          <w:lang w:val="es-MX"/>
        </w:rPr>
        <w:t xml:space="preserve">Daude, C.; y Fernandez-Arias, E. 2010. </w:t>
      </w:r>
      <w:r>
        <w:rPr>
          <w:rFonts w:ascii="Arial" w:hAnsi="Arial" w:cs="Arial"/>
          <w:sz w:val="22"/>
          <w:szCs w:val="22"/>
          <w:lang w:val="en-US"/>
        </w:rPr>
        <w:t>“On the role of Productivity and Factor Accumulation in Economic Development in Latin America and the Caribbean”, IDB Working Paper Series No. IBD-WP-155.</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Djankov, S.; McLiesh, C.; y Ramalhom, R. 2006. “Regulation and Growth”, Economics Letters, Vol. 92(3): pp. 395-401.</w:t>
      </w:r>
    </w:p>
    <w:p>
      <w:pPr>
        <w:spacing w:after="60" w:line="276" w:lineRule="auto"/>
        <w:ind w:left="720" w:hanging="720"/>
        <w:jc w:val="both"/>
        <w:rPr>
          <w:rFonts w:ascii="Arial" w:hAnsi="Arial" w:cs="Arial"/>
          <w:sz w:val="22"/>
          <w:szCs w:val="22"/>
          <w:lang w:val="en-US"/>
        </w:rPr>
      </w:pPr>
      <w:r>
        <w:rPr>
          <w:rFonts w:ascii="Arial" w:hAnsi="Arial" w:cs="Arial"/>
          <w:sz w:val="22"/>
          <w:szCs w:val="22"/>
          <w:lang w:val="es-MX"/>
        </w:rPr>
        <w:t xml:space="preserve">Esfahani, H.; y Ramirez, M. 2003. </w:t>
      </w:r>
      <w:r>
        <w:rPr>
          <w:rFonts w:ascii="Arial" w:hAnsi="Arial" w:cs="Arial"/>
          <w:sz w:val="22"/>
          <w:szCs w:val="22"/>
          <w:lang w:val="en-US"/>
        </w:rPr>
        <w:t>“Institutions, Infrastructure, and Economic Growth”, Journal of Development Economics, Vol. 70(2): pp: 443-477.</w:t>
      </w:r>
    </w:p>
    <w:p>
      <w:pPr>
        <w:spacing w:after="60"/>
        <w:ind w:left="720" w:hanging="720"/>
        <w:jc w:val="both"/>
        <w:rPr>
          <w:rFonts w:ascii="Arial" w:hAnsi="Arial" w:cs="Arial"/>
          <w:sz w:val="22"/>
          <w:szCs w:val="22"/>
          <w:lang w:val="en-US"/>
        </w:rPr>
      </w:pPr>
      <w:r>
        <w:rPr>
          <w:rFonts w:ascii="Arial" w:hAnsi="Arial" w:cs="Arial"/>
          <w:sz w:val="22"/>
          <w:szCs w:val="22"/>
          <w:lang w:val="fr-FR"/>
        </w:rPr>
        <w:t xml:space="preserve">Gemmell, N., Kneller, R. y Sanz, I. 2011. </w:t>
      </w:r>
      <w:r>
        <w:rPr>
          <w:rFonts w:ascii="Arial" w:hAnsi="Arial" w:cs="Arial"/>
          <w:sz w:val="22"/>
          <w:szCs w:val="22"/>
          <w:lang w:val="en-US"/>
        </w:rPr>
        <w:t>“The timing and persistence of fiscal policy impacts on growth: evidence from OECD countries”, The Economic Journal, vol. 121, pp. F33–F58.</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Gupta, S.; Kangur, A.; Papageorgiou, C.; y Wane, A. 2014. "Efficiency-Adjusted Public Capital and Growth", World Development, Vol. 57: pp. 164-178.</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 xml:space="preserve">Hsieh, C., y Parker, J. 2007. “Taxes and Growth in a Financially Underdeveloped Country: Evidence from the Chilean Investment Boom”, Economia, Vol. 8(1), pp. 1-40. </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IMF. 2015. “Making Public Investment More Efficient”. IMF Policy Papers Series.</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Kishore, A., y A. Prasad. 2007. “Indian Subnational Finances: Recent Performance”, International Monetary Fund Working Working Paper 07/205.</w:t>
      </w:r>
    </w:p>
    <w:p>
      <w:pPr>
        <w:spacing w:after="60" w:line="276" w:lineRule="auto"/>
        <w:ind w:left="720" w:hanging="720"/>
        <w:jc w:val="both"/>
        <w:rPr>
          <w:rFonts w:ascii="Arial" w:hAnsi="Arial" w:cs="Arial"/>
          <w:sz w:val="22"/>
          <w:szCs w:val="22"/>
          <w:lang w:val="en-US"/>
        </w:rPr>
      </w:pPr>
      <w:r>
        <w:rPr>
          <w:rFonts w:ascii="Arial" w:hAnsi="Arial" w:cs="Arial"/>
          <w:sz w:val="22"/>
          <w:szCs w:val="22"/>
          <w:lang w:val="es-MX"/>
        </w:rPr>
        <w:t xml:space="preserve">Klapper, L., Laeven, L. y Rajan, R. 2006. </w:t>
      </w:r>
      <w:r>
        <w:rPr>
          <w:rFonts w:ascii="Arial" w:hAnsi="Arial" w:cs="Arial"/>
          <w:sz w:val="22"/>
          <w:szCs w:val="22"/>
          <w:lang w:val="en-US"/>
        </w:rPr>
        <w:t>“Entry regulation as a barrier to entrepreneurship”, Journal of Financial Economics, Vol. 82(3): pp. 591-629.</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Kneller, R., Bleaney, M.F. y Gemmell, N. 1999. “Fiscal policy and growth: evidence from OECD countries”, Journal of Public Economics, vol. 74, pp. 171–90.</w:t>
      </w:r>
    </w:p>
    <w:p>
      <w:pPr>
        <w:spacing w:after="60" w:line="276" w:lineRule="auto"/>
        <w:ind w:left="720" w:hanging="720"/>
        <w:jc w:val="both"/>
        <w:rPr>
          <w:rFonts w:ascii="Arial" w:hAnsi="Arial" w:cs="Arial"/>
          <w:sz w:val="22"/>
          <w:szCs w:val="22"/>
          <w:lang w:val="es-MX"/>
        </w:rPr>
      </w:pPr>
      <w:r>
        <w:rPr>
          <w:rFonts w:ascii="Arial" w:hAnsi="Arial" w:cs="Arial"/>
          <w:sz w:val="22"/>
          <w:szCs w:val="22"/>
          <w:lang w:val="en-US"/>
        </w:rPr>
        <w:t xml:space="preserve">Martell, C. R. 2008. “Fiscal Institutions of Brazilian Municipal Borrowing”, Public Administration and Development. </w:t>
      </w:r>
      <w:r>
        <w:rPr>
          <w:rFonts w:ascii="Arial" w:hAnsi="Arial" w:cs="Arial"/>
          <w:sz w:val="22"/>
          <w:szCs w:val="22"/>
          <w:lang w:val="es-MX"/>
        </w:rPr>
        <w:t>Vol. 28(1): pp. 30–41.</w:t>
      </w:r>
    </w:p>
    <w:p>
      <w:pPr>
        <w:spacing w:after="60" w:line="276" w:lineRule="auto"/>
        <w:ind w:left="720" w:hanging="720"/>
        <w:jc w:val="both"/>
        <w:rPr>
          <w:rFonts w:ascii="Arial" w:hAnsi="Arial" w:cs="Arial"/>
          <w:sz w:val="22"/>
          <w:szCs w:val="22"/>
          <w:lang w:val="es-MX"/>
        </w:rPr>
      </w:pPr>
      <w:r>
        <w:rPr>
          <w:rFonts w:ascii="Arial" w:hAnsi="Arial" w:cs="Arial"/>
          <w:sz w:val="22"/>
          <w:szCs w:val="22"/>
          <w:lang w:val="es-MX"/>
        </w:rPr>
        <w:t xml:space="preserve">OECD. 2017. “Estudios económicos de la OCDE: ARGENTINA. Estudio económico multidimensional”. OECD Publishing, Paris. </w:t>
      </w:r>
    </w:p>
    <w:p>
      <w:pPr>
        <w:spacing w:after="60" w:line="276" w:lineRule="auto"/>
        <w:ind w:left="720" w:hanging="720"/>
        <w:jc w:val="both"/>
        <w:rPr>
          <w:rFonts w:ascii="Arial" w:hAnsi="Arial" w:cs="Arial"/>
          <w:sz w:val="22"/>
          <w:szCs w:val="22"/>
          <w:lang w:val="en-US"/>
        </w:rPr>
      </w:pPr>
      <w:r>
        <w:rPr>
          <w:rFonts w:ascii="Arial" w:hAnsi="Arial" w:cs="Arial"/>
          <w:sz w:val="22"/>
          <w:szCs w:val="22"/>
          <w:lang w:val="es-MX"/>
        </w:rPr>
        <w:t xml:space="preserve">Rajan, R., y Zingales, L. 1998. </w:t>
      </w:r>
      <w:r>
        <w:rPr>
          <w:rFonts w:ascii="Arial" w:hAnsi="Arial" w:cs="Arial"/>
          <w:sz w:val="22"/>
          <w:szCs w:val="22"/>
          <w:lang w:val="en-US"/>
        </w:rPr>
        <w:t>“Financial Dependence and Growth”, American Economic Review, Vol. 88(3): pp. 559–86.</w:t>
      </w:r>
    </w:p>
    <w:p>
      <w:pPr>
        <w:spacing w:after="60" w:line="276" w:lineRule="auto"/>
        <w:ind w:left="720" w:hanging="720"/>
        <w:jc w:val="both"/>
        <w:rPr>
          <w:rFonts w:ascii="Arial" w:hAnsi="Arial" w:cs="Arial"/>
          <w:sz w:val="22"/>
          <w:szCs w:val="22"/>
          <w:lang w:val="en-US"/>
        </w:rPr>
      </w:pPr>
      <w:r>
        <w:rPr>
          <w:rFonts w:ascii="Arial" w:hAnsi="Arial" w:cs="Arial"/>
          <w:sz w:val="22"/>
          <w:szCs w:val="22"/>
          <w:lang w:val="es-MX"/>
        </w:rPr>
        <w:lastRenderedPageBreak/>
        <w:t xml:space="preserve">Rodden, J., y G. S. Eskeland. </w:t>
      </w:r>
      <w:r>
        <w:rPr>
          <w:rFonts w:ascii="Arial" w:hAnsi="Arial" w:cs="Arial"/>
          <w:sz w:val="22"/>
          <w:szCs w:val="22"/>
          <w:lang w:val="en-US"/>
        </w:rPr>
        <w:t>2003. “Lessons and Conclusions”, en Fiscal Decentralization and the Challenge of Hard Budget Constraints, editado por Rodden, J, Eskeland, G. y Litvack. J. Cambridge, MA: MIT Press.</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Schwellnus, C.; y Arnold, J. 2008. “Do corporate taxes reduce productivity and investment at the firm level? Cross-country evidence from the Amadeus dataset”, OECD Economics Department Working Papers, No. 641.</w:t>
      </w:r>
    </w:p>
    <w:p>
      <w:pPr>
        <w:spacing w:after="60" w:line="276" w:lineRule="auto"/>
        <w:ind w:left="720" w:hanging="720"/>
        <w:jc w:val="both"/>
        <w:rPr>
          <w:rFonts w:ascii="Arial" w:hAnsi="Arial" w:cs="Arial"/>
          <w:sz w:val="22"/>
          <w:szCs w:val="22"/>
          <w:lang w:val="en-US"/>
        </w:rPr>
      </w:pPr>
      <w:r>
        <w:rPr>
          <w:rFonts w:ascii="Arial" w:hAnsi="Arial" w:cs="Arial"/>
          <w:sz w:val="22"/>
          <w:szCs w:val="22"/>
          <w:lang w:val="en-US"/>
        </w:rPr>
        <w:t>Vartia, L. 2008. “How do taxes affect investment and productivity? An industry-level analysis of OECD countries”, OECD Economics Department Working Papers, No. 656.</w:t>
      </w:r>
    </w:p>
    <w:p>
      <w:pPr>
        <w:spacing w:after="120" w:line="276" w:lineRule="auto"/>
        <w:jc w:val="both"/>
        <w:rPr>
          <w:rFonts w:ascii="Arial" w:hAnsi="Arial" w:cs="Arial"/>
          <w:sz w:val="22"/>
          <w:szCs w:val="22"/>
          <w:lang w:val="en-US"/>
        </w:rPr>
      </w:pPr>
      <w:r>
        <w:rPr>
          <w:b/>
          <w:lang w:val="en-US"/>
        </w:rPr>
        <w:br w:type="page"/>
      </w:r>
    </w:p>
    <w:p>
      <w:pPr>
        <w:spacing w:line="360" w:lineRule="auto"/>
        <w:jc w:val="center"/>
        <w:rPr>
          <w:rFonts w:ascii="Arial" w:hAnsi="Arial" w:cs="Arial"/>
          <w:b/>
          <w:sz w:val="22"/>
          <w:szCs w:val="22"/>
          <w:lang w:val="es-ES"/>
        </w:rPr>
      </w:pPr>
      <w:r>
        <w:rPr>
          <w:rFonts w:ascii="Arial" w:hAnsi="Arial" w:cs="Arial"/>
          <w:b/>
          <w:sz w:val="22"/>
          <w:szCs w:val="22"/>
          <w:lang w:val="es-ES"/>
        </w:rPr>
        <w:lastRenderedPageBreak/>
        <w:t>ANEXO 1</w:t>
      </w:r>
    </w:p>
    <w:p>
      <w:pPr>
        <w:spacing w:line="360" w:lineRule="auto"/>
        <w:jc w:val="center"/>
        <w:rPr>
          <w:rFonts w:ascii="Arial" w:hAnsi="Arial" w:cs="Arial"/>
          <w:b/>
          <w:caps/>
          <w:sz w:val="22"/>
          <w:szCs w:val="22"/>
          <w:lang w:val="es-ES"/>
        </w:rPr>
      </w:pPr>
    </w:p>
    <w:p>
      <w:pPr>
        <w:spacing w:line="360" w:lineRule="auto"/>
        <w:jc w:val="center"/>
        <w:rPr>
          <w:rFonts w:ascii="Arial" w:hAnsi="Arial" w:cs="Arial"/>
          <w:b/>
          <w:caps/>
          <w:sz w:val="22"/>
          <w:szCs w:val="22"/>
          <w:lang w:val="es-ES"/>
        </w:rPr>
      </w:pPr>
      <w:r>
        <w:rPr>
          <w:rFonts w:ascii="Arial" w:hAnsi="Arial" w:cs="Arial"/>
          <w:b/>
          <w:caps/>
          <w:sz w:val="22"/>
          <w:szCs w:val="22"/>
          <w:lang w:val="es-ES"/>
        </w:rPr>
        <w:t>Consultoria para la ESTIMACI</w:t>
      </w:r>
      <w:r>
        <w:rPr>
          <w:rFonts w:ascii="Arial" w:hAnsi="Arial" w:cs="Arial"/>
          <w:b/>
          <w:caps/>
          <w:sz w:val="22"/>
          <w:szCs w:val="22"/>
          <w:lang w:val="es-MX"/>
        </w:rPr>
        <w:t xml:space="preserve">ÓN del Efecto de los impuestos a las empresas sobre la inversión </w:t>
      </w:r>
    </w:p>
    <w:p>
      <w:pPr>
        <w:spacing w:line="360" w:lineRule="auto"/>
        <w:jc w:val="center"/>
        <w:rPr>
          <w:rFonts w:ascii="Arial" w:hAnsi="Arial" w:cs="Arial"/>
          <w:b/>
          <w:caps/>
          <w:sz w:val="22"/>
          <w:szCs w:val="22"/>
          <w:lang w:val="es-ES"/>
        </w:rPr>
      </w:pPr>
    </w:p>
    <w:p>
      <w:pPr>
        <w:spacing w:line="360" w:lineRule="auto"/>
        <w:jc w:val="center"/>
        <w:rPr>
          <w:rFonts w:ascii="Arial" w:hAnsi="Arial" w:cs="Arial"/>
          <w:b/>
          <w:caps/>
          <w:sz w:val="22"/>
          <w:szCs w:val="22"/>
          <w:lang w:val="es-ES"/>
        </w:rPr>
      </w:pPr>
      <w:r>
        <w:rPr>
          <w:rFonts w:ascii="Arial" w:hAnsi="Arial" w:cs="Arial"/>
          <w:b/>
          <w:caps/>
          <w:sz w:val="22"/>
          <w:szCs w:val="22"/>
          <w:lang w:val="es-ES"/>
        </w:rPr>
        <w:t>Borrador de TéRminos de referencia</w:t>
      </w:r>
    </w:p>
    <w:p>
      <w:pPr>
        <w:spacing w:line="360" w:lineRule="auto"/>
        <w:rPr>
          <w:rFonts w:ascii="Arial" w:hAnsi="Arial" w:cs="Arial"/>
          <w:b/>
          <w:caps/>
          <w:sz w:val="22"/>
          <w:szCs w:val="22"/>
          <w:lang w:val="es-ES"/>
        </w:rPr>
      </w:pPr>
    </w:p>
    <w:p>
      <w:pPr>
        <w:pStyle w:val="heading-b24"/>
        <w:spacing w:after="0"/>
        <w:jc w:val="left"/>
        <w:rPr>
          <w:rFonts w:ascii="Arial" w:eastAsia="Arial Unicode MS" w:hAnsi="Arial" w:cs="Arial"/>
          <w:szCs w:val="24"/>
          <w:lang w:val="es-ES"/>
        </w:rPr>
      </w:pPr>
      <w:r>
        <w:rPr>
          <w:rFonts w:ascii="Arial" w:eastAsia="Arial Unicode MS" w:hAnsi="Arial" w:cs="Arial"/>
          <w:szCs w:val="24"/>
          <w:lang w:val="es-ES"/>
        </w:rPr>
        <w:t>Objetivos</w:t>
      </w:r>
    </w:p>
    <w:p>
      <w:pPr>
        <w:pStyle w:val="Paragraph"/>
        <w:numPr>
          <w:ilvl w:val="0"/>
          <w:numId w:val="0"/>
        </w:numPr>
        <w:rPr>
          <w:rFonts w:ascii="Arial" w:hAnsi="Arial" w:cs="Arial"/>
          <w:spacing w:val="-3"/>
          <w:sz w:val="22"/>
          <w:szCs w:val="22"/>
        </w:rPr>
      </w:pPr>
      <w:r>
        <w:rPr>
          <w:rFonts w:ascii="Arial" w:hAnsi="Arial" w:cs="Arial"/>
          <w:spacing w:val="-3"/>
          <w:sz w:val="22"/>
          <w:szCs w:val="22"/>
        </w:rPr>
        <w:t xml:space="preserve">El objetivo de la consultoría es analizar si las reducciones en los impuestos a las empresas tuvieron un impacto sobre la inversión privada. </w:t>
      </w:r>
    </w:p>
    <w:p>
      <w:pPr>
        <w:pStyle w:val="Paragraph"/>
        <w:numPr>
          <w:ilvl w:val="0"/>
          <w:numId w:val="0"/>
        </w:numPr>
        <w:rPr>
          <w:rFonts w:ascii="Arial" w:hAnsi="Arial" w:cs="Arial"/>
          <w:spacing w:val="-3"/>
          <w:sz w:val="22"/>
          <w:szCs w:val="22"/>
        </w:rPr>
      </w:pPr>
      <w:r>
        <w:rPr>
          <w:rFonts w:ascii="Arial" w:hAnsi="Arial" w:cs="Arial"/>
          <w:spacing w:val="-3"/>
          <w:sz w:val="22"/>
          <w:szCs w:val="22"/>
        </w:rPr>
        <w:t xml:space="preserve">Este reporte servirá de insumo para la preparación del Informe de Terminación de Proyecto (PCR). </w:t>
      </w:r>
    </w:p>
    <w:p>
      <w:pPr>
        <w:ind w:left="360"/>
        <w:jc w:val="both"/>
        <w:rPr>
          <w:rFonts w:ascii="Arial" w:hAnsi="Arial" w:cs="Arial"/>
          <w:sz w:val="22"/>
          <w:szCs w:val="22"/>
          <w:lang w:val="es-ES"/>
        </w:rPr>
      </w:pPr>
    </w:p>
    <w:p>
      <w:pPr>
        <w:pStyle w:val="heading-b24"/>
        <w:spacing w:after="0"/>
        <w:jc w:val="left"/>
        <w:rPr>
          <w:rFonts w:ascii="Arial" w:eastAsia="Arial Unicode MS" w:hAnsi="Arial" w:cs="Arial"/>
          <w:szCs w:val="24"/>
          <w:lang w:val="es-ES"/>
        </w:rPr>
      </w:pPr>
      <w:r>
        <w:rPr>
          <w:rFonts w:ascii="Arial" w:eastAsia="Arial Unicode MS" w:hAnsi="Arial" w:cs="Arial"/>
          <w:szCs w:val="24"/>
          <w:lang w:val="es-ES"/>
        </w:rPr>
        <w:t>Actividades</w:t>
      </w:r>
    </w:p>
    <w:p>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Revisar la documentación referida a los cambios en los impuestos a las empresas.</w:t>
      </w:r>
    </w:p>
    <w:p>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Participar en reuniones con funcionarios del BID para discutir la estrategia de implementación de la metodología.</w:t>
      </w:r>
    </w:p>
    <w:p>
      <w:pPr>
        <w:pStyle w:val="Paragraph"/>
        <w:numPr>
          <w:ilvl w:val="0"/>
          <w:numId w:val="29"/>
        </w:numPr>
        <w:spacing w:after="0"/>
        <w:ind w:left="360"/>
        <w:rPr>
          <w:rFonts w:ascii="Arial" w:hAnsi="Arial" w:cs="Arial"/>
          <w:spacing w:val="-3"/>
          <w:sz w:val="22"/>
          <w:szCs w:val="22"/>
        </w:rPr>
      </w:pPr>
      <w:r>
        <w:rPr>
          <w:rFonts w:ascii="Arial" w:hAnsi="Arial" w:cs="Arial"/>
          <w:spacing w:val="-3"/>
          <w:sz w:val="22"/>
          <w:szCs w:val="22"/>
        </w:rPr>
        <w:t>Armar una base de datos en panel que contenga información de las características de las empresas y sus niveles de inversión, para los años 2013-2020.</w:t>
      </w:r>
    </w:p>
    <w:p>
      <w:pPr>
        <w:pStyle w:val="Paragraph"/>
        <w:numPr>
          <w:ilvl w:val="0"/>
          <w:numId w:val="29"/>
        </w:numPr>
        <w:spacing w:after="0"/>
        <w:ind w:left="360"/>
        <w:rPr>
          <w:rFonts w:ascii="Arial" w:hAnsi="Arial" w:cs="Arial"/>
          <w:spacing w:val="-3"/>
          <w:sz w:val="22"/>
          <w:szCs w:val="22"/>
        </w:rPr>
      </w:pPr>
      <w:r>
        <w:rPr>
          <w:rFonts w:ascii="Arial" w:hAnsi="Arial" w:cs="Arial"/>
          <w:sz w:val="22"/>
          <w:szCs w:val="22"/>
          <w:lang w:val="es-ES_tradnl"/>
        </w:rPr>
        <w:t xml:space="preserve">Estimar un modelo econométrico de diferencias en diferencias, a fin de analizar si hubo un impacto diferencial de las reformas planteadas en los diferentes grupos de empresas, dependiendo del nivel de dependencia del financiamiento externo. </w:t>
      </w:r>
    </w:p>
    <w:p>
      <w:pPr>
        <w:pStyle w:val="Paragraph"/>
        <w:numPr>
          <w:ilvl w:val="0"/>
          <w:numId w:val="29"/>
        </w:numPr>
        <w:spacing w:after="0"/>
        <w:ind w:left="360"/>
        <w:rPr>
          <w:rFonts w:ascii="Arial" w:hAnsi="Arial" w:cs="Arial"/>
          <w:spacing w:val="-3"/>
          <w:sz w:val="22"/>
          <w:szCs w:val="22"/>
        </w:rPr>
      </w:pPr>
      <w:r>
        <w:rPr>
          <w:rFonts w:ascii="Arial" w:hAnsi="Arial" w:cs="Arial"/>
          <w:sz w:val="22"/>
          <w:szCs w:val="22"/>
        </w:rPr>
        <w:t>Producir un informe resumiendo los principales resultados de los diferentes análisis realizados.</w:t>
      </w:r>
    </w:p>
    <w:p>
      <w:pPr>
        <w:rPr>
          <w:rFonts w:ascii="Arial" w:hAnsi="Arial" w:cs="Arial"/>
          <w:b/>
          <w:sz w:val="22"/>
          <w:szCs w:val="22"/>
          <w:lang w:val="es-ES"/>
        </w:rPr>
      </w:pPr>
    </w:p>
    <w:p>
      <w:pPr>
        <w:pStyle w:val="Paragraph"/>
        <w:numPr>
          <w:ilvl w:val="0"/>
          <w:numId w:val="0"/>
        </w:numPr>
        <w:spacing w:after="0"/>
        <w:ind w:left="720" w:hanging="720"/>
        <w:jc w:val="left"/>
        <w:rPr>
          <w:rFonts w:ascii="Arial" w:eastAsia="Arial Unicode MS" w:hAnsi="Arial" w:cs="Arial"/>
          <w:b/>
          <w:smallCaps/>
          <w:spacing w:val="-3"/>
          <w:szCs w:val="24"/>
        </w:rPr>
      </w:pPr>
      <w:r>
        <w:rPr>
          <w:rFonts w:ascii="Arial" w:eastAsia="Arial Unicode MS" w:hAnsi="Arial" w:cs="Arial"/>
          <w:b/>
          <w:smallCaps/>
          <w:spacing w:val="-3"/>
          <w:szCs w:val="24"/>
        </w:rPr>
        <w:t>Productos y Forma de Pago</w:t>
      </w:r>
    </w:p>
    <w:p>
      <w:pPr>
        <w:pStyle w:val="Paragraph"/>
        <w:numPr>
          <w:ilvl w:val="0"/>
          <w:numId w:val="0"/>
        </w:numPr>
        <w:rPr>
          <w:rFonts w:ascii="Arial" w:hAnsi="Arial" w:cs="Arial"/>
          <w:spacing w:val="-3"/>
          <w:sz w:val="22"/>
          <w:szCs w:val="22"/>
        </w:rPr>
      </w:pPr>
      <w:r>
        <w:rPr>
          <w:rFonts w:ascii="Arial" w:hAnsi="Arial" w:cs="Arial"/>
          <w:spacing w:val="-3"/>
          <w:sz w:val="22"/>
          <w:szCs w:val="22"/>
        </w:rPr>
        <w:t xml:space="preserve">El contractual presentará un producto final, conteniendo el informe mencionado en la sección “Actividades”.  </w:t>
      </w:r>
      <w:r>
        <w:rPr>
          <w:rFonts w:ascii="Arial" w:hAnsi="Arial" w:cs="Arial"/>
          <w:sz w:val="22"/>
          <w:szCs w:val="22"/>
        </w:rPr>
        <w:t>El pago total se realizará contra la entrega y aprobación por parte del BID del producto final. E</w:t>
      </w:r>
      <w:r>
        <w:rPr>
          <w:rFonts w:ascii="Arial" w:hAnsi="Arial" w:cs="Arial"/>
          <w:spacing w:val="-3"/>
          <w:sz w:val="22"/>
          <w:szCs w:val="22"/>
        </w:rPr>
        <w:t>l costo de la consultoría se estima en USD 15.000.</w:t>
      </w:r>
    </w:p>
    <w:p>
      <w:pPr>
        <w:pStyle w:val="heading-b24"/>
        <w:spacing w:after="0"/>
        <w:jc w:val="left"/>
        <w:rPr>
          <w:rFonts w:ascii="Arial" w:eastAsia="Arial Unicode MS" w:hAnsi="Arial" w:cs="Arial"/>
          <w:sz w:val="22"/>
          <w:szCs w:val="22"/>
          <w:lang w:val="es-ES"/>
        </w:rPr>
      </w:pPr>
    </w:p>
    <w:p>
      <w:pPr>
        <w:pStyle w:val="heading-b24"/>
        <w:spacing w:after="0"/>
        <w:jc w:val="left"/>
        <w:rPr>
          <w:rFonts w:ascii="Arial" w:eastAsia="Arial Unicode MS" w:hAnsi="Arial" w:cs="Arial"/>
          <w:szCs w:val="24"/>
          <w:lang w:val="es-ES"/>
        </w:rPr>
      </w:pPr>
      <w:r>
        <w:rPr>
          <w:rFonts w:ascii="Arial" w:eastAsia="Arial Unicode MS" w:hAnsi="Arial" w:cs="Arial"/>
          <w:szCs w:val="24"/>
          <w:lang w:val="es-ES"/>
        </w:rPr>
        <w:t>Calificaciones</w:t>
      </w:r>
    </w:p>
    <w:p>
      <w:pPr>
        <w:pStyle w:val="Paragraph"/>
        <w:numPr>
          <w:ilvl w:val="0"/>
          <w:numId w:val="0"/>
        </w:numPr>
        <w:rPr>
          <w:rFonts w:ascii="Arial" w:hAnsi="Arial" w:cs="Arial"/>
          <w:sz w:val="22"/>
          <w:szCs w:val="22"/>
        </w:rPr>
      </w:pPr>
      <w:r>
        <w:rPr>
          <w:rFonts w:ascii="Arial" w:hAnsi="Arial" w:cs="Arial"/>
          <w:sz w:val="22"/>
          <w:szCs w:val="22"/>
        </w:rPr>
        <w:t>El contractual debe ser experto con formación profesional de maestría o doctorado y con experiencia en el área de economía y finanzas, o afines, con al menos de 5 años de experiencia.</w:t>
      </w:r>
    </w:p>
    <w:p>
      <w:pPr>
        <w:ind w:left="360"/>
        <w:jc w:val="both"/>
        <w:rPr>
          <w:rFonts w:ascii="Arial" w:hAnsi="Arial" w:cs="Arial"/>
          <w:sz w:val="22"/>
          <w:szCs w:val="22"/>
          <w:lang w:val="es-ES"/>
        </w:rPr>
      </w:pPr>
    </w:p>
    <w:p>
      <w:pPr>
        <w:pStyle w:val="heading-b24"/>
        <w:spacing w:after="0"/>
        <w:jc w:val="both"/>
        <w:rPr>
          <w:rFonts w:ascii="Arial" w:eastAsia="Arial Unicode MS" w:hAnsi="Arial" w:cs="Arial"/>
          <w:szCs w:val="24"/>
          <w:lang w:val="es-ES"/>
        </w:rPr>
      </w:pPr>
      <w:r>
        <w:rPr>
          <w:rFonts w:ascii="Arial" w:eastAsia="Arial Unicode MS" w:hAnsi="Arial" w:cs="Arial"/>
          <w:szCs w:val="24"/>
          <w:lang w:val="es-ES"/>
        </w:rPr>
        <w:t>Características</w:t>
      </w:r>
    </w:p>
    <w:p>
      <w:pPr>
        <w:pStyle w:val="NoSpacing"/>
        <w:spacing w:before="120"/>
        <w:jc w:val="both"/>
        <w:rPr>
          <w:rFonts w:ascii="Arial" w:hAnsi="Arial" w:cs="Arial"/>
          <w:sz w:val="22"/>
          <w:szCs w:val="22"/>
          <w:lang w:val="es-ES"/>
        </w:rPr>
      </w:pPr>
      <w:r>
        <w:rPr>
          <w:rFonts w:ascii="Arial" w:hAnsi="Arial" w:cs="Arial"/>
          <w:b/>
          <w:sz w:val="22"/>
          <w:szCs w:val="22"/>
          <w:lang w:val="es-ES"/>
        </w:rPr>
        <w:t>Categoría y Modalidad de la Consultoría:</w:t>
      </w:r>
      <w:r>
        <w:rPr>
          <w:rFonts w:ascii="Arial" w:hAnsi="Arial" w:cs="Arial"/>
          <w:sz w:val="22"/>
          <w:szCs w:val="22"/>
          <w:lang w:val="es-ES"/>
        </w:rPr>
        <w:t xml:space="preserve"> Contractual de Productos y Servicios Externos, Suma Alzada.</w:t>
      </w:r>
    </w:p>
    <w:p>
      <w:pPr>
        <w:pStyle w:val="NoSpacing"/>
        <w:spacing w:before="120"/>
        <w:jc w:val="both"/>
        <w:rPr>
          <w:rFonts w:ascii="Arial" w:hAnsi="Arial" w:cs="Arial"/>
          <w:spacing w:val="-3"/>
          <w:sz w:val="22"/>
          <w:szCs w:val="22"/>
          <w:lang w:val="es-ES"/>
        </w:rPr>
      </w:pPr>
      <w:r>
        <w:rPr>
          <w:rFonts w:ascii="Arial" w:hAnsi="Arial" w:cs="Arial"/>
          <w:b/>
          <w:sz w:val="22"/>
          <w:szCs w:val="22"/>
          <w:lang w:val="es-ES"/>
        </w:rPr>
        <w:lastRenderedPageBreak/>
        <w:t>Duración del Contrato</w:t>
      </w:r>
      <w:r>
        <w:rPr>
          <w:rFonts w:ascii="Arial" w:hAnsi="Arial" w:cs="Arial"/>
          <w:sz w:val="22"/>
          <w:szCs w:val="22"/>
          <w:lang w:val="es-ES"/>
        </w:rPr>
        <w:t xml:space="preserve">: </w:t>
      </w:r>
      <w:r>
        <w:rPr>
          <w:rFonts w:ascii="Arial" w:hAnsi="Arial" w:cs="Arial"/>
          <w:spacing w:val="-3"/>
          <w:sz w:val="22"/>
          <w:szCs w:val="22"/>
          <w:lang w:val="es-ES"/>
        </w:rPr>
        <w:t xml:space="preserve">35 días de trabajo en un plazo de seis meses desde la firma del contrato. </w:t>
      </w:r>
    </w:p>
    <w:p>
      <w:pPr>
        <w:pStyle w:val="Paragraph"/>
        <w:numPr>
          <w:ilvl w:val="0"/>
          <w:numId w:val="0"/>
        </w:numPr>
        <w:spacing w:after="0"/>
        <w:rPr>
          <w:rFonts w:ascii="Arial" w:hAnsi="Arial" w:cs="Arial"/>
          <w:spacing w:val="-3"/>
          <w:sz w:val="22"/>
          <w:szCs w:val="22"/>
        </w:rPr>
      </w:pPr>
      <w:r>
        <w:rPr>
          <w:rFonts w:ascii="Arial" w:hAnsi="Arial" w:cs="Arial"/>
          <w:b/>
          <w:spacing w:val="-3"/>
          <w:sz w:val="22"/>
          <w:szCs w:val="22"/>
        </w:rPr>
        <w:t>Lugar de trabajo</w:t>
      </w:r>
      <w:r>
        <w:rPr>
          <w:rFonts w:ascii="Arial" w:hAnsi="Arial" w:cs="Arial"/>
          <w:spacing w:val="-3"/>
          <w:sz w:val="22"/>
          <w:szCs w:val="22"/>
        </w:rPr>
        <w:t>: Lugar de residencia del contractual.</w:t>
      </w:r>
    </w:p>
    <w:p>
      <w:pPr>
        <w:pStyle w:val="NoSpacing"/>
        <w:spacing w:before="120"/>
        <w:jc w:val="both"/>
        <w:rPr>
          <w:rFonts w:ascii="Arial" w:hAnsi="Arial" w:cs="Arial"/>
          <w:sz w:val="22"/>
          <w:szCs w:val="22"/>
          <w:lang w:val="es-ES"/>
        </w:rPr>
      </w:pPr>
      <w:r>
        <w:rPr>
          <w:rFonts w:ascii="Arial" w:hAnsi="Arial" w:cs="Arial"/>
          <w:b/>
          <w:sz w:val="22"/>
          <w:szCs w:val="22"/>
          <w:lang w:val="es-ES_tradnl"/>
        </w:rPr>
        <w:t>Coordinación</w:t>
      </w:r>
      <w:r>
        <w:rPr>
          <w:rFonts w:ascii="Arial" w:hAnsi="Arial" w:cs="Arial"/>
          <w:sz w:val="22"/>
          <w:szCs w:val="22"/>
          <w:lang w:val="es-ES_tradnl"/>
        </w:rPr>
        <w:t xml:space="preserve">: </w:t>
      </w:r>
      <w:r>
        <w:rPr>
          <w:rFonts w:ascii="Arial" w:hAnsi="Arial" w:cs="Arial"/>
          <w:sz w:val="22"/>
          <w:szCs w:val="22"/>
          <w:lang w:val="es-MX"/>
        </w:rPr>
        <w:t>Sr. Emilio Pineda (</w:t>
      </w:r>
      <w:hyperlink r:id="rId21" w:history="1">
        <w:r>
          <w:rPr>
            <w:rStyle w:val="Hyperlink"/>
            <w:rFonts w:ascii="Arial" w:eastAsiaTheme="majorEastAsia" w:hAnsi="Arial" w:cs="Arial"/>
            <w:sz w:val="22"/>
            <w:szCs w:val="22"/>
            <w:lang w:val="es-ES"/>
          </w:rPr>
          <w:t>emilipi@iadb.org</w:t>
        </w:r>
      </w:hyperlink>
      <w:r>
        <w:rPr>
          <w:rFonts w:ascii="Arial" w:hAnsi="Arial" w:cs="Arial"/>
          <w:sz w:val="22"/>
          <w:szCs w:val="22"/>
          <w:lang w:val="es-MX"/>
        </w:rPr>
        <w:t xml:space="preserve">), </w:t>
      </w:r>
      <w:r>
        <w:rPr>
          <w:rFonts w:ascii="Arial" w:hAnsi="Arial" w:cs="Arial"/>
          <w:sz w:val="22"/>
          <w:szCs w:val="22"/>
          <w:lang w:val="es-ES"/>
        </w:rPr>
        <w:t>División de Gestión Fiscal y Municipal (FMM).</w:t>
      </w:r>
    </w:p>
    <w:p>
      <w:pPr>
        <w:spacing w:line="360" w:lineRule="auto"/>
        <w:jc w:val="both"/>
        <w:rPr>
          <w:rFonts w:ascii="Arial" w:hAnsi="Arial" w:cs="Arial"/>
          <w:b/>
          <w:sz w:val="22"/>
          <w:szCs w:val="22"/>
          <w:highlight w:val="yellow"/>
          <w:lang w:val="es-ES"/>
        </w:rPr>
      </w:pPr>
    </w:p>
    <w:p>
      <w:pPr>
        <w:spacing w:line="360" w:lineRule="auto"/>
        <w:jc w:val="both"/>
        <w:rPr>
          <w:rFonts w:ascii="Arial" w:hAnsi="Arial" w:cs="Arial"/>
          <w:b/>
          <w:sz w:val="22"/>
          <w:szCs w:val="22"/>
          <w:highlight w:val="yellow"/>
          <w:lang w:val="es-ES"/>
        </w:rPr>
      </w:pPr>
    </w:p>
    <w:p>
      <w:pPr>
        <w:spacing w:after="200" w:line="276" w:lineRule="auto"/>
        <w:jc w:val="both"/>
        <w:rPr>
          <w:rFonts w:ascii="Arial" w:hAnsi="Arial" w:cs="Arial"/>
          <w:b/>
          <w:sz w:val="22"/>
          <w:szCs w:val="22"/>
          <w:highlight w:val="yellow"/>
          <w:lang w:val="es-ES"/>
        </w:rPr>
      </w:pPr>
    </w:p>
    <w:sectPr>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framePr w:wrap="around" w:vAnchor="text" w:hAnchor="margin" w:xAlign="right" w:y="1"/>
      <w:rPr>
        <w:rStyle w:val="PageNumber"/>
      </w:rPr>
    </w:pPr>
  </w:p>
  <w:p>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type="continuationNotice" w:id="1">
    <w:p/>
  </w:footnote>
  <w:footnote w:id="2">
    <w:p>
      <w:pPr>
        <w:ind w:left="360" w:hanging="36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noProof/>
          <w:sz w:val="18"/>
          <w:szCs w:val="18"/>
        </w:rPr>
        <w:t xml:space="preserve">Para el cálculo de la media móvil se usa la fórmula </w:t>
      </w:r>
      <w:r>
        <w:rPr>
          <w:rFonts w:ascii="Arial" w:hAnsi="Arial" w:cs="Arial"/>
          <w:noProof/>
          <w:sz w:val="18"/>
          <w:szCs w:val="18"/>
        </w:rPr>
        <w:object w:dxaOrig="3984"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9.4pt;height:20.4pt">
            <v:imagedata r:id="rId1" o:title=""/>
          </v:shape>
          <o:OLEObject Type="Embed" ProgID="PBrush" ShapeID="_x0000_i1026" DrawAspect="Content" ObjectID="_1587376264" r:id="rId2"/>
        </w:object>
      </w:r>
      <w:r>
        <w:rPr>
          <w:rFonts w:ascii="Arial" w:hAnsi="Arial" w:cs="Arial"/>
          <w:noProof/>
          <w:sz w:val="18"/>
          <w:szCs w:val="18"/>
        </w:rPr>
        <w:t>Los valores utilizados para el cálculo del año base son: 2.7% para el 2015, -1.8% para el 2016 y 2.9% para el 2017.</w:t>
      </w:r>
    </w:p>
  </w:footnote>
  <w:footnote w:id="3">
    <w:p>
      <w:pPr>
        <w:pStyle w:val="FootnoteText"/>
        <w:spacing w:after="0"/>
        <w:ind w:left="360" w:hanging="36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noProof/>
          <w:sz w:val="18"/>
          <w:szCs w:val="18"/>
        </w:rPr>
        <w:t>La formación bruta de capital fijo se mide por el valor total de las adquisiciones menos las disposiciones, de activos fijos efectuadas por el productor.</w:t>
      </w:r>
    </w:p>
  </w:footnote>
  <w:footnote w:id="4">
    <w:p>
      <w:pPr>
        <w:ind w:left="360" w:hanging="36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noProof/>
          <w:sz w:val="18"/>
          <w:szCs w:val="18"/>
          <w:lang w:eastAsia="zh-CN"/>
        </w:rPr>
        <w:t xml:space="preserve">El 7,8% está compuesto por ganancias es 2,6% del PIB, el ICDB 1,3% del PIB e IIB 3,9% del PIB </w:t>
      </w:r>
      <w:r>
        <w:rPr>
          <w:rFonts w:ascii="Arial" w:hAnsi="Arial" w:cs="Arial"/>
          <w:noProof/>
          <w:color w:val="0070C0"/>
          <w:sz w:val="18"/>
          <w:szCs w:val="18"/>
          <w:highlight w:val="yellow"/>
          <w:lang w:eastAsia="zh-CN"/>
        </w:rPr>
        <w:t xml:space="preserve"> </w:t>
      </w:r>
    </w:p>
  </w:footnote>
  <w:footnote w:id="5">
    <w:p>
      <w:pPr>
        <w:pStyle w:val="FootnoteText"/>
        <w:spacing w:after="0"/>
        <w:ind w:left="360" w:hanging="36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noProof/>
          <w:sz w:val="18"/>
          <w:szCs w:val="18"/>
          <w:lang w:eastAsia="zh-CN"/>
        </w:rPr>
        <w:t>La línea de base se refiere al proceso presupuestario realizado en 2016</w:t>
      </w:r>
    </w:p>
  </w:footnote>
  <w:footnote w:id="6">
    <w:p>
      <w:pPr>
        <w:ind w:left="360" w:hanging="360"/>
        <w:rPr>
          <w:rFonts w:ascii="Arial" w:hAnsi="Arial" w:cs="Arial"/>
          <w:noProof/>
          <w:sz w:val="18"/>
          <w:szCs w:val="18"/>
          <w:lang w:eastAsia="zh-CN"/>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noProof/>
          <w:sz w:val="18"/>
          <w:szCs w:val="18"/>
          <w:lang w:eastAsia="zh-CN"/>
        </w:rPr>
        <w:t>Por empresa de base tecnológica se refiere aquellas que cumplen con alguno de los siguientes requisitos: a) que el 50% de los socios fundadores sea personal profesional calificado o el 20% del personal total deberá tener dichas características, ó b) que la inversión a ser realizada en Investigación y Desarrollo (I+D) con relación a su cifra de ventas, sea igual o superior al 5%.  </w:t>
      </w:r>
    </w:p>
    <w:p>
      <w:pPr>
        <w:pStyle w:val="FootnoteText"/>
        <w:ind w:left="360" w:hanging="360"/>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pPr>
      <w:pStyle w:val="Header"/>
      <w:ind w:right="360"/>
      <w:jc w:val="both"/>
      <w:rPr>
        <w:rStyle w:val="PageNumber"/>
        <w:snapToGrid w:val="0"/>
      </w:rPr>
    </w:pPr>
    <w:r>
      <w:rPr>
        <w:rStyle w:val="PageNumber"/>
        <w:snapToGrid w:val="0"/>
      </w:rPr>
      <w:tab/>
    </w:r>
  </w:p>
  <w:p>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center"/>
      <w:rPr>
        <w:rFonts w:ascii="Arial" w:hAnsi="Arial" w:cs="Arial"/>
        <w:snapToGrid w:val="0"/>
        <w:sz w:val="18"/>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ii</w:t>
    </w:r>
    <w:r>
      <w:rPr>
        <w:rFonts w:ascii="Arial" w:hAnsi="Arial" w:cs="Arial"/>
        <w:snapToGrid w:val="0"/>
        <w:sz w:val="18"/>
      </w:rPr>
      <w:fldChar w:fldCharType="end"/>
    </w:r>
    <w:r>
      <w:rPr>
        <w:rFonts w:ascii="Arial" w:hAnsi="Arial" w:cs="Arial"/>
        <w:snapToGrid w:val="0"/>
        <w:sz w:val="18"/>
      </w:rPr>
      <w:t xml:space="preserve"> - </w:t>
    </w:r>
  </w:p>
  <w:p>
    <w:pPr>
      <w:pStyle w:val="Header"/>
      <w:jc w:val="center"/>
    </w:pPr>
  </w:p>
  <w:p>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tabs>
        <w:tab w:val="left" w:pos="3840"/>
        <w:tab w:val="center" w:pos="4140"/>
      </w:tabs>
      <w:ind w:right="360"/>
      <w:rPr>
        <w:rFonts w:ascii="Arial" w:hAnsi="Arial" w:cs="Arial"/>
        <w:snapToGrid w:val="0"/>
      </w:rPr>
    </w:pPr>
    <w:r>
      <w:rPr>
        <w:snapToGrid w:val="0"/>
      </w:rPr>
      <w:tab/>
    </w:r>
    <w:r>
      <w:rPr>
        <w:rFonts w:ascii="Arial" w:hAnsi="Arial" w:cs="Arial"/>
        <w:snapToGrid w:val="0"/>
        <w:sz w:val="18"/>
      </w:rPr>
      <w:tab/>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14</w:t>
    </w:r>
    <w:r>
      <w:rPr>
        <w:rFonts w:ascii="Arial" w:hAnsi="Arial" w:cs="Arial"/>
        <w:snapToGrid w:val="0"/>
        <w:sz w:val="18"/>
      </w:rPr>
      <w:fldChar w:fldCharType="end"/>
    </w:r>
    <w:r>
      <w:rPr>
        <w:rFonts w:ascii="Arial" w:hAnsi="Arial" w:cs="Arial"/>
        <w:snapToGrid w:val="0"/>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3A28"/>
    <w:multiLevelType w:val="hybridMultilevel"/>
    <w:tmpl w:val="8CBEDB84"/>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9E4AAF"/>
    <w:multiLevelType w:val="multilevel"/>
    <w:tmpl w:val="653C4848"/>
    <w:lvl w:ilvl="0">
      <w:start w:val="1"/>
      <w:numFmt w:val="upperRoman"/>
      <w:lvlText w:val="%1."/>
      <w:lvlJc w:val="righ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4"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8"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9" w15:restartNumberingAfterBreak="0">
    <w:nsid w:val="2E621C9D"/>
    <w:multiLevelType w:val="hybridMultilevel"/>
    <w:tmpl w:val="B308D3A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11"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94D6E90"/>
    <w:multiLevelType w:val="hybridMultilevel"/>
    <w:tmpl w:val="3160A3FC"/>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B05CE7"/>
    <w:multiLevelType w:val="hybridMultilevel"/>
    <w:tmpl w:val="AF7E038C"/>
    <w:lvl w:ilvl="0" w:tplc="206C30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C011754"/>
    <w:multiLevelType w:val="multilevel"/>
    <w:tmpl w:val="B5564552"/>
    <w:lvl w:ilvl="0">
      <w:start w:val="1"/>
      <w:numFmt w:val="upperRoman"/>
      <w:lvlText w:val="%1."/>
      <w:lvlJc w:val="right"/>
      <w:pPr>
        <w:ind w:left="720" w:hanging="360"/>
      </w:pPr>
    </w:lvl>
    <w:lvl w:ilvl="1">
      <w:start w:val="1"/>
      <w:numFmt w:val="decimal"/>
      <w:isLgl/>
      <w:lvlText w:val="%1.%2"/>
      <w:lvlJc w:val="left"/>
      <w:pPr>
        <w:ind w:left="990" w:hanging="63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7C5A7D"/>
    <w:multiLevelType w:val="hybridMultilevel"/>
    <w:tmpl w:val="88500038"/>
    <w:lvl w:ilvl="0" w:tplc="414421E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D479CA"/>
    <w:multiLevelType w:val="multilevel"/>
    <w:tmpl w:val="E480A39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21" w15:restartNumberingAfterBreak="0">
    <w:nsid w:val="609923C8"/>
    <w:multiLevelType w:val="multilevel"/>
    <w:tmpl w:val="825C8046"/>
    <w:lvl w:ilvl="0">
      <w:start w:val="1"/>
      <w:numFmt w:val="upperRoman"/>
      <w:lvlText w:val="%1."/>
      <w:lvlJc w:val="center"/>
      <w:pPr>
        <w:tabs>
          <w:tab w:val="num" w:pos="450"/>
        </w:tabs>
        <w:ind w:left="378" w:hanging="288"/>
      </w:pPr>
      <w:rPr>
        <w:rFonts w:ascii="Times New Roman Bold" w:hAnsi="Times New Roman Bold" w:hint="default"/>
        <w:b/>
        <w:i w:val="0"/>
        <w:sz w:val="24"/>
      </w:rPr>
    </w:lvl>
    <w:lvl w:ilvl="1">
      <w:start w:val="1"/>
      <w:numFmt w:val="decimal"/>
      <w:isLgl/>
      <w:lvlText w:val="%1.%2"/>
      <w:lvlJc w:val="left"/>
      <w:pPr>
        <w:tabs>
          <w:tab w:val="num" w:pos="810"/>
        </w:tabs>
        <w:ind w:left="810" w:hanging="720"/>
      </w:pPr>
      <w:rPr>
        <w:rFonts w:hint="default"/>
      </w:rPr>
    </w:lvl>
    <w:lvl w:ilvl="2">
      <w:start w:val="1"/>
      <w:numFmt w:val="lowerLetter"/>
      <w:lvlRestart w:val="0"/>
      <w:lvlText w:val="%3."/>
      <w:lvlJc w:val="left"/>
      <w:pPr>
        <w:tabs>
          <w:tab w:val="num" w:pos="1890"/>
        </w:tabs>
        <w:ind w:left="1890" w:hanging="360"/>
      </w:pPr>
      <w:rPr>
        <w:rFonts w:ascii="Arial" w:hAnsi="Arial" w:cs="Arial" w:hint="default"/>
        <w:b/>
        <w:i w:val="0"/>
        <w:sz w:val="22"/>
        <w:szCs w:val="22"/>
      </w:rPr>
    </w:lvl>
    <w:lvl w:ilvl="3">
      <w:start w:val="1"/>
      <w:numFmt w:val="lowerRoman"/>
      <w:lvlRestart w:val="0"/>
      <w:lvlText w:val="(%4)"/>
      <w:lvlJc w:val="right"/>
      <w:pPr>
        <w:tabs>
          <w:tab w:val="num" w:pos="2178"/>
        </w:tabs>
        <w:ind w:left="2178" w:hanging="288"/>
      </w:pPr>
      <w:rPr>
        <w:rFonts w:ascii="Times New Roman Bold" w:hAnsi="Times New Roman Bold" w:hint="default"/>
        <w:b/>
        <w:i w:val="0"/>
        <w:sz w:val="24"/>
      </w:rPr>
    </w:lvl>
    <w:lvl w:ilvl="4">
      <w:start w:val="1"/>
      <w:numFmt w:val="none"/>
      <w:lvlText w:val=""/>
      <w:lvlJc w:val="left"/>
      <w:pPr>
        <w:tabs>
          <w:tab w:val="num" w:pos="3330"/>
        </w:tabs>
        <w:ind w:left="2970" w:firstLine="0"/>
      </w:pPr>
      <w:rPr>
        <w:rFonts w:hint="default"/>
      </w:rPr>
    </w:lvl>
    <w:lvl w:ilvl="5">
      <w:start w:val="1"/>
      <w:numFmt w:val="none"/>
      <w:lvlText w:val=""/>
      <w:lvlJc w:val="left"/>
      <w:pPr>
        <w:tabs>
          <w:tab w:val="num" w:pos="4050"/>
        </w:tabs>
        <w:ind w:left="3690" w:firstLine="0"/>
      </w:pPr>
      <w:rPr>
        <w:rFonts w:hint="default"/>
      </w:rPr>
    </w:lvl>
    <w:lvl w:ilvl="6">
      <w:start w:val="1"/>
      <w:numFmt w:val="none"/>
      <w:lvlText w:val=""/>
      <w:lvlJc w:val="left"/>
      <w:pPr>
        <w:tabs>
          <w:tab w:val="num" w:pos="4770"/>
        </w:tabs>
        <w:ind w:left="4410" w:firstLine="0"/>
      </w:pPr>
      <w:rPr>
        <w:rFonts w:hint="default"/>
      </w:rPr>
    </w:lvl>
    <w:lvl w:ilvl="7">
      <w:start w:val="1"/>
      <w:numFmt w:val="none"/>
      <w:lvlText w:val=""/>
      <w:lvlJc w:val="left"/>
      <w:pPr>
        <w:tabs>
          <w:tab w:val="num" w:pos="5490"/>
        </w:tabs>
        <w:ind w:left="5130" w:firstLine="0"/>
      </w:pPr>
      <w:rPr>
        <w:rFonts w:hint="default"/>
      </w:rPr>
    </w:lvl>
    <w:lvl w:ilvl="8">
      <w:start w:val="1"/>
      <w:numFmt w:val="none"/>
      <w:lvlText w:val=""/>
      <w:lvlJc w:val="left"/>
      <w:pPr>
        <w:tabs>
          <w:tab w:val="num" w:pos="6210"/>
        </w:tabs>
        <w:ind w:left="5850" w:firstLine="0"/>
      </w:pPr>
      <w:rPr>
        <w:rFonts w:hint="default"/>
      </w:rPr>
    </w:lvl>
  </w:abstractNum>
  <w:abstractNum w:abstractNumId="22" w15:restartNumberingAfterBreak="0">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3"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4" w15:restartNumberingAfterBreak="0">
    <w:nsid w:val="680D0E07"/>
    <w:multiLevelType w:val="multilevel"/>
    <w:tmpl w:val="827C7448"/>
    <w:lvl w:ilvl="0">
      <w:start w:val="1"/>
      <w:numFmt w:val="lowerLetter"/>
      <w:lvlText w:val="%1."/>
      <w:lvlJc w:val="left"/>
      <w:pPr>
        <w:ind w:left="3600" w:hanging="72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25" w15:restartNumberingAfterBreak="0">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7"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num w:numId="1">
    <w:abstractNumId w:val="4"/>
  </w:num>
  <w:num w:numId="2">
    <w:abstractNumId w:val="5"/>
  </w:num>
  <w:num w:numId="3">
    <w:abstractNumId w:val="10"/>
  </w:num>
  <w:num w:numId="4">
    <w:abstractNumId w:val="14"/>
  </w:num>
  <w:num w:numId="5">
    <w:abstractNumId w:val="27"/>
  </w:num>
  <w:num w:numId="6">
    <w:abstractNumId w:val="6"/>
  </w:num>
  <w:num w:numId="7">
    <w:abstractNumId w:val="2"/>
  </w:num>
  <w:num w:numId="8">
    <w:abstractNumId w:val="23"/>
  </w:num>
  <w:num w:numId="9">
    <w:abstractNumId w:val="15"/>
  </w:num>
  <w:num w:numId="10">
    <w:abstractNumId w:val="3"/>
  </w:num>
  <w:num w:numId="11">
    <w:abstractNumId w:val="7"/>
  </w:num>
  <w:num w:numId="12">
    <w:abstractNumId w:val="8"/>
  </w:num>
  <w:num w:numId="13">
    <w:abstractNumId w:val="28"/>
  </w:num>
  <w:num w:numId="14">
    <w:abstractNumId w:val="25"/>
  </w:num>
  <w:num w:numId="15">
    <w:abstractNumId w:val="29"/>
  </w:num>
  <w:num w:numId="16">
    <w:abstractNumId w:val="11"/>
  </w:num>
  <w:num w:numId="17">
    <w:abstractNumId w:val="20"/>
  </w:num>
  <w:num w:numId="18">
    <w:abstractNumId w:val="22"/>
  </w:num>
  <w:num w:numId="19">
    <w:abstractNumId w:val="12"/>
  </w:num>
  <w:num w:numId="20">
    <w:abstractNumId w:val="19"/>
  </w:num>
  <w:num w:numId="21">
    <w:abstractNumId w:val="21"/>
  </w:num>
  <w:num w:numId="22">
    <w:abstractNumId w:val="17"/>
  </w:num>
  <w:num w:numId="23">
    <w:abstractNumId w:val="1"/>
  </w:num>
  <w:num w:numId="24">
    <w:abstractNumId w:val="9"/>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6"/>
  </w:num>
  <w:num w:numId="28">
    <w:abstractNumId w:val="24"/>
  </w:num>
  <w:num w:numId="29">
    <w:abstractNumId w:val="18"/>
  </w:num>
  <w:num w:numId="30">
    <w:abstractNumId w:val="1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334B52F-37CE-4971-AFD8-E23C5EB9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pPr>
      <w:keepNext/>
      <w:spacing w:before="240" w:after="60"/>
      <w:outlineLvl w:val="2"/>
    </w:pPr>
    <w:rPr>
      <w:rFonts w:ascii="Arial" w:hAnsi="Arial"/>
    </w:rPr>
  </w:style>
  <w:style w:type="paragraph" w:styleId="Heading4">
    <w:name w:val="heading 4"/>
    <w:aliases w:val="Heading 4.a"/>
    <w:basedOn w:val="Normal"/>
    <w:next w:val="Normal"/>
    <w:link w:val="Heading4Char"/>
    <w:qFormat/>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pPr>
      <w:keepNext/>
      <w:keepLines/>
      <w:numPr>
        <w:ilvl w:val="7"/>
        <w:numId w:val="1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link w:val="BodyTextChar"/>
    <w:pPr>
      <w:tabs>
        <w:tab w:val="left" w:pos="3060"/>
      </w:tabs>
      <w:jc w:val="center"/>
    </w:p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paragraph" w:customStyle="1" w:styleId="Chapter">
    <w:name w:val="Chapter"/>
    <w:basedOn w:val="Normal"/>
    <w:next w:val="Normal"/>
    <w:uiPriority w:val="99"/>
    <w:pPr>
      <w:keepNext/>
      <w:numPr>
        <w:numId w:val="19"/>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pPr>
      <w:keepNext/>
      <w:numPr>
        <w:numId w:val="16"/>
      </w:numPr>
      <w:tabs>
        <w:tab w:val="left" w:pos="0"/>
        <w:tab w:val="left" w:pos="86"/>
      </w:tabs>
      <w:spacing w:before="120" w:after="120"/>
      <w:ind w:left="720"/>
    </w:pPr>
    <w:rPr>
      <w:b/>
      <w:lang w:val="es-E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
    <w:basedOn w:val="Normal"/>
    <w:link w:val="FootnoteTextChar"/>
    <w:qFormat/>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Pr>
      <w:rFonts w:ascii="Times New Roman" w:eastAsia="Times New Roman" w:hAnsi="Times New Roman" w:cs="Times New Roman"/>
      <w:spacing w:val="-3"/>
      <w:sz w:val="20"/>
      <w:szCs w:val="20"/>
      <w:lang w:val="es-ES_tradnl"/>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0"/>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uiPriority w:val="99"/>
    <w:qFormat/>
    <w:pPr>
      <w:numPr>
        <w:ilvl w:val="1"/>
        <w:numId w:val="19"/>
      </w:numPr>
      <w:tabs>
        <w:tab w:val="clear" w:pos="2448"/>
        <w:tab w:val="num" w:pos="720"/>
      </w:tabs>
      <w:spacing w:before="120"/>
      <w:ind w:left="720" w:hanging="7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6"/>
      </w:numPr>
      <w:tabs>
        <w:tab w:val="clear" w:pos="5400"/>
        <w:tab w:val="num" w:pos="1296"/>
      </w:tabs>
      <w:spacing w:before="120" w:after="120"/>
      <w:ind w:left="1296"/>
    </w:pPr>
    <w:rPr>
      <w:b/>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paragraph" w:customStyle="1" w:styleId="subpar">
    <w:name w:val="subpar"/>
    <w:basedOn w:val="BodyTextIndent3"/>
    <w:uiPriority w:val="99"/>
    <w:pPr>
      <w:numPr>
        <w:ilvl w:val="2"/>
        <w:numId w:val="19"/>
      </w:numPr>
      <w:tabs>
        <w:tab w:val="clear" w:pos="2304"/>
        <w:tab w:val="num" w:pos="1152"/>
      </w:tabs>
      <w:spacing w:before="120"/>
      <w:ind w:left="1152"/>
      <w:jc w:val="both"/>
      <w:outlineLvl w:val="2"/>
    </w:pPr>
    <w:rPr>
      <w:szCs w:val="20"/>
    </w:rPr>
  </w:style>
  <w:style w:type="paragraph" w:customStyle="1" w:styleId="SubSubPar">
    <w:name w:val="SubSubPar"/>
    <w:basedOn w:val="subpar"/>
    <w:pPr>
      <w:numPr>
        <w:ilvl w:val="3"/>
      </w:numPr>
      <w:tabs>
        <w:tab w:val="clear" w:pos="2736"/>
        <w:tab w:val="left" w:pos="0"/>
        <w:tab w:val="num" w:pos="1296"/>
      </w:tabs>
      <w:ind w:left="1296"/>
    </w:pPr>
  </w:style>
  <w:style w:type="paragraph" w:styleId="TOC1">
    <w:name w:val="toc 1"/>
    <w:basedOn w:val="Normal"/>
    <w:next w:val="Normal"/>
    <w:autoRedefine/>
    <w:uiPriority w:val="39"/>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character" w:styleId="Hyperlink">
    <w:name w:val="Hyperlink"/>
    <w:basedOn w:val="DefaultParagraphFont"/>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uiPriority w:val="99"/>
    <w:qFormat/>
    <w:rPr>
      <w:vertAlign w:val="superscript"/>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24"/>
      <w:szCs w:val="16"/>
      <w:lang w:val="es-ES_tradnl"/>
    </w:rPr>
  </w:style>
  <w:style w:type="paragraph" w:customStyle="1" w:styleId="Regtable">
    <w:name w:val="Regtable"/>
    <w:basedOn w:val="Normal"/>
    <w:link w:val="RegtableChar"/>
    <w:pPr>
      <w:keepLines/>
      <w:framePr w:wrap="around" w:vAnchor="text" w:hAnchor="text" w:y="1"/>
      <w:spacing w:before="20" w:after="20"/>
    </w:pPr>
    <w:rPr>
      <w:sz w:val="20"/>
    </w:rPr>
  </w:style>
  <w:style w:type="character" w:customStyle="1" w:styleId="RegtableChar">
    <w:name w:val="Regtable Char"/>
    <w:basedOn w:val="DefaultParagraphFont"/>
    <w:link w:val="Regtable"/>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Pr>
      <w:rFonts w:ascii="Arial" w:eastAsia="Times New Roman" w:hAnsi="Arial" w:cs="Times New Roman"/>
      <w:b/>
      <w:kern w:val="28"/>
      <w:sz w:val="28"/>
      <w:szCs w:val="20"/>
    </w:rPr>
  </w:style>
  <w:style w:type="character" w:customStyle="1" w:styleId="Heading2Char">
    <w:name w:val="Heading 2 Char"/>
    <w:basedOn w:val="DefaultParagraphFont"/>
    <w:link w:val="Heading2"/>
    <w:rPr>
      <w:rFonts w:ascii="Arial" w:eastAsia="Times New Roman" w:hAnsi="Arial" w:cs="Times New Roman"/>
      <w:b/>
      <w:i/>
      <w:sz w:val="24"/>
      <w:szCs w:val="20"/>
    </w:rPr>
  </w:style>
  <w:style w:type="character" w:customStyle="1" w:styleId="Heading3Char">
    <w:name w:val="Heading 3 Char"/>
    <w:basedOn w:val="DefaultParagraphFont"/>
    <w:link w:val="Heading3"/>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pPr>
      <w:ind w:left="720"/>
      <w:contextualSpacing/>
    </w:pPr>
  </w:style>
  <w:style w:type="paragraph" w:customStyle="1" w:styleId="xl29">
    <w:name w:val="xl29"/>
    <w:basedOn w:val="Normal"/>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uiPriority w:val="9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Pr>
      <w:rFonts w:ascii="Tahoma" w:eastAsia="Times New Roman" w:hAnsi="Tahoma" w:cs="Tahoma"/>
      <w:sz w:val="16"/>
      <w:szCs w:val="16"/>
    </w:rPr>
  </w:style>
  <w:style w:type="character" w:styleId="CommentReference">
    <w:name w:val="annotation reference"/>
    <w:basedOn w:val="DefaultParagraphFont"/>
    <w:semiHidden/>
    <w:rPr>
      <w:rFonts w:cs="Times New Roman"/>
      <w:sz w:val="16"/>
      <w:szCs w:val="16"/>
    </w:rPr>
  </w:style>
  <w:style w:type="character" w:customStyle="1" w:styleId="apple-converted-space">
    <w:name w:val="apple-converted-space"/>
    <w:basedOn w:val="DefaultParagraphFont"/>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pPr>
      <w:spacing w:before="100" w:beforeAutospacing="1" w:after="100" w:afterAutospacing="1"/>
    </w:pPr>
    <w:rPr>
      <w:szCs w:val="24"/>
      <w:lang w:val="en-US"/>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Pr>
      <w:i/>
      <w:iCs/>
    </w:rPr>
  </w:style>
  <w:style w:type="paragraph" w:customStyle="1" w:styleId="AutoNumpara">
    <w:name w:val="AutoNumpara"/>
    <w:basedOn w:val="BodyTextIndent"/>
    <w:pPr>
      <w:tabs>
        <w:tab w:val="num" w:pos="360"/>
      </w:tabs>
      <w:spacing w:before="120"/>
      <w:jc w:val="both"/>
    </w:pPr>
    <w:rPr>
      <w:noProof/>
      <w:spacing w:val="-2"/>
    </w:rPr>
  </w:style>
  <w:style w:type="paragraph" w:customStyle="1" w:styleId="bullets">
    <w:name w:val="bullets"/>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Pr>
      <w:rFonts w:ascii="Calibri" w:eastAsia="Calibri" w:hAnsi="Calibri" w:cs="Times New Roman"/>
      <w:lang w:val="es-ES_tradnl"/>
    </w:rPr>
  </w:style>
  <w:style w:type="paragraph" w:customStyle="1" w:styleId="heading-b24">
    <w:name w:val="heading-b24"/>
    <w:basedOn w:val="Normal"/>
    <w:next w:val="Normal"/>
    <w:pPr>
      <w:spacing w:after="600"/>
      <w:jc w:val="center"/>
    </w:pPr>
    <w:rPr>
      <w:rFonts w:ascii="Times New Roman Bold" w:hAnsi="Times New Roman Bold"/>
      <w:b/>
      <w:smallCaps/>
      <w:spacing w:val="-3"/>
    </w:rPr>
  </w:style>
  <w:style w:type="paragraph" w:styleId="NoSpacing">
    <w:name w:val="No Spacing"/>
    <w:uiPriority w:val="1"/>
    <w:qFormat/>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Pr>
      <w:color w:val="808080"/>
      <w:shd w:val="clear" w:color="auto" w:fill="E6E6E6"/>
    </w:rPr>
  </w:style>
  <w:style w:type="character" w:styleId="Strong">
    <w:name w:val="Strong"/>
    <w:basedOn w:val="DefaultParagraphFont"/>
    <w:uiPriority w:val="22"/>
    <w:qFormat/>
    <w:rPr>
      <w:b/>
      <w:bCs/>
    </w:rPr>
  </w:style>
  <w:style w:type="character" w:styleId="PlaceholderText">
    <w:name w:val="Placeholder Text"/>
    <w:basedOn w:val="DefaultParagraphFont"/>
    <w:uiPriority w:val="99"/>
    <w:semiHidden/>
    <w:rPr>
      <w:color w:val="808080"/>
    </w:rPr>
  </w:style>
  <w:style w:type="character" w:customStyle="1" w:styleId="ListParagraphChar">
    <w:name w:val="List Paragraph Char"/>
    <w:link w:val="ListParagraph"/>
    <w:uiPriority w:val="34"/>
    <w:locked/>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887876">
      <w:bodyDiv w:val="1"/>
      <w:marLeft w:val="0"/>
      <w:marRight w:val="0"/>
      <w:marTop w:val="0"/>
      <w:marBottom w:val="0"/>
      <w:divBdr>
        <w:top w:val="none" w:sz="0" w:space="0" w:color="auto"/>
        <w:left w:val="none" w:sz="0" w:space="0" w:color="auto"/>
        <w:bottom w:val="none" w:sz="0" w:space="0" w:color="auto"/>
        <w:right w:val="none" w:sz="0" w:space="0" w:color="auto"/>
      </w:divBdr>
      <w:divsChild>
        <w:div w:id="1937664996">
          <w:marLeft w:val="0"/>
          <w:marRight w:val="0"/>
          <w:marTop w:val="0"/>
          <w:marBottom w:val="0"/>
          <w:divBdr>
            <w:top w:val="none" w:sz="0" w:space="0" w:color="auto"/>
            <w:left w:val="none" w:sz="0" w:space="0" w:color="auto"/>
            <w:bottom w:val="none" w:sz="0" w:space="0" w:color="auto"/>
            <w:right w:val="none" w:sz="0" w:space="0" w:color="auto"/>
          </w:divBdr>
        </w:div>
        <w:div w:id="809322959">
          <w:marLeft w:val="0"/>
          <w:marRight w:val="0"/>
          <w:marTop w:val="0"/>
          <w:marBottom w:val="0"/>
          <w:divBdr>
            <w:top w:val="none" w:sz="0" w:space="0" w:color="auto"/>
            <w:left w:val="none" w:sz="0" w:space="0" w:color="auto"/>
            <w:bottom w:val="none" w:sz="0" w:space="0" w:color="auto"/>
            <w:right w:val="none" w:sz="0" w:space="0" w:color="auto"/>
          </w:divBdr>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033921728">
      <w:bodyDiv w:val="1"/>
      <w:marLeft w:val="0"/>
      <w:marRight w:val="0"/>
      <w:marTop w:val="0"/>
      <w:marBottom w:val="0"/>
      <w:divBdr>
        <w:top w:val="none" w:sz="0" w:space="0" w:color="auto"/>
        <w:left w:val="none" w:sz="0" w:space="0" w:color="auto"/>
        <w:bottom w:val="none" w:sz="0" w:space="0" w:color="auto"/>
        <w:right w:val="none" w:sz="0" w:space="0" w:color="auto"/>
      </w:divBdr>
    </w:div>
    <w:div w:id="1320108772">
      <w:bodyDiv w:val="1"/>
      <w:marLeft w:val="0"/>
      <w:marRight w:val="0"/>
      <w:marTop w:val="0"/>
      <w:marBottom w:val="0"/>
      <w:divBdr>
        <w:top w:val="none" w:sz="0" w:space="0" w:color="auto"/>
        <w:left w:val="none" w:sz="0" w:space="0" w:color="auto"/>
        <w:bottom w:val="none" w:sz="0" w:space="0" w:color="auto"/>
        <w:right w:val="none" w:sz="0" w:space="0" w:color="auto"/>
      </w:divBdr>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 w:id="1851604896">
      <w:bodyDiv w:val="1"/>
      <w:marLeft w:val="0"/>
      <w:marRight w:val="0"/>
      <w:marTop w:val="0"/>
      <w:marBottom w:val="0"/>
      <w:divBdr>
        <w:top w:val="none" w:sz="0" w:space="0" w:color="auto"/>
        <w:left w:val="none" w:sz="0" w:space="0" w:color="auto"/>
        <w:bottom w:val="none" w:sz="0" w:space="0" w:color="auto"/>
        <w:right w:val="none" w:sz="0" w:space="0" w:color="auto"/>
      </w:divBdr>
    </w:div>
    <w:div w:id="21045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emilipi@iadb.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ustomXml" Target="../customXml/item9.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5.xml"/><Relationship Id="rId22" Type="http://schemas.openxmlformats.org/officeDocument/2006/relationships/fontTable" Target="fontTable.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R0002184384</Record_x0020_Number>
    <Key_x0020_Document xmlns="cdc7663a-08f0-4737-9e8c-148ce897a09c">false</Key_x0020_Document>
    <Division_x0020_or_x0020_Unit xmlns="cdc7663a-08f0-4737-9e8c-148ce897a09c">IFD/FMM</Division_x0020_or_x0020_Unit>
    <Other_x0020_Author xmlns="cdc7663a-08f0-4737-9e8c-148ce897a09c">Emilio Pineda</Other_x0020_Author>
    <IDBDocs_x0020_Number xmlns="cdc7663a-08f0-4737-9e8c-148ce897a09c" xsi:nil="true"/>
    <Document_x0020_Author xmlns="cdc7663a-08f0-4737-9e8c-148ce897a09c">Canillas Gomez, Mariana Belen</Document_x0020_Author>
    <_dlc_DocId xmlns="cdc7663a-08f0-4737-9e8c-148ce897a09c">EZSHARE-1899350182-19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5</Value>
      <Value>228</Value>
      <Value>17</Value>
      <Value>36</Value>
      <Value>1</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Project_x0020_Number xmlns="cdc7663a-08f0-4737-9e8c-148ce897a09c">AR-L1283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2a848641-6d37-4d5e-b2b0-f391eeec3133</TermId>
        </TermInfo>
      </Terms>
    </b2ec7cfb18674cb8803df6b262e8b107>
    <Document_x0020_Language_x0020_IDB xmlns="cdc7663a-08f0-4737-9e8c-148ce897a09c">Spanish</Document_x0020_Language_x0020_IDB>
    <_dlc_DocIdUrl xmlns="cdc7663a-08f0-4737-9e8c-148ce897a09c">
      <Url>https://idbg.sharepoint.com/teams/EZ-AR-LON/AR-L1283/_layouts/15/DocIdRedir.aspx?ID=EZSHARE-1899350182-19</Url>
      <Description>EZSHARE-1899350182-19</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2D6D68FCC37CF4DA6D7EBD5684F4281" ma:contentTypeVersion="581" ma:contentTypeDescription="A content type to manage public (operations) IDB documents" ma:contentTypeScope="" ma:versionID="45971642839c0b764fd6e42064a65ca1">
  <xsd:schema xmlns:xsd="http://www.w3.org/2001/XMLSchema" xmlns:xs="http://www.w3.org/2001/XMLSchema" xmlns:p="http://schemas.microsoft.com/office/2006/metadata/properties" xmlns:ns2="cdc7663a-08f0-4737-9e8c-148ce897a09c" targetNamespace="http://schemas.microsoft.com/office/2006/metadata/properties" ma:root="true" ma:fieldsID="9eda6a0b6133bca66c98a0360e7069d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F12EC7904E90EA4AB98967A2048E6073" ma:contentTypeVersion="362" ma:contentTypeDescription="The base project type from which other project content types inherit their information." ma:contentTypeScope="" ma:versionID="8f314392b2cf15d88361321b04e71e85">
  <xsd:schema xmlns:xsd="http://www.w3.org/2001/XMLSchema" xmlns:xs="http://www.w3.org/2001/XMLSchema" xmlns:p="http://schemas.microsoft.com/office/2006/metadata/properties" xmlns:ns2="cdc7663a-08f0-4737-9e8c-148ce897a09c" targetNamespace="http://schemas.microsoft.com/office/2006/metadata/properties" ma:root="true" ma:fieldsID="0e0d7af64cc8881cbd16dc7b7526472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28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4D603A0-49B0-4DB7-B318-EB075C9D17B3}">
  <ds:schemaRefs>
    <ds:schemaRef ds:uri="http://schemas.microsoft.com/office/2006/documentManagement/types"/>
    <ds:schemaRef ds:uri="http://www.w3.org/XML/1998/namespace"/>
    <ds:schemaRef ds:uri="http://schemas.microsoft.com/office/infopath/2007/PartnerControls"/>
    <ds:schemaRef ds:uri="cdc7663a-08f0-4737-9e8c-148ce897a09c"/>
    <ds:schemaRef ds:uri="http://purl.org/dc/terms/"/>
    <ds:schemaRef ds:uri="http://purl.org/dc/dcmitype/"/>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C1E256F-C7E4-4517-8392-85C8D4E0C6FC}"/>
</file>

<file path=customXml/itemProps3.xml><?xml version="1.0" encoding="utf-8"?>
<ds:datastoreItem xmlns:ds="http://schemas.openxmlformats.org/officeDocument/2006/customXml" ds:itemID="{A3FD6928-62DA-45F6-8F37-F5C94318FACC}"/>
</file>

<file path=customXml/itemProps4.xml><?xml version="1.0" encoding="utf-8"?>
<ds:datastoreItem xmlns:ds="http://schemas.openxmlformats.org/officeDocument/2006/customXml" ds:itemID="{18F8495E-536B-4BCA-B621-31866E4C7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143A35-18C5-41E3-AE5F-02D765390539}">
  <ds:schemaRefs>
    <ds:schemaRef ds:uri="http://schemas.microsoft.com/sharepoint/v3/contenttype/forms"/>
  </ds:schemaRefs>
</ds:datastoreItem>
</file>

<file path=customXml/itemProps6.xml><?xml version="1.0" encoding="utf-8"?>
<ds:datastoreItem xmlns:ds="http://schemas.openxmlformats.org/officeDocument/2006/customXml" ds:itemID="{B53459DD-FD22-4E3C-885A-3158241692F0}">
  <ds:schemaRefs>
    <ds:schemaRef ds:uri="http://schemas.microsoft.com/sharepoint/events"/>
  </ds:schemaRefs>
</ds:datastoreItem>
</file>

<file path=customXml/itemProps7.xml><?xml version="1.0" encoding="utf-8"?>
<ds:datastoreItem xmlns:ds="http://schemas.openxmlformats.org/officeDocument/2006/customXml" ds:itemID="{E75C5C77-D050-4A1B-ABAD-11D7563636DA}">
  <ds:schemaRefs>
    <ds:schemaRef ds:uri="http://schemas.openxmlformats.org/officeDocument/2006/bibliography"/>
  </ds:schemaRefs>
</ds:datastoreItem>
</file>

<file path=customXml/itemProps8.xml><?xml version="1.0" encoding="utf-8"?>
<ds:datastoreItem xmlns:ds="http://schemas.openxmlformats.org/officeDocument/2006/customXml" ds:itemID="{02BC16DD-5C5C-4013-8411-2B6259C3308B}"/>
</file>

<file path=customXml/itemProps9.xml><?xml version="1.0" encoding="utf-8"?>
<ds:datastoreItem xmlns:ds="http://schemas.openxmlformats.org/officeDocument/2006/customXml" ds:itemID="{81E9CC0F-6F86-462B-BEEF-CE8BC89897F5}"/>
</file>

<file path=docProps/app.xml><?xml version="1.0" encoding="utf-8"?>
<Properties xmlns="http://schemas.openxmlformats.org/officeDocument/2006/extended-properties" xmlns:vt="http://schemas.openxmlformats.org/officeDocument/2006/docPropsVTypes">
  <Template>Normal.dotm</Template>
  <TotalTime>33</TotalTime>
  <Pages>19</Pages>
  <Words>4606</Words>
  <Characters>25333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claudiacox</dc:creator>
  <cp:keywords/>
  <cp:lastModifiedBy>Canillas Gomez, Mariana Belen</cp:lastModifiedBy>
  <cp:revision>9</cp:revision>
  <cp:lastPrinted>2015-03-30T19:43:00Z</cp:lastPrinted>
  <dcterms:created xsi:type="dcterms:W3CDTF">2018-04-11T14:01:00Z</dcterms:created>
  <dcterms:modified xsi:type="dcterms:W3CDTF">2018-05-09T17:04:00Z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17;#Loan Proposal|6ee86b6f-6e46-485b-8bfb-87a1f44622ac</vt:lpwstr>
  </property>
  <property fmtid="{D5CDD505-2E9C-101B-9397-08002B2CF9AE}" pid="6" name="Sub-Sector">
    <vt:lpwstr>228;#REFORM / MODERNIZATION OF THE STATE|2a848641-6d37-4d5e-b2b0-f391eeec3133</vt:lpwstr>
  </property>
  <property fmtid="{D5CDD505-2E9C-101B-9397-08002B2CF9AE}" pid="7" name="Country">
    <vt:lpwstr>5;#Argentina|eb1b705c-195f-4c3b-9661-b201f2fee3c5</vt:lpwstr>
  </property>
  <property fmtid="{D5CDD505-2E9C-101B-9397-08002B2CF9AE}" pid="8" name="Fund IDB">
    <vt:lpwstr/>
  </property>
  <property fmtid="{D5CDD505-2E9C-101B-9397-08002B2CF9AE}" pid="9" name="_dlc_DocIdItemGuid">
    <vt:lpwstr>8d2aa346-5397-485a-8901-be64a3b84a5a</vt:lpwstr>
  </property>
  <property fmtid="{D5CDD505-2E9C-101B-9397-08002B2CF9AE}" pid="10" name="Sector IDB">
    <vt:lpwstr>36;#REFORM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RecordStorageActiveId">
    <vt:lpwstr>d7f55844-00ef-40a2-ab42-5397da644022</vt:lpwstr>
  </property>
  <property fmtid="{D5CDD505-2E9C-101B-9397-08002B2CF9AE}" pid="13" name="ContentTypeId">
    <vt:lpwstr>0x0101001A458A224826124E8B45B1D613300CFC0012D6D68FCC37CF4DA6D7EBD5684F4281</vt:lpwstr>
  </property>
</Properties>
</file>