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Heading5"/>
        <w:rPr>
          <w:rFonts w:ascii="Arial" w:hAnsi="Arial" w:cs="Arial"/>
          <w:smallCaps/>
          <w:sz w:val="22"/>
          <w:szCs w:val="22"/>
          <w:lang w:val="es-ES"/>
        </w:rPr>
      </w:pPr>
      <w:r>
        <w:rPr>
          <w:rFonts w:ascii="Arial" w:hAnsi="Arial" w:cs="Arial"/>
          <w:smallCaps/>
          <w:sz w:val="22"/>
          <w:szCs w:val="22"/>
          <w:lang w:val="es-ES"/>
        </w:rPr>
        <w:t>Índice de Estudios Sectoriales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2364"/>
        <w:gridCol w:w="7652"/>
        <w:gridCol w:w="1147"/>
        <w:gridCol w:w="1307"/>
      </w:tblGrid>
      <w:tr>
        <w:trPr>
          <w:cantSplit/>
          <w:trHeight w:val="20"/>
          <w:tblHeader/>
        </w:trPr>
        <w:tc>
          <w:tcPr>
            <w:tcW w:w="948" w:type="pct"/>
            <w:shd w:val="clear" w:color="auto" w:fill="BFBFBF"/>
            <w:vAlign w:val="center"/>
          </w:tcPr>
          <w:p>
            <w:pPr>
              <w:spacing w:before="20"/>
              <w:jc w:val="center"/>
              <w:rPr>
                <w:rFonts w:ascii="Arial" w:hAnsi="Arial" w:cs="Arial"/>
                <w:b/>
                <w:iCs/>
                <w:lang w:val="es-ES_tradnl"/>
              </w:rPr>
            </w:pPr>
            <w:r>
              <w:rPr>
                <w:rFonts w:ascii="Arial" w:hAnsi="Arial" w:cs="Arial"/>
                <w:b/>
                <w:iCs/>
                <w:lang w:val="es-ES_tradnl"/>
              </w:rPr>
              <w:t>Estudios</w:t>
            </w:r>
            <w:r>
              <w:rPr>
                <w:rFonts w:ascii="Arial" w:hAnsi="Arial" w:cs="Arial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iCs/>
                <w:lang w:val="es-ES_tradnl"/>
              </w:rPr>
              <w:t>/ Documentos técnicos</w:t>
            </w:r>
          </w:p>
        </w:tc>
        <w:tc>
          <w:tcPr>
            <w:tcW w:w="3068" w:type="pct"/>
            <w:shd w:val="clear" w:color="auto" w:fill="BFBFBF"/>
            <w:vAlign w:val="center"/>
          </w:tcPr>
          <w:p>
            <w:pPr>
              <w:pStyle w:val="Heading2"/>
              <w:spacing w:before="20" w:after="0"/>
              <w:ind w:right="-25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Descripción</w:t>
            </w:r>
          </w:p>
        </w:tc>
        <w:tc>
          <w:tcPr>
            <w:tcW w:w="460" w:type="pct"/>
            <w:shd w:val="clear" w:color="auto" w:fill="BFBFBF"/>
            <w:vAlign w:val="center"/>
          </w:tcPr>
          <w:p>
            <w:pPr>
              <w:spacing w:before="20"/>
              <w:ind w:left="-114" w:right="-114"/>
              <w:jc w:val="center"/>
              <w:rPr>
                <w:rFonts w:ascii="Arial" w:hAnsi="Arial" w:cs="Arial"/>
                <w:b/>
                <w:iCs/>
                <w:lang w:val="es-ES_tradnl"/>
              </w:rPr>
            </w:pPr>
            <w:r>
              <w:rPr>
                <w:rFonts w:ascii="Arial" w:hAnsi="Arial" w:cs="Arial"/>
                <w:b/>
                <w:iCs/>
                <w:lang w:val="es-ES_tradnl"/>
              </w:rPr>
              <w:t>Estado</w:t>
            </w:r>
          </w:p>
        </w:tc>
        <w:tc>
          <w:tcPr>
            <w:tcW w:w="524" w:type="pct"/>
            <w:shd w:val="clear" w:color="auto" w:fill="BFBFBF"/>
            <w:vAlign w:val="center"/>
          </w:tcPr>
          <w:p>
            <w:pPr>
              <w:spacing w:before="20"/>
              <w:ind w:left="-91" w:right="-90"/>
              <w:jc w:val="center"/>
              <w:rPr>
                <w:rFonts w:ascii="Arial" w:hAnsi="Arial" w:cs="Arial"/>
                <w:b/>
                <w:iCs/>
                <w:lang w:val="es-ES_tradnl"/>
              </w:rPr>
            </w:pPr>
            <w:r>
              <w:rPr>
                <w:rFonts w:ascii="Arial" w:hAnsi="Arial" w:cs="Arial"/>
                <w:b/>
                <w:iCs/>
                <w:lang w:val="es-ES_tradnl"/>
              </w:rPr>
              <w:t>Referencias electrónicas</w:t>
            </w:r>
          </w:p>
        </w:tc>
      </w:tr>
      <w:tr>
        <w:trPr>
          <w:cantSplit/>
          <w:trHeight w:val="20"/>
        </w:trPr>
        <w:tc>
          <w:tcPr>
            <w:tcW w:w="948" w:type="pct"/>
            <w:vMerge w:val="restart"/>
            <w:vAlign w:val="center"/>
          </w:tcPr>
          <w:p>
            <w:pPr>
              <w:pStyle w:val="Heading1"/>
              <w:spacing w:before="20" w:after="0"/>
              <w:rPr>
                <w:rFonts w:ascii="Arial" w:hAnsi="Arial" w:cs="Arial"/>
                <w:b/>
                <w:bCs/>
                <w:sz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lang w:val="es-ES_tradnl"/>
              </w:rPr>
              <w:t>Opciones técnicas y de diseño del proyecto</w:t>
            </w:r>
          </w:p>
        </w:tc>
        <w:tc>
          <w:tcPr>
            <w:tcW w:w="4052" w:type="pct"/>
            <w:gridSpan w:val="3"/>
            <w:shd w:val="clear" w:color="auto" w:fill="F2F2F2"/>
            <w:vAlign w:val="center"/>
          </w:tcPr>
          <w:p>
            <w:pPr>
              <w:pStyle w:val="BodyText"/>
              <w:spacing w:before="20"/>
              <w:ind w:right="-114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lang w:val="es-ES_tradnl"/>
              </w:rPr>
              <w:t>Componente I. Clima de Inversión</w:t>
            </w:r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i/>
                <w:sz w:val="20"/>
                <w:lang w:val="es-ES_tradnl"/>
              </w:rPr>
              <w:t xml:space="preserve">Country Development </w:t>
            </w:r>
            <w:proofErr w:type="spellStart"/>
            <w:r>
              <w:rPr>
                <w:rFonts w:ascii="Arial" w:hAnsi="Arial" w:cs="Arial"/>
                <w:i/>
                <w:sz w:val="20"/>
                <w:lang w:val="es-ES_tradnl"/>
              </w:rPr>
              <w:t>Challenges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, BID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Concluido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highlight w:val="yellow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Marcos Regulatorios para el Endeudamiento Subnacional. BID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Concluido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highlight w:val="yellow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Descentralización Macro económicamente sostenible. BI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lang w:val="es-ES_tradnl"/>
              </w:rPr>
              <w:t>D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Concluido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highlight w:val="yellow"/>
                <w:lang w:val="es-ES_tradnl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lang w:val="es-ES_tradnl"/>
              </w:rPr>
              <w:t>Two</w:t>
            </w:r>
            <w:proofErr w:type="spellEnd"/>
            <w:r>
              <w:rPr>
                <w:rFonts w:ascii="Arial" w:hAnsi="Arial" w:cs="Arial"/>
                <w:i/>
                <w:sz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lang w:val="es-ES_tradnl"/>
              </w:rPr>
              <w:t>to</w:t>
            </w:r>
            <w:proofErr w:type="spellEnd"/>
            <w:r>
              <w:rPr>
                <w:rFonts w:ascii="Arial" w:hAnsi="Arial" w:cs="Arial"/>
                <w:i/>
                <w:sz w:val="20"/>
                <w:lang w:val="es-ES_tradnl"/>
              </w:rPr>
              <w:t xml:space="preserve"> Tango: </w:t>
            </w:r>
            <w:proofErr w:type="spellStart"/>
            <w:r>
              <w:rPr>
                <w:rFonts w:ascii="Arial" w:hAnsi="Arial" w:cs="Arial"/>
                <w:i/>
                <w:sz w:val="20"/>
                <w:lang w:val="es-ES_tradnl"/>
              </w:rPr>
              <w:t>Argentina’s</w:t>
            </w:r>
            <w:proofErr w:type="spellEnd"/>
            <w:r>
              <w:rPr>
                <w:rFonts w:ascii="Arial" w:hAnsi="Arial" w:cs="Arial"/>
                <w:i/>
                <w:sz w:val="20"/>
                <w:lang w:val="es-ES_tradnl"/>
              </w:rPr>
              <w:t xml:space="preserve"> Vertical </w:t>
            </w:r>
            <w:proofErr w:type="spellStart"/>
            <w:r>
              <w:rPr>
                <w:rFonts w:ascii="Arial" w:hAnsi="Arial" w:cs="Arial"/>
                <w:i/>
                <w:sz w:val="20"/>
                <w:lang w:val="es-ES_tradnl"/>
              </w:rPr>
              <w:t>Imbalance</w:t>
            </w:r>
            <w:proofErr w:type="spellEnd"/>
            <w:r>
              <w:rPr>
                <w:rFonts w:ascii="Arial" w:hAnsi="Arial" w:cs="Arial"/>
                <w:i/>
                <w:sz w:val="20"/>
                <w:lang w:val="es-ES_tradnl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sz w:val="20"/>
                <w:lang w:val="es-ES_tradnl"/>
              </w:rPr>
              <w:t>Revenue</w:t>
            </w:r>
            <w:proofErr w:type="spellEnd"/>
            <w:r>
              <w:rPr>
                <w:rFonts w:ascii="Arial" w:hAnsi="Arial" w:cs="Arial"/>
                <w:i/>
                <w:sz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lang w:val="es-ES_tradnl"/>
              </w:rPr>
              <w:t>Mobilization</w:t>
            </w:r>
            <w:proofErr w:type="spellEnd"/>
            <w:r>
              <w:rPr>
                <w:rFonts w:ascii="Arial" w:hAnsi="Arial" w:cs="Arial"/>
                <w:i/>
                <w:sz w:val="20"/>
                <w:lang w:val="es-ES_tradnl"/>
              </w:rPr>
              <w:t>.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 BID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Concluido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  <w:hyperlink r:id="rId13" w:history="1">
              <w:r>
                <w:rPr>
                  <w:rStyle w:val="Hyperlink"/>
                  <w:rFonts w:ascii="Arial" w:hAnsi="Arial" w:cs="Arial"/>
                  <w:sz w:val="20"/>
                  <w:lang w:val="es-ES_tradnl"/>
                </w:rPr>
                <w:t>Enlace a publicación - Capítulo II</w:t>
              </w:r>
            </w:hyperlink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Transferencias intergubernamentales y disparidades fiscales a nivel subnacional en Argentina, BID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Concluido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  <w:hyperlink r:id="rId14" w:history="1">
              <w:r>
                <w:rPr>
                  <w:rStyle w:val="Hyperlink"/>
                  <w:rFonts w:ascii="Arial" w:hAnsi="Arial" w:cs="Arial"/>
                  <w:sz w:val="20"/>
                  <w:lang w:val="es-ES_tradnl"/>
                </w:rPr>
                <w:t>Enlace a publicación</w:t>
              </w:r>
            </w:hyperlink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highlight w:val="yellow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Impacto de la Reforma Tributaria de EE. UU.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Concluido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Estudio sobre el Impacto del Impuesto de Ingresos Brutos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Concluido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Acciones de Fortalecimiento para el Consejo de Responsabilidad Fiscal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En proceso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Argentina. </w:t>
            </w:r>
            <w:r>
              <w:rPr>
                <w:rFonts w:ascii="Arial" w:hAnsi="Arial" w:cs="Arial"/>
                <w:i/>
                <w:sz w:val="20"/>
                <w:lang w:val="en-US"/>
              </w:rPr>
              <w:t>Multi-dimensional Economic Survey.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 OCDE, 2017.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Concluido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  <w:hyperlink r:id="rId15" w:history="1">
              <w:r>
                <w:rPr>
                  <w:rStyle w:val="Hyperlink"/>
                  <w:rFonts w:ascii="Arial" w:hAnsi="Arial" w:cs="Arial"/>
                  <w:sz w:val="20"/>
                  <w:lang w:val="es-ES_tradnl"/>
                </w:rPr>
                <w:t>Enlace a publicación</w:t>
              </w:r>
            </w:hyperlink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IMF,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Article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IV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Consultation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, 2017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Concluido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n-US"/>
              </w:rPr>
            </w:pPr>
            <w:hyperlink r:id="rId16" w:history="1">
              <w:r>
                <w:rPr>
                  <w:rStyle w:val="Hyperlink"/>
                  <w:rFonts w:ascii="Arial" w:hAnsi="Arial" w:cs="Arial"/>
                  <w:sz w:val="20"/>
                  <w:lang w:val="en-US"/>
                </w:rPr>
                <w:t>List of Recent Article IV Consultations</w:t>
              </w:r>
            </w:hyperlink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The Global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Competitiveness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Report 2017–2018. World Economic Forum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Concluido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  <w:hyperlink r:id="rId17" w:history="1">
              <w:r>
                <w:rPr>
                  <w:rStyle w:val="Hyperlink"/>
                  <w:rFonts w:ascii="Arial" w:hAnsi="Arial" w:cs="Arial"/>
                  <w:sz w:val="20"/>
                  <w:lang w:val="es-ES_tradnl"/>
                </w:rPr>
                <w:t>Enlace publicación</w:t>
              </w:r>
            </w:hyperlink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4052" w:type="pct"/>
            <w:gridSpan w:val="3"/>
            <w:shd w:val="clear" w:color="auto" w:fill="F2F2F2"/>
            <w:vAlign w:val="center"/>
          </w:tcPr>
          <w:p>
            <w:pPr>
              <w:pStyle w:val="BodyText"/>
              <w:spacing w:before="20"/>
              <w:ind w:right="-114"/>
              <w:rPr>
                <w:rFonts w:ascii="Arial" w:hAnsi="Arial" w:cs="Arial"/>
                <w:b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lang w:val="es-ES_tradnl"/>
              </w:rPr>
              <w:t>Componente II. Fortalecimiento de la Inversión Pública</w:t>
            </w:r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Revisión del Sistema Nacional de Inversión Pública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Concluido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Debilidades de la vinculación presupuestal del SNIP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Concluido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>
        <w:trPr>
          <w:cantSplit/>
          <w:trHeight w:val="20"/>
        </w:trPr>
        <w:tc>
          <w:tcPr>
            <w:tcW w:w="948" w:type="pct"/>
            <w:vMerge/>
            <w:vAlign w:val="center"/>
          </w:tcPr>
          <w:p>
            <w:pPr>
              <w:pStyle w:val="Heading1"/>
              <w:spacing w:before="20" w:after="0"/>
              <w:jc w:val="center"/>
              <w:rPr>
                <w:rFonts w:ascii="Arial" w:hAnsi="Arial" w:cs="Arial"/>
                <w:bCs/>
                <w:sz w:val="20"/>
                <w:lang w:val="es-ES_tradnl"/>
              </w:rPr>
            </w:pP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Revisión de la Gobernanza Corporativa de las Empresas Públicas, OECD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En proceso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>
        <w:trPr>
          <w:cantSplit/>
          <w:trHeight w:val="20"/>
        </w:trPr>
        <w:tc>
          <w:tcPr>
            <w:tcW w:w="948" w:type="pct"/>
            <w:vAlign w:val="center"/>
          </w:tcPr>
          <w:p>
            <w:pPr>
              <w:pStyle w:val="Heading1"/>
              <w:keepNext w:val="0"/>
              <w:spacing w:before="20" w:after="0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iCs/>
                <w:sz w:val="20"/>
                <w:lang w:val="es-ES_tradnl"/>
              </w:rPr>
              <w:t>Viabilidad económica</w:t>
            </w: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iCs/>
                <w:sz w:val="20"/>
                <w:lang w:val="es-ES_tradnl"/>
              </w:rPr>
              <w:t>Análisis costo beneficio del Programa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iCs/>
                <w:sz w:val="20"/>
                <w:lang w:val="es-ES_tradnl"/>
              </w:rPr>
              <w:t>Pendiente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</w:t>
            </w:r>
          </w:p>
        </w:tc>
      </w:tr>
      <w:tr>
        <w:trPr>
          <w:cantSplit/>
          <w:trHeight w:val="20"/>
        </w:trPr>
        <w:tc>
          <w:tcPr>
            <w:tcW w:w="948" w:type="pct"/>
            <w:vAlign w:val="center"/>
          </w:tcPr>
          <w:p>
            <w:pPr>
              <w:pStyle w:val="Heading1"/>
              <w:keepNext w:val="0"/>
              <w:spacing w:before="20" w:after="0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iCs/>
                <w:sz w:val="20"/>
                <w:lang w:val="es-ES_tradnl"/>
              </w:rPr>
              <w:t>Resultados e impactos del Programa</w:t>
            </w:r>
          </w:p>
        </w:tc>
        <w:tc>
          <w:tcPr>
            <w:tcW w:w="3068" w:type="pct"/>
            <w:vAlign w:val="center"/>
          </w:tcPr>
          <w:p>
            <w:pPr>
              <w:pStyle w:val="BodyText"/>
              <w:spacing w:before="20"/>
              <w:ind w:left="-25" w:right="-24"/>
              <w:jc w:val="both"/>
              <w:rPr>
                <w:rFonts w:ascii="Arial" w:hAnsi="Arial" w:cs="Arial"/>
                <w:sz w:val="20"/>
                <w:highlight w:val="yellow"/>
                <w:lang w:val="es-ES_tradnl"/>
              </w:rPr>
            </w:pPr>
            <w:r>
              <w:rPr>
                <w:rFonts w:ascii="Arial" w:hAnsi="Arial" w:cs="Arial"/>
                <w:iCs/>
                <w:sz w:val="20"/>
                <w:lang w:val="es-ES_tradnl"/>
              </w:rPr>
              <w:t>Plan de Monitoreo y Evaluación de Resultados e Impactos del Programa</w:t>
            </w:r>
          </w:p>
        </w:tc>
        <w:tc>
          <w:tcPr>
            <w:tcW w:w="460" w:type="pct"/>
            <w:vAlign w:val="center"/>
          </w:tcPr>
          <w:p>
            <w:pPr>
              <w:pStyle w:val="BodyText"/>
              <w:spacing w:before="20"/>
              <w:ind w:left="-114" w:right="-114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iCs/>
                <w:sz w:val="20"/>
                <w:lang w:val="es-ES_tradnl"/>
              </w:rPr>
              <w:t>Pendiente</w:t>
            </w:r>
          </w:p>
        </w:tc>
        <w:tc>
          <w:tcPr>
            <w:tcW w:w="524" w:type="pct"/>
            <w:vAlign w:val="center"/>
          </w:tcPr>
          <w:p>
            <w:pPr>
              <w:pStyle w:val="BodyText"/>
              <w:spacing w:before="20"/>
              <w:ind w:left="-91" w:right="-90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</w:t>
            </w:r>
          </w:p>
        </w:tc>
      </w:tr>
    </w:tbl>
    <w:p>
      <w:pPr>
        <w:rPr>
          <w:rFonts w:ascii="Arial" w:hAnsi="Arial" w:cs="Arial"/>
          <w:sz w:val="22"/>
          <w:szCs w:val="22"/>
          <w:lang w:val="es-ES"/>
        </w:rPr>
      </w:pPr>
    </w:p>
    <w:sectPr>
      <w:headerReference w:type="even" r:id="rId18"/>
      <w:headerReference w:type="default" r:id="rId19"/>
      <w:pgSz w:w="15840" w:h="12240" w:orient="landscape" w:code="1"/>
      <w:pgMar w:top="1350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ind w:right="-990"/>
      <w:jc w:val="right"/>
      <w:rPr>
        <w:b/>
        <w:sz w:val="24"/>
        <w:lang w:val="pt-BR"/>
      </w:rPr>
    </w:pPr>
    <w:r>
      <w:rPr>
        <w:b/>
        <w:sz w:val="24"/>
        <w:lang w:val="pt-BR"/>
      </w:rPr>
      <w:t>Anexo IV – DR-L1117</w:t>
    </w:r>
  </w:p>
  <w:p>
    <w:pPr>
      <w:pStyle w:val="Header"/>
      <w:ind w:right="-990"/>
      <w:jc w:val="right"/>
      <w:rPr>
        <w:lang w:val="pt-BR"/>
      </w:rPr>
    </w:pPr>
    <w:r>
      <w:rPr>
        <w:lang w:val="pt-BR"/>
      </w:rPr>
      <w:t>Página 2 de 2</w:t>
    </w:r>
  </w:p>
  <w:p>
    <w:pPr>
      <w:pStyle w:val="Header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ind w:right="-990"/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AR-L1283</w:t>
    </w:r>
  </w:p>
  <w:p>
    <w:pPr>
      <w:pStyle w:val="Header"/>
      <w:ind w:right="-990"/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Página 1 de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31C7"/>
    <w:multiLevelType w:val="hybridMultilevel"/>
    <w:tmpl w:val="3F52B20A"/>
    <w:lvl w:ilvl="0" w:tplc="73A85EA4">
      <w:start w:val="1"/>
      <w:numFmt w:val="upperRoman"/>
      <w:pStyle w:val="Heading4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C088D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E55"/>
    <w:multiLevelType w:val="hybridMultilevel"/>
    <w:tmpl w:val="BBD43E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784E8D"/>
    <w:multiLevelType w:val="hybridMultilevel"/>
    <w:tmpl w:val="451CAB66"/>
    <w:lvl w:ilvl="0" w:tplc="4F98D14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D7130AE"/>
    <w:multiLevelType w:val="hybridMultilevel"/>
    <w:tmpl w:val="5ED45916"/>
    <w:lvl w:ilvl="0" w:tplc="1146EBE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2402E84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1AA2594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19260916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01C402E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858CEF6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EB92F4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4A5637E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8D6446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340735"/>
    <w:multiLevelType w:val="hybridMultilevel"/>
    <w:tmpl w:val="EA927DA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2505BB"/>
    <w:multiLevelType w:val="hybridMultilevel"/>
    <w:tmpl w:val="17EC16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A7D9B"/>
    <w:multiLevelType w:val="hybridMultilevel"/>
    <w:tmpl w:val="F5485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13159"/>
    <w:multiLevelType w:val="hybridMultilevel"/>
    <w:tmpl w:val="BBD43EF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4C09EB"/>
    <w:multiLevelType w:val="hybridMultilevel"/>
    <w:tmpl w:val="4D1A37FE"/>
    <w:lvl w:ilvl="0" w:tplc="60E0D2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3DCB0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4223F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5C33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46E05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5453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E90D0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AE4A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D5E9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7B2A43"/>
    <w:multiLevelType w:val="hybridMultilevel"/>
    <w:tmpl w:val="BBD43E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1">
      <w:lvl w:ilvl="1" w:tplc="82402E84">
        <w:numFmt w:val="upperLetter"/>
        <w:lvlText w:val="%2."/>
        <w:lvlJc w:val="left"/>
      </w:lvl>
    </w:lvlOverride>
  </w:num>
  <w:num w:numId="3">
    <w:abstractNumId w:val="8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removePersonalInformation/>
  <w:removeDateAndTime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pt-BR" w:eastAsia="en-US"/>
    </w:rPr>
  </w:style>
  <w:style w:type="paragraph" w:styleId="Heading1">
    <w:name w:val="heading 1"/>
    <w:basedOn w:val="Normal"/>
    <w:next w:val="Normal"/>
    <w:qFormat/>
    <w:pPr>
      <w:keepNext/>
      <w:spacing w:after="120"/>
      <w:outlineLvl w:val="0"/>
    </w:pPr>
    <w:rPr>
      <w:rFonts w:ascii="Palatino Linotype" w:hAnsi="Palatino Linotype"/>
      <w:sz w:val="24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jc w:val="center"/>
      <w:outlineLvl w:val="1"/>
    </w:pPr>
    <w:rPr>
      <w:rFonts w:ascii="Palatino Linotype" w:hAnsi="Palatino Linotype"/>
      <w:b/>
      <w:iCs/>
      <w:sz w:val="22"/>
      <w:szCs w:val="22"/>
    </w:rPr>
  </w:style>
  <w:style w:type="paragraph" w:styleId="Heading3">
    <w:name w:val="heading 3"/>
    <w:basedOn w:val="Normal"/>
    <w:qFormat/>
    <w:pPr>
      <w:spacing w:before="165" w:after="165"/>
      <w:outlineLvl w:val="2"/>
    </w:pPr>
    <w:rPr>
      <w:rFonts w:ascii="Verdana" w:eastAsia="Arial Unicode MS" w:hAnsi="Verdana" w:cs="Arial Unicode MS"/>
      <w:b/>
      <w:bCs/>
      <w:color w:val="1B2153"/>
      <w:sz w:val="21"/>
      <w:szCs w:val="21"/>
    </w:rPr>
  </w:style>
  <w:style w:type="paragraph" w:styleId="Heading4">
    <w:name w:val="heading 4"/>
    <w:basedOn w:val="Normal"/>
    <w:next w:val="Normal"/>
    <w:qFormat/>
    <w:pPr>
      <w:keepNext/>
      <w:numPr>
        <w:numId w:val="10"/>
      </w:numPr>
      <w:spacing w:after="120"/>
      <w:jc w:val="center"/>
      <w:outlineLvl w:val="3"/>
    </w:pPr>
    <w:rPr>
      <w:rFonts w:ascii="Palatino Linotype" w:hAnsi="Palatino Linotype"/>
      <w:b/>
      <w:b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65"/>
    </w:pPr>
    <w:rPr>
      <w:rFonts w:ascii="Arial Unicode MS" w:eastAsia="Arial Unicode MS" w:hAnsi="Arial Unicode MS" w:cs="Arial Unicode MS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3">
    <w:name w:val="Body Text 3"/>
    <w:basedOn w:val="Normal"/>
    <w:semiHidden/>
    <w:rPr>
      <w:rFonts w:ascii="Palatino Linotype" w:hAnsi="Palatino Linotype"/>
      <w:sz w:val="22"/>
    </w:rPr>
  </w:style>
  <w:style w:type="paragraph" w:customStyle="1" w:styleId="AbbrDesc">
    <w:name w:val="AbbrDesc"/>
    <w:basedOn w:val="Normal"/>
    <w:pPr>
      <w:tabs>
        <w:tab w:val="left" w:pos="3060"/>
      </w:tabs>
      <w:jc w:val="both"/>
    </w:pPr>
    <w:rPr>
      <w:sz w:val="24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 w:val="24"/>
    </w:rPr>
  </w:style>
  <w:style w:type="paragraph" w:styleId="BodyText">
    <w:name w:val="Body Text"/>
    <w:basedOn w:val="Normal"/>
    <w:link w:val="BodyTextChar"/>
    <w:semiHidden/>
    <w:rPr>
      <w:rFonts w:ascii="Palatino Linotype" w:hAnsi="Palatino Linotype"/>
      <w:sz w:val="24"/>
    </w:rPr>
  </w:style>
  <w:style w:type="paragraph" w:styleId="FootnoteText">
    <w:name w:val="footnote text"/>
    <w:basedOn w:val="Normal"/>
    <w:semiHidden/>
  </w:style>
  <w:style w:type="paragraph" w:styleId="BodyTextIndent2">
    <w:name w:val="Body Text Indent 2"/>
    <w:basedOn w:val="Normal"/>
    <w:semiHidden/>
    <w:pPr>
      <w:autoSpaceDE w:val="0"/>
      <w:autoSpaceDN w:val="0"/>
      <w:adjustRightInd w:val="0"/>
      <w:ind w:left="720"/>
    </w:pPr>
    <w:rPr>
      <w:rFonts w:ascii="Palatino Linotype" w:hAnsi="Palatino Linotype" w:cs="Arial"/>
      <w:szCs w:val="2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x-none"/>
    </w:rPr>
  </w:style>
  <w:style w:type="paragraph" w:customStyle="1" w:styleId="SubHeading1">
    <w:name w:val="SubHeading1"/>
    <w:basedOn w:val="Normal"/>
    <w:pPr>
      <w:keepNext/>
      <w:tabs>
        <w:tab w:val="num" w:pos="1872"/>
      </w:tabs>
      <w:spacing w:before="120" w:after="120"/>
      <w:ind w:left="1872" w:hanging="576"/>
    </w:pPr>
    <w:rPr>
      <w:b/>
      <w:sz w:val="24"/>
      <w:lang w:val="es-ES_tradnl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uiPriority w:val="99"/>
    <w:rPr>
      <w:lang w:eastAsia="en-US"/>
    </w:rPr>
  </w:style>
  <w:style w:type="paragraph" w:customStyle="1" w:styleId="Estilo1">
    <w:name w:val="Estilo1"/>
    <w:basedOn w:val="Normal"/>
    <w:pPr>
      <w:spacing w:before="120"/>
    </w:pPr>
    <w:rPr>
      <w:rFonts w:ascii="Arial" w:hAnsi="Arial"/>
      <w:b/>
      <w:lang w:eastAsia="pt-BR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  <w:rPr>
      <w:lang w:val="x-none"/>
    </w:rPr>
  </w:style>
  <w:style w:type="character" w:customStyle="1" w:styleId="BodyTextIndentChar">
    <w:name w:val="Body Text Indent Char"/>
    <w:link w:val="BodyTextIndent"/>
    <w:uiPriority w:val="99"/>
    <w:semiHidden/>
    <w:rPr>
      <w:lang w:eastAsia="en-US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link w:val="CommentText"/>
    <w:uiPriority w:val="99"/>
    <w:semiHidden/>
    <w:rPr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  <w:lang w:val="pt-BR" w:eastAsia="en-US"/>
    </w:rPr>
  </w:style>
  <w:style w:type="paragraph" w:styleId="Revision">
    <w:name w:val="Revision"/>
    <w:hidden/>
    <w:uiPriority w:val="99"/>
    <w:semiHidden/>
    <w:rPr>
      <w:lang w:val="pt-BR" w:eastAsia="en-US"/>
    </w:rPr>
  </w:style>
  <w:style w:type="character" w:customStyle="1" w:styleId="BodyTextChar">
    <w:name w:val="Body Text Char"/>
    <w:link w:val="BodyText"/>
    <w:semiHidden/>
    <w:rPr>
      <w:rFonts w:ascii="Palatino Linotype" w:hAnsi="Palatino Linotype"/>
      <w:sz w:val="24"/>
      <w:lang w:val="pt-BR"/>
    </w:rPr>
  </w:style>
  <w:style w:type="character" w:styleId="UnresolvedMention">
    <w:name w:val="Unresolved Mention"/>
    <w:uiPriority w:val="99"/>
    <w:semiHidden/>
    <w:unhideWhenUsed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3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publications.iadb.org/handle/11319/6883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www.weforum.org/reports/the-global-competitiveness-report-2017-201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mf.org/external/np/sec/aiv/index.asp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oecd-ilibrary.org/deliver/fulltext?itemId=/content/book/eco_surveys-arg-2017-en&amp;mimeType=freepreview&amp;redirecturl=http://www.keepeek.com/Digital-Asset-Management/oecd/economics/oecd-economic-surveys-argentina-2017_eco_surveys-arg-2017-en&amp;isPreview=true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publications.iadb.org/bitstream/handle/11319/8040/Transferencias-intergubernamentales-y-disparidades-fiscales-a-nivel-subnacional-en-Argentina.pdf?sequence=1" TargetMode="External"/><Relationship Id="rId22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2D6D68FCC37CF4DA6D7EBD5684F4281" ma:contentTypeVersion="581" ma:contentTypeDescription="A content type to manage public (operations) IDB documents" ma:contentTypeScope="" ma:versionID="45971642839c0b764fd6e42064a65ca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eda6a0b6133bca66c98a0360e7069d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28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R0002184380</Record_x0020_Number>
    <Key_x0020_Document xmlns="cdc7663a-08f0-4737-9e8c-148ce897a09c">false</Key_x0020_Document>
    <Other_x0020_Author xmlns="cdc7663a-08f0-4737-9e8c-148ce897a09c">Emilio Pineda</Other_x0020_Author>
    <Division_x0020_or_x0020_Unit xmlns="cdc7663a-08f0-4737-9e8c-148ce897a09c">IFD/FMM</Division_x0020_or_x0020_Unit>
    <IDBDocs_x0020_Number xmlns="cdc7663a-08f0-4737-9e8c-148ce897a09c" xsi:nil="true"/>
    <Document_x0020_Author xmlns="cdc7663a-08f0-4737-9e8c-148ce897a09c">Canillas Gomez, Mariana Belen</Document_x0020_Author>
    <_dlc_DocId xmlns="cdc7663a-08f0-4737-9e8c-148ce897a09c">EZSHARE-1899350182-21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TaxCatchAll xmlns="cdc7663a-08f0-4737-9e8c-148ce897a09c">
      <Value>5</Value>
      <Value>228</Value>
      <Value>17</Value>
      <Value>36</Value>
      <Value>1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Project_x0020_Number xmlns="cdc7663a-08f0-4737-9e8c-148ce897a09c">AR-L1283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2a848641-6d37-4d5e-b2b0-f391eeec3133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https://idbg.sharepoint.com/teams/EZ-AR-LON/AR-L1283/_layouts/15/DocIdRedir.aspx?ID=EZSHARE-1899350182-21</Url>
      <Description>EZSHARE-1899350182-21</Description>
    </_dlc_DocIdUrl>
    <Phase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396DA7ED-4BC9-43AB-8163-F0ED380CC0A8}"/>
</file>

<file path=customXml/itemProps2.xml><?xml version="1.0" encoding="utf-8"?>
<ds:datastoreItem xmlns:ds="http://schemas.openxmlformats.org/officeDocument/2006/customXml" ds:itemID="{AB5076B4-6005-4403-B30B-68B4B4E9111B}"/>
</file>

<file path=customXml/itemProps3.xml><?xml version="1.0" encoding="utf-8"?>
<ds:datastoreItem xmlns:ds="http://schemas.openxmlformats.org/officeDocument/2006/customXml" ds:itemID="{8421335C-EECC-4209-B7D3-B0AA77370D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FDEC74-E1E3-4FA3-A8A0-E030EAFB4EB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340F85C-4421-4852-8031-A5E665DEEF9F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cdc7663a-08f0-4737-9e8c-148ce897a09c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6.xml><?xml version="1.0" encoding="utf-8"?>
<ds:datastoreItem xmlns:ds="http://schemas.openxmlformats.org/officeDocument/2006/customXml" ds:itemID="{01068CF8-BAEB-4F0F-892D-69E4B8418C9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E8C2219-3140-47BC-A0FB-3184B14B1A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Links>
    <vt:vector size="30" baseType="variant">
      <vt:variant>
        <vt:i4>7536681</vt:i4>
      </vt:variant>
      <vt:variant>
        <vt:i4>12</vt:i4>
      </vt:variant>
      <vt:variant>
        <vt:i4>0</vt:i4>
      </vt:variant>
      <vt:variant>
        <vt:i4>5</vt:i4>
      </vt:variant>
      <vt:variant>
        <vt:lpwstr>https://www.weforum.org/reports/the-global-competitiveness-report-2017-2018</vt:lpwstr>
      </vt:variant>
      <vt:variant>
        <vt:lpwstr/>
      </vt:variant>
      <vt:variant>
        <vt:i4>1179722</vt:i4>
      </vt:variant>
      <vt:variant>
        <vt:i4>9</vt:i4>
      </vt:variant>
      <vt:variant>
        <vt:i4>0</vt:i4>
      </vt:variant>
      <vt:variant>
        <vt:i4>5</vt:i4>
      </vt:variant>
      <vt:variant>
        <vt:lpwstr>http://www.imf.org/external/np/sec/aiv/index.aspx</vt:lpwstr>
      </vt:variant>
      <vt:variant>
        <vt:lpwstr/>
      </vt:variant>
      <vt:variant>
        <vt:i4>2949193</vt:i4>
      </vt:variant>
      <vt:variant>
        <vt:i4>6</vt:i4>
      </vt:variant>
      <vt:variant>
        <vt:i4>0</vt:i4>
      </vt:variant>
      <vt:variant>
        <vt:i4>5</vt:i4>
      </vt:variant>
      <vt:variant>
        <vt:lpwstr>http://www.oecd-ilibrary.org/deliver/fulltext?itemId=/content/book/eco_surveys-arg-2017-en&amp;mimeType=freepreview&amp;redirecturl=http://www.keepeek.com/Digital-Asset-Management/oecd/economics/oecd-economic-surveys-argentina-2017_eco_surveys-arg-2017-en&amp;isPreview=true</vt:lpwstr>
      </vt:variant>
      <vt:variant>
        <vt:lpwstr/>
      </vt:variant>
      <vt:variant>
        <vt:i4>1769565</vt:i4>
      </vt:variant>
      <vt:variant>
        <vt:i4>3</vt:i4>
      </vt:variant>
      <vt:variant>
        <vt:i4>0</vt:i4>
      </vt:variant>
      <vt:variant>
        <vt:i4>5</vt:i4>
      </vt:variant>
      <vt:variant>
        <vt:lpwstr>https://publications.iadb.org/bitstream/handle/11319/8040/Transferencias-intergubernamentales-y-disparidades-fiscales-a-nivel-subnacional-en-Argentina.pdf?sequence=1</vt:lpwstr>
      </vt:variant>
      <vt:variant>
        <vt:lpwstr/>
      </vt:variant>
      <vt:variant>
        <vt:i4>2621482</vt:i4>
      </vt:variant>
      <vt:variant>
        <vt:i4>0</vt:i4>
      </vt:variant>
      <vt:variant>
        <vt:i4>0</vt:i4>
      </vt:variant>
      <vt:variant>
        <vt:i4>5</vt:i4>
      </vt:variant>
      <vt:variant>
        <vt:lpwstr>https://publications.iadb.org/handle/11319/6883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2018-04-02T20:03:00Z</dcterms:created>
  <dcterms:modified xsi:type="dcterms:W3CDTF">2018-04-13T02:53:00Z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>17;#Loan Proposal|6ee86b6f-6e46-485b-8bfb-87a1f44622ac</vt:lpwstr>
  </property>
  <property fmtid="{D5CDD505-2E9C-101B-9397-08002B2CF9AE}" pid="6" name="Sub-Sector">
    <vt:lpwstr>228;#REFORM / MODERNIZATION OF THE STATE|2a848641-6d37-4d5e-b2b0-f391eeec3133</vt:lpwstr>
  </property>
  <property fmtid="{D5CDD505-2E9C-101B-9397-08002B2CF9AE}" pid="7" name="Country">
    <vt:lpwstr>5;#Argentina|eb1b705c-195f-4c3b-9661-b201f2fee3c5</vt:lpwstr>
  </property>
  <property fmtid="{D5CDD505-2E9C-101B-9397-08002B2CF9AE}" pid="8" name="Fund IDB">
    <vt:lpwstr/>
  </property>
  <property fmtid="{D5CDD505-2E9C-101B-9397-08002B2CF9AE}" pid="9" name="_dlc_DocIdItemGuid">
    <vt:lpwstr>c942dfe0-87a8-41d2-9f71-a0a5472026f3</vt:lpwstr>
  </property>
  <property fmtid="{D5CDD505-2E9C-101B-9397-08002B2CF9AE}" pid="10" name="Sector IDB">
    <vt:lpwstr>36;#REFORM / MODERNIZATION OF THE STATE|c8fda4a7-691a-4c65-b227-9825197b5cd2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3" name="RecordStorageActiveId">
    <vt:lpwstr>7c2bb9de-2ad4-4792-97ec-744154422c23</vt:lpwstr>
  </property>
  <property fmtid="{D5CDD505-2E9C-101B-9397-08002B2CF9AE}" pid="14" name="ContentTypeId">
    <vt:lpwstr>0x0101001A458A224826124E8B45B1D613300CFC0012D6D68FCC37CF4DA6D7EBD5684F4281</vt:lpwstr>
  </property>
</Properties>
</file>