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7.xml" ContentType="application/vnd.openxmlformats-officedocument.customXmlProperties+xml"/>
  <Override PartName="/word/fontTable.xml" ContentType="application/vnd.openxmlformats-officedocument.wordprocessingml.fontTable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smallCaps/>
          <w:noProof/>
          <w:szCs w:val="20"/>
          <w:lang w:val="es-ES_tradnl"/>
        </w:rPr>
      </w:pPr>
      <w:r>
        <w:rPr>
          <w:rFonts w:ascii="Arial" w:hAnsi="Arial" w:cs="Arial"/>
          <w:b/>
          <w:bCs/>
          <w:smallCaps/>
          <w:noProof/>
          <w:szCs w:val="20"/>
          <w:lang w:val="es-ES_tradnl"/>
        </w:rPr>
        <w:t>Matriz de Resultados</w:t>
      </w:r>
    </w:p>
    <w:tbl>
      <w:tblPr>
        <w:tblStyle w:val="TableGrid"/>
        <w:tblW w:w="13230" w:type="dxa"/>
        <w:tblInd w:w="-185" w:type="dxa"/>
        <w:tblLook w:val="04A0" w:firstRow="1" w:lastRow="0" w:firstColumn="1" w:lastColumn="0" w:noHBand="0" w:noVBand="1"/>
      </w:tblPr>
      <w:tblGrid>
        <w:gridCol w:w="2903"/>
        <w:gridCol w:w="10327"/>
      </w:tblGrid>
      <w:tr>
        <w:tc>
          <w:tcPr>
            <w:tcW w:w="2903" w:type="dxa"/>
          </w:tcPr>
          <w:p>
            <w:pPr>
              <w:pStyle w:val="Paragraph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noProof/>
                <w:sz w:val="20"/>
                <w:lang w:val="es-ES_tradnl"/>
              </w:rPr>
            </w:pPr>
            <w:r>
              <w:rPr>
                <w:rFonts w:ascii="Arial" w:hAnsi="Arial" w:cs="Arial"/>
                <w:b/>
                <w:noProof/>
                <w:sz w:val="20"/>
                <w:lang w:val="es-ES_tradnl"/>
              </w:rPr>
              <w:t>Objetivo del Proyecto:</w:t>
            </w:r>
          </w:p>
        </w:tc>
        <w:tc>
          <w:tcPr>
            <w:tcW w:w="10327" w:type="dxa"/>
          </w:tcPr>
          <w:p>
            <w:pPr>
              <w:pStyle w:val="Paragraph"/>
              <w:numPr>
                <w:ilvl w:val="0"/>
                <w:numId w:val="0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  <w:lang w:val="es-ES_tradnl"/>
              </w:rPr>
              <w:t xml:space="preserve">El objetivo de esta serie programática es fortalecer la inversión privada y pública a fin de promover el crecimiento económico en Argentina. </w:t>
            </w:r>
          </w:p>
        </w:tc>
      </w:tr>
    </w:tbl>
    <w:p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noProof/>
          <w:sz w:val="20"/>
          <w:szCs w:val="20"/>
          <w:lang w:val="es-ES_tradnl"/>
        </w:rPr>
      </w:pPr>
    </w:p>
    <w:p>
      <w:pPr>
        <w:autoSpaceDE w:val="0"/>
        <w:autoSpaceDN w:val="0"/>
        <w:adjustRightInd w:val="0"/>
        <w:spacing w:after="80" w:line="240" w:lineRule="auto"/>
        <w:jc w:val="center"/>
        <w:rPr>
          <w:rFonts w:ascii="Arial" w:hAnsi="Arial" w:cs="Arial"/>
          <w:b/>
          <w:smallCaps/>
          <w:noProof/>
          <w:szCs w:val="20"/>
          <w:lang w:val="es-ES_tradnl"/>
        </w:rPr>
      </w:pPr>
      <w:r>
        <w:rPr>
          <w:rFonts w:ascii="Arial" w:hAnsi="Arial" w:cs="Arial"/>
          <w:b/>
          <w:smallCaps/>
          <w:noProof/>
          <w:szCs w:val="20"/>
          <w:lang w:val="es-ES_tradnl"/>
        </w:rPr>
        <w:t>Impacto Esperado</w:t>
      </w:r>
    </w:p>
    <w:tbl>
      <w:tblPr>
        <w:tblW w:w="132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55"/>
        <w:gridCol w:w="1710"/>
        <w:gridCol w:w="1710"/>
        <w:gridCol w:w="1710"/>
        <w:gridCol w:w="1260"/>
        <w:gridCol w:w="1890"/>
        <w:gridCol w:w="1939"/>
      </w:tblGrid>
      <w:tr>
        <w:trPr>
          <w:trHeight w:val="20"/>
          <w:jc w:val="center"/>
        </w:trPr>
        <w:tc>
          <w:tcPr>
            <w:tcW w:w="3055" w:type="dxa"/>
            <w:shd w:val="clear" w:color="auto" w:fill="D9D9D9" w:themeFill="background1" w:themeFillShade="D9"/>
            <w:vAlign w:val="center"/>
            <w:hideMark/>
          </w:tcPr>
          <w:p>
            <w:pPr>
              <w:spacing w:before="20" w:after="20" w:line="240" w:lineRule="auto"/>
              <w:ind w:left="-107" w:right="-76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  <w:t>Indicadores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  <w:hideMark/>
          </w:tcPr>
          <w:p>
            <w:pPr>
              <w:spacing w:before="20" w:after="20" w:line="240" w:lineRule="auto"/>
              <w:ind w:left="-107" w:right="-76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  <w:t>Unidad de Medida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  <w:hideMark/>
          </w:tcPr>
          <w:p>
            <w:pPr>
              <w:spacing w:before="20" w:after="20" w:line="240" w:lineRule="auto"/>
              <w:ind w:left="-107" w:right="-76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  <w:t xml:space="preserve">Línea de Base 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  <w:hideMark/>
          </w:tcPr>
          <w:p>
            <w:pPr>
              <w:spacing w:before="20" w:after="20" w:line="240" w:lineRule="auto"/>
              <w:ind w:left="-107" w:right="-76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  <w:t xml:space="preserve">Año </w:t>
            </w:r>
          </w:p>
          <w:p>
            <w:pPr>
              <w:spacing w:before="20" w:after="20" w:line="240" w:lineRule="auto"/>
              <w:ind w:left="-107" w:right="-76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  <w:t>Línea de Base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  <w:hideMark/>
          </w:tcPr>
          <w:p>
            <w:pPr>
              <w:spacing w:before="20" w:after="20" w:line="240" w:lineRule="auto"/>
              <w:ind w:left="-107" w:right="-76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  <w:t>Meta Final</w:t>
            </w:r>
          </w:p>
          <w:p>
            <w:pPr>
              <w:spacing w:before="20" w:after="20" w:line="240" w:lineRule="auto"/>
              <w:ind w:left="-107" w:right="-76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  <w:t>(2021)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  <w:hideMark/>
          </w:tcPr>
          <w:p>
            <w:pPr>
              <w:spacing w:before="20" w:after="20" w:line="240" w:lineRule="auto"/>
              <w:ind w:left="-107" w:right="-76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  <w:t xml:space="preserve">Medios de Verificación </w:t>
            </w:r>
          </w:p>
        </w:tc>
        <w:tc>
          <w:tcPr>
            <w:tcW w:w="1939" w:type="dxa"/>
            <w:shd w:val="clear" w:color="auto" w:fill="D9D9D9" w:themeFill="background1" w:themeFillShade="D9"/>
            <w:vAlign w:val="center"/>
            <w:hideMark/>
          </w:tcPr>
          <w:p>
            <w:pPr>
              <w:spacing w:before="20" w:after="20" w:line="240" w:lineRule="auto"/>
              <w:ind w:left="-107" w:right="-76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  <w:t>Comentarios</w:t>
            </w:r>
          </w:p>
        </w:tc>
      </w:tr>
      <w:tr>
        <w:trPr>
          <w:trHeight w:val="20"/>
          <w:jc w:val="center"/>
        </w:trPr>
        <w:tc>
          <w:tcPr>
            <w:tcW w:w="3055" w:type="dxa"/>
            <w:hideMark/>
          </w:tcPr>
          <w:p>
            <w:pPr>
              <w:pStyle w:val="ListParagraph"/>
              <w:spacing w:before="20" w:after="20" w:line="240" w:lineRule="auto"/>
              <w:ind w:left="0"/>
              <w:contextualSpacing w:val="0"/>
              <w:rPr>
                <w:rFonts w:ascii="Arial" w:hAnsi="Arial" w:cs="Arial"/>
                <w:noProof/>
                <w:color w:val="0070C0"/>
                <w:sz w:val="20"/>
                <w:szCs w:val="20"/>
                <w:highlight w:val="yellow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  <w:t xml:space="preserve">Promedio móvil de crecimiento en términos del PIB </w:t>
            </w:r>
            <w:r>
              <w:rPr>
                <w:rFonts w:ascii="Arial" w:hAnsi="Arial" w:cs="Arial"/>
                <w:noProof/>
                <w:color w:val="0070C0"/>
                <w:sz w:val="20"/>
                <w:szCs w:val="20"/>
                <w:highlight w:val="yellow"/>
                <w:lang w:val="es-ES_tradnl" w:eastAsia="zh-CN"/>
              </w:rPr>
              <w:t xml:space="preserve"> </w:t>
            </w:r>
          </w:p>
          <w:p>
            <w:pPr>
              <w:pStyle w:val="ListParagraph"/>
              <w:spacing w:before="20" w:after="20" w:line="240" w:lineRule="auto"/>
              <w:ind w:left="0"/>
              <w:contextualSpacing w:val="0"/>
              <w:rPr>
                <w:rFonts w:ascii="Arial" w:hAnsi="Arial" w:cs="Arial"/>
                <w:noProof/>
                <w:color w:val="0070C0"/>
                <w:sz w:val="20"/>
                <w:szCs w:val="20"/>
                <w:highlight w:val="yellow"/>
                <w:lang w:val="es-ES_tradnl" w:eastAsia="zh-CN"/>
              </w:rPr>
            </w:pPr>
          </w:p>
        </w:tc>
        <w:tc>
          <w:tcPr>
            <w:tcW w:w="1710" w:type="dxa"/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  <w:t>%</w:t>
            </w:r>
          </w:p>
        </w:tc>
        <w:tc>
          <w:tcPr>
            <w:tcW w:w="1710" w:type="dxa"/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  <w:t>1,3%</w:t>
            </w:r>
          </w:p>
        </w:tc>
        <w:tc>
          <w:tcPr>
            <w:tcW w:w="1710" w:type="dxa"/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  <w:t>2015-2017</w:t>
            </w:r>
          </w:p>
        </w:tc>
        <w:tc>
          <w:tcPr>
            <w:tcW w:w="1260" w:type="dxa"/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  <w:t>2,3</w:t>
            </w:r>
          </w:p>
        </w:tc>
        <w:tc>
          <w:tcPr>
            <w:tcW w:w="1890" w:type="dxa"/>
          </w:tcPr>
          <w:p>
            <w:pPr>
              <w:spacing w:before="20" w:after="20" w:line="240" w:lineRule="auto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 xml:space="preserve">Series Trimestrales de Oferta y Demanda globales del </w:t>
            </w:r>
            <w:hyperlink r:id="rId14" w:history="1">
              <w:r>
                <w:rPr>
                  <w:rStyle w:val="Hyperlink"/>
                  <w:rFonts w:ascii="Arial" w:hAnsi="Arial" w:cs="Arial"/>
                  <w:noProof/>
                  <w:sz w:val="20"/>
                  <w:szCs w:val="20"/>
                  <w:lang w:val="es-ES_tradnl"/>
                </w:rPr>
                <w:t>INDEC</w:t>
              </w:r>
            </w:hyperlink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1939" w:type="dxa"/>
          </w:tcPr>
          <w:p>
            <w:pPr>
              <w:spacing w:before="20" w:after="20" w:line="240" w:lineRule="auto"/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 xml:space="preserve">Para el cálculo de la media móvil se usa la fórmula 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object w:dxaOrig="3984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9.4pt;height:20.4pt" o:ole="">
                  <v:imagedata r:id="rId15" o:title=""/>
                </v:shape>
                <o:OLEObject Type="Embed" ProgID="PBrush" ShapeID="_x0000_i1025" DrawAspect="Content" ObjectID="_1587376412" r:id="rId16"/>
              </w:object>
            </w:r>
          </w:p>
          <w:p>
            <w:pPr>
              <w:spacing w:before="20" w:after="20" w:line="240" w:lineRule="auto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Los valores utilizados para el cálculo del año base son: 2,7% para el 2015, 1,8% para el 2016 y 2,9% para el 2017. Para el cálculo de la  meta final se considerará el promedio de los años 2019-2021.</w:t>
            </w:r>
          </w:p>
        </w:tc>
      </w:tr>
      <w:tr>
        <w:trPr>
          <w:trHeight w:val="413"/>
          <w:jc w:val="center"/>
        </w:trPr>
        <w:tc>
          <w:tcPr>
            <w:tcW w:w="3055" w:type="dxa"/>
            <w:hideMark/>
          </w:tcPr>
          <w:p>
            <w:pPr>
              <w:pStyle w:val="ListParagraph"/>
              <w:spacing w:before="20" w:after="20" w:line="240" w:lineRule="auto"/>
              <w:ind w:left="0"/>
              <w:contextualSpacing w:val="0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 xml:space="preserve">Formación Bruta de Capital Fijo/PIB </w:t>
            </w:r>
          </w:p>
        </w:tc>
        <w:tc>
          <w:tcPr>
            <w:tcW w:w="1710" w:type="dxa"/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%</w:t>
            </w:r>
          </w:p>
        </w:tc>
        <w:tc>
          <w:tcPr>
            <w:tcW w:w="1710" w:type="dxa"/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  <w:t>14,8%</w:t>
            </w:r>
          </w:p>
        </w:tc>
        <w:tc>
          <w:tcPr>
            <w:tcW w:w="1710" w:type="dxa"/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2016</w:t>
            </w:r>
          </w:p>
        </w:tc>
        <w:tc>
          <w:tcPr>
            <w:tcW w:w="1260" w:type="dxa"/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19%</w:t>
            </w:r>
          </w:p>
        </w:tc>
        <w:tc>
          <w:tcPr>
            <w:tcW w:w="1890" w:type="dxa"/>
          </w:tcPr>
          <w:p>
            <w:pPr>
              <w:spacing w:before="20" w:after="20" w:line="240" w:lineRule="auto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 xml:space="preserve">Series Trimestrales de Oferta y Demanda globales del </w:t>
            </w:r>
            <w:hyperlink r:id="rId17" w:history="1">
              <w:r>
                <w:rPr>
                  <w:rStyle w:val="Hyperlink"/>
                  <w:rFonts w:ascii="Arial" w:hAnsi="Arial" w:cs="Arial"/>
                  <w:noProof/>
                  <w:sz w:val="20"/>
                  <w:szCs w:val="20"/>
                  <w:lang w:val="es-ES_tradnl"/>
                </w:rPr>
                <w:t>INDEC</w:t>
              </w:r>
            </w:hyperlink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1939" w:type="dxa"/>
          </w:tcPr>
          <w:p>
            <w:pPr>
              <w:spacing w:before="20" w:after="20" w:line="240" w:lineRule="auto"/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 xml:space="preserve">La formación bruta de capital fijo se mide por el valor total de las adquisiciones menos las disposiciones, de activos fijos efectuadas por el productor. 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mallCaps/>
          <w:noProof/>
          <w:color w:val="000000"/>
          <w:sz w:val="20"/>
          <w:szCs w:val="20"/>
          <w:lang w:val="es-ES_tradnl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mallCaps/>
          <w:noProof/>
          <w:color w:val="000000"/>
          <w:sz w:val="20"/>
          <w:szCs w:val="20"/>
          <w:lang w:val="es-ES_tradnl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mallCaps/>
          <w:noProof/>
          <w:color w:val="000000"/>
          <w:sz w:val="20"/>
          <w:szCs w:val="20"/>
          <w:lang w:val="es-ES_tradnl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mallCaps/>
          <w:noProof/>
          <w:color w:val="000000"/>
          <w:sz w:val="20"/>
          <w:szCs w:val="20"/>
          <w:lang w:val="es-ES_tradnl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mallCaps/>
          <w:noProof/>
          <w:color w:val="000000"/>
          <w:sz w:val="20"/>
          <w:szCs w:val="20"/>
          <w:lang w:val="es-ES_tradnl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mallCaps/>
          <w:noProof/>
          <w:color w:val="000000"/>
          <w:sz w:val="20"/>
          <w:szCs w:val="20"/>
          <w:lang w:val="es-ES_tradnl"/>
        </w:rPr>
      </w:pPr>
    </w:p>
    <w:p>
      <w:pPr>
        <w:autoSpaceDE w:val="0"/>
        <w:autoSpaceDN w:val="0"/>
        <w:adjustRightInd w:val="0"/>
        <w:spacing w:after="80" w:line="240" w:lineRule="auto"/>
        <w:jc w:val="center"/>
        <w:rPr>
          <w:rFonts w:ascii="Arial" w:hAnsi="Arial" w:cs="Arial"/>
          <w:b/>
          <w:smallCaps/>
          <w:noProof/>
          <w:color w:val="000000"/>
          <w:szCs w:val="20"/>
          <w:lang w:val="es-ES_tradnl"/>
        </w:rPr>
      </w:pPr>
      <w:r>
        <w:rPr>
          <w:rFonts w:ascii="Arial" w:hAnsi="Arial" w:cs="Arial"/>
          <w:b/>
          <w:smallCaps/>
          <w:noProof/>
          <w:color w:val="000000"/>
          <w:szCs w:val="20"/>
          <w:lang w:val="es-ES_tradnl"/>
        </w:rPr>
        <w:t>Resultados Esperados</w:t>
      </w:r>
    </w:p>
    <w:tbl>
      <w:tblPr>
        <w:tblW w:w="132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53"/>
        <w:gridCol w:w="1232"/>
        <w:gridCol w:w="1080"/>
        <w:gridCol w:w="1466"/>
        <w:gridCol w:w="1144"/>
        <w:gridCol w:w="2430"/>
        <w:gridCol w:w="2569"/>
      </w:tblGrid>
      <w:tr>
        <w:trPr>
          <w:trHeight w:val="20"/>
          <w:jc w:val="center"/>
        </w:trPr>
        <w:tc>
          <w:tcPr>
            <w:tcW w:w="3353" w:type="dxa"/>
            <w:shd w:val="clear" w:color="auto" w:fill="D9D9D9" w:themeFill="background1" w:themeFillShade="D9"/>
            <w:vAlign w:val="center"/>
            <w:hideMark/>
          </w:tcPr>
          <w:p>
            <w:pPr>
              <w:spacing w:before="20" w:after="20" w:line="240" w:lineRule="auto"/>
              <w:ind w:left="-107" w:right="-76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  <w:t>Indicadores</w:t>
            </w:r>
          </w:p>
        </w:tc>
        <w:tc>
          <w:tcPr>
            <w:tcW w:w="1232" w:type="dxa"/>
            <w:shd w:val="clear" w:color="auto" w:fill="D9D9D9" w:themeFill="background1" w:themeFillShade="D9"/>
            <w:vAlign w:val="center"/>
            <w:hideMark/>
          </w:tcPr>
          <w:p>
            <w:pPr>
              <w:spacing w:before="20" w:after="20" w:line="240" w:lineRule="auto"/>
              <w:ind w:left="-107" w:right="-76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  <w:t>Unidad de Medida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  <w:hideMark/>
          </w:tcPr>
          <w:p>
            <w:pPr>
              <w:spacing w:before="20" w:after="20" w:line="240" w:lineRule="auto"/>
              <w:ind w:left="-107" w:right="-76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  <w:t xml:space="preserve">Línea de Base </w:t>
            </w:r>
          </w:p>
        </w:tc>
        <w:tc>
          <w:tcPr>
            <w:tcW w:w="1466" w:type="dxa"/>
            <w:shd w:val="clear" w:color="auto" w:fill="D9D9D9" w:themeFill="background1" w:themeFillShade="D9"/>
            <w:vAlign w:val="center"/>
            <w:hideMark/>
          </w:tcPr>
          <w:p>
            <w:pPr>
              <w:spacing w:before="20" w:after="20" w:line="240" w:lineRule="auto"/>
              <w:ind w:left="-107" w:right="-76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  <w:t xml:space="preserve">Año </w:t>
            </w:r>
          </w:p>
          <w:p>
            <w:pPr>
              <w:spacing w:before="20" w:after="20" w:line="240" w:lineRule="auto"/>
              <w:ind w:left="-107" w:right="-76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  <w:t>Línea de Base</w:t>
            </w:r>
          </w:p>
        </w:tc>
        <w:tc>
          <w:tcPr>
            <w:tcW w:w="1144" w:type="dxa"/>
            <w:shd w:val="clear" w:color="auto" w:fill="D9D9D9" w:themeFill="background1" w:themeFillShade="D9"/>
            <w:vAlign w:val="center"/>
            <w:hideMark/>
          </w:tcPr>
          <w:p>
            <w:pPr>
              <w:spacing w:before="20" w:after="20" w:line="240" w:lineRule="auto"/>
              <w:ind w:left="-107" w:right="-76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  <w:t>Meta Final</w:t>
            </w:r>
          </w:p>
          <w:p>
            <w:pPr>
              <w:spacing w:before="20" w:after="20" w:line="240" w:lineRule="auto"/>
              <w:ind w:left="-107" w:right="-76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  <w:t>(2021)</w:t>
            </w:r>
          </w:p>
        </w:tc>
        <w:tc>
          <w:tcPr>
            <w:tcW w:w="2430" w:type="dxa"/>
            <w:shd w:val="clear" w:color="auto" w:fill="D9D9D9" w:themeFill="background1" w:themeFillShade="D9"/>
            <w:vAlign w:val="center"/>
            <w:hideMark/>
          </w:tcPr>
          <w:p>
            <w:pPr>
              <w:spacing w:before="20" w:after="20" w:line="240" w:lineRule="auto"/>
              <w:ind w:left="-107" w:right="-76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  <w:t>Medios de Verificación</w:t>
            </w:r>
          </w:p>
        </w:tc>
        <w:tc>
          <w:tcPr>
            <w:tcW w:w="2569" w:type="dxa"/>
            <w:shd w:val="clear" w:color="auto" w:fill="D9D9D9" w:themeFill="background1" w:themeFillShade="D9"/>
            <w:vAlign w:val="center"/>
            <w:hideMark/>
          </w:tcPr>
          <w:p>
            <w:pPr>
              <w:spacing w:before="20" w:after="20" w:line="240" w:lineRule="auto"/>
              <w:ind w:left="-107" w:right="-76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  <w:t>Comentarios</w:t>
            </w:r>
          </w:p>
        </w:tc>
      </w:tr>
      <w:tr>
        <w:trPr>
          <w:trHeight w:val="20"/>
          <w:jc w:val="center"/>
        </w:trPr>
        <w:tc>
          <w:tcPr>
            <w:tcW w:w="13274" w:type="dxa"/>
            <w:gridSpan w:val="7"/>
          </w:tcPr>
          <w:p>
            <w:pPr>
              <w:spacing w:before="20" w:after="20" w:line="240" w:lineRule="auto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Objetivo específico #1: modernizar el marco impositivo-institucional para incrementar la inversión privada.</w:t>
            </w:r>
          </w:p>
        </w:tc>
      </w:tr>
      <w:tr>
        <w:trPr>
          <w:trHeight w:val="20"/>
          <w:jc w:val="center"/>
        </w:trPr>
        <w:tc>
          <w:tcPr>
            <w:tcW w:w="3353" w:type="dxa"/>
            <w:hideMark/>
          </w:tcPr>
          <w:p>
            <w:pPr>
              <w:pStyle w:val="ListParagraph"/>
              <w:spacing w:before="20" w:after="20" w:line="240" w:lineRule="auto"/>
              <w:ind w:left="0"/>
              <w:contextualSpacing w:val="0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Recaudación tributaria de impuestos distorsivos/PIB</w:t>
            </w:r>
          </w:p>
        </w:tc>
        <w:tc>
          <w:tcPr>
            <w:tcW w:w="1232" w:type="dxa"/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  <w:t>%</w:t>
            </w:r>
          </w:p>
        </w:tc>
        <w:tc>
          <w:tcPr>
            <w:tcW w:w="1080" w:type="dxa"/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  <w:t>7,8%</w:t>
            </w:r>
          </w:p>
        </w:tc>
        <w:tc>
          <w:tcPr>
            <w:tcW w:w="1466" w:type="dxa"/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2017</w:t>
            </w:r>
          </w:p>
        </w:tc>
        <w:tc>
          <w:tcPr>
            <w:tcW w:w="1144" w:type="dxa"/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  <w:t>6,3%</w:t>
            </w:r>
          </w:p>
        </w:tc>
        <w:tc>
          <w:tcPr>
            <w:tcW w:w="2430" w:type="dxa"/>
          </w:tcPr>
          <w:p>
            <w:pPr>
              <w:spacing w:before="20" w:after="20" w:line="240" w:lineRule="auto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 xml:space="preserve">Boletin Fiscal del </w:t>
            </w:r>
            <w:hyperlink r:id="rId18" w:history="1">
              <w:r>
                <w:rPr>
                  <w:rStyle w:val="Hyperlink"/>
                  <w:rFonts w:ascii="Arial" w:hAnsi="Arial" w:cs="Arial"/>
                  <w:noProof/>
                  <w:sz w:val="20"/>
                  <w:szCs w:val="20"/>
                  <w:lang w:val="es-ES_tradnl"/>
                </w:rPr>
                <w:t>Ministerio de Hacienda</w:t>
              </w:r>
            </w:hyperlink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 xml:space="preserve"> para los impuestos a la renta e ICDB, y la Información Fiscal Provincial y Municipal del portal para IIBB. </w:t>
            </w:r>
          </w:p>
        </w:tc>
        <w:tc>
          <w:tcPr>
            <w:tcW w:w="2569" w:type="dxa"/>
          </w:tcPr>
          <w:p>
            <w:pPr>
              <w:spacing w:before="20" w:after="20" w:line="240" w:lineRule="auto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  <w:t>El 7,8% está compuesto por ganancias es 2,6% del PIB, el ICDB 1,3% del PIB e IIB 3,9% del PI</w:t>
            </w:r>
            <w:bookmarkStart w:id="0" w:name="_GoBack"/>
            <w:bookmarkEnd w:id="0"/>
            <w:r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  <w:t>B.</w:t>
            </w:r>
          </w:p>
        </w:tc>
      </w:tr>
      <w:tr>
        <w:trPr>
          <w:trHeight w:val="20"/>
          <w:jc w:val="center"/>
        </w:trPr>
        <w:tc>
          <w:tcPr>
            <w:tcW w:w="13274" w:type="dxa"/>
            <w:gridSpan w:val="7"/>
            <w:vAlign w:val="center"/>
          </w:tcPr>
          <w:p>
            <w:pPr>
              <w:spacing w:before="20" w:after="20" w:line="240" w:lineRule="auto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Objetivo específico #2: modernizar el marco normativo</w:t>
            </w: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noBreakHyphen/>
              <w:t>institucional para mejorar la eficiencia en la inversión pública.</w:t>
            </w:r>
          </w:p>
        </w:tc>
      </w:tr>
      <w:tr>
        <w:trPr>
          <w:trHeight w:val="20"/>
          <w:jc w:val="center"/>
        </w:trPr>
        <w:tc>
          <w:tcPr>
            <w:tcW w:w="3353" w:type="dxa"/>
            <w:hideMark/>
          </w:tcPr>
          <w:p>
            <w:pPr>
              <w:pStyle w:val="ListParagraph"/>
              <w:spacing w:before="20" w:after="20" w:line="240" w:lineRule="auto"/>
              <w:ind w:left="0"/>
              <w:contextualSpacing w:val="0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Inversion publica anual nacional registrada en el BAPIN / Total inversion publica anual nacional</w:t>
            </w:r>
          </w:p>
        </w:tc>
        <w:tc>
          <w:tcPr>
            <w:tcW w:w="1232" w:type="dxa"/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%</w:t>
            </w:r>
          </w:p>
        </w:tc>
        <w:tc>
          <w:tcPr>
            <w:tcW w:w="1080" w:type="dxa"/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  <w:t>25%</w:t>
            </w:r>
          </w:p>
        </w:tc>
        <w:tc>
          <w:tcPr>
            <w:tcW w:w="1466" w:type="dxa"/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2017</w:t>
            </w:r>
          </w:p>
        </w:tc>
        <w:tc>
          <w:tcPr>
            <w:tcW w:w="1144" w:type="dxa"/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80%</w:t>
            </w:r>
          </w:p>
        </w:tc>
        <w:tc>
          <w:tcPr>
            <w:tcW w:w="2430" w:type="dxa"/>
          </w:tcPr>
          <w:p>
            <w:pPr>
              <w:spacing w:before="20" w:after="20" w:line="240" w:lineRule="auto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Informe de la DNIP a ser recabado por el Organismo Ejecutor.</w:t>
            </w:r>
          </w:p>
        </w:tc>
        <w:tc>
          <w:tcPr>
            <w:tcW w:w="2569" w:type="dxa"/>
          </w:tcPr>
          <w:p>
            <w:pPr>
              <w:spacing w:before="20" w:after="20" w:line="240" w:lineRule="auto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  <w:t>La línea de base se refiere al proceso presupuestario realizado en 2016.</w:t>
            </w:r>
          </w:p>
        </w:tc>
      </w:tr>
      <w:tr>
        <w:trPr>
          <w:trHeight w:val="2384"/>
          <w:jc w:val="center"/>
        </w:trPr>
        <w:tc>
          <w:tcPr>
            <w:tcW w:w="3353" w:type="dxa"/>
          </w:tcPr>
          <w:p>
            <w:pPr>
              <w:pStyle w:val="ListParagraph"/>
              <w:spacing w:before="20" w:after="20" w:line="240" w:lineRule="auto"/>
              <w:ind w:left="0"/>
              <w:contextualSpacing w:val="0"/>
              <w:rPr>
                <w:rFonts w:ascii="Arial" w:hAnsi="Arial" w:cs="Arial"/>
                <w:noProof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"/>
              </w:rPr>
              <w:t xml:space="preserve">Emprendimientos de base tecnológica reciben financiamiento de los fondos apoyados por el FONDCE </w:t>
            </w:r>
          </w:p>
        </w:tc>
        <w:tc>
          <w:tcPr>
            <w:tcW w:w="1232" w:type="dxa"/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"/>
              </w:rPr>
              <w:t>Número de empresas</w:t>
            </w:r>
          </w:p>
        </w:tc>
        <w:tc>
          <w:tcPr>
            <w:tcW w:w="1080" w:type="dxa"/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" w:eastAsia="zh-CN"/>
              </w:rPr>
              <w:t>0</w:t>
            </w:r>
          </w:p>
        </w:tc>
        <w:tc>
          <w:tcPr>
            <w:tcW w:w="1466" w:type="dxa"/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"/>
              </w:rPr>
              <w:t>2017</w:t>
            </w:r>
          </w:p>
        </w:tc>
        <w:tc>
          <w:tcPr>
            <w:tcW w:w="1144" w:type="dxa"/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"/>
              </w:rPr>
              <w:t>10</w:t>
            </w:r>
          </w:p>
        </w:tc>
        <w:tc>
          <w:tcPr>
            <w:tcW w:w="2430" w:type="dxa"/>
          </w:tcPr>
          <w:p>
            <w:pPr>
              <w:spacing w:before="20" w:after="20" w:line="240" w:lineRule="auto"/>
              <w:rPr>
                <w:rFonts w:ascii="Arial" w:hAnsi="Arial" w:cs="Arial"/>
                <w:noProof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"/>
              </w:rPr>
              <w:t>Informes de la Secretaría de Emprendimiento y Pyme del Ministerio de Producción a ser recabado por el Organismo Ejecutor.</w:t>
            </w:r>
          </w:p>
        </w:tc>
        <w:tc>
          <w:tcPr>
            <w:tcW w:w="2569" w:type="dxa"/>
          </w:tcPr>
          <w:p>
            <w:pPr>
              <w:spacing w:before="20" w:after="20" w:line="240" w:lineRule="auto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  <w:t>Por empresa de base tecnológica se refiere aquellas que cumplen con alguno de los siguientes requisitos: (i) que el 50% de los socios fundadores sea personal profesional calificado o el 20% del personal total deberá tener dichas características, ó (ii) que la inversión a ser realizada en investigación y desarrollo con relación a su cifra de ventas, sea igual o superior al 5%. Se exploró definir el indicador como un porcentaje del total de emprendimientos de base tecnológica, pero no se cuenta con información suficiente. 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mallCaps/>
          <w:noProof/>
          <w:color w:val="000000"/>
          <w:sz w:val="20"/>
          <w:szCs w:val="20"/>
          <w:lang w:val="es-ES_tradnl"/>
        </w:rPr>
      </w:pPr>
    </w:p>
    <w:p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mallCaps/>
          <w:noProof/>
          <w:color w:val="000000"/>
          <w:sz w:val="20"/>
          <w:szCs w:val="20"/>
          <w:lang w:val="es-ES_tradnl"/>
        </w:rPr>
      </w:pPr>
    </w:p>
    <w:p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noProof/>
          <w:szCs w:val="20"/>
          <w:lang w:val="es-ES_tradnl"/>
        </w:rPr>
      </w:pPr>
      <w:r>
        <w:rPr>
          <w:rFonts w:ascii="Arial" w:hAnsi="Arial" w:cs="Arial"/>
          <w:b/>
          <w:smallCaps/>
          <w:noProof/>
          <w:color w:val="000000"/>
          <w:sz w:val="20"/>
          <w:szCs w:val="20"/>
          <w:lang w:val="es-ES_tradnl"/>
        </w:rPr>
        <w:br w:type="page"/>
      </w:r>
      <w:r>
        <w:rPr>
          <w:rFonts w:ascii="Arial" w:hAnsi="Arial" w:cs="Arial"/>
          <w:b/>
          <w:smallCaps/>
          <w:noProof/>
          <w:color w:val="000000"/>
          <w:szCs w:val="20"/>
          <w:lang w:val="es-ES_tradnl"/>
        </w:rPr>
        <w:lastRenderedPageBreak/>
        <w:t>Productos</w:t>
      </w:r>
    </w:p>
    <w:tbl>
      <w:tblPr>
        <w:tblW w:w="1321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79"/>
        <w:gridCol w:w="1260"/>
        <w:gridCol w:w="1080"/>
        <w:gridCol w:w="1440"/>
        <w:gridCol w:w="720"/>
        <w:gridCol w:w="1080"/>
        <w:gridCol w:w="2070"/>
        <w:gridCol w:w="2381"/>
      </w:tblGrid>
      <w:tr>
        <w:trPr>
          <w:trHeight w:val="20"/>
          <w:tblHeader/>
        </w:trPr>
        <w:tc>
          <w:tcPr>
            <w:tcW w:w="3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>
            <w:pPr>
              <w:spacing w:before="20" w:after="20" w:line="240" w:lineRule="auto"/>
              <w:ind w:left="-80" w:right="-116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  <w:t>Productos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>
            <w:pPr>
              <w:spacing w:before="20" w:after="20" w:line="240" w:lineRule="auto"/>
              <w:ind w:left="-80" w:right="-116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  <w:t>Unidad de Medida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>
            <w:pPr>
              <w:spacing w:before="20" w:after="20" w:line="240" w:lineRule="auto"/>
              <w:ind w:left="-80" w:right="-116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  <w:t xml:space="preserve">Línea de Base 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>
            <w:pPr>
              <w:spacing w:before="20" w:after="20" w:line="240" w:lineRule="auto"/>
              <w:ind w:left="-109" w:right="-116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  <w:t xml:space="preserve">Año </w:t>
            </w:r>
          </w:p>
          <w:p>
            <w:pPr>
              <w:spacing w:before="20" w:after="20" w:line="240" w:lineRule="auto"/>
              <w:ind w:left="-109" w:right="-116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  <w:t>Línea de Base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>
            <w:pPr>
              <w:spacing w:before="20" w:after="20" w:line="240" w:lineRule="auto"/>
              <w:ind w:left="-80" w:right="-116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  <w:t>2018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>
            <w:pPr>
              <w:spacing w:before="20" w:after="20" w:line="240" w:lineRule="auto"/>
              <w:ind w:left="-80" w:right="-116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  <w:t>Meta Final</w:t>
            </w:r>
          </w:p>
          <w:p>
            <w:pPr>
              <w:spacing w:before="20" w:after="20" w:line="240" w:lineRule="auto"/>
              <w:ind w:left="-80" w:right="-116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  <w:t>(2018)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>
            <w:pPr>
              <w:spacing w:before="20" w:after="20" w:line="240" w:lineRule="auto"/>
              <w:ind w:left="-80" w:right="-116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  <w:t xml:space="preserve">Medios de Verificación </w:t>
            </w: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>
            <w:pPr>
              <w:spacing w:before="20" w:after="20" w:line="240" w:lineRule="auto"/>
              <w:ind w:left="-80" w:right="-116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  <w:t>Comentarios</w:t>
            </w:r>
          </w:p>
        </w:tc>
      </w:tr>
      <w:tr>
        <w:trPr>
          <w:trHeight w:val="432"/>
        </w:trPr>
        <w:tc>
          <w:tcPr>
            <w:tcW w:w="1321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  <w:vAlign w:val="center"/>
          </w:tcPr>
          <w:p>
            <w:pPr>
              <w:spacing w:before="20" w:after="20" w:line="240" w:lineRule="auto"/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  <w:t>Componente I. Estabilidad Macroeconómica</w:t>
            </w:r>
          </w:p>
        </w:tc>
      </w:tr>
      <w:tr>
        <w:trPr>
          <w:trHeight w:val="20"/>
        </w:trPr>
        <w:tc>
          <w:tcPr>
            <w:tcW w:w="3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>
            <w:pPr>
              <w:pStyle w:val="ListParagraph"/>
              <w:spacing w:before="20" w:after="20" w:line="240" w:lineRule="auto"/>
              <w:ind w:left="0"/>
              <w:contextualSpacing w:val="0"/>
              <w:rPr>
                <w:rFonts w:ascii="Arial" w:hAnsi="Arial" w:cs="Arial"/>
                <w:noProof/>
                <w:sz w:val="20"/>
                <w:szCs w:val="20"/>
                <w:lang w:val="es-ES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Informe de Evaluación independiente de Condiciones Macroeconómicos 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pStyle w:val="ListParagraph"/>
              <w:spacing w:before="20" w:after="20" w:line="240" w:lineRule="auto"/>
              <w:ind w:left="0"/>
              <w:contextualSpacing w:val="0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  <w:t>Informe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2016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rPr>
                <w:rFonts w:ascii="Arial" w:hAnsi="Arial" w:cs="Arial"/>
                <w:noProof/>
                <w:sz w:val="20"/>
                <w:szCs w:val="20"/>
                <w:lang w:val="es-ES" w:eastAsia="zh-CN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s-ES"/>
              </w:rPr>
              <w:t xml:space="preserve">BID, Oficina del Economista en Jefe. </w:t>
            </w: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val="es-ES_tradnl"/>
              </w:rPr>
              <w:t>Línea de base y metas a diciembre de cada año.</w:t>
            </w:r>
          </w:p>
        </w:tc>
      </w:tr>
      <w:tr>
        <w:trPr>
          <w:trHeight w:val="432"/>
        </w:trPr>
        <w:tc>
          <w:tcPr>
            <w:tcW w:w="1321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  <w:vAlign w:val="center"/>
          </w:tcPr>
          <w:p>
            <w:pPr>
              <w:spacing w:before="20" w:after="20" w:line="240" w:lineRule="auto"/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  <w:t>Componente II. Mejora del Clima de Inversión</w:t>
            </w:r>
          </w:p>
        </w:tc>
      </w:tr>
      <w:tr>
        <w:trPr>
          <w:trHeight w:val="20"/>
        </w:trPr>
        <w:tc>
          <w:tcPr>
            <w:tcW w:w="3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>
            <w:pPr>
              <w:pStyle w:val="ListParagraph"/>
              <w:spacing w:before="20" w:after="20" w:line="240" w:lineRule="auto"/>
              <w:ind w:left="0"/>
              <w:contextualSpacing w:val="0"/>
              <w:rPr>
                <w:rFonts w:ascii="Arial" w:hAnsi="Arial" w:cs="Arial"/>
                <w:noProof/>
                <w:sz w:val="20"/>
                <w:szCs w:val="20"/>
                <w:lang w:val="es-ES" w:eastAsia="zh-CN"/>
              </w:rPr>
            </w:pPr>
            <w:bookmarkStart w:id="1" w:name="_Hlk509911831"/>
            <w:r>
              <w:rPr>
                <w:rFonts w:ascii="Arial" w:eastAsia="Arial" w:hAnsi="Arial" w:cs="Arial"/>
                <w:sz w:val="20"/>
                <w:szCs w:val="20"/>
                <w:lang w:val="es-ES"/>
              </w:rPr>
              <w:t>Ley de Reforma Tributaria aprobada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pStyle w:val="ListParagraph"/>
              <w:spacing w:before="20" w:after="20" w:line="240" w:lineRule="auto"/>
              <w:ind w:left="0"/>
              <w:contextualSpacing w:val="0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  <w:t>Ley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2016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rPr>
                <w:rFonts w:ascii="Arial" w:hAnsi="Arial" w:cs="Arial"/>
                <w:noProof/>
                <w:sz w:val="20"/>
                <w:szCs w:val="20"/>
                <w:lang w:val="es-ES" w:eastAsia="zh-CN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s-ES"/>
              </w:rPr>
              <w:t>Publicación en el Boletín Oficial de la República Argentina.</w:t>
            </w: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val="es-ES_tradnl"/>
              </w:rPr>
              <w:t>Línea de base y metas a diciembre de cada año.</w:t>
            </w:r>
          </w:p>
        </w:tc>
      </w:tr>
      <w:bookmarkEnd w:id="1"/>
      <w:tr>
        <w:trPr>
          <w:trHeight w:val="20"/>
        </w:trPr>
        <w:tc>
          <w:tcPr>
            <w:tcW w:w="3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>
            <w:pPr>
              <w:pStyle w:val="ListParagraph"/>
              <w:spacing w:before="20" w:after="20" w:line="240" w:lineRule="auto"/>
              <w:ind w:left="0"/>
              <w:contextualSpacing w:val="0"/>
              <w:rPr>
                <w:rFonts w:ascii="Arial" w:hAnsi="Arial" w:cs="Arial"/>
                <w:noProof/>
                <w:sz w:val="20"/>
                <w:szCs w:val="20"/>
                <w:lang w:val="es-ES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Ley sobre Consenso Fiscal aprobada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  <w:t>Ley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2016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es-ES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s-ES"/>
              </w:rPr>
              <w:t>Publicación en el Boletín Oficial de la República Argentina.</w:t>
            </w: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rPr>
                <w:rFonts w:ascii="Arial" w:hAnsi="Arial" w:cs="Arial"/>
                <w:noProof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val="es-ES_tradnl"/>
              </w:rPr>
              <w:t>Línea de base y metas a diciembre de cada año.</w:t>
            </w:r>
          </w:p>
        </w:tc>
      </w:tr>
      <w:tr>
        <w:trPr>
          <w:trHeight w:val="20"/>
        </w:trPr>
        <w:tc>
          <w:tcPr>
            <w:tcW w:w="3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pStyle w:val="ListParagraph"/>
              <w:spacing w:before="20" w:after="20" w:line="240" w:lineRule="auto"/>
              <w:ind w:left="0"/>
              <w:contextualSpacing w:val="0"/>
              <w:rPr>
                <w:rFonts w:ascii="Arial" w:hAnsi="Arial" w:cs="Arial"/>
                <w:noProof/>
                <w:sz w:val="20"/>
                <w:szCs w:val="20"/>
                <w:lang w:val="es-ES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Ley Régimen Federal de Responsabilidad Fiscal y Buenas Prácticas de Gobierno aprobado.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  <w:t>Ley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2016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rPr>
                <w:rFonts w:ascii="Arial" w:hAnsi="Arial" w:cs="Arial"/>
                <w:noProof/>
                <w:sz w:val="20"/>
                <w:szCs w:val="20"/>
                <w:lang w:val="es-ES" w:eastAsia="zh-CN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s-ES"/>
              </w:rPr>
              <w:t>Publicación en el Boletín Oficial de la República Argentina.</w:t>
            </w: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val="es-ES_tradnl"/>
              </w:rPr>
              <w:t>Línea de base y metas a diciembre de cada año.</w:t>
            </w:r>
          </w:p>
        </w:tc>
      </w:tr>
      <w:tr>
        <w:trPr>
          <w:trHeight w:val="20"/>
        </w:trPr>
        <w:tc>
          <w:tcPr>
            <w:tcW w:w="3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pStyle w:val="ListParagraph"/>
              <w:spacing w:before="20" w:after="20" w:line="240" w:lineRule="auto"/>
              <w:ind w:left="0"/>
              <w:contextualSpacing w:val="0"/>
              <w:rPr>
                <w:rFonts w:ascii="Arial" w:hAnsi="Arial" w:cs="Arial"/>
                <w:noProof/>
                <w:sz w:val="20"/>
                <w:szCs w:val="20"/>
                <w:lang w:val="es-ES" w:eastAsia="zh-CN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s-ES"/>
              </w:rPr>
              <w:t>Decreto Reglamentario de la Ley de Apoyo al Capital Emprendedor</w:t>
            </w:r>
            <w:r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es-ES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  <w:t>Decreto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2016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rPr>
                <w:rFonts w:ascii="Arial" w:hAnsi="Arial" w:cs="Arial"/>
                <w:noProof/>
                <w:sz w:val="20"/>
                <w:szCs w:val="20"/>
                <w:lang w:val="es-ES" w:eastAsia="zh-CN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s-ES"/>
              </w:rPr>
              <w:t>Publicación en el Boletín Oficial de la República Argentina.</w:t>
            </w: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val="es-ES_tradnl"/>
              </w:rPr>
              <w:t>Línea de base y metas a diciembre de cada año.</w:t>
            </w:r>
          </w:p>
        </w:tc>
      </w:tr>
      <w:tr>
        <w:trPr>
          <w:trHeight w:val="20"/>
        </w:trPr>
        <w:tc>
          <w:tcPr>
            <w:tcW w:w="3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pStyle w:val="ListParagraph"/>
              <w:spacing w:before="20" w:after="20" w:line="240" w:lineRule="auto"/>
              <w:ind w:left="0"/>
              <w:contextualSpacing w:val="0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Proyectos de Ley orientados a disminuir las barreras regulatorias y controles para el desarrollo de las empresas privadas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  <w:t>Proyectos de Ley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2016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s-ES"/>
              </w:rPr>
              <w:t>Copia de los proyectos ingresados al Poder Legislativo.</w:t>
            </w: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rPr>
                <w:rFonts w:ascii="Arial" w:hAnsi="Arial" w:cs="Arial"/>
                <w:noProof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val="es-ES_tradnl"/>
              </w:rPr>
              <w:t>Línea de base y metas a diciembre de cada año.</w:t>
            </w:r>
          </w:p>
        </w:tc>
      </w:tr>
      <w:tr>
        <w:trPr>
          <w:trHeight w:val="432"/>
        </w:trPr>
        <w:tc>
          <w:tcPr>
            <w:tcW w:w="1321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  <w:vAlign w:val="center"/>
          </w:tcPr>
          <w:p>
            <w:pPr>
              <w:spacing w:before="20" w:after="20" w:line="240" w:lineRule="auto"/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s-ES_tradnl" w:eastAsia="zh-CN"/>
              </w:rPr>
              <w:t>Componente III. Mejora de la eficiencia de la inversión pública</w:t>
            </w:r>
          </w:p>
        </w:tc>
      </w:tr>
      <w:tr>
        <w:trPr>
          <w:trHeight w:val="20"/>
        </w:trPr>
        <w:tc>
          <w:tcPr>
            <w:tcW w:w="3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>
            <w:pPr>
              <w:pStyle w:val="ListParagraph"/>
              <w:spacing w:before="20" w:after="20" w:line="240" w:lineRule="auto"/>
              <w:ind w:left="0"/>
              <w:contextualSpacing w:val="0"/>
              <w:rPr>
                <w:rFonts w:ascii="Arial" w:hAnsi="Arial" w:cs="Arial"/>
                <w:noProof/>
                <w:sz w:val="20"/>
                <w:szCs w:val="20"/>
                <w:lang w:val="es-ES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Decreto de Reubicación institucional de la Dirección Nacional de Inversión Pública (DNIP) a la órbita de la Jefatura de Gabinete de Ministros (JGM) 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  <w:t>Decreto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2016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rPr>
                <w:rFonts w:ascii="Arial" w:hAnsi="Arial" w:cs="Arial"/>
                <w:noProof/>
                <w:sz w:val="20"/>
                <w:szCs w:val="20"/>
                <w:lang w:val="es-ES" w:eastAsia="zh-CN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s-ES"/>
              </w:rPr>
              <w:t>Publicación en el Boletín Oficial de la República Argentina.</w:t>
            </w: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val="es-ES_tradnl"/>
              </w:rPr>
              <w:t>Línea de base y metas a diciembre de cada año.</w:t>
            </w:r>
          </w:p>
        </w:tc>
      </w:tr>
      <w:tr>
        <w:trPr>
          <w:trHeight w:val="20"/>
        </w:trPr>
        <w:tc>
          <w:tcPr>
            <w:tcW w:w="3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>
            <w:pPr>
              <w:pStyle w:val="ListParagraph"/>
              <w:spacing w:before="20" w:after="20" w:line="240" w:lineRule="auto"/>
              <w:ind w:left="0"/>
              <w:contextualSpacing w:val="0"/>
              <w:rPr>
                <w:rFonts w:ascii="Arial" w:hAnsi="Arial" w:cs="Arial"/>
                <w:noProof/>
                <w:sz w:val="20"/>
                <w:szCs w:val="20"/>
                <w:lang w:val="es-ES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Decreto de Centralización de la gestión de proyectos con financiamiento externo y/o proyectos de participación público-privada a fin de optimizar su ejecución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  <w:t>Decreto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2016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rPr>
                <w:rFonts w:ascii="Arial" w:hAnsi="Arial" w:cs="Arial"/>
                <w:noProof/>
                <w:sz w:val="20"/>
                <w:szCs w:val="20"/>
                <w:lang w:val="es-ES" w:eastAsia="zh-CN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s-ES"/>
              </w:rPr>
              <w:t>Publicación en el Boletín Oficial de la República Argentina.</w:t>
            </w: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val="es-ES_tradnl"/>
              </w:rPr>
              <w:t>Línea de base y metas a diciembre de cada año.</w:t>
            </w:r>
          </w:p>
        </w:tc>
      </w:tr>
      <w:tr>
        <w:trPr>
          <w:trHeight w:val="20"/>
        </w:trPr>
        <w:tc>
          <w:tcPr>
            <w:tcW w:w="3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pStyle w:val="ListParagraph"/>
              <w:spacing w:before="20" w:after="20" w:line="240" w:lineRule="auto"/>
              <w:ind w:left="0"/>
              <w:contextualSpacing w:val="0"/>
              <w:rPr>
                <w:rFonts w:ascii="Arial" w:hAnsi="Arial" w:cs="Arial"/>
                <w:noProof/>
                <w:sz w:val="20"/>
                <w:szCs w:val="20"/>
                <w:lang w:val="es-ES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Decreto de Unidad bajo la órbita de JGM que centralice la supervisión y monitoreo de las Empresas Públicas 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  <w:t>Decreto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2016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rPr>
                <w:rFonts w:ascii="Arial" w:hAnsi="Arial" w:cs="Arial"/>
                <w:noProof/>
                <w:sz w:val="20"/>
                <w:szCs w:val="20"/>
                <w:lang w:val="es-ES" w:eastAsia="zh-CN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s-ES"/>
              </w:rPr>
              <w:t>Publicación en el Boletín Oficial de la República Argentina.</w:t>
            </w: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val="es-ES_tradnl"/>
              </w:rPr>
              <w:t>Línea de base y metas a diciembre de cada año.</w:t>
            </w:r>
          </w:p>
        </w:tc>
      </w:tr>
      <w:tr>
        <w:trPr>
          <w:trHeight w:val="20"/>
        </w:trPr>
        <w:tc>
          <w:tcPr>
            <w:tcW w:w="3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pStyle w:val="ListParagraph"/>
              <w:spacing w:before="20" w:after="20" w:line="240" w:lineRule="auto"/>
              <w:ind w:left="0"/>
              <w:contextualSpacing w:val="0"/>
              <w:rPr>
                <w:rFonts w:ascii="Arial" w:hAnsi="Arial" w:cs="Arial"/>
                <w:noProof/>
                <w:sz w:val="20"/>
                <w:szCs w:val="20"/>
                <w:lang w:val="es-ES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Decreto de Lineamientos de Buen Gobierno para Empresas de Participación Estatal Mayoritaria de Argentina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  <w:t>Decreto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2016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rPr>
                <w:rFonts w:ascii="Arial" w:hAnsi="Arial" w:cs="Arial"/>
                <w:noProof/>
                <w:sz w:val="20"/>
                <w:szCs w:val="20"/>
                <w:lang w:val="es-ES" w:eastAsia="zh-CN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s-ES"/>
              </w:rPr>
              <w:t>Publicación en el Boletín Oficial de la República Argentina.</w:t>
            </w: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val="es-ES_tradnl"/>
              </w:rPr>
              <w:t>Línea de base y metas a diciembre de cada año.</w:t>
            </w:r>
          </w:p>
        </w:tc>
      </w:tr>
      <w:tr>
        <w:trPr>
          <w:trHeight w:val="20"/>
        </w:trPr>
        <w:tc>
          <w:tcPr>
            <w:tcW w:w="3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pStyle w:val="ListParagraph"/>
              <w:spacing w:before="20" w:after="20" w:line="240" w:lineRule="auto"/>
              <w:ind w:left="0"/>
              <w:contextualSpacing w:val="0"/>
              <w:rPr>
                <w:rFonts w:ascii="Arial" w:hAnsi="Arial" w:cs="Arial"/>
                <w:noProof/>
                <w:sz w:val="20"/>
                <w:szCs w:val="20"/>
                <w:lang w:val="es-ES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Decreto de Asignación de misiones y responsabilidades de la Subsecretaria de Participación Público-Privada en la órbita del Ministerio de Finanzas 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  <w:t>Decreto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2016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rPr>
                <w:rFonts w:ascii="Arial" w:hAnsi="Arial" w:cs="Arial"/>
                <w:noProof/>
                <w:sz w:val="20"/>
                <w:szCs w:val="20"/>
                <w:lang w:val="es-ES" w:eastAsia="zh-CN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s-ES"/>
              </w:rPr>
              <w:t>Publicación en el Boletín Oficial de la República Argentina.</w:t>
            </w: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before="20" w:after="20" w:line="240" w:lineRule="auto"/>
              <w:rPr>
                <w:rFonts w:ascii="Arial" w:hAnsi="Arial" w:cs="Arial"/>
                <w:noProof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val="es-ES_tradnl"/>
              </w:rPr>
              <w:t>Línea de base y metas a diciembre de cada año.</w:t>
            </w:r>
          </w:p>
        </w:tc>
      </w:tr>
    </w:tbl>
    <w:p>
      <w:pPr>
        <w:rPr>
          <w:rFonts w:ascii="Arial" w:hAnsi="Arial" w:cs="Arial"/>
          <w:noProof/>
          <w:sz w:val="20"/>
          <w:szCs w:val="20"/>
          <w:lang w:val="es-MX"/>
        </w:rPr>
      </w:pPr>
    </w:p>
    <w:sectPr>
      <w:headerReference w:type="even" r:id="rId19"/>
      <w:headerReference w:type="default" r:id="rId20"/>
      <w:footnotePr>
        <w:numRestart w:val="eachSect"/>
      </w:footnotePr>
      <w:type w:val="continuous"/>
      <w:pgSz w:w="15840" w:h="12240" w:orient="landscape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  <w:endnote w:type="continuationNotice" w:id="1">
    <w:p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type="continuationNotice" w:id="1">
    <w:p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Head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AR-L1283</w:t>
    </w:r>
  </w:p>
  <w:p>
    <w:pPr>
      <w:pStyle w:val="Header"/>
      <w:spacing w:after="120"/>
      <w:rPr>
        <w:rFonts w:ascii="Arial" w:hAnsi="Arial" w:cs="Arial"/>
        <w:sz w:val="18"/>
        <w:lang w:val="pt-BR"/>
      </w:rPr>
    </w:pPr>
    <w:r>
      <w:rPr>
        <w:rFonts w:ascii="Arial" w:hAnsi="Arial" w:cs="Arial"/>
        <w:sz w:val="18"/>
        <w:szCs w:val="20"/>
        <w:lang w:val="pt-BR"/>
      </w:rPr>
      <w:t xml:space="preserve">Página </w:t>
    </w:r>
    <w:r>
      <w:rPr>
        <w:rFonts w:ascii="Arial" w:hAnsi="Arial" w:cs="Arial"/>
        <w:sz w:val="18"/>
        <w:szCs w:val="20"/>
      </w:rPr>
      <w:fldChar w:fldCharType="begin"/>
    </w:r>
    <w:r>
      <w:rPr>
        <w:rFonts w:ascii="Arial" w:hAnsi="Arial" w:cs="Arial"/>
        <w:sz w:val="18"/>
        <w:szCs w:val="20"/>
        <w:lang w:val="pt-BR"/>
      </w:rPr>
      <w:instrText xml:space="preserve"> PAGE </w:instrText>
    </w:r>
    <w:r>
      <w:rPr>
        <w:rFonts w:ascii="Arial" w:hAnsi="Arial" w:cs="Arial"/>
        <w:sz w:val="18"/>
        <w:szCs w:val="20"/>
      </w:rPr>
      <w:fldChar w:fldCharType="separate"/>
    </w:r>
    <w:r>
      <w:rPr>
        <w:rFonts w:ascii="Arial" w:hAnsi="Arial" w:cs="Arial"/>
        <w:noProof/>
        <w:sz w:val="18"/>
        <w:szCs w:val="20"/>
        <w:lang w:val="pt-BR"/>
      </w:rPr>
      <w:t>4</w:t>
    </w:r>
    <w:r>
      <w:rPr>
        <w:rFonts w:ascii="Arial" w:hAnsi="Arial" w:cs="Arial"/>
        <w:sz w:val="18"/>
        <w:szCs w:val="20"/>
      </w:rPr>
      <w:fldChar w:fldCharType="end"/>
    </w:r>
    <w:r>
      <w:rPr>
        <w:rFonts w:ascii="Arial" w:hAnsi="Arial" w:cs="Arial"/>
        <w:sz w:val="18"/>
        <w:szCs w:val="20"/>
        <w:lang w:val="pt-BR"/>
      </w:rPr>
      <w:t xml:space="preserve"> de 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Header"/>
      <w:jc w:val="right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AR-L1283</w:t>
    </w:r>
  </w:p>
  <w:p>
    <w:pPr>
      <w:pStyle w:val="Header"/>
      <w:spacing w:after="120"/>
      <w:jc w:val="right"/>
      <w:rPr>
        <w:rFonts w:ascii="Arial" w:hAnsi="Arial" w:cs="Arial"/>
        <w:sz w:val="18"/>
        <w:lang w:val="pt-BR"/>
      </w:rPr>
    </w:pPr>
    <w:r>
      <w:rPr>
        <w:rFonts w:ascii="Arial" w:hAnsi="Arial" w:cs="Arial"/>
        <w:sz w:val="18"/>
        <w:szCs w:val="20"/>
        <w:lang w:val="pt-BR"/>
      </w:rPr>
      <w:t xml:space="preserve">Página </w:t>
    </w:r>
    <w:r>
      <w:rPr>
        <w:rFonts w:ascii="Arial" w:hAnsi="Arial" w:cs="Arial"/>
        <w:sz w:val="18"/>
        <w:szCs w:val="20"/>
      </w:rPr>
      <w:fldChar w:fldCharType="begin"/>
    </w:r>
    <w:r>
      <w:rPr>
        <w:rFonts w:ascii="Arial" w:hAnsi="Arial" w:cs="Arial"/>
        <w:sz w:val="18"/>
        <w:szCs w:val="20"/>
        <w:lang w:val="pt-BR"/>
      </w:rPr>
      <w:instrText xml:space="preserve"> PAGE </w:instrText>
    </w:r>
    <w:r>
      <w:rPr>
        <w:rFonts w:ascii="Arial" w:hAnsi="Arial" w:cs="Arial"/>
        <w:sz w:val="18"/>
        <w:szCs w:val="20"/>
      </w:rPr>
      <w:fldChar w:fldCharType="separate"/>
    </w:r>
    <w:r>
      <w:rPr>
        <w:rFonts w:ascii="Arial" w:hAnsi="Arial" w:cs="Arial"/>
        <w:noProof/>
        <w:sz w:val="18"/>
        <w:szCs w:val="20"/>
        <w:lang w:val="pt-BR"/>
      </w:rPr>
      <w:t>5</w:t>
    </w:r>
    <w:r>
      <w:rPr>
        <w:rFonts w:ascii="Arial" w:hAnsi="Arial" w:cs="Arial"/>
        <w:sz w:val="18"/>
        <w:szCs w:val="20"/>
      </w:rPr>
      <w:fldChar w:fldCharType="end"/>
    </w:r>
    <w:r>
      <w:rPr>
        <w:rFonts w:ascii="Arial" w:hAnsi="Arial" w:cs="Arial"/>
        <w:sz w:val="18"/>
        <w:szCs w:val="20"/>
        <w:lang w:val="pt-BR"/>
      </w:rPr>
      <w:t xml:space="preserve"> de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C3391"/>
    <w:multiLevelType w:val="hybridMultilevel"/>
    <w:tmpl w:val="D9449F7C"/>
    <w:lvl w:ilvl="0" w:tplc="E516FBD8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827BD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275D3"/>
    <w:multiLevelType w:val="hybridMultilevel"/>
    <w:tmpl w:val="5F222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65AEA"/>
    <w:multiLevelType w:val="hybridMultilevel"/>
    <w:tmpl w:val="2ED62A6A"/>
    <w:lvl w:ilvl="0" w:tplc="C21883B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B317F"/>
    <w:multiLevelType w:val="hybridMultilevel"/>
    <w:tmpl w:val="435C7E62"/>
    <w:lvl w:ilvl="0" w:tplc="1848065C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832F7"/>
    <w:multiLevelType w:val="hybridMultilevel"/>
    <w:tmpl w:val="DE001ED0"/>
    <w:lvl w:ilvl="0" w:tplc="8DD2164C">
      <w:start w:val="1"/>
      <w:numFmt w:val="decimal"/>
      <w:lvlText w:val="4.%1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2F4769D2"/>
    <w:multiLevelType w:val="hybridMultilevel"/>
    <w:tmpl w:val="F716D126"/>
    <w:lvl w:ilvl="0" w:tplc="14820AB0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E168C"/>
    <w:multiLevelType w:val="hybridMultilevel"/>
    <w:tmpl w:val="64C8B162"/>
    <w:lvl w:ilvl="0" w:tplc="F87EACA2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3E550F"/>
    <w:multiLevelType w:val="hybridMultilevel"/>
    <w:tmpl w:val="CFE40A5E"/>
    <w:lvl w:ilvl="0" w:tplc="DB723606">
      <w:start w:val="2"/>
      <w:numFmt w:val="bullet"/>
      <w:lvlText w:val=""/>
      <w:lvlJc w:val="left"/>
      <w:pPr>
        <w:ind w:left="585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9" w15:restartNumberingAfterBreak="0">
    <w:nsid w:val="540F0548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5530A9C"/>
    <w:multiLevelType w:val="multilevel"/>
    <w:tmpl w:val="7A4C2E3A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11" w15:restartNumberingAfterBreak="0">
    <w:nsid w:val="63435F38"/>
    <w:multiLevelType w:val="hybridMultilevel"/>
    <w:tmpl w:val="8390A242"/>
    <w:lvl w:ilvl="0" w:tplc="445A9A44">
      <w:start w:val="1"/>
      <w:numFmt w:val="decimal"/>
      <w:lvlText w:val="%1."/>
      <w:lvlJc w:val="left"/>
      <w:pPr>
        <w:ind w:left="792" w:hanging="360"/>
      </w:pPr>
      <w:rPr>
        <w:rFonts w:ascii="Cambria" w:eastAsia="Times New Roman" w:hAnsi="Cambria" w:cs="Times New Roman"/>
      </w:rPr>
    </w:lvl>
    <w:lvl w:ilvl="1" w:tplc="0409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2" w15:restartNumberingAfterBreak="0">
    <w:nsid w:val="6C0E1AE9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A887E82"/>
    <w:multiLevelType w:val="multilevel"/>
    <w:tmpl w:val="FB2A28B2"/>
    <w:lvl w:ilvl="0">
      <w:start w:val="1"/>
      <w:numFmt w:val="upperRoman"/>
      <w:lvlRestart w:val="0"/>
      <w:lvlText w:val="%1."/>
      <w:lvlJc w:val="center"/>
      <w:pPr>
        <w:tabs>
          <w:tab w:val="num" w:pos="2088"/>
        </w:tabs>
        <w:ind w:left="1440" w:firstLine="288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1746"/>
        </w:tabs>
        <w:ind w:left="1746" w:hanging="1296"/>
      </w:pPr>
      <w:rPr>
        <w:rFonts w:ascii="Arial" w:hAnsi="Arial" w:cs="Arial" w:hint="default"/>
        <w:b w:val="0"/>
        <w:color w:val="000000" w:themeColor="text1"/>
        <w:sz w:val="22"/>
        <w:szCs w:val="22"/>
        <w:lang w:val="es-ES"/>
      </w:rPr>
    </w:lvl>
    <w:lvl w:ilvl="2">
      <w:start w:val="1"/>
      <w:numFmt w:val="lowerLetter"/>
      <w:lvlText w:val="%3."/>
      <w:lvlJc w:val="left"/>
      <w:pPr>
        <w:tabs>
          <w:tab w:val="num" w:pos="2592"/>
        </w:tabs>
        <w:ind w:left="2592" w:hanging="432"/>
      </w:pPr>
      <w:rPr>
        <w:b w:val="0"/>
      </w:rPr>
    </w:lvl>
    <w:lvl w:ilvl="3">
      <w:start w:val="1"/>
      <w:numFmt w:val="lowerRoman"/>
      <w:lvlText w:val="%4."/>
      <w:lvlJc w:val="right"/>
      <w:pPr>
        <w:tabs>
          <w:tab w:val="num" w:pos="3024"/>
        </w:tabs>
        <w:ind w:left="3024" w:hanging="288"/>
      </w:pPr>
    </w:lvl>
    <w:lvl w:ilvl="4">
      <w:start w:val="1"/>
      <w:numFmt w:val="decimal"/>
      <w:lvlText w:val="%1.%2.%3.%4.%5"/>
      <w:lvlJc w:val="left"/>
      <w:pPr>
        <w:ind w:left="2448" w:hanging="1008"/>
      </w:pPr>
    </w:lvl>
    <w:lvl w:ilvl="5">
      <w:start w:val="1"/>
      <w:numFmt w:val="decimal"/>
      <w:lvlText w:val="%1.%2.%3.%4.%5.%6"/>
      <w:lvlJc w:val="left"/>
      <w:pPr>
        <w:ind w:left="2592" w:hanging="1152"/>
      </w:pPr>
    </w:lvl>
    <w:lvl w:ilvl="6">
      <w:start w:val="1"/>
      <w:numFmt w:val="decimal"/>
      <w:lvlText w:val="%1.%2.%3.%4.%5.%6.%7"/>
      <w:lvlJc w:val="left"/>
      <w:pPr>
        <w:ind w:left="2736" w:hanging="1296"/>
      </w:pPr>
    </w:lvl>
    <w:lvl w:ilvl="7">
      <w:start w:val="1"/>
      <w:numFmt w:val="decimal"/>
      <w:lvlText w:val="%1.%2.%3.%4.%5.%6.%7.%8"/>
      <w:lvlJc w:val="left"/>
      <w:pPr>
        <w:ind w:left="2880" w:hanging="1440"/>
      </w:pPr>
    </w:lvl>
    <w:lvl w:ilvl="8">
      <w:start w:val="1"/>
      <w:numFmt w:val="decimal"/>
      <w:lvlText w:val="%1.%2.%3.%4.%5.%6.%7.%8.%9"/>
      <w:lvlJc w:val="left"/>
      <w:pPr>
        <w:ind w:left="3024" w:hanging="1584"/>
      </w:pPr>
    </w:lvl>
  </w:abstractNum>
  <w:abstractNum w:abstractNumId="14" w15:restartNumberingAfterBreak="0">
    <w:nsid w:val="7D4E65DE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5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2"/>
  </w:num>
  <w:num w:numId="12">
    <w:abstractNumId w:val="1"/>
  </w:num>
  <w:num w:numId="13">
    <w:abstractNumId w:val="12"/>
  </w:num>
  <w:num w:numId="14">
    <w:abstractNumId w:val="9"/>
  </w:num>
  <w:num w:numId="1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4097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Pr>
      <w:sz w:val="22"/>
      <w:szCs w:val="22"/>
    </w:rPr>
  </w:style>
  <w:style w:type="paragraph" w:styleId="FootnoteText">
    <w:name w:val="footnote text"/>
    <w:basedOn w:val="Normal"/>
    <w:link w:val="FootnoteTextChar"/>
    <w:semiHidden/>
    <w:pPr>
      <w:spacing w:after="0" w:line="240" w:lineRule="auto"/>
    </w:pPr>
    <w:rPr>
      <w:rFonts w:ascii="Times New Roman" w:eastAsia="Times New Roman" w:hAnsi="Times New Roman"/>
      <w:sz w:val="20"/>
      <w:szCs w:val="20"/>
      <w:lang w:val="es-ES"/>
    </w:rPr>
  </w:style>
  <w:style w:type="character" w:customStyle="1" w:styleId="FootnoteTextChar">
    <w:name w:val="Footnote Text Char"/>
    <w:link w:val="FootnoteText"/>
    <w:semiHidden/>
    <w:rPr>
      <w:rFonts w:ascii="Times New Roman" w:eastAsia="Times New Roman" w:hAnsi="Times New Roman"/>
      <w:lang w:val="es-E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TableText">
    <w:name w:val="Table Text"/>
    <w:basedOn w:val="Normal"/>
    <w:pPr>
      <w:spacing w:after="0" w:line="280" w:lineRule="atLeast"/>
      <w:jc w:val="both"/>
    </w:pPr>
    <w:rPr>
      <w:rFonts w:ascii="Arial" w:eastAsia="Times New Roman" w:hAnsi="Arial"/>
      <w:sz w:val="16"/>
      <w:szCs w:val="20"/>
      <w:lang w:val="en-GB" w:eastAsia="fr-FR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  <w:rPr>
      <w:lang w:val="es-CO"/>
    </w:rPr>
  </w:style>
  <w:style w:type="character" w:customStyle="1" w:styleId="ListParagraphChar">
    <w:name w:val="List Paragraph Char"/>
    <w:link w:val="ListParagraph"/>
    <w:uiPriority w:val="34"/>
    <w:locked/>
    <w:rPr>
      <w:sz w:val="22"/>
      <w:szCs w:val="22"/>
      <w:lang w:val="es-CO"/>
    </w:rPr>
  </w:style>
  <w:style w:type="character" w:styleId="FootnoteReference">
    <w:name w:val="footnote reference"/>
    <w:aliases w:val="FC,referencia nota al pie,Stinking Styles11,Texto de nota al pie,Footnote symbol,Footnote,titulo 2,ftref,Style 24,pie pddes,Fußnotenzeichen DISS,Footnote Reference1,Ref,de nota al pie,16 Point,Superscript 6 Point,Знак сноски 1"/>
    <w:uiPriority w:val="99"/>
    <w:unhideWhenUsed/>
    <w:rPr>
      <w:vertAlign w:val="superscript"/>
    </w:rPr>
  </w:style>
  <w:style w:type="paragraph" w:customStyle="1" w:styleId="Chapter">
    <w:name w:val="Chapter"/>
    <w:basedOn w:val="Normal"/>
    <w:next w:val="Normal"/>
    <w:pPr>
      <w:keepNext/>
      <w:numPr>
        <w:numId w:val="16"/>
      </w:numPr>
      <w:tabs>
        <w:tab w:val="left" w:pos="1440"/>
      </w:tabs>
      <w:spacing w:before="240" w:after="240" w:line="240" w:lineRule="auto"/>
      <w:jc w:val="center"/>
    </w:pPr>
    <w:rPr>
      <w:rFonts w:ascii="Times New Roman" w:eastAsia="Times New Roman" w:hAnsi="Times New Roman"/>
      <w:b/>
      <w:smallCaps/>
      <w:sz w:val="24"/>
      <w:szCs w:val="20"/>
      <w:lang w:val="es-ES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pPr>
      <w:numPr>
        <w:ilvl w:val="1"/>
        <w:numId w:val="16"/>
      </w:numPr>
      <w:spacing w:before="12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es-ES"/>
    </w:rPr>
  </w:style>
  <w:style w:type="paragraph" w:customStyle="1" w:styleId="subpar">
    <w:name w:val="subpar"/>
    <w:basedOn w:val="BodyTextIndent3"/>
    <w:pPr>
      <w:numPr>
        <w:ilvl w:val="2"/>
        <w:numId w:val="16"/>
      </w:numPr>
      <w:tabs>
        <w:tab w:val="clear" w:pos="2304"/>
        <w:tab w:val="num" w:pos="360"/>
        <w:tab w:val="num" w:pos="1152"/>
      </w:tabs>
      <w:spacing w:before="120" w:line="240" w:lineRule="auto"/>
      <w:ind w:left="1152" w:hanging="720"/>
      <w:jc w:val="both"/>
      <w:outlineLvl w:val="2"/>
    </w:pPr>
    <w:rPr>
      <w:rFonts w:ascii="Times New Roman" w:eastAsia="Times New Roman" w:hAnsi="Times New Roman"/>
      <w:sz w:val="24"/>
      <w:szCs w:val="20"/>
      <w:lang w:val="es-ES_tradnl"/>
    </w:rPr>
  </w:style>
  <w:style w:type="paragraph" w:customStyle="1" w:styleId="SubSubPar">
    <w:name w:val="SubSubPar"/>
    <w:basedOn w:val="subpar"/>
    <w:pPr>
      <w:numPr>
        <w:ilvl w:val="3"/>
      </w:numPr>
      <w:tabs>
        <w:tab w:val="clear" w:pos="2736"/>
        <w:tab w:val="left" w:pos="0"/>
        <w:tab w:val="num" w:pos="360"/>
        <w:tab w:val="num" w:pos="1152"/>
        <w:tab w:val="num" w:pos="1296"/>
      </w:tabs>
      <w:ind w:left="1296" w:hanging="720"/>
    </w:pPr>
  </w:style>
  <w:style w:type="character" w:customStyle="1" w:styleId="ParagraphChar">
    <w:name w:val="Paragraph Char"/>
    <w:link w:val="Paragraph"/>
    <w:rPr>
      <w:rFonts w:ascii="Times New Roman" w:eastAsia="Times New Roman" w:hAnsi="Times New Roman"/>
      <w:sz w:val="24"/>
      <w:lang w:val="es-ES" w:eastAsia="en-US"/>
    </w:rPr>
  </w:style>
  <w:style w:type="character" w:customStyle="1" w:styleId="hps">
    <w:name w:val="hps"/>
    <w:basedOn w:val="DefaultParagraphFont"/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Pr>
      <w:sz w:val="22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Pr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Revision">
    <w:name w:val="Revision"/>
    <w:hidden/>
    <w:uiPriority w:val="99"/>
    <w:semiHidden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2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6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4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yperlink" Target="http://www.minhacienda.gob.ar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yperlink" Target="http://www.indec.gob.ar" TargetMode="Externa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1.bin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image" Target="media/image1.png"/><Relationship Id="rId23" Type="http://schemas.openxmlformats.org/officeDocument/2006/relationships/customXml" Target="../customXml/item8.xml"/><Relationship Id="rId10" Type="http://schemas.openxmlformats.org/officeDocument/2006/relationships/settings" Target="setting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http://www.indec.gob.ar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R0002184373</Record_x0020_Number>
    <Key_x0020_Document xmlns="cdc7663a-08f0-4737-9e8c-148ce897a09c">false</Key_x0020_Document>
    <Division_x0020_or_x0020_Unit xmlns="cdc7663a-08f0-4737-9e8c-148ce897a09c">IFD/FMM</Division_x0020_or_x0020_Unit>
    <Other_x0020_Author xmlns="cdc7663a-08f0-4737-9e8c-148ce897a09c">Emilio Pineda</Other_x0020_Author>
    <IDBDocs_x0020_Number xmlns="cdc7663a-08f0-4737-9e8c-148ce897a09c" xsi:nil="true"/>
    <Document_x0020_Author xmlns="cdc7663a-08f0-4737-9e8c-148ce897a09c">Canillas Gomez, Mariana Belen</Document_x0020_Author>
    <_dlc_DocId xmlns="cdc7663a-08f0-4737-9e8c-148ce897a09c">EZSHARE-1899350182-23</_dlc_DocId>
    <Operation_x0020_Type xmlns="cdc7663a-08f0-4737-9e8c-148ce897a09c">Loan Operation</Operation_x0020_Type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TaxCatchAll xmlns="cdc7663a-08f0-4737-9e8c-148ce897a09c">
      <Value>5</Value>
      <Value>228</Value>
      <Value>36</Value>
      <Value>1</Value>
    </TaxCatchAll>
    <Fiscal_x0020_Year_x0020_IDB xmlns="cdc7663a-08f0-4737-9e8c-148ce897a09c">2018</Fiscal_x0020_Year_x0020_IDB>
    <b26cdb1da78c4bb4b1c1bac2f6ac5911 xmlns="cdc7663a-08f0-4737-9e8c-148ce897a09c">
      <Terms xmlns="http://schemas.microsoft.com/office/infopath/2007/PartnerControls"/>
    </b26cdb1da78c4bb4b1c1bac2f6ac5911>
    <Project_x0020_Number xmlns="cdc7663a-08f0-4737-9e8c-148ce897a09c">AR-L1283</Project_x0020_Number>
    <Package_x0020_Code xmlns="cdc7663a-08f0-4737-9e8c-148ce897a09c" xsi:nil="true"/>
    <Migration_x0020_Info xmlns="cdc7663a-08f0-4737-9e8c-148ce897a09c" xsi:nil="true"/>
    <Related_x0020_SisCor_x0020_Number xmlns="cdc7663a-08f0-4737-9e8c-148ce897a09c" xsi:nil="true"/>
    <Approval_x0020_Number xmlns="cdc7663a-08f0-4737-9e8c-148ce897a09c" xsi:nil="true"/>
    <Business_x0020_Area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Access_x0020_to_x0020_Information_x00a0_Policy xmlns="cdc7663a-08f0-4737-9e8c-148ce897a09c">Public - Simultaneous Disclosure</Access_x0020_to_x0020_Information_x00a0_Policy>
    <SISCOR_x0020_Number xmlns="cdc7663a-08f0-4737-9e8c-148ce897a09c" xsi:nil="true"/>
    <Identifier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c8fda4a7-691a-4c65-b227-9825197b5cd2</TermId>
        </TermInfo>
      </Terms>
    </nddeef1749674d76abdbe4b239a70bc6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2a848641-6d37-4d5e-b2b0-f391eeec3133</TermId>
        </TermInfo>
      </Terms>
    </b2ec7cfb18674cb8803df6b262e8b107>
    <Document_x0020_Language_x0020_IDB xmlns="cdc7663a-08f0-4737-9e8c-148ce897a09c">Spanish</Document_x0020_Language_x0020_IDB>
    <_dlc_DocIdUrl xmlns="cdc7663a-08f0-4737-9e8c-148ce897a09c">
      <Url>https://idbg.sharepoint.com/teams/EZ-AR-LON/AR-L1283/_layouts/15/DocIdRedir.aspx?ID=EZSHARE-1899350182-23</Url>
      <Description>EZSHARE-1899350182-23</Description>
    </_dlc_DocIdUrl>
    <Phase xmlns="cdc7663a-08f0-4737-9e8c-148ce897a09c" xsi:nil="true"/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12D6D68FCC37CF4DA6D7EBD5684F4281" ma:contentTypeVersion="581" ma:contentTypeDescription="A content type to manage public (operations) IDB documents" ma:contentTypeScope="" ma:versionID="45971642839c0b764fd6e42064a65ca1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eda6a0b6133bca66c98a0360e7069d7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AR-L1283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34DE67F2-96F8-4102-BACC-D2080EA3240D}"/>
</file>

<file path=customXml/itemProps2.xml><?xml version="1.0" encoding="utf-8"?>
<ds:datastoreItem xmlns:ds="http://schemas.openxmlformats.org/officeDocument/2006/customXml" ds:itemID="{6D1F3701-9CFB-47BD-8837-683574A2EE1B}">
  <ds:schemaRefs>
    <ds:schemaRef ds:uri="cdc7663a-08f0-4737-9e8c-148ce897a09c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9893B80-DD32-4EB1-A393-A34D3B72213E}"/>
</file>

<file path=customXml/itemProps4.xml><?xml version="1.0" encoding="utf-8"?>
<ds:datastoreItem xmlns:ds="http://schemas.openxmlformats.org/officeDocument/2006/customXml" ds:itemID="{8DED50A9-01C9-49AF-A4F1-CFD462EBCCB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08365A5-1B98-4316-A373-D2D795FF328B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3E334044-2B8A-4497-9C17-EEF4F04878F2}">
  <ds:schemaRefs>
    <ds:schemaRef ds:uri="http://schemas.microsoft.com/sharepoint/v3/contenttype/forms/url"/>
  </ds:schemaRefs>
</ds:datastoreItem>
</file>

<file path=customXml/itemProps7.xml><?xml version="1.0" encoding="utf-8"?>
<ds:datastoreItem xmlns:ds="http://schemas.openxmlformats.org/officeDocument/2006/customXml" ds:itemID="{34617988-08EF-4EF0-AF23-7C79149D94D8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04F75A74-DAD3-48B9-89C4-D378566A0B5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2018-05-08T17:39:00Z</dcterms:created>
  <dcterms:modified xsi:type="dcterms:W3CDTF">2018-05-09T17:07:00Z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228;#REFORM / MODERNIZATION OF THE STATE|2a848641-6d37-4d5e-b2b0-f391eeec3133</vt:lpwstr>
  </property>
  <property fmtid="{D5CDD505-2E9C-101B-9397-08002B2CF9AE}" pid="7" name="Country">
    <vt:lpwstr>5;#Argentina|eb1b705c-195f-4c3b-9661-b201f2fee3c5</vt:lpwstr>
  </property>
  <property fmtid="{D5CDD505-2E9C-101B-9397-08002B2CF9AE}" pid="8" name="Fund IDB">
    <vt:lpwstr/>
  </property>
  <property fmtid="{D5CDD505-2E9C-101B-9397-08002B2CF9AE}" pid="9" name="_dlc_DocIdItemGuid">
    <vt:lpwstr>67a87059-19f0-47c3-b9aa-d880362dc1c1</vt:lpwstr>
  </property>
  <property fmtid="{D5CDD505-2E9C-101B-9397-08002B2CF9AE}" pid="10" name="Sector IDB">
    <vt:lpwstr>36;#REFORM / MODERNIZATION OF THE STATE|c8fda4a7-691a-4c65-b227-9825197b5cd2</vt:lpwstr>
  </property>
  <property fmtid="{D5CDD505-2E9C-101B-9397-08002B2CF9AE}" pid="11" name="Function Operations IDB">
    <vt:lpwstr>1;#Project Preparation, Planning and Design|29ca0c72-1fc4-435f-a09c-28585cb5eac9</vt:lpwstr>
  </property>
  <property fmtid="{D5CDD505-2E9C-101B-9397-08002B2CF9AE}" pid="12" name="RecordStorageActiveId">
    <vt:lpwstr>7104ca97-f5b0-48cf-9848-5f0133f89377</vt:lpwstr>
  </property>
  <property fmtid="{D5CDD505-2E9C-101B-9397-08002B2CF9AE}" pid="13" name="ContentTypeId">
    <vt:lpwstr>0x0101001A458A224826124E8B45B1D613300CFC0012D6D68FCC37CF4DA6D7EBD5684F4281</vt:lpwstr>
  </property>
</Properties>
</file>