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948E3" w14:textId="77777777" w:rsidR="001E3B3E" w:rsidRPr="00B81BBB" w:rsidRDefault="001E3B3E" w:rsidP="00F86017">
      <w:pPr>
        <w:pStyle w:val="Title"/>
        <w:tabs>
          <w:tab w:val="clear" w:pos="1440"/>
          <w:tab w:val="clear" w:pos="3060"/>
        </w:tabs>
        <w:outlineLvl w:val="9"/>
        <w:rPr>
          <w:rFonts w:ascii="Arial" w:hAnsi="Arial" w:cs="Arial"/>
          <w:smallCaps/>
        </w:rPr>
      </w:pPr>
    </w:p>
    <w:p w14:paraId="088F2E03" w14:textId="049870BA" w:rsidR="00E12118" w:rsidRPr="00B81BBB" w:rsidRDefault="003372D9" w:rsidP="00F86017">
      <w:pPr>
        <w:pStyle w:val="Title"/>
        <w:tabs>
          <w:tab w:val="clear" w:pos="1440"/>
          <w:tab w:val="clear" w:pos="3060"/>
        </w:tabs>
        <w:outlineLvl w:val="9"/>
        <w:rPr>
          <w:rFonts w:ascii="Arial" w:hAnsi="Arial" w:cs="Arial"/>
          <w:smallCaps/>
        </w:rPr>
      </w:pPr>
      <w:r w:rsidRPr="00B81BBB">
        <w:rPr>
          <w:rFonts w:ascii="Arial" w:hAnsi="Arial" w:cs="Arial"/>
          <w:smallCaps/>
        </w:rPr>
        <w:t>Document of the Inter-American Development Bank</w:t>
      </w:r>
    </w:p>
    <w:p w14:paraId="77E4EDB9" w14:textId="77777777" w:rsidR="00E12118" w:rsidRPr="00B81BBB" w:rsidRDefault="00E12118" w:rsidP="00F86017">
      <w:pPr>
        <w:tabs>
          <w:tab w:val="left" w:pos="1440"/>
          <w:tab w:val="left" w:pos="3060"/>
        </w:tabs>
        <w:jc w:val="center"/>
        <w:outlineLvl w:val="0"/>
        <w:rPr>
          <w:rFonts w:ascii="Arial" w:hAnsi="Arial" w:cs="Arial"/>
        </w:rPr>
      </w:pPr>
    </w:p>
    <w:p w14:paraId="2480BABC" w14:textId="77777777" w:rsidR="00E12118" w:rsidRPr="00B81BBB" w:rsidRDefault="00E12118" w:rsidP="00F86017">
      <w:pPr>
        <w:tabs>
          <w:tab w:val="left" w:pos="1440"/>
          <w:tab w:val="left" w:pos="3060"/>
        </w:tabs>
        <w:jc w:val="center"/>
        <w:rPr>
          <w:rFonts w:ascii="Arial" w:hAnsi="Arial" w:cs="Arial"/>
        </w:rPr>
      </w:pPr>
    </w:p>
    <w:p w14:paraId="798880C1" w14:textId="77777777" w:rsidR="00E12118" w:rsidRPr="00B81BBB" w:rsidRDefault="00E12118" w:rsidP="00F86017">
      <w:pPr>
        <w:tabs>
          <w:tab w:val="left" w:pos="1440"/>
          <w:tab w:val="left" w:pos="3060"/>
        </w:tabs>
        <w:jc w:val="center"/>
        <w:rPr>
          <w:rFonts w:ascii="Arial" w:hAnsi="Arial" w:cs="Arial"/>
        </w:rPr>
      </w:pPr>
    </w:p>
    <w:p w14:paraId="04C070BE" w14:textId="77777777" w:rsidR="00E12118" w:rsidRPr="00B81BBB" w:rsidRDefault="00E12118" w:rsidP="00F86017">
      <w:pPr>
        <w:tabs>
          <w:tab w:val="left" w:pos="1440"/>
          <w:tab w:val="left" w:pos="3060"/>
        </w:tabs>
        <w:jc w:val="center"/>
        <w:rPr>
          <w:rFonts w:ascii="Arial" w:hAnsi="Arial" w:cs="Arial"/>
        </w:rPr>
      </w:pPr>
    </w:p>
    <w:p w14:paraId="65B1C99E" w14:textId="77777777" w:rsidR="00E12118" w:rsidRPr="00B81BBB" w:rsidRDefault="00E12118" w:rsidP="00F86017">
      <w:pPr>
        <w:tabs>
          <w:tab w:val="left" w:pos="1440"/>
          <w:tab w:val="left" w:pos="3060"/>
        </w:tabs>
        <w:jc w:val="center"/>
        <w:rPr>
          <w:rFonts w:ascii="Arial" w:hAnsi="Arial" w:cs="Arial"/>
        </w:rPr>
      </w:pPr>
    </w:p>
    <w:p w14:paraId="70908CC2" w14:textId="77777777" w:rsidR="00E12118" w:rsidRPr="00B81BBB" w:rsidRDefault="00E12118" w:rsidP="00F86017">
      <w:pPr>
        <w:tabs>
          <w:tab w:val="left" w:pos="1440"/>
          <w:tab w:val="left" w:pos="3060"/>
        </w:tabs>
        <w:jc w:val="center"/>
        <w:rPr>
          <w:rFonts w:ascii="Arial" w:hAnsi="Arial" w:cs="Arial"/>
        </w:rPr>
      </w:pPr>
    </w:p>
    <w:p w14:paraId="7474F0ED" w14:textId="77777777" w:rsidR="00E12118" w:rsidRPr="00B81BBB" w:rsidRDefault="00E12118" w:rsidP="00F86017">
      <w:pPr>
        <w:tabs>
          <w:tab w:val="left" w:pos="1440"/>
          <w:tab w:val="left" w:pos="3060"/>
        </w:tabs>
        <w:jc w:val="center"/>
        <w:rPr>
          <w:rFonts w:ascii="Arial" w:hAnsi="Arial" w:cs="Arial"/>
        </w:rPr>
      </w:pPr>
    </w:p>
    <w:p w14:paraId="454B9714" w14:textId="77777777" w:rsidR="00E12118" w:rsidRPr="00B81BBB" w:rsidRDefault="00E12118" w:rsidP="00F86017">
      <w:pPr>
        <w:tabs>
          <w:tab w:val="left" w:pos="1440"/>
          <w:tab w:val="left" w:pos="3060"/>
        </w:tabs>
        <w:jc w:val="center"/>
        <w:rPr>
          <w:rFonts w:ascii="Arial" w:hAnsi="Arial" w:cs="Arial"/>
        </w:rPr>
      </w:pPr>
    </w:p>
    <w:p w14:paraId="7FEFB227" w14:textId="77777777" w:rsidR="00E12118" w:rsidRPr="00B81BBB" w:rsidRDefault="00E12118" w:rsidP="00F86017">
      <w:pPr>
        <w:tabs>
          <w:tab w:val="left" w:pos="1440"/>
          <w:tab w:val="left" w:pos="3060"/>
        </w:tabs>
        <w:jc w:val="center"/>
        <w:rPr>
          <w:rFonts w:ascii="Arial" w:hAnsi="Arial" w:cs="Arial"/>
        </w:rPr>
      </w:pPr>
    </w:p>
    <w:p w14:paraId="299284D8" w14:textId="77777777" w:rsidR="00E12118" w:rsidRPr="00B81BBB" w:rsidRDefault="00E12118" w:rsidP="00F86017">
      <w:pPr>
        <w:tabs>
          <w:tab w:val="left" w:pos="1440"/>
          <w:tab w:val="left" w:pos="3060"/>
        </w:tabs>
        <w:jc w:val="center"/>
        <w:rPr>
          <w:rFonts w:ascii="Arial" w:hAnsi="Arial" w:cs="Arial"/>
        </w:rPr>
      </w:pPr>
    </w:p>
    <w:p w14:paraId="74FF23EA" w14:textId="77777777" w:rsidR="00E12118" w:rsidRPr="00B81BBB" w:rsidRDefault="00E12118" w:rsidP="00F86017">
      <w:pPr>
        <w:tabs>
          <w:tab w:val="left" w:pos="1440"/>
          <w:tab w:val="left" w:pos="3060"/>
        </w:tabs>
        <w:jc w:val="center"/>
        <w:rPr>
          <w:rFonts w:ascii="Arial" w:hAnsi="Arial" w:cs="Arial"/>
        </w:rPr>
      </w:pPr>
    </w:p>
    <w:p w14:paraId="7B11B2DA" w14:textId="77777777" w:rsidR="00E12118" w:rsidRPr="00B81BBB" w:rsidRDefault="00E12118" w:rsidP="00F86017">
      <w:pPr>
        <w:tabs>
          <w:tab w:val="left" w:pos="1440"/>
          <w:tab w:val="left" w:pos="3060"/>
        </w:tabs>
        <w:jc w:val="center"/>
        <w:rPr>
          <w:rFonts w:ascii="Arial" w:hAnsi="Arial" w:cs="Arial"/>
        </w:rPr>
      </w:pPr>
    </w:p>
    <w:p w14:paraId="7107564B" w14:textId="77777777" w:rsidR="00E12118" w:rsidRPr="00B81BBB" w:rsidRDefault="00E12118" w:rsidP="00F86017">
      <w:pPr>
        <w:tabs>
          <w:tab w:val="left" w:pos="1440"/>
          <w:tab w:val="left" w:pos="3060"/>
        </w:tabs>
        <w:jc w:val="center"/>
        <w:rPr>
          <w:rFonts w:ascii="Arial" w:hAnsi="Arial" w:cs="Arial"/>
        </w:rPr>
      </w:pPr>
    </w:p>
    <w:p w14:paraId="41867A40" w14:textId="77777777" w:rsidR="00E12118" w:rsidRPr="00B81BBB" w:rsidRDefault="00E12118" w:rsidP="00F86017">
      <w:pPr>
        <w:tabs>
          <w:tab w:val="left" w:pos="1440"/>
          <w:tab w:val="left" w:pos="3060"/>
        </w:tabs>
        <w:jc w:val="center"/>
        <w:rPr>
          <w:rFonts w:ascii="Arial" w:hAnsi="Arial" w:cs="Arial"/>
        </w:rPr>
      </w:pPr>
    </w:p>
    <w:p w14:paraId="5F0CBE97" w14:textId="6049F24B" w:rsidR="00E12118" w:rsidRPr="00B81BBB" w:rsidRDefault="00A2074F" w:rsidP="00F86017">
      <w:pPr>
        <w:tabs>
          <w:tab w:val="left" w:pos="1440"/>
          <w:tab w:val="left" w:pos="3060"/>
        </w:tabs>
        <w:jc w:val="center"/>
        <w:rPr>
          <w:rFonts w:ascii="Arial" w:hAnsi="Arial" w:cs="Arial"/>
          <w:smallCaps/>
          <w:sz w:val="32"/>
          <w:szCs w:val="32"/>
        </w:rPr>
      </w:pPr>
      <w:r>
        <w:rPr>
          <w:rFonts w:ascii="Arial" w:hAnsi="Arial" w:cs="Arial"/>
          <w:b/>
          <w:smallCaps/>
          <w:sz w:val="32"/>
          <w:szCs w:val="32"/>
        </w:rPr>
        <w:t>Suriname</w:t>
      </w:r>
    </w:p>
    <w:p w14:paraId="06F8A2CA" w14:textId="77777777" w:rsidR="00E12118" w:rsidRPr="00B81BBB" w:rsidRDefault="00E12118" w:rsidP="00F86017">
      <w:pPr>
        <w:tabs>
          <w:tab w:val="left" w:pos="1440"/>
          <w:tab w:val="left" w:pos="3060"/>
        </w:tabs>
        <w:jc w:val="center"/>
        <w:rPr>
          <w:rFonts w:ascii="Arial" w:hAnsi="Arial" w:cs="Arial"/>
          <w:smallCaps/>
        </w:rPr>
      </w:pPr>
    </w:p>
    <w:p w14:paraId="0B89E37F" w14:textId="77777777" w:rsidR="00E12118" w:rsidRPr="00B81BBB" w:rsidRDefault="00E12118" w:rsidP="00F86017">
      <w:pPr>
        <w:tabs>
          <w:tab w:val="left" w:pos="1440"/>
          <w:tab w:val="left" w:pos="3060"/>
        </w:tabs>
        <w:jc w:val="center"/>
        <w:rPr>
          <w:rFonts w:ascii="Arial" w:hAnsi="Arial" w:cs="Arial"/>
          <w:smallCaps/>
        </w:rPr>
      </w:pPr>
    </w:p>
    <w:p w14:paraId="43E936E2" w14:textId="77777777" w:rsidR="00E12118" w:rsidRPr="00B81BBB" w:rsidRDefault="00E12118" w:rsidP="00F86017">
      <w:pPr>
        <w:tabs>
          <w:tab w:val="left" w:pos="1440"/>
          <w:tab w:val="left" w:pos="3060"/>
        </w:tabs>
        <w:jc w:val="center"/>
        <w:rPr>
          <w:rFonts w:ascii="Arial" w:hAnsi="Arial" w:cs="Arial"/>
          <w:smallCaps/>
        </w:rPr>
      </w:pPr>
    </w:p>
    <w:p w14:paraId="64EB5B55" w14:textId="77777777" w:rsidR="00E12118" w:rsidRPr="00B81BBB" w:rsidRDefault="00E12118" w:rsidP="00F86017">
      <w:pPr>
        <w:tabs>
          <w:tab w:val="left" w:pos="1440"/>
          <w:tab w:val="left" w:pos="3060"/>
        </w:tabs>
        <w:jc w:val="center"/>
        <w:rPr>
          <w:rFonts w:ascii="Arial" w:hAnsi="Arial" w:cs="Arial"/>
          <w:smallCaps/>
        </w:rPr>
      </w:pPr>
    </w:p>
    <w:p w14:paraId="46471C46" w14:textId="3F395E6F" w:rsidR="00B71227" w:rsidRPr="00994119" w:rsidRDefault="00B71227" w:rsidP="00B71227">
      <w:pPr>
        <w:tabs>
          <w:tab w:val="left" w:pos="1440"/>
          <w:tab w:val="left" w:pos="3060"/>
        </w:tabs>
        <w:jc w:val="center"/>
        <w:rPr>
          <w:rFonts w:ascii="Arial" w:hAnsi="Arial" w:cs="Arial"/>
          <w:b/>
          <w:smallCaps/>
          <w:sz w:val="28"/>
          <w:szCs w:val="28"/>
        </w:rPr>
      </w:pPr>
      <w:r>
        <w:rPr>
          <w:rFonts w:ascii="Arial" w:hAnsi="Arial" w:cs="Arial"/>
          <w:b/>
          <w:smallCaps/>
          <w:sz w:val="28"/>
          <w:szCs w:val="28"/>
        </w:rPr>
        <w:t>C</w:t>
      </w:r>
      <w:r w:rsidRPr="00994119">
        <w:rPr>
          <w:rFonts w:ascii="Arial" w:hAnsi="Arial" w:cs="Arial"/>
          <w:b/>
          <w:smallCaps/>
          <w:sz w:val="28"/>
          <w:szCs w:val="28"/>
        </w:rPr>
        <w:t>ontingent Loan for Natural Disaster Emergenc</w:t>
      </w:r>
      <w:r>
        <w:rPr>
          <w:rFonts w:ascii="Arial" w:hAnsi="Arial" w:cs="Arial"/>
          <w:b/>
          <w:smallCaps/>
          <w:sz w:val="28"/>
          <w:szCs w:val="28"/>
        </w:rPr>
        <w:t>ies</w:t>
      </w:r>
      <w:r w:rsidRPr="00994119">
        <w:rPr>
          <w:rFonts w:ascii="Arial" w:hAnsi="Arial" w:cs="Arial"/>
          <w:b/>
          <w:smallCaps/>
          <w:sz w:val="28"/>
          <w:szCs w:val="28"/>
        </w:rPr>
        <w:t xml:space="preserve"> </w:t>
      </w:r>
    </w:p>
    <w:p w14:paraId="311475EF" w14:textId="77777777" w:rsidR="00B71227" w:rsidRPr="00994119" w:rsidRDefault="00B71227" w:rsidP="00B71227">
      <w:pPr>
        <w:tabs>
          <w:tab w:val="left" w:pos="1440"/>
          <w:tab w:val="left" w:pos="3060"/>
        </w:tabs>
        <w:jc w:val="center"/>
        <w:rPr>
          <w:rFonts w:ascii="Arial" w:hAnsi="Arial" w:cs="Arial"/>
          <w:b/>
          <w:smallCaps/>
          <w:sz w:val="28"/>
          <w:szCs w:val="28"/>
        </w:rPr>
      </w:pPr>
    </w:p>
    <w:p w14:paraId="78FD16C1" w14:textId="2C73FA54" w:rsidR="00B71227" w:rsidRPr="007C2067" w:rsidRDefault="00032B73" w:rsidP="00B71227">
      <w:pPr>
        <w:tabs>
          <w:tab w:val="left" w:pos="1440"/>
          <w:tab w:val="left" w:pos="3060"/>
        </w:tabs>
        <w:jc w:val="center"/>
        <w:rPr>
          <w:rFonts w:ascii="Arial" w:hAnsi="Arial" w:cs="Arial"/>
          <w:b/>
          <w:smallCaps/>
          <w:sz w:val="28"/>
          <w:szCs w:val="28"/>
        </w:rPr>
      </w:pPr>
      <w:r w:rsidRPr="007C2067">
        <w:rPr>
          <w:rFonts w:ascii="Arial" w:hAnsi="Arial" w:cs="Arial"/>
          <w:b/>
          <w:smallCaps/>
          <w:sz w:val="28"/>
          <w:szCs w:val="28"/>
        </w:rPr>
        <w:t>Modification</w:t>
      </w:r>
      <w:r>
        <w:rPr>
          <w:rFonts w:ascii="Arial" w:hAnsi="Arial" w:cs="Arial"/>
          <w:b/>
          <w:smallCaps/>
          <w:sz w:val="28"/>
          <w:szCs w:val="28"/>
        </w:rPr>
        <w:t xml:space="preserve"> to</w:t>
      </w:r>
      <w:r w:rsidRPr="007C2067">
        <w:rPr>
          <w:rFonts w:ascii="Arial" w:hAnsi="Arial" w:cs="Arial"/>
          <w:b/>
          <w:smallCaps/>
          <w:sz w:val="28"/>
          <w:szCs w:val="28"/>
        </w:rPr>
        <w:t xml:space="preserve"> </w:t>
      </w:r>
      <w:r w:rsidR="00ED3F68" w:rsidRPr="007C2067">
        <w:rPr>
          <w:rFonts w:ascii="Arial" w:hAnsi="Arial" w:cs="Arial"/>
          <w:b/>
          <w:smallCaps/>
          <w:sz w:val="28"/>
          <w:szCs w:val="28"/>
        </w:rPr>
        <w:t xml:space="preserve">Loan </w:t>
      </w:r>
      <w:r w:rsidR="00ED3F68">
        <w:rPr>
          <w:rFonts w:ascii="Arial" w:hAnsi="Arial" w:cs="Arial"/>
          <w:b/>
          <w:smallCaps/>
          <w:sz w:val="28"/>
          <w:szCs w:val="28"/>
        </w:rPr>
        <w:t>Contract SU-O0005</w:t>
      </w:r>
      <w:r w:rsidR="00ED3F68" w:rsidRPr="007C2067">
        <w:rPr>
          <w:rFonts w:ascii="Arial" w:hAnsi="Arial" w:cs="Arial"/>
          <w:b/>
          <w:smallCaps/>
          <w:sz w:val="28"/>
          <w:szCs w:val="28"/>
        </w:rPr>
        <w:t xml:space="preserve"> to Include th</w:t>
      </w:r>
      <w:r w:rsidR="00ED3F68">
        <w:rPr>
          <w:rFonts w:ascii="Arial" w:hAnsi="Arial" w:cs="Arial"/>
          <w:b/>
          <w:smallCaps/>
          <w:sz w:val="28"/>
          <w:szCs w:val="28"/>
        </w:rPr>
        <w:t>e COVID</w:t>
      </w:r>
      <w:r>
        <w:rPr>
          <w:rFonts w:ascii="Arial" w:hAnsi="Arial" w:cs="Arial"/>
          <w:b/>
          <w:smallCaps/>
          <w:sz w:val="28"/>
          <w:szCs w:val="28"/>
        </w:rPr>
        <w:noBreakHyphen/>
      </w:r>
      <w:r w:rsidR="00ED3F68">
        <w:rPr>
          <w:rFonts w:ascii="Arial" w:hAnsi="Arial" w:cs="Arial"/>
          <w:b/>
          <w:smallCaps/>
          <w:sz w:val="28"/>
          <w:szCs w:val="28"/>
        </w:rPr>
        <w:t>19 Coverage</w:t>
      </w:r>
      <w:r w:rsidR="00B71227" w:rsidRPr="007C2067">
        <w:rPr>
          <w:rFonts w:ascii="Arial" w:hAnsi="Arial" w:cs="Arial"/>
          <w:b/>
          <w:smallCaps/>
          <w:sz w:val="28"/>
          <w:szCs w:val="28"/>
        </w:rPr>
        <w:br/>
      </w:r>
    </w:p>
    <w:p w14:paraId="28AABC3A" w14:textId="77777777" w:rsidR="002B489E" w:rsidRPr="00B81BBB" w:rsidRDefault="002B489E" w:rsidP="00F86017">
      <w:pPr>
        <w:tabs>
          <w:tab w:val="left" w:pos="1440"/>
          <w:tab w:val="left" w:pos="3060"/>
        </w:tabs>
        <w:jc w:val="center"/>
        <w:rPr>
          <w:rFonts w:ascii="Arial" w:hAnsi="Arial" w:cs="Arial"/>
          <w:snapToGrid w:val="0"/>
          <w:szCs w:val="24"/>
        </w:rPr>
      </w:pPr>
    </w:p>
    <w:p w14:paraId="3903BFE8" w14:textId="42F38390" w:rsidR="00E12118" w:rsidRPr="00A815EB" w:rsidRDefault="00E23CA7" w:rsidP="00F86017">
      <w:pPr>
        <w:tabs>
          <w:tab w:val="left" w:pos="1440"/>
          <w:tab w:val="left" w:pos="3060"/>
        </w:tabs>
        <w:jc w:val="center"/>
        <w:rPr>
          <w:rFonts w:ascii="Arial" w:hAnsi="Arial" w:cs="Arial"/>
          <w:b/>
          <w:smallCaps/>
          <w:sz w:val="22"/>
          <w:szCs w:val="22"/>
        </w:rPr>
      </w:pPr>
      <w:r w:rsidRPr="00A815EB">
        <w:rPr>
          <w:rFonts w:ascii="Arial" w:hAnsi="Arial" w:cs="Arial"/>
          <w:b/>
          <w:snapToGrid w:val="0"/>
          <w:sz w:val="22"/>
          <w:szCs w:val="22"/>
        </w:rPr>
        <w:t>(</w:t>
      </w:r>
      <w:r w:rsidR="00A2074F" w:rsidRPr="00A815EB">
        <w:rPr>
          <w:rFonts w:ascii="Arial" w:hAnsi="Arial" w:cs="Arial"/>
          <w:b/>
          <w:snapToGrid w:val="0"/>
          <w:sz w:val="22"/>
          <w:szCs w:val="22"/>
        </w:rPr>
        <w:t>SU</w:t>
      </w:r>
      <w:r w:rsidR="00A815EB">
        <w:rPr>
          <w:rFonts w:ascii="Arial" w:hAnsi="Arial" w:cs="Arial"/>
          <w:b/>
          <w:snapToGrid w:val="0"/>
          <w:sz w:val="22"/>
          <w:szCs w:val="22"/>
        </w:rPr>
        <w:t>-O0005</w:t>
      </w:r>
      <w:r w:rsidR="00E9725B" w:rsidRPr="00A815EB">
        <w:rPr>
          <w:rFonts w:ascii="Arial" w:hAnsi="Arial" w:cs="Arial"/>
          <w:b/>
          <w:snapToGrid w:val="0"/>
          <w:sz w:val="22"/>
          <w:szCs w:val="22"/>
        </w:rPr>
        <w:t>)</w:t>
      </w:r>
      <w:r w:rsidR="00E9725B" w:rsidRPr="00A815EB">
        <w:rPr>
          <w:rFonts w:ascii="Arial" w:hAnsi="Arial" w:cs="Arial"/>
          <w:b/>
          <w:smallCaps/>
          <w:sz w:val="22"/>
          <w:szCs w:val="22"/>
        </w:rPr>
        <w:t xml:space="preserve"> </w:t>
      </w:r>
    </w:p>
    <w:p w14:paraId="5FE60205" w14:textId="77777777" w:rsidR="00E12118" w:rsidRPr="00B81BBB" w:rsidRDefault="00E12118" w:rsidP="00F86017">
      <w:pPr>
        <w:tabs>
          <w:tab w:val="left" w:pos="1440"/>
          <w:tab w:val="left" w:pos="3060"/>
        </w:tabs>
        <w:jc w:val="center"/>
        <w:rPr>
          <w:rFonts w:ascii="Arial" w:hAnsi="Arial" w:cs="Arial"/>
          <w:b/>
          <w:smallCaps/>
        </w:rPr>
      </w:pPr>
    </w:p>
    <w:p w14:paraId="15E85262" w14:textId="77777777" w:rsidR="00E12118" w:rsidRPr="00B81BBB" w:rsidRDefault="00E12118" w:rsidP="00F86017">
      <w:pPr>
        <w:pStyle w:val="Newpage"/>
        <w:rPr>
          <w:rFonts w:ascii="Arial" w:hAnsi="Arial" w:cs="Arial"/>
        </w:rPr>
      </w:pPr>
    </w:p>
    <w:p w14:paraId="0CAD47E8" w14:textId="77777777" w:rsidR="00E12118" w:rsidRPr="00B81BBB" w:rsidRDefault="00E12118" w:rsidP="00F86017">
      <w:pPr>
        <w:tabs>
          <w:tab w:val="left" w:pos="1440"/>
          <w:tab w:val="left" w:pos="3060"/>
        </w:tabs>
        <w:jc w:val="center"/>
        <w:rPr>
          <w:rFonts w:ascii="Arial" w:hAnsi="Arial" w:cs="Arial"/>
          <w:smallCaps/>
        </w:rPr>
      </w:pPr>
    </w:p>
    <w:p w14:paraId="6EAC3BA3" w14:textId="77777777" w:rsidR="00E12118" w:rsidRPr="00B81BBB" w:rsidRDefault="00E12118" w:rsidP="00F86017">
      <w:pPr>
        <w:tabs>
          <w:tab w:val="left" w:pos="1440"/>
          <w:tab w:val="left" w:pos="3060"/>
        </w:tabs>
        <w:jc w:val="center"/>
        <w:rPr>
          <w:rFonts w:ascii="Arial" w:hAnsi="Arial" w:cs="Arial"/>
          <w:smallCaps/>
        </w:rPr>
      </w:pPr>
    </w:p>
    <w:p w14:paraId="6078CA6F" w14:textId="6907BCD9" w:rsidR="00E12118" w:rsidRPr="00B81BBB" w:rsidRDefault="003372D9" w:rsidP="00F86017">
      <w:pPr>
        <w:tabs>
          <w:tab w:val="left" w:pos="1440"/>
          <w:tab w:val="left" w:pos="3060"/>
        </w:tabs>
        <w:jc w:val="center"/>
        <w:outlineLvl w:val="0"/>
        <w:rPr>
          <w:rFonts w:ascii="Arial" w:hAnsi="Arial" w:cs="Arial"/>
          <w:b/>
          <w:smallCaps/>
          <w:szCs w:val="24"/>
        </w:rPr>
      </w:pPr>
      <w:r w:rsidRPr="00B81BBB">
        <w:rPr>
          <w:rFonts w:ascii="Arial" w:hAnsi="Arial" w:cs="Arial"/>
          <w:b/>
          <w:smallCaps/>
          <w:szCs w:val="24"/>
        </w:rPr>
        <w:t>Economic Analysis</w:t>
      </w:r>
    </w:p>
    <w:p w14:paraId="14FAE5A9" w14:textId="77777777" w:rsidR="00E12118" w:rsidRPr="00B81BBB" w:rsidRDefault="00E12118" w:rsidP="00F86017">
      <w:pPr>
        <w:tabs>
          <w:tab w:val="left" w:pos="1440"/>
          <w:tab w:val="left" w:pos="3060"/>
        </w:tabs>
        <w:jc w:val="center"/>
        <w:rPr>
          <w:rFonts w:ascii="Arial" w:hAnsi="Arial" w:cs="Arial"/>
        </w:rPr>
      </w:pPr>
    </w:p>
    <w:p w14:paraId="631E0633" w14:textId="0AED280E" w:rsidR="00B83051" w:rsidRPr="00F95536" w:rsidRDefault="00B83051" w:rsidP="00B83051">
      <w:pPr>
        <w:rPr>
          <w:rFonts w:ascii="Arial" w:hAnsi="Arial" w:cs="Arial"/>
          <w:szCs w:val="24"/>
        </w:rPr>
      </w:pPr>
      <w:bookmarkStart w:id="0" w:name="Contents"/>
    </w:p>
    <w:p w14:paraId="11E0BF8D" w14:textId="0443F3A3" w:rsidR="00B83051" w:rsidRPr="009B1FAF" w:rsidRDefault="00B83051" w:rsidP="00B83051">
      <w:pPr>
        <w:pBdr>
          <w:top w:val="single" w:sz="4" w:space="1" w:color="auto"/>
          <w:left w:val="single" w:sz="4" w:space="4" w:color="auto"/>
          <w:bottom w:val="single" w:sz="4" w:space="1" w:color="auto"/>
          <w:right w:val="single" w:sz="4" w:space="4" w:color="auto"/>
        </w:pBdr>
        <w:jc w:val="both"/>
        <w:rPr>
          <w:rFonts w:ascii="Arial" w:hAnsi="Arial" w:cs="Arial"/>
        </w:rPr>
      </w:pPr>
      <w:r w:rsidRPr="009B1FAF">
        <w:rPr>
          <w:rFonts w:ascii="Arial" w:hAnsi="Arial" w:cs="Arial"/>
        </w:rPr>
        <w:t xml:space="preserve">This document was prepared by the project team consisting </w:t>
      </w:r>
      <w:proofErr w:type="gramStart"/>
      <w:r w:rsidRPr="009B1FAF">
        <w:rPr>
          <w:rFonts w:ascii="Arial" w:hAnsi="Arial" w:cs="Arial"/>
        </w:rPr>
        <w:t>of:</w:t>
      </w:r>
      <w:proofErr w:type="gramEnd"/>
      <w:r w:rsidRPr="009B1FAF">
        <w:rPr>
          <w:rFonts w:ascii="Arial" w:hAnsi="Arial" w:cs="Arial"/>
        </w:rPr>
        <w:t xml:space="preserve"> </w:t>
      </w:r>
      <w:r w:rsidRPr="009B1FAF">
        <w:rPr>
          <w:rFonts w:ascii="Arial" w:eastAsia="Arial" w:hAnsi="Arial" w:cs="Arial"/>
        </w:rPr>
        <w:t xml:space="preserve">Fernando de Olloqui (IFD/CMF), Team Leader; </w:t>
      </w:r>
      <w:r w:rsidR="00A257BE">
        <w:rPr>
          <w:rFonts w:ascii="Arial" w:eastAsia="Arial" w:hAnsi="Arial" w:cs="Arial"/>
        </w:rPr>
        <w:t>Ian</w:t>
      </w:r>
      <w:r w:rsidR="001C6E9B">
        <w:rPr>
          <w:rFonts w:ascii="Arial" w:eastAsia="Arial" w:hAnsi="Arial" w:cs="Arial"/>
        </w:rPr>
        <w:t xml:space="preserve"> Ho-A-Shu</w:t>
      </w:r>
      <w:r w:rsidRPr="009B1FAF">
        <w:rPr>
          <w:rFonts w:ascii="Arial" w:eastAsia="Arial" w:hAnsi="Arial" w:cs="Arial"/>
        </w:rPr>
        <w:t xml:space="preserve"> (SCL/SPH), Alternate Team Leader; Hongrui Zhang</w:t>
      </w:r>
      <w:r>
        <w:rPr>
          <w:rFonts w:ascii="Arial" w:eastAsia="Arial" w:hAnsi="Arial" w:cs="Arial"/>
        </w:rPr>
        <w:t xml:space="preserve"> and Andrea Teran</w:t>
      </w:r>
      <w:r w:rsidRPr="009B1FAF">
        <w:rPr>
          <w:rFonts w:ascii="Arial" w:eastAsia="Arial" w:hAnsi="Arial" w:cs="Arial"/>
        </w:rPr>
        <w:t xml:space="preserve"> (IFD/CMF).</w:t>
      </w:r>
      <w:r w:rsidRPr="009B1FAF">
        <w:rPr>
          <w:rFonts w:ascii="Arial" w:hAnsi="Arial" w:cs="Arial"/>
        </w:rPr>
        <w:t xml:space="preserve"> </w:t>
      </w:r>
    </w:p>
    <w:p w14:paraId="790F82E8" w14:textId="762142B6" w:rsidR="00B83051" w:rsidRDefault="00B83051">
      <w:pPr>
        <w:rPr>
          <w:rFonts w:ascii="Arial" w:hAnsi="Arial" w:cs="Arial"/>
          <w:b/>
          <w:smallCaps/>
        </w:rPr>
      </w:pPr>
    </w:p>
    <w:p w14:paraId="25CE9B3E" w14:textId="77777777" w:rsidR="00B83051" w:rsidRDefault="00B83051">
      <w:pPr>
        <w:rPr>
          <w:rFonts w:ascii="Arial" w:hAnsi="Arial" w:cs="Arial"/>
          <w:b/>
          <w:smallCaps/>
        </w:rPr>
      </w:pPr>
      <w:r>
        <w:rPr>
          <w:rFonts w:ascii="Arial" w:hAnsi="Arial" w:cs="Arial"/>
        </w:rPr>
        <w:br w:type="page"/>
      </w:r>
    </w:p>
    <w:p w14:paraId="6A8DF386" w14:textId="47265D1A" w:rsidR="00E12118" w:rsidRPr="00B81BBB" w:rsidRDefault="0045688F" w:rsidP="00F86017">
      <w:pPr>
        <w:pStyle w:val="Newpage"/>
        <w:rPr>
          <w:rFonts w:ascii="Arial" w:hAnsi="Arial" w:cs="Arial"/>
        </w:rPr>
      </w:pPr>
      <w:r w:rsidRPr="00B81BBB">
        <w:rPr>
          <w:rFonts w:ascii="Arial" w:hAnsi="Arial" w:cs="Arial"/>
        </w:rPr>
        <w:lastRenderedPageBreak/>
        <w:t>Contents</w:t>
      </w:r>
    </w:p>
    <w:bookmarkEnd w:id="0"/>
    <w:p w14:paraId="62C45EE1" w14:textId="77777777" w:rsidR="008E629C" w:rsidRPr="00B81BBB" w:rsidRDefault="008E629C" w:rsidP="00F86017">
      <w:pPr>
        <w:pStyle w:val="Newpage"/>
        <w:rPr>
          <w:rFonts w:ascii="Arial" w:hAnsi="Arial" w:cs="Arial"/>
        </w:rPr>
      </w:pPr>
    </w:p>
    <w:p w14:paraId="53B8CE9B" w14:textId="73DAE127" w:rsidR="00D97685" w:rsidRPr="00B81BBB" w:rsidRDefault="00D97685" w:rsidP="00D97685"/>
    <w:p w14:paraId="2EFC94FF" w14:textId="77777777" w:rsidR="00D97685" w:rsidRPr="00B81BBB" w:rsidRDefault="00D97685" w:rsidP="00D97685"/>
    <w:p w14:paraId="6C0CCC0B" w14:textId="41909E48" w:rsidR="00D97685" w:rsidRPr="00B81BBB" w:rsidRDefault="00D97685" w:rsidP="0045688F">
      <w:pPr>
        <w:pStyle w:val="TOC1"/>
        <w:rPr>
          <w:rFonts w:asciiTheme="minorHAnsi" w:eastAsiaTheme="minorEastAsia" w:hAnsiTheme="minorHAnsi" w:cstheme="minorBidi"/>
          <w:szCs w:val="22"/>
        </w:rPr>
      </w:pPr>
      <w:r w:rsidRPr="00B81BBB">
        <w:fldChar w:fldCharType="begin"/>
      </w:r>
      <w:r w:rsidRPr="00B81BBB">
        <w:instrText xml:space="preserve"> TOC \f \t "Chapter,1,FirstHeading,2,SecHeading,3" </w:instrText>
      </w:r>
      <w:r w:rsidRPr="00B81BBB">
        <w:fldChar w:fldCharType="separate"/>
      </w:r>
      <w:r w:rsidRPr="00B81BBB">
        <w:t>I.</w:t>
      </w:r>
      <w:r w:rsidRPr="00B81BBB">
        <w:rPr>
          <w:rFonts w:asciiTheme="minorHAnsi" w:eastAsiaTheme="minorEastAsia" w:hAnsiTheme="minorHAnsi" w:cstheme="minorBidi"/>
          <w:szCs w:val="22"/>
        </w:rPr>
        <w:tab/>
      </w:r>
      <w:r w:rsidRPr="00B81BBB">
        <w:t>Introduction</w:t>
      </w:r>
      <w:r w:rsidRPr="00B81BBB">
        <w:tab/>
      </w:r>
      <w:r w:rsidRPr="00B81BBB">
        <w:fldChar w:fldCharType="begin"/>
      </w:r>
      <w:r w:rsidRPr="00B81BBB">
        <w:instrText xml:space="preserve"> PAGEREF _Toc510433072 \h </w:instrText>
      </w:r>
      <w:r w:rsidRPr="00B81BBB">
        <w:fldChar w:fldCharType="separate"/>
      </w:r>
      <w:r w:rsidR="001012DF">
        <w:t>1</w:t>
      </w:r>
      <w:r w:rsidRPr="00B81BBB">
        <w:fldChar w:fldCharType="end"/>
      </w:r>
    </w:p>
    <w:p w14:paraId="41FCA13B" w14:textId="15D43152" w:rsidR="00D97685" w:rsidRPr="00B81BBB" w:rsidRDefault="00D97685" w:rsidP="0045688F">
      <w:pPr>
        <w:pStyle w:val="TOC1"/>
        <w:rPr>
          <w:rFonts w:asciiTheme="minorHAnsi" w:eastAsiaTheme="minorEastAsia" w:hAnsiTheme="minorHAnsi" w:cstheme="minorBidi"/>
          <w:szCs w:val="22"/>
        </w:rPr>
      </w:pPr>
      <w:r w:rsidRPr="00B81BBB">
        <w:t>II.</w:t>
      </w:r>
      <w:r w:rsidRPr="00B81BBB">
        <w:rPr>
          <w:rFonts w:asciiTheme="minorHAnsi" w:eastAsiaTheme="minorEastAsia" w:hAnsiTheme="minorHAnsi" w:cstheme="minorBidi"/>
          <w:szCs w:val="22"/>
        </w:rPr>
        <w:tab/>
      </w:r>
      <w:r w:rsidRPr="00B81BBB">
        <w:t>Objectives, Assumptions and Alternatives</w:t>
      </w:r>
      <w:r w:rsidRPr="00B81BBB">
        <w:tab/>
      </w:r>
      <w:r w:rsidRPr="00B81BBB">
        <w:fldChar w:fldCharType="begin"/>
      </w:r>
      <w:r w:rsidRPr="00B81BBB">
        <w:instrText xml:space="preserve"> PAGEREF _Toc510433073 \h </w:instrText>
      </w:r>
      <w:r w:rsidRPr="00B81BBB">
        <w:fldChar w:fldCharType="separate"/>
      </w:r>
      <w:r w:rsidR="001012DF">
        <w:t>3</w:t>
      </w:r>
      <w:r w:rsidRPr="00B81BBB">
        <w:fldChar w:fldCharType="end"/>
      </w:r>
    </w:p>
    <w:p w14:paraId="13C2292E" w14:textId="0554EF4C" w:rsidR="00D97685" w:rsidRPr="00B81BBB" w:rsidRDefault="00D97685" w:rsidP="0045688F">
      <w:pPr>
        <w:pStyle w:val="TOC1"/>
        <w:rPr>
          <w:rFonts w:asciiTheme="minorHAnsi" w:eastAsiaTheme="minorEastAsia" w:hAnsiTheme="minorHAnsi" w:cstheme="minorBidi"/>
          <w:szCs w:val="22"/>
        </w:rPr>
      </w:pPr>
      <w:r w:rsidRPr="00B81BBB">
        <w:t>III.</w:t>
      </w:r>
      <w:r w:rsidRPr="00B81BBB">
        <w:rPr>
          <w:rFonts w:asciiTheme="minorHAnsi" w:eastAsiaTheme="minorEastAsia" w:hAnsiTheme="minorHAnsi" w:cstheme="minorBidi"/>
          <w:szCs w:val="22"/>
        </w:rPr>
        <w:tab/>
      </w:r>
      <w:r w:rsidRPr="00B81BBB">
        <w:t>Economic Costs and Measurement of Effectiveness in terms of Cost</w:t>
      </w:r>
      <w:r w:rsidRPr="00B81BBB">
        <w:tab/>
      </w:r>
      <w:r w:rsidRPr="00B81BBB">
        <w:fldChar w:fldCharType="begin"/>
      </w:r>
      <w:r w:rsidRPr="00B81BBB">
        <w:instrText xml:space="preserve"> PAGEREF _Toc510433074 \h </w:instrText>
      </w:r>
      <w:r w:rsidRPr="00B81BBB">
        <w:fldChar w:fldCharType="separate"/>
      </w:r>
      <w:r w:rsidR="001012DF">
        <w:t>4</w:t>
      </w:r>
      <w:r w:rsidRPr="00B81BBB">
        <w:fldChar w:fldCharType="end"/>
      </w:r>
    </w:p>
    <w:p w14:paraId="1AB28DE6" w14:textId="3E1D5FFB" w:rsidR="00D97685" w:rsidRPr="00B81BBB" w:rsidRDefault="00D97685" w:rsidP="0045688F">
      <w:pPr>
        <w:pStyle w:val="TOC1"/>
        <w:rPr>
          <w:rFonts w:asciiTheme="minorHAnsi" w:eastAsiaTheme="minorEastAsia" w:hAnsiTheme="minorHAnsi" w:cstheme="minorBidi"/>
          <w:szCs w:val="22"/>
        </w:rPr>
      </w:pPr>
      <w:r w:rsidRPr="00B81BBB">
        <w:t>IV.</w:t>
      </w:r>
      <w:r w:rsidRPr="00B81BBB">
        <w:rPr>
          <w:rFonts w:asciiTheme="minorHAnsi" w:eastAsiaTheme="minorEastAsia" w:hAnsiTheme="minorHAnsi" w:cstheme="minorBidi"/>
          <w:szCs w:val="22"/>
        </w:rPr>
        <w:tab/>
      </w:r>
      <w:r w:rsidRPr="00B81BBB">
        <w:t>Availability of Resources</w:t>
      </w:r>
      <w:r w:rsidRPr="00B81BBB">
        <w:tab/>
      </w:r>
      <w:r w:rsidRPr="00B81BBB">
        <w:fldChar w:fldCharType="begin"/>
      </w:r>
      <w:r w:rsidRPr="00B81BBB">
        <w:instrText xml:space="preserve"> PAGEREF _Toc510433075 \h </w:instrText>
      </w:r>
      <w:r w:rsidRPr="00B81BBB">
        <w:fldChar w:fldCharType="separate"/>
      </w:r>
      <w:r w:rsidR="001012DF">
        <w:t>5</w:t>
      </w:r>
      <w:r w:rsidRPr="00B81BBB">
        <w:fldChar w:fldCharType="end"/>
      </w:r>
    </w:p>
    <w:p w14:paraId="4EFA6F45" w14:textId="4D59BFB5" w:rsidR="00D97685" w:rsidRPr="00B81BBB" w:rsidRDefault="00D97685" w:rsidP="0045688F">
      <w:pPr>
        <w:pStyle w:val="TOC1"/>
        <w:rPr>
          <w:rFonts w:asciiTheme="minorHAnsi" w:eastAsiaTheme="minorEastAsia" w:hAnsiTheme="minorHAnsi" w:cstheme="minorBidi"/>
          <w:szCs w:val="22"/>
        </w:rPr>
      </w:pPr>
      <w:r w:rsidRPr="00B81BBB">
        <w:t>V.</w:t>
      </w:r>
      <w:r w:rsidRPr="00B81BBB">
        <w:rPr>
          <w:rFonts w:asciiTheme="minorHAnsi" w:eastAsiaTheme="minorEastAsia" w:hAnsiTheme="minorHAnsi" w:cstheme="minorBidi"/>
          <w:szCs w:val="22"/>
        </w:rPr>
        <w:tab/>
      </w:r>
      <w:r w:rsidRPr="00B81BBB">
        <w:t>Financial Cost</w:t>
      </w:r>
      <w:r w:rsidRPr="00B81BBB">
        <w:tab/>
      </w:r>
      <w:r w:rsidRPr="00B81BBB">
        <w:fldChar w:fldCharType="begin"/>
      </w:r>
      <w:r w:rsidRPr="00B81BBB">
        <w:instrText xml:space="preserve"> PAGEREF _Toc510433076 \h </w:instrText>
      </w:r>
      <w:r w:rsidRPr="00B81BBB">
        <w:fldChar w:fldCharType="separate"/>
      </w:r>
      <w:r w:rsidR="001012DF">
        <w:t>5</w:t>
      </w:r>
      <w:r w:rsidRPr="00B81BBB">
        <w:fldChar w:fldCharType="end"/>
      </w:r>
    </w:p>
    <w:p w14:paraId="788B852D" w14:textId="66EADB73" w:rsidR="00D97685" w:rsidRPr="00B81BBB" w:rsidRDefault="00D97685" w:rsidP="0045688F">
      <w:pPr>
        <w:pStyle w:val="TOC1"/>
        <w:rPr>
          <w:rFonts w:asciiTheme="minorHAnsi" w:eastAsiaTheme="minorEastAsia" w:hAnsiTheme="minorHAnsi" w:cstheme="minorBidi"/>
          <w:szCs w:val="22"/>
        </w:rPr>
      </w:pPr>
      <w:r w:rsidRPr="00B81BBB">
        <w:t>VI.</w:t>
      </w:r>
      <w:r w:rsidRPr="00B81BBB">
        <w:rPr>
          <w:rFonts w:asciiTheme="minorHAnsi" w:eastAsiaTheme="minorEastAsia" w:hAnsiTheme="minorHAnsi" w:cstheme="minorBidi"/>
          <w:szCs w:val="22"/>
        </w:rPr>
        <w:tab/>
      </w:r>
      <w:r w:rsidRPr="00B81BBB">
        <w:t>Indicators</w:t>
      </w:r>
      <w:r w:rsidRPr="00B81BBB">
        <w:tab/>
      </w:r>
      <w:r w:rsidRPr="00B81BBB">
        <w:fldChar w:fldCharType="begin"/>
      </w:r>
      <w:r w:rsidRPr="00B81BBB">
        <w:instrText xml:space="preserve"> PAGEREF _Toc510433077 \h </w:instrText>
      </w:r>
      <w:r w:rsidRPr="00B81BBB">
        <w:fldChar w:fldCharType="separate"/>
      </w:r>
      <w:r w:rsidR="001012DF">
        <w:t>6</w:t>
      </w:r>
      <w:r w:rsidRPr="00B81BBB">
        <w:fldChar w:fldCharType="end"/>
      </w:r>
    </w:p>
    <w:p w14:paraId="1B810AC2" w14:textId="041CA960" w:rsidR="00D97685" w:rsidRPr="00B81BBB" w:rsidRDefault="00D97685" w:rsidP="0045688F">
      <w:pPr>
        <w:pStyle w:val="TOC1"/>
        <w:rPr>
          <w:rFonts w:asciiTheme="minorHAnsi" w:eastAsiaTheme="minorEastAsia" w:hAnsiTheme="minorHAnsi" w:cstheme="minorBidi"/>
          <w:szCs w:val="22"/>
        </w:rPr>
      </w:pPr>
      <w:r w:rsidRPr="00B81BBB">
        <w:t>VII.</w:t>
      </w:r>
      <w:r w:rsidRPr="00B81BBB">
        <w:rPr>
          <w:rFonts w:asciiTheme="minorHAnsi" w:eastAsiaTheme="minorEastAsia" w:hAnsiTheme="minorHAnsi" w:cstheme="minorBidi"/>
          <w:szCs w:val="22"/>
        </w:rPr>
        <w:tab/>
      </w:r>
      <w:r w:rsidRPr="00B81BBB">
        <w:t>Cost-Effectiveness Analysis</w:t>
      </w:r>
      <w:r w:rsidRPr="00B81BBB">
        <w:tab/>
      </w:r>
      <w:r w:rsidRPr="00B81BBB">
        <w:fldChar w:fldCharType="begin"/>
      </w:r>
      <w:r w:rsidRPr="00B81BBB">
        <w:instrText xml:space="preserve"> PAGEREF _Toc510433078 \h </w:instrText>
      </w:r>
      <w:r w:rsidRPr="00B81BBB">
        <w:fldChar w:fldCharType="separate"/>
      </w:r>
      <w:r w:rsidR="001012DF">
        <w:t>6</w:t>
      </w:r>
      <w:r w:rsidRPr="00B81BBB">
        <w:fldChar w:fldCharType="end"/>
      </w:r>
    </w:p>
    <w:p w14:paraId="40866E3F" w14:textId="731661E4" w:rsidR="00D97685" w:rsidRPr="00B81BBB" w:rsidRDefault="00D97685" w:rsidP="0045688F">
      <w:pPr>
        <w:pStyle w:val="TOC1"/>
        <w:rPr>
          <w:rFonts w:asciiTheme="minorHAnsi" w:eastAsiaTheme="minorEastAsia" w:hAnsiTheme="minorHAnsi" w:cstheme="minorBidi"/>
          <w:szCs w:val="22"/>
        </w:rPr>
      </w:pPr>
      <w:r w:rsidRPr="00B81BBB">
        <w:t>VIII.</w:t>
      </w:r>
      <w:r w:rsidRPr="00B81BBB">
        <w:rPr>
          <w:rFonts w:asciiTheme="minorHAnsi" w:eastAsiaTheme="minorEastAsia" w:hAnsiTheme="minorHAnsi" w:cstheme="minorBidi"/>
          <w:szCs w:val="22"/>
        </w:rPr>
        <w:tab/>
      </w:r>
      <w:r w:rsidRPr="00B81BBB">
        <w:t>Sensibility Analysis</w:t>
      </w:r>
      <w:r w:rsidRPr="00B81BBB">
        <w:tab/>
      </w:r>
      <w:r w:rsidRPr="00B81BBB">
        <w:fldChar w:fldCharType="begin"/>
      </w:r>
      <w:r w:rsidRPr="00B81BBB">
        <w:instrText xml:space="preserve"> PAGEREF _Toc510433079 \h </w:instrText>
      </w:r>
      <w:r w:rsidRPr="00B81BBB">
        <w:fldChar w:fldCharType="separate"/>
      </w:r>
      <w:r w:rsidR="001012DF">
        <w:t>7</w:t>
      </w:r>
      <w:r w:rsidRPr="00B81BBB">
        <w:fldChar w:fldCharType="end"/>
      </w:r>
    </w:p>
    <w:p w14:paraId="00404274" w14:textId="3B4EFD69" w:rsidR="00D97685" w:rsidRPr="00B81BBB" w:rsidRDefault="00D97685" w:rsidP="0045688F">
      <w:pPr>
        <w:pStyle w:val="TOC1"/>
        <w:rPr>
          <w:rFonts w:asciiTheme="minorHAnsi" w:eastAsiaTheme="minorEastAsia" w:hAnsiTheme="minorHAnsi" w:cstheme="minorBidi"/>
          <w:szCs w:val="22"/>
        </w:rPr>
      </w:pPr>
      <w:r w:rsidRPr="00B81BBB">
        <w:t>IX.</w:t>
      </w:r>
      <w:r w:rsidRPr="00B81BBB">
        <w:rPr>
          <w:rFonts w:asciiTheme="minorHAnsi" w:eastAsiaTheme="minorEastAsia" w:hAnsiTheme="minorHAnsi" w:cstheme="minorBidi"/>
          <w:szCs w:val="22"/>
        </w:rPr>
        <w:tab/>
      </w:r>
      <w:r w:rsidRPr="00B81BBB">
        <w:t>Conclusions</w:t>
      </w:r>
      <w:r w:rsidRPr="00B81BBB">
        <w:tab/>
      </w:r>
      <w:r w:rsidRPr="00B81BBB">
        <w:fldChar w:fldCharType="begin"/>
      </w:r>
      <w:r w:rsidRPr="00B81BBB">
        <w:instrText xml:space="preserve"> PAGEREF _Toc510433080 \h </w:instrText>
      </w:r>
      <w:r w:rsidRPr="00B81BBB">
        <w:fldChar w:fldCharType="separate"/>
      </w:r>
      <w:r w:rsidR="001012DF">
        <w:t>9</w:t>
      </w:r>
      <w:r w:rsidRPr="00B81BBB">
        <w:fldChar w:fldCharType="end"/>
      </w:r>
    </w:p>
    <w:p w14:paraId="0C7516F3" w14:textId="739A9390" w:rsidR="00E12118" w:rsidRPr="00B81BBB" w:rsidRDefault="00D97685" w:rsidP="00D97685">
      <w:pPr>
        <w:pStyle w:val="TOC3"/>
      </w:pPr>
      <w:r w:rsidRPr="00B81BBB">
        <w:fldChar w:fldCharType="end"/>
      </w:r>
    </w:p>
    <w:p w14:paraId="20E2387F" w14:textId="77777777" w:rsidR="00D97685" w:rsidRPr="00B81BBB" w:rsidRDefault="00D97685" w:rsidP="00D97685">
      <w:pPr>
        <w:sectPr w:rsidR="00D97685" w:rsidRPr="00B81BBB" w:rsidSect="0045688F">
          <w:headerReference w:type="even" r:id="rId14"/>
          <w:headerReference w:type="default" r:id="rId15"/>
          <w:headerReference w:type="first" r:id="rId16"/>
          <w:pgSz w:w="12240" w:h="15840" w:code="1"/>
          <w:pgMar w:top="1440" w:right="1800" w:bottom="1440" w:left="1800" w:header="706" w:footer="436" w:gutter="0"/>
          <w:cols w:space="720"/>
          <w:formProt w:val="0"/>
          <w:titlePg/>
        </w:sectPr>
      </w:pPr>
    </w:p>
    <w:p w14:paraId="712A024C" w14:textId="77777777" w:rsidR="00E23CA7" w:rsidRPr="00B81BBB" w:rsidRDefault="00E23CA7" w:rsidP="00F86017">
      <w:pPr>
        <w:rPr>
          <w:rFonts w:ascii="Arial" w:hAnsi="Arial" w:cs="Arial"/>
        </w:rPr>
      </w:pPr>
    </w:p>
    <w:p w14:paraId="688F3B97" w14:textId="77777777" w:rsidR="00CD3245" w:rsidRPr="00B81BBB" w:rsidRDefault="00CD3245" w:rsidP="00F86017">
      <w:pPr>
        <w:rPr>
          <w:rFonts w:ascii="Arial" w:hAnsi="Arial" w:cs="Arial"/>
        </w:rPr>
        <w:sectPr w:rsidR="00CD3245" w:rsidRPr="00B81BBB" w:rsidSect="0045688F">
          <w:headerReference w:type="first" r:id="rId17"/>
          <w:pgSz w:w="12240" w:h="15840" w:code="1"/>
          <w:pgMar w:top="1440" w:right="1800" w:bottom="1440" w:left="1800" w:header="706" w:footer="436" w:gutter="0"/>
          <w:pgNumType w:start="1"/>
          <w:cols w:space="720"/>
          <w:formProt w:val="0"/>
          <w:titlePg/>
        </w:sectPr>
      </w:pPr>
    </w:p>
    <w:p w14:paraId="3279BA08" w14:textId="31A1D43C" w:rsidR="00352CFD" w:rsidRPr="00B81BBB" w:rsidRDefault="00933646" w:rsidP="00617868">
      <w:pPr>
        <w:pStyle w:val="Chapter"/>
        <w:tabs>
          <w:tab w:val="clear" w:pos="1440"/>
          <w:tab w:val="clear" w:pos="2952"/>
        </w:tabs>
        <w:spacing w:before="0"/>
        <w:ind w:left="0" w:firstLine="0"/>
        <w:rPr>
          <w:rFonts w:ascii="Arial" w:hAnsi="Arial" w:cs="Arial"/>
        </w:rPr>
      </w:pPr>
      <w:bookmarkStart w:id="1" w:name="_Toc510433072"/>
      <w:r w:rsidRPr="00B81BBB">
        <w:rPr>
          <w:rFonts w:ascii="Arial" w:hAnsi="Arial" w:cs="Arial"/>
        </w:rPr>
        <w:t>Introduction</w:t>
      </w:r>
      <w:bookmarkEnd w:id="1"/>
    </w:p>
    <w:p w14:paraId="23B13AAD" w14:textId="746EB1CF" w:rsidR="00C6767F" w:rsidRPr="00C6767F" w:rsidRDefault="00C6767F" w:rsidP="00617868">
      <w:pPr>
        <w:pStyle w:val="Paragraph"/>
        <w:numPr>
          <w:ilvl w:val="1"/>
          <w:numId w:val="13"/>
        </w:numPr>
        <w:tabs>
          <w:tab w:val="clear" w:pos="2448"/>
          <w:tab w:val="num" w:pos="720"/>
        </w:tabs>
        <w:ind w:left="720" w:hanging="720"/>
        <w:rPr>
          <w:rFonts w:ascii="Arial" w:hAnsi="Arial" w:cs="Arial"/>
          <w:sz w:val="22"/>
          <w:szCs w:val="22"/>
        </w:rPr>
      </w:pPr>
      <w:bookmarkStart w:id="2" w:name="_Hlk42964119"/>
      <w:bookmarkStart w:id="3" w:name="_Ref529178954"/>
      <w:r w:rsidRPr="005A44EB">
        <w:rPr>
          <w:rFonts w:ascii="Arial" w:eastAsia="Arial" w:hAnsi="Arial" w:cs="Arial"/>
          <w:b/>
          <w:bCs/>
          <w:sz w:val="22"/>
          <w:szCs w:val="22"/>
        </w:rPr>
        <w:t>Background.</w:t>
      </w:r>
      <w:r w:rsidRPr="005A44EB">
        <w:rPr>
          <w:rFonts w:ascii="Arial" w:eastAsia="Arial" w:hAnsi="Arial" w:cs="Arial"/>
          <w:sz w:val="22"/>
          <w:szCs w:val="22"/>
        </w:rPr>
        <w:t xml:space="preserve"> </w:t>
      </w:r>
      <w:r w:rsidR="004F6684" w:rsidRPr="008E3CE1">
        <w:rPr>
          <w:rFonts w:ascii="Arial" w:eastAsia="Arial" w:hAnsi="Arial" w:cs="Arial"/>
          <w:sz w:val="22"/>
          <w:szCs w:val="22"/>
        </w:rPr>
        <w:t>On March 11</w:t>
      </w:r>
      <w:r w:rsidR="004F6684">
        <w:rPr>
          <w:rFonts w:ascii="Arial" w:eastAsia="Arial" w:hAnsi="Arial" w:cs="Arial"/>
          <w:sz w:val="22"/>
          <w:szCs w:val="22"/>
        </w:rPr>
        <w:t xml:space="preserve">, </w:t>
      </w:r>
      <w:r w:rsidR="004F6684" w:rsidRPr="008E3CE1">
        <w:rPr>
          <w:rFonts w:ascii="Arial" w:eastAsia="Arial" w:hAnsi="Arial" w:cs="Arial"/>
          <w:sz w:val="22"/>
          <w:szCs w:val="22"/>
        </w:rPr>
        <w:t>2020, the World Health Organization (WHO) declared the outbreak of COVID-19, the disease caused by the 2019 novel coronavirus, or nCoV-2019,</w:t>
      </w:r>
      <w:r w:rsidR="004F6684" w:rsidRPr="005441F3">
        <w:rPr>
          <w:rFonts w:ascii="Arial" w:eastAsia="Arial" w:hAnsi="Arial" w:cs="Arial"/>
          <w:sz w:val="22"/>
          <w:szCs w:val="22"/>
        </w:rPr>
        <w:t xml:space="preserve"> a pandemic. </w:t>
      </w:r>
      <w:r w:rsidR="004F6684">
        <w:rPr>
          <w:rFonts w:ascii="Arial" w:eastAsia="Arial" w:hAnsi="Arial" w:cs="Arial"/>
          <w:sz w:val="22"/>
          <w:szCs w:val="22"/>
        </w:rPr>
        <w:t xml:space="preserve">As of </w:t>
      </w:r>
      <w:r w:rsidR="001D5D4D">
        <w:rPr>
          <w:rFonts w:ascii="Arial" w:eastAsia="Arial" w:hAnsi="Arial" w:cs="Arial"/>
          <w:sz w:val="22"/>
          <w:szCs w:val="22"/>
        </w:rPr>
        <w:t>March 1</w:t>
      </w:r>
      <w:r w:rsidR="00CA6CA8">
        <w:rPr>
          <w:rFonts w:ascii="Arial" w:eastAsia="Arial" w:hAnsi="Arial" w:cs="Arial"/>
          <w:sz w:val="22"/>
          <w:szCs w:val="22"/>
        </w:rPr>
        <w:t>5</w:t>
      </w:r>
      <w:r w:rsidR="004F6684" w:rsidRPr="008C03BF">
        <w:rPr>
          <w:rFonts w:ascii="Arial" w:eastAsia="Arial" w:hAnsi="Arial" w:cs="Arial"/>
          <w:sz w:val="22"/>
          <w:szCs w:val="22"/>
        </w:rPr>
        <w:t>, 2021</w:t>
      </w:r>
      <w:r w:rsidR="004F6684" w:rsidRPr="005441F3">
        <w:rPr>
          <w:rFonts w:ascii="Arial" w:eastAsia="Arial" w:hAnsi="Arial" w:cs="Arial"/>
          <w:sz w:val="22"/>
          <w:szCs w:val="22"/>
        </w:rPr>
        <w:t xml:space="preserve">, the WHO has reported more than </w:t>
      </w:r>
      <w:r w:rsidR="004F6684">
        <w:rPr>
          <w:rFonts w:ascii="Arial" w:eastAsia="Arial" w:hAnsi="Arial" w:cs="Arial"/>
          <w:sz w:val="22"/>
          <w:szCs w:val="22"/>
        </w:rPr>
        <w:t>1</w:t>
      </w:r>
      <w:r w:rsidR="001D5D4D">
        <w:rPr>
          <w:rFonts w:ascii="Arial" w:eastAsia="Arial" w:hAnsi="Arial" w:cs="Arial"/>
          <w:sz w:val="22"/>
          <w:szCs w:val="22"/>
        </w:rPr>
        <w:t>1</w:t>
      </w:r>
      <w:r w:rsidR="00A861B5">
        <w:rPr>
          <w:rFonts w:ascii="Arial" w:eastAsia="Arial" w:hAnsi="Arial" w:cs="Arial"/>
          <w:sz w:val="22"/>
          <w:szCs w:val="22"/>
        </w:rPr>
        <w:t>9</w:t>
      </w:r>
      <w:r w:rsidR="004F6684">
        <w:rPr>
          <w:rFonts w:ascii="Arial" w:eastAsia="Arial" w:hAnsi="Arial" w:cs="Arial"/>
          <w:sz w:val="22"/>
          <w:szCs w:val="22"/>
        </w:rPr>
        <w:t xml:space="preserve"> million </w:t>
      </w:r>
      <w:r w:rsidR="004F6684" w:rsidRPr="005441F3">
        <w:rPr>
          <w:rFonts w:ascii="Arial" w:eastAsia="Arial" w:hAnsi="Arial" w:cs="Arial"/>
          <w:sz w:val="22"/>
          <w:szCs w:val="22"/>
        </w:rPr>
        <w:t xml:space="preserve">confirmed cases </w:t>
      </w:r>
      <w:r w:rsidR="004F6684">
        <w:rPr>
          <w:rFonts w:ascii="Arial" w:eastAsia="Arial" w:hAnsi="Arial" w:cs="Arial"/>
          <w:sz w:val="22"/>
          <w:szCs w:val="22"/>
        </w:rPr>
        <w:t>globally</w:t>
      </w:r>
      <w:r w:rsidR="004F6684" w:rsidRPr="005441F3">
        <w:rPr>
          <w:rFonts w:ascii="Arial" w:eastAsia="Arial" w:hAnsi="Arial" w:cs="Arial"/>
          <w:sz w:val="22"/>
          <w:szCs w:val="22"/>
        </w:rPr>
        <w:t xml:space="preserve">, resulting in more than </w:t>
      </w:r>
      <w:r w:rsidR="004F6684">
        <w:rPr>
          <w:rFonts w:ascii="Arial" w:eastAsia="Arial" w:hAnsi="Arial" w:cs="Arial"/>
          <w:sz w:val="22"/>
          <w:szCs w:val="22"/>
        </w:rPr>
        <w:t>2.</w:t>
      </w:r>
      <w:r w:rsidR="001D5D4D">
        <w:rPr>
          <w:rFonts w:ascii="Arial" w:eastAsia="Arial" w:hAnsi="Arial" w:cs="Arial"/>
          <w:sz w:val="22"/>
          <w:szCs w:val="22"/>
        </w:rPr>
        <w:t>6</w:t>
      </w:r>
      <w:r w:rsidR="00A861B5">
        <w:rPr>
          <w:rFonts w:ascii="Arial" w:eastAsia="Arial" w:hAnsi="Arial" w:cs="Arial"/>
          <w:sz w:val="22"/>
          <w:szCs w:val="22"/>
        </w:rPr>
        <w:t>5</w:t>
      </w:r>
      <w:r w:rsidR="004F6684" w:rsidRPr="008E3CE1">
        <w:rPr>
          <w:rFonts w:ascii="Arial" w:eastAsia="Arial" w:hAnsi="Arial" w:cs="Arial"/>
          <w:sz w:val="22"/>
          <w:szCs w:val="22"/>
        </w:rPr>
        <w:t xml:space="preserve"> </w:t>
      </w:r>
      <w:r w:rsidR="004F6684">
        <w:rPr>
          <w:rFonts w:ascii="Arial" w:eastAsia="Arial" w:hAnsi="Arial" w:cs="Arial"/>
          <w:sz w:val="22"/>
          <w:szCs w:val="22"/>
        </w:rPr>
        <w:t xml:space="preserve">million </w:t>
      </w:r>
      <w:r w:rsidR="004F6684" w:rsidRPr="005441F3">
        <w:rPr>
          <w:rFonts w:ascii="Arial" w:eastAsia="Arial" w:hAnsi="Arial" w:cs="Arial"/>
          <w:sz w:val="22"/>
          <w:szCs w:val="22"/>
        </w:rPr>
        <w:t>deaths.</w:t>
      </w:r>
      <w:r w:rsidR="004F6684" w:rsidRPr="005441F3">
        <w:rPr>
          <w:rStyle w:val="FootnoteReference"/>
          <w:rFonts w:ascii="Arial" w:eastAsia="Arial" w:hAnsi="Arial" w:cs="Arial"/>
          <w:sz w:val="22"/>
          <w:szCs w:val="22"/>
        </w:rPr>
        <w:footnoteReference w:id="2"/>
      </w:r>
      <w:r w:rsidR="004F6684" w:rsidRPr="005441F3">
        <w:rPr>
          <w:rFonts w:ascii="Arial" w:eastAsia="Arial" w:hAnsi="Arial" w:cs="Arial"/>
          <w:sz w:val="22"/>
          <w:szCs w:val="22"/>
        </w:rPr>
        <w:t xml:space="preserve"> </w:t>
      </w:r>
      <w:r w:rsidR="004F6684">
        <w:rPr>
          <w:rFonts w:ascii="Arial" w:eastAsia="Arial" w:hAnsi="Arial" w:cs="Arial"/>
          <w:sz w:val="22"/>
          <w:szCs w:val="22"/>
        </w:rPr>
        <w:t>I</w:t>
      </w:r>
      <w:r w:rsidR="004F6684" w:rsidRPr="005441F3">
        <w:rPr>
          <w:rFonts w:ascii="Arial" w:eastAsia="Arial" w:hAnsi="Arial" w:cs="Arial"/>
          <w:sz w:val="22"/>
          <w:szCs w:val="22"/>
        </w:rPr>
        <w:t xml:space="preserve">n Latin America and the Caribbean (LAC) </w:t>
      </w:r>
      <w:r w:rsidR="004F6684">
        <w:rPr>
          <w:rFonts w:ascii="Arial" w:eastAsia="Arial" w:hAnsi="Arial" w:cs="Arial"/>
          <w:sz w:val="22"/>
          <w:szCs w:val="22"/>
        </w:rPr>
        <w:t xml:space="preserve">there are nearly </w:t>
      </w:r>
      <w:r w:rsidR="00E923DB">
        <w:rPr>
          <w:rFonts w:ascii="Arial" w:eastAsia="Arial" w:hAnsi="Arial" w:cs="Arial"/>
          <w:sz w:val="22"/>
          <w:szCs w:val="22"/>
        </w:rPr>
        <w:t>2</w:t>
      </w:r>
      <w:r w:rsidR="001D5D4D">
        <w:rPr>
          <w:rFonts w:ascii="Arial" w:eastAsia="Arial" w:hAnsi="Arial" w:cs="Arial"/>
          <w:sz w:val="22"/>
          <w:szCs w:val="22"/>
        </w:rPr>
        <w:t>2</w:t>
      </w:r>
      <w:r w:rsidR="004F6684" w:rsidRPr="008E3CE1">
        <w:rPr>
          <w:rFonts w:ascii="Arial" w:eastAsia="Arial" w:hAnsi="Arial" w:cs="Arial"/>
          <w:sz w:val="22"/>
          <w:szCs w:val="22"/>
        </w:rPr>
        <w:t xml:space="preserve"> </w:t>
      </w:r>
      <w:r w:rsidR="004F6684">
        <w:rPr>
          <w:rFonts w:ascii="Arial" w:eastAsia="Arial" w:hAnsi="Arial" w:cs="Arial"/>
          <w:sz w:val="22"/>
          <w:szCs w:val="22"/>
        </w:rPr>
        <w:t xml:space="preserve">million </w:t>
      </w:r>
      <w:r w:rsidR="004F6684" w:rsidRPr="005441F3">
        <w:rPr>
          <w:rFonts w:ascii="Arial" w:eastAsia="Arial" w:hAnsi="Arial" w:cs="Arial"/>
          <w:sz w:val="22"/>
          <w:szCs w:val="22"/>
        </w:rPr>
        <w:t xml:space="preserve">confirmed cases and </w:t>
      </w:r>
      <w:r w:rsidR="001D5D4D">
        <w:rPr>
          <w:rFonts w:ascii="Arial" w:eastAsia="Arial" w:hAnsi="Arial" w:cs="Arial"/>
          <w:sz w:val="22"/>
          <w:szCs w:val="22"/>
        </w:rPr>
        <w:t>7</w:t>
      </w:r>
      <w:r w:rsidR="00A861B5">
        <w:rPr>
          <w:rFonts w:ascii="Arial" w:eastAsia="Arial" w:hAnsi="Arial" w:cs="Arial"/>
          <w:sz w:val="22"/>
          <w:szCs w:val="22"/>
        </w:rPr>
        <w:t>22</w:t>
      </w:r>
      <w:r w:rsidR="001D5D4D">
        <w:rPr>
          <w:rFonts w:ascii="Arial" w:eastAsia="Arial" w:hAnsi="Arial" w:cs="Arial"/>
          <w:sz w:val="22"/>
          <w:szCs w:val="22"/>
        </w:rPr>
        <w:t>,</w:t>
      </w:r>
      <w:r w:rsidR="00BE272C">
        <w:rPr>
          <w:rFonts w:ascii="Arial" w:eastAsia="Arial" w:hAnsi="Arial" w:cs="Arial"/>
          <w:sz w:val="22"/>
          <w:szCs w:val="22"/>
        </w:rPr>
        <w:t>3</w:t>
      </w:r>
      <w:r w:rsidR="00A861B5">
        <w:rPr>
          <w:rFonts w:ascii="Arial" w:eastAsia="Arial" w:hAnsi="Arial" w:cs="Arial"/>
          <w:sz w:val="22"/>
          <w:szCs w:val="22"/>
        </w:rPr>
        <w:t>31</w:t>
      </w:r>
      <w:r w:rsidR="004F6684" w:rsidRPr="008E3CE1">
        <w:rPr>
          <w:rFonts w:ascii="Arial" w:eastAsia="Arial" w:hAnsi="Arial" w:cs="Arial"/>
          <w:sz w:val="22"/>
          <w:szCs w:val="22"/>
        </w:rPr>
        <w:t xml:space="preserve"> </w:t>
      </w:r>
      <w:r w:rsidR="004F6684" w:rsidRPr="005441F3">
        <w:rPr>
          <w:rFonts w:ascii="Arial" w:eastAsia="Arial" w:hAnsi="Arial" w:cs="Arial"/>
          <w:sz w:val="22"/>
          <w:szCs w:val="22"/>
        </w:rPr>
        <w:t>deaths reported</w:t>
      </w:r>
      <w:r w:rsidR="004F6684" w:rsidRPr="005E7BF3">
        <w:rPr>
          <w:rFonts w:ascii="Arial" w:eastAsia="Arial" w:hAnsi="Arial" w:cs="Arial"/>
          <w:sz w:val="22"/>
          <w:szCs w:val="22"/>
        </w:rPr>
        <w:t xml:space="preserve"> </w:t>
      </w:r>
      <w:r w:rsidR="004F6684">
        <w:rPr>
          <w:rFonts w:ascii="Arial" w:eastAsia="Arial" w:hAnsi="Arial" w:cs="Arial"/>
          <w:sz w:val="22"/>
          <w:szCs w:val="22"/>
        </w:rPr>
        <w:t>among</w:t>
      </w:r>
      <w:r w:rsidR="004F6684" w:rsidRPr="005E7BF3">
        <w:rPr>
          <w:rFonts w:ascii="Arial" w:eastAsia="Arial" w:hAnsi="Arial" w:cs="Arial"/>
          <w:sz w:val="22"/>
          <w:szCs w:val="22"/>
        </w:rPr>
        <w:t xml:space="preserve"> all 26 borrowing member countries</w:t>
      </w:r>
      <w:r w:rsidR="002B50EC" w:rsidRPr="005E7BF3">
        <w:rPr>
          <w:rFonts w:ascii="Arial" w:eastAsia="Arial" w:hAnsi="Arial" w:cs="Arial"/>
          <w:sz w:val="22"/>
          <w:szCs w:val="22"/>
        </w:rPr>
        <w:t>.</w:t>
      </w:r>
      <w:bookmarkEnd w:id="2"/>
    </w:p>
    <w:p w14:paraId="4B4C1837" w14:textId="12CFEE2D" w:rsidR="00617868" w:rsidRPr="00B81BBB" w:rsidRDefault="00AE72BA" w:rsidP="00617868">
      <w:pPr>
        <w:pStyle w:val="Paragraph"/>
        <w:numPr>
          <w:ilvl w:val="1"/>
          <w:numId w:val="13"/>
        </w:numPr>
        <w:tabs>
          <w:tab w:val="clear" w:pos="2448"/>
          <w:tab w:val="num" w:pos="720"/>
        </w:tabs>
        <w:ind w:left="720" w:hanging="720"/>
        <w:rPr>
          <w:rFonts w:ascii="Arial" w:hAnsi="Arial" w:cs="Arial"/>
          <w:sz w:val="22"/>
          <w:szCs w:val="22"/>
        </w:rPr>
      </w:pPr>
      <w:r w:rsidRPr="00AE72BA">
        <w:rPr>
          <w:rFonts w:ascii="Arial" w:hAnsi="Arial" w:cs="Arial"/>
          <w:sz w:val="22"/>
          <w:szCs w:val="22"/>
        </w:rPr>
        <w:t>In the face of this unprecedented global challenge, the Bank’s support is structured around four areas of actions: (i) Immediate Public Health Response; (ii) Safety Nets for Vulnerable Populations; (iii) Economic Productivity and Employment; and (iv) Fiscal Policies for the Amelioration of Economic Impacts. Within this context, the Bank’s Board of Executive Directors approved the proposal to expand the CCF</w:t>
      </w:r>
      <w:r>
        <w:rPr>
          <w:rFonts w:ascii="Arial" w:hAnsi="Arial" w:cs="Arial"/>
          <w:sz w:val="22"/>
          <w:szCs w:val="22"/>
        </w:rPr>
        <w:t> </w:t>
      </w:r>
      <w:r w:rsidRPr="00AE72BA">
        <w:rPr>
          <w:rFonts w:ascii="Arial" w:hAnsi="Arial" w:cs="Arial"/>
          <w:sz w:val="22"/>
          <w:szCs w:val="22"/>
        </w:rPr>
        <w:t>to provide early significant liquid resources to countries for the immediate emergency COVID-19 response and complement other instruments that are being deployed (GN-2999-4)</w:t>
      </w:r>
      <w:r w:rsidR="00BD596C">
        <w:rPr>
          <w:rFonts w:ascii="Arial" w:hAnsi="Arial" w:cs="Arial"/>
          <w:sz w:val="22"/>
          <w:szCs w:val="22"/>
        </w:rPr>
        <w:t>.</w:t>
      </w:r>
      <w:r w:rsidR="00617868" w:rsidRPr="00B81BBB">
        <w:rPr>
          <w:rFonts w:ascii="Arial" w:eastAsia="Arial" w:hAnsi="Arial" w:cs="Arial"/>
          <w:sz w:val="22"/>
          <w:szCs w:val="22"/>
        </w:rPr>
        <w:t xml:space="preserve"> </w:t>
      </w:r>
      <w:r w:rsidR="00617868" w:rsidRPr="00B81BBB">
        <w:rPr>
          <w:rFonts w:ascii="Arial" w:hAnsi="Arial" w:cs="Arial"/>
          <w:sz w:val="22"/>
          <w:szCs w:val="22"/>
        </w:rPr>
        <w:t xml:space="preserve"> </w:t>
      </w:r>
    </w:p>
    <w:p w14:paraId="4149D092" w14:textId="71F722EB" w:rsidR="00617868" w:rsidRPr="00B81BBB" w:rsidRDefault="0005326D" w:rsidP="00617868">
      <w:pPr>
        <w:pStyle w:val="Paragraph"/>
        <w:numPr>
          <w:ilvl w:val="1"/>
          <w:numId w:val="13"/>
        </w:numPr>
        <w:tabs>
          <w:tab w:val="clear" w:pos="2448"/>
          <w:tab w:val="num" w:pos="720"/>
        </w:tabs>
        <w:ind w:left="720" w:hanging="720"/>
        <w:rPr>
          <w:rFonts w:ascii="Arial" w:eastAsia="Arial" w:hAnsi="Arial" w:cs="Arial"/>
          <w:sz w:val="22"/>
          <w:szCs w:val="22"/>
        </w:rPr>
      </w:pPr>
      <w:bookmarkStart w:id="4" w:name="_Ref41559087"/>
      <w:r>
        <w:rPr>
          <w:rFonts w:ascii="Arial" w:hAnsi="Arial" w:cs="Arial"/>
          <w:b/>
          <w:bCs/>
          <w:sz w:val="22"/>
          <w:szCs w:val="22"/>
        </w:rPr>
        <w:t>Suriname</w:t>
      </w:r>
      <w:r w:rsidR="00617868" w:rsidRPr="00B81BBB">
        <w:rPr>
          <w:rFonts w:ascii="Arial" w:hAnsi="Arial" w:cs="Arial"/>
          <w:b/>
          <w:bCs/>
          <w:sz w:val="22"/>
          <w:szCs w:val="22"/>
        </w:rPr>
        <w:t>’s response.</w:t>
      </w:r>
      <w:bookmarkStart w:id="5" w:name="_Ref41559053"/>
      <w:bookmarkEnd w:id="4"/>
      <w:r w:rsidR="00DF13E7">
        <w:rPr>
          <w:rFonts w:ascii="Arial" w:hAnsi="Arial" w:cs="Arial"/>
          <w:b/>
          <w:bCs/>
          <w:sz w:val="22"/>
          <w:szCs w:val="22"/>
        </w:rPr>
        <w:t xml:space="preserve"> </w:t>
      </w:r>
      <w:bookmarkEnd w:id="5"/>
      <w:r w:rsidR="00AE2C77" w:rsidRPr="00A43399">
        <w:rPr>
          <w:rFonts w:ascii="Arial" w:hAnsi="Arial" w:cs="Arial"/>
          <w:sz w:val="22"/>
          <w:szCs w:val="22"/>
        </w:rPr>
        <w:t>After</w:t>
      </w:r>
      <w:r w:rsidR="00AE2C77">
        <w:rPr>
          <w:rFonts w:ascii="Arial" w:hAnsi="Arial" w:cs="Arial"/>
          <w:b/>
          <w:bCs/>
          <w:sz w:val="22"/>
          <w:szCs w:val="22"/>
        </w:rPr>
        <w:t xml:space="preserve"> </w:t>
      </w:r>
      <w:r w:rsidR="00AE2C77">
        <w:rPr>
          <w:rFonts w:ascii="Arial" w:hAnsi="Arial" w:cs="Arial"/>
          <w:sz w:val="22"/>
          <w:szCs w:val="22"/>
        </w:rPr>
        <w:t>t</w:t>
      </w:r>
      <w:r w:rsidR="00AE2C77" w:rsidRPr="00A94212">
        <w:rPr>
          <w:rFonts w:ascii="Arial" w:hAnsi="Arial" w:cs="Arial"/>
          <w:sz w:val="22"/>
          <w:szCs w:val="22"/>
        </w:rPr>
        <w:t>he first cases in Suriname were reported in March</w:t>
      </w:r>
      <w:r w:rsidR="00AE2C77">
        <w:rPr>
          <w:rFonts w:ascii="Arial" w:hAnsi="Arial" w:cs="Arial"/>
          <w:sz w:val="22"/>
          <w:szCs w:val="22"/>
        </w:rPr>
        <w:t> </w:t>
      </w:r>
      <w:r w:rsidR="00AE2C77" w:rsidRPr="00A94212">
        <w:rPr>
          <w:rFonts w:ascii="Arial" w:hAnsi="Arial" w:cs="Arial"/>
          <w:sz w:val="22"/>
          <w:szCs w:val="22"/>
        </w:rPr>
        <w:t>2020</w:t>
      </w:r>
      <w:r w:rsidR="00AE2C77">
        <w:rPr>
          <w:rFonts w:ascii="Arial" w:hAnsi="Arial" w:cs="Arial"/>
          <w:sz w:val="22"/>
          <w:szCs w:val="22"/>
        </w:rPr>
        <w:t>, t</w:t>
      </w:r>
      <w:r w:rsidR="00AE2C77" w:rsidRPr="00A94212">
        <w:rPr>
          <w:rFonts w:ascii="Arial" w:hAnsi="Arial" w:cs="Arial"/>
          <w:sz w:val="22"/>
          <w:szCs w:val="22"/>
        </w:rPr>
        <w:t xml:space="preserve">he </w:t>
      </w:r>
      <w:r w:rsidR="00AE2C77" w:rsidRPr="00A94212">
        <w:rPr>
          <w:rFonts w:ascii="Arial" w:hAnsi="Arial" w:cs="Arial"/>
          <w:sz w:val="22"/>
          <w:szCs w:val="22"/>
          <w:lang w:val="en-GB"/>
        </w:rPr>
        <w:t xml:space="preserve">government took immediate action and </w:t>
      </w:r>
      <w:r w:rsidR="00AE2C77">
        <w:rPr>
          <w:rFonts w:ascii="Arial" w:hAnsi="Arial" w:cs="Arial"/>
          <w:sz w:val="22"/>
          <w:szCs w:val="22"/>
          <w:lang w:val="en-GB"/>
        </w:rPr>
        <w:t>i</w:t>
      </w:r>
      <w:r w:rsidR="00AE2C77" w:rsidRPr="00A94212">
        <w:rPr>
          <w:rFonts w:ascii="Arial" w:hAnsi="Arial" w:cs="Arial"/>
          <w:sz w:val="22"/>
          <w:szCs w:val="22"/>
          <w:lang w:val="en-GB"/>
        </w:rPr>
        <w:t xml:space="preserve">n </w:t>
      </w:r>
      <w:r w:rsidR="00AE2C77">
        <w:rPr>
          <w:rFonts w:ascii="Arial" w:hAnsi="Arial" w:cs="Arial"/>
          <w:sz w:val="22"/>
          <w:szCs w:val="22"/>
          <w:lang w:val="en-GB"/>
        </w:rPr>
        <w:t xml:space="preserve">early April the </w:t>
      </w:r>
      <w:r w:rsidR="00AE2C77" w:rsidRPr="00A94212">
        <w:rPr>
          <w:rFonts w:ascii="Arial" w:hAnsi="Arial" w:cs="Arial"/>
          <w:sz w:val="22"/>
          <w:szCs w:val="22"/>
          <w:lang w:val="en-GB"/>
        </w:rPr>
        <w:t xml:space="preserve">National Assembly </w:t>
      </w:r>
      <w:r w:rsidR="00AE2C77">
        <w:rPr>
          <w:rFonts w:ascii="Arial" w:hAnsi="Arial" w:cs="Arial"/>
          <w:sz w:val="22"/>
          <w:szCs w:val="22"/>
          <w:lang w:val="en-GB"/>
        </w:rPr>
        <w:t xml:space="preserve">approved </w:t>
      </w:r>
      <w:r w:rsidR="00AE2C77" w:rsidRPr="00A94212">
        <w:rPr>
          <w:rFonts w:ascii="Arial" w:hAnsi="Arial" w:cs="Arial"/>
          <w:sz w:val="22"/>
          <w:szCs w:val="22"/>
          <w:lang w:val="en-GB"/>
        </w:rPr>
        <w:t xml:space="preserve">the </w:t>
      </w:r>
      <w:r w:rsidR="00AE2C77" w:rsidRPr="004F60B8">
        <w:rPr>
          <w:rFonts w:ascii="Arial" w:hAnsi="Arial" w:cs="Arial"/>
          <w:color w:val="202122"/>
          <w:sz w:val="22"/>
          <w:szCs w:val="22"/>
          <w:shd w:val="clear" w:color="auto" w:fill="FFFFFF"/>
        </w:rPr>
        <w:t>Law Exceptional Condition COVID-19 (</w:t>
      </w:r>
      <w:r w:rsidR="00AE2C77" w:rsidRPr="004F60B8">
        <w:rPr>
          <w:rFonts w:ascii="Arial" w:hAnsi="Arial" w:cs="Arial"/>
          <w:sz w:val="22"/>
          <w:szCs w:val="22"/>
          <w:shd w:val="clear" w:color="auto" w:fill="FFFFFF"/>
        </w:rPr>
        <w:t>State of Emergency</w:t>
      </w:r>
      <w:r w:rsidR="00AE2C77" w:rsidRPr="004F60B8">
        <w:rPr>
          <w:rFonts w:ascii="Arial" w:hAnsi="Arial" w:cs="Arial"/>
          <w:color w:val="202122"/>
          <w:sz w:val="22"/>
          <w:szCs w:val="22"/>
          <w:shd w:val="clear" w:color="auto" w:fill="FFFFFF"/>
        </w:rPr>
        <w:t>) </w:t>
      </w:r>
      <w:r w:rsidR="00AE2C77" w:rsidRPr="00A94212">
        <w:rPr>
          <w:rFonts w:ascii="Arial" w:hAnsi="Arial" w:cs="Arial"/>
          <w:sz w:val="22"/>
          <w:szCs w:val="22"/>
          <w:lang w:val="en-GB"/>
        </w:rPr>
        <w:t xml:space="preserve">for </w:t>
      </w:r>
      <w:r w:rsidR="00AE2C77">
        <w:rPr>
          <w:rFonts w:ascii="Arial" w:hAnsi="Arial" w:cs="Arial"/>
          <w:sz w:val="22"/>
          <w:szCs w:val="22"/>
          <w:lang w:val="en-GB"/>
        </w:rPr>
        <w:t xml:space="preserve">a period of </w:t>
      </w:r>
      <w:r w:rsidR="00AE2C77" w:rsidRPr="00A94212">
        <w:rPr>
          <w:rFonts w:ascii="Arial" w:hAnsi="Arial" w:cs="Arial"/>
          <w:sz w:val="22"/>
          <w:szCs w:val="22"/>
          <w:lang w:val="en-GB"/>
        </w:rPr>
        <w:t>three months</w:t>
      </w:r>
      <w:r w:rsidR="00AE2C77">
        <w:rPr>
          <w:rFonts w:ascii="Arial" w:hAnsi="Arial" w:cs="Arial"/>
          <w:sz w:val="22"/>
          <w:szCs w:val="22"/>
          <w:lang w:val="en-GB"/>
        </w:rPr>
        <w:t xml:space="preserve"> (which was subsequently </w:t>
      </w:r>
      <w:r w:rsidR="00AE2C77" w:rsidRPr="00A94212">
        <w:rPr>
          <w:rFonts w:ascii="Arial" w:hAnsi="Arial" w:cs="Arial"/>
          <w:sz w:val="22"/>
          <w:szCs w:val="22"/>
          <w:lang w:val="en-GB"/>
        </w:rPr>
        <w:t>extended for another month</w:t>
      </w:r>
      <w:r w:rsidR="00AE2C77">
        <w:rPr>
          <w:rFonts w:ascii="Arial" w:hAnsi="Arial" w:cs="Arial"/>
          <w:sz w:val="22"/>
          <w:szCs w:val="22"/>
          <w:lang w:val="en-GB"/>
        </w:rPr>
        <w:t>)</w:t>
      </w:r>
      <w:r w:rsidR="00AE2C77" w:rsidRPr="00A94212">
        <w:rPr>
          <w:rFonts w:ascii="Arial" w:hAnsi="Arial" w:cs="Arial"/>
          <w:sz w:val="22"/>
          <w:szCs w:val="22"/>
          <w:lang w:val="en-GB"/>
        </w:rPr>
        <w:t xml:space="preserve">. </w:t>
      </w:r>
      <w:r w:rsidR="00AE2C77" w:rsidRPr="00121551">
        <w:rPr>
          <w:rFonts w:ascii="Arial" w:hAnsi="Arial" w:cs="Arial"/>
          <w:sz w:val="22"/>
          <w:szCs w:val="22"/>
          <w:lang w:val="en-GB"/>
        </w:rPr>
        <w:t>However, t</w:t>
      </w:r>
      <w:r w:rsidR="00AE2C77" w:rsidRPr="00121551">
        <w:rPr>
          <w:rFonts w:ascii="Arial" w:hAnsi="Arial" w:cs="Arial"/>
          <w:sz w:val="22"/>
          <w:szCs w:val="22"/>
        </w:rPr>
        <w:t>h</w:t>
      </w:r>
      <w:r w:rsidR="00AE2C77" w:rsidRPr="00A94212">
        <w:rPr>
          <w:rFonts w:ascii="Arial" w:hAnsi="Arial" w:cs="Arial"/>
          <w:sz w:val="22"/>
          <w:szCs w:val="22"/>
        </w:rPr>
        <w:t>e number of cases of COVID-19 eventually rose sharply between the end of May and August</w:t>
      </w:r>
      <w:r w:rsidR="00AE2C77">
        <w:rPr>
          <w:rFonts w:ascii="Arial" w:hAnsi="Arial" w:cs="Arial"/>
          <w:sz w:val="22"/>
          <w:szCs w:val="22"/>
        </w:rPr>
        <w:t xml:space="preserve"> and in the latter month </w:t>
      </w:r>
      <w:r w:rsidR="00AE2C77" w:rsidRPr="00A94212">
        <w:rPr>
          <w:rFonts w:ascii="Arial" w:hAnsi="Arial" w:cs="Arial"/>
          <w:sz w:val="22"/>
          <w:szCs w:val="22"/>
          <w:lang w:val="en-GB"/>
        </w:rPr>
        <w:t xml:space="preserve">a modified version was approved for 6 months. </w:t>
      </w:r>
      <w:r w:rsidR="00AE2C77">
        <w:rPr>
          <w:rFonts w:ascii="Arial" w:hAnsi="Arial" w:cs="Arial"/>
          <w:sz w:val="22"/>
          <w:szCs w:val="22"/>
          <w:lang w:val="en-GB"/>
        </w:rPr>
        <w:t>The exceptional situation, which expired on February 6, 2021, has been extended by 12 months and may be extended until August 7, 2021.</w:t>
      </w:r>
      <w:r w:rsidR="00AE2C77">
        <w:rPr>
          <w:rStyle w:val="FootnoteReference"/>
          <w:rFonts w:ascii="Arial" w:hAnsi="Arial" w:cs="Arial"/>
          <w:sz w:val="22"/>
          <w:szCs w:val="22"/>
          <w:lang w:val="en-GB"/>
        </w:rPr>
        <w:footnoteReference w:id="3"/>
      </w:r>
      <w:r w:rsidR="00AE2C77">
        <w:rPr>
          <w:rFonts w:ascii="Arial" w:hAnsi="Arial" w:cs="Arial"/>
          <w:sz w:val="22"/>
          <w:szCs w:val="22"/>
          <w:lang w:val="en-GB"/>
        </w:rPr>
        <w:t xml:space="preserve"> </w:t>
      </w:r>
      <w:r w:rsidR="00AE2C77" w:rsidRPr="00A94212">
        <w:rPr>
          <w:rFonts w:ascii="Arial" w:hAnsi="Arial" w:cs="Arial"/>
          <w:sz w:val="22"/>
          <w:szCs w:val="22"/>
          <w:lang w:val="en-GB"/>
        </w:rPr>
        <w:t>This law provided a legal base for action by government agencies</w:t>
      </w:r>
      <w:r w:rsidR="00AE2C77">
        <w:rPr>
          <w:rFonts w:ascii="Arial" w:hAnsi="Arial" w:cs="Arial"/>
          <w:sz w:val="22"/>
          <w:szCs w:val="22"/>
          <w:lang w:val="en-GB"/>
        </w:rPr>
        <w:t xml:space="preserve"> and allowed </w:t>
      </w:r>
      <w:r w:rsidR="00AE2C77" w:rsidRPr="00A94212">
        <w:rPr>
          <w:rFonts w:ascii="Arial" w:hAnsi="Arial" w:cs="Arial"/>
          <w:sz w:val="22"/>
          <w:szCs w:val="22"/>
          <w:lang w:val="en-GB"/>
        </w:rPr>
        <w:t xml:space="preserve">the spending of earmarked funding to finance specific activities, such as providing financial relief for vulnerable sections of the population. It also </w:t>
      </w:r>
      <w:r w:rsidR="00AE2C77">
        <w:rPr>
          <w:rFonts w:ascii="Arial" w:hAnsi="Arial" w:cs="Arial"/>
          <w:sz w:val="22"/>
          <w:szCs w:val="22"/>
          <w:lang w:val="en-GB"/>
        </w:rPr>
        <w:t xml:space="preserve">established </w:t>
      </w:r>
      <w:r w:rsidR="00AE2C77" w:rsidRPr="00A94212">
        <w:rPr>
          <w:rFonts w:ascii="Arial" w:hAnsi="Arial" w:cs="Arial"/>
          <w:sz w:val="22"/>
          <w:szCs w:val="22"/>
          <w:lang w:val="en-GB"/>
        </w:rPr>
        <w:t>the Crisis Management Team</w:t>
      </w:r>
      <w:r w:rsidR="00AE2C77">
        <w:rPr>
          <w:rFonts w:ascii="Arial" w:hAnsi="Arial" w:cs="Arial"/>
          <w:sz w:val="22"/>
          <w:szCs w:val="22"/>
          <w:lang w:val="en-GB"/>
        </w:rPr>
        <w:t xml:space="preserve"> (CMT)</w:t>
      </w:r>
      <w:r w:rsidR="00AE2C77" w:rsidRPr="00A94212">
        <w:rPr>
          <w:rFonts w:ascii="Arial" w:hAnsi="Arial" w:cs="Arial"/>
          <w:sz w:val="22"/>
          <w:szCs w:val="22"/>
          <w:lang w:val="en-GB"/>
        </w:rPr>
        <w:t xml:space="preserve">, </w:t>
      </w:r>
      <w:r w:rsidR="00AE2C77">
        <w:rPr>
          <w:rFonts w:ascii="Arial" w:hAnsi="Arial" w:cs="Arial"/>
          <w:sz w:val="22"/>
          <w:szCs w:val="22"/>
          <w:lang w:val="en-GB"/>
        </w:rPr>
        <w:t xml:space="preserve">consisting </w:t>
      </w:r>
      <w:r w:rsidR="00AE2C77" w:rsidRPr="00A94212">
        <w:rPr>
          <w:rFonts w:ascii="Arial" w:hAnsi="Arial" w:cs="Arial"/>
          <w:sz w:val="22"/>
          <w:szCs w:val="22"/>
          <w:lang w:val="en-GB"/>
        </w:rPr>
        <w:t xml:space="preserve">of different arms of government, </w:t>
      </w:r>
      <w:r w:rsidR="00AE2C77">
        <w:rPr>
          <w:rFonts w:ascii="Arial" w:hAnsi="Arial" w:cs="Arial"/>
          <w:sz w:val="22"/>
          <w:szCs w:val="22"/>
          <w:lang w:val="en-GB"/>
        </w:rPr>
        <w:t>with the</w:t>
      </w:r>
      <w:r w:rsidR="00AE2C77" w:rsidRPr="00A94212">
        <w:rPr>
          <w:rFonts w:ascii="Arial" w:hAnsi="Arial" w:cs="Arial"/>
          <w:sz w:val="22"/>
          <w:szCs w:val="22"/>
          <w:lang w:val="en-GB"/>
        </w:rPr>
        <w:t xml:space="preserve"> Ministry of Health</w:t>
      </w:r>
      <w:r w:rsidR="00AE2C77">
        <w:rPr>
          <w:rFonts w:ascii="Arial" w:hAnsi="Arial" w:cs="Arial"/>
          <w:sz w:val="22"/>
          <w:szCs w:val="22"/>
          <w:lang w:val="en-GB"/>
        </w:rPr>
        <w:t xml:space="preserve"> (MOH)</w:t>
      </w:r>
      <w:r w:rsidR="00AE2C77" w:rsidRPr="00A94212">
        <w:rPr>
          <w:rFonts w:ascii="Arial" w:hAnsi="Arial" w:cs="Arial"/>
          <w:sz w:val="22"/>
          <w:szCs w:val="22"/>
          <w:lang w:val="en-GB"/>
        </w:rPr>
        <w:t xml:space="preserve"> </w:t>
      </w:r>
      <w:r w:rsidR="00AE2C77">
        <w:rPr>
          <w:rFonts w:ascii="Arial" w:hAnsi="Arial" w:cs="Arial"/>
          <w:sz w:val="22"/>
          <w:szCs w:val="22"/>
          <w:lang w:val="en-GB"/>
        </w:rPr>
        <w:t xml:space="preserve">having a pivotal role </w:t>
      </w:r>
      <w:r w:rsidR="00AE2C77" w:rsidRPr="00A94212">
        <w:rPr>
          <w:rFonts w:ascii="Arial" w:hAnsi="Arial" w:cs="Arial"/>
          <w:sz w:val="22"/>
          <w:szCs w:val="22"/>
          <w:lang w:val="en-GB"/>
        </w:rPr>
        <w:t xml:space="preserve">and </w:t>
      </w:r>
      <w:r w:rsidR="00AE2C77">
        <w:rPr>
          <w:rFonts w:ascii="Arial" w:hAnsi="Arial" w:cs="Arial"/>
          <w:sz w:val="22"/>
          <w:szCs w:val="22"/>
          <w:lang w:val="en-GB"/>
        </w:rPr>
        <w:t xml:space="preserve">being </w:t>
      </w:r>
      <w:r w:rsidR="00AE2C77" w:rsidRPr="00A94212">
        <w:rPr>
          <w:rFonts w:ascii="Arial" w:hAnsi="Arial" w:cs="Arial"/>
          <w:sz w:val="22"/>
          <w:szCs w:val="22"/>
          <w:lang w:val="en-GB"/>
        </w:rPr>
        <w:t>support</w:t>
      </w:r>
      <w:r w:rsidR="00AE2C77">
        <w:rPr>
          <w:rFonts w:ascii="Arial" w:hAnsi="Arial" w:cs="Arial"/>
          <w:sz w:val="22"/>
          <w:szCs w:val="22"/>
          <w:lang w:val="en-GB"/>
        </w:rPr>
        <w:t>ed</w:t>
      </w:r>
      <w:r w:rsidR="00AE2C77" w:rsidRPr="00A94212">
        <w:rPr>
          <w:rFonts w:ascii="Arial" w:hAnsi="Arial" w:cs="Arial"/>
          <w:sz w:val="22"/>
          <w:szCs w:val="22"/>
          <w:lang w:val="en-GB"/>
        </w:rPr>
        <w:t xml:space="preserve"> </w:t>
      </w:r>
      <w:r w:rsidR="00AE2C77">
        <w:rPr>
          <w:rFonts w:ascii="Arial" w:hAnsi="Arial" w:cs="Arial"/>
          <w:sz w:val="22"/>
          <w:szCs w:val="22"/>
          <w:lang w:val="en-GB"/>
        </w:rPr>
        <w:t>by</w:t>
      </w:r>
      <w:r w:rsidR="00AE2C77" w:rsidRPr="00A94212">
        <w:rPr>
          <w:rFonts w:ascii="Arial" w:hAnsi="Arial" w:cs="Arial"/>
          <w:sz w:val="22"/>
          <w:szCs w:val="22"/>
          <w:lang w:val="en-GB"/>
        </w:rPr>
        <w:t xml:space="preserve"> </w:t>
      </w:r>
      <w:r w:rsidR="00AE2C77">
        <w:rPr>
          <w:rFonts w:ascii="Arial" w:hAnsi="Arial" w:cs="Arial"/>
          <w:sz w:val="22"/>
          <w:szCs w:val="22"/>
          <w:lang w:val="en-GB"/>
        </w:rPr>
        <w:t>an</w:t>
      </w:r>
      <w:r w:rsidR="00AE2C77" w:rsidRPr="00BD7397">
        <w:rPr>
          <w:rFonts w:ascii="Arial" w:hAnsi="Arial" w:cs="Arial"/>
          <w:sz w:val="22"/>
          <w:szCs w:val="22"/>
          <w:lang w:val="en-GB"/>
        </w:rPr>
        <w:t xml:space="preserve"> Outbreak Management Team</w:t>
      </w:r>
      <w:r w:rsidR="00AE2C77">
        <w:rPr>
          <w:rFonts w:ascii="Arial" w:hAnsi="Arial" w:cs="Arial"/>
          <w:sz w:val="22"/>
          <w:szCs w:val="22"/>
          <w:lang w:val="en-GB"/>
        </w:rPr>
        <w:t xml:space="preserve"> (OMT) involving p</w:t>
      </w:r>
      <w:r w:rsidR="00AE2C77" w:rsidRPr="00121551">
        <w:rPr>
          <w:rFonts w:ascii="Arial" w:hAnsi="Arial" w:cs="Arial"/>
          <w:sz w:val="22"/>
          <w:szCs w:val="22"/>
          <w:lang w:val="en-GB"/>
        </w:rPr>
        <w:t xml:space="preserve">ublic </w:t>
      </w:r>
      <w:r w:rsidR="00AE2C77">
        <w:rPr>
          <w:rFonts w:ascii="Arial" w:hAnsi="Arial" w:cs="Arial"/>
          <w:sz w:val="22"/>
          <w:szCs w:val="22"/>
          <w:lang w:val="en-GB"/>
        </w:rPr>
        <w:t>h</w:t>
      </w:r>
      <w:r w:rsidR="00AE2C77" w:rsidRPr="00121551">
        <w:rPr>
          <w:rFonts w:ascii="Arial" w:hAnsi="Arial" w:cs="Arial"/>
          <w:sz w:val="22"/>
          <w:szCs w:val="22"/>
          <w:lang w:val="en-GB"/>
        </w:rPr>
        <w:t xml:space="preserve">ealth specialists, epidemiologists, and clinicians. </w:t>
      </w:r>
      <w:r w:rsidR="00AE2C77" w:rsidRPr="00FF4A12">
        <w:rPr>
          <w:rFonts w:ascii="Arial" w:hAnsi="Arial" w:cs="Arial"/>
          <w:sz w:val="22"/>
          <w:szCs w:val="22"/>
        </w:rPr>
        <w:t xml:space="preserve">The infection rate for the country </w:t>
      </w:r>
      <w:r w:rsidR="00AE2C77">
        <w:rPr>
          <w:rFonts w:ascii="Arial" w:hAnsi="Arial" w:cs="Arial"/>
          <w:sz w:val="22"/>
          <w:szCs w:val="22"/>
        </w:rPr>
        <w:t>stands at</w:t>
      </w:r>
      <w:r w:rsidR="00AE2C77" w:rsidRPr="00FF4A12">
        <w:rPr>
          <w:rFonts w:ascii="Arial" w:hAnsi="Arial" w:cs="Arial"/>
          <w:sz w:val="22"/>
          <w:szCs w:val="22"/>
        </w:rPr>
        <w:t xml:space="preserve"> 1,267 per 100,000 population (total population is 575,991)</w:t>
      </w:r>
      <w:r w:rsidR="00AE2C77" w:rsidRPr="00D866C8">
        <w:rPr>
          <w:rFonts w:ascii="Arial" w:hAnsi="Arial" w:cs="Arial"/>
          <w:sz w:val="22"/>
          <w:szCs w:val="22"/>
          <w:lang w:val="en-GB"/>
        </w:rPr>
        <w:t xml:space="preserve">. </w:t>
      </w:r>
      <w:r w:rsidR="00AE2C77" w:rsidRPr="00D866C8">
        <w:rPr>
          <w:rFonts w:ascii="Arial" w:hAnsi="Arial" w:cs="Arial"/>
          <w:sz w:val="22"/>
          <w:szCs w:val="22"/>
        </w:rPr>
        <w:t xml:space="preserve">As of </w:t>
      </w:r>
      <w:r w:rsidR="00AE2C77">
        <w:rPr>
          <w:rFonts w:ascii="Arial" w:hAnsi="Arial" w:cs="Arial"/>
          <w:sz w:val="22"/>
          <w:szCs w:val="22"/>
        </w:rPr>
        <w:t>March</w:t>
      </w:r>
      <w:r w:rsidR="00AE2C77" w:rsidRPr="00D866C8">
        <w:rPr>
          <w:rFonts w:ascii="Arial" w:hAnsi="Arial" w:cs="Arial"/>
          <w:sz w:val="22"/>
          <w:szCs w:val="22"/>
        </w:rPr>
        <w:t xml:space="preserve"> </w:t>
      </w:r>
      <w:r w:rsidR="00AE2C77">
        <w:rPr>
          <w:rFonts w:ascii="Arial" w:hAnsi="Arial" w:cs="Arial"/>
          <w:sz w:val="22"/>
          <w:szCs w:val="22"/>
        </w:rPr>
        <w:t>15</w:t>
      </w:r>
      <w:r w:rsidR="00AE2C77" w:rsidRPr="00D866C8">
        <w:rPr>
          <w:rFonts w:ascii="Arial" w:hAnsi="Arial" w:cs="Arial"/>
          <w:sz w:val="22"/>
          <w:szCs w:val="22"/>
        </w:rPr>
        <w:t>, 2021,</w:t>
      </w:r>
      <w:r w:rsidR="00AE2C77" w:rsidRPr="00D866C8">
        <w:rPr>
          <w:rFonts w:ascii="Arial" w:hAnsi="Arial" w:cs="Arial"/>
          <w:b/>
          <w:bCs/>
          <w:sz w:val="22"/>
          <w:szCs w:val="22"/>
        </w:rPr>
        <w:t xml:space="preserve"> </w:t>
      </w:r>
      <w:r w:rsidR="00AE2C77">
        <w:rPr>
          <w:rFonts w:ascii="Arial" w:hAnsi="Arial" w:cs="Arial"/>
          <w:sz w:val="22"/>
          <w:szCs w:val="22"/>
        </w:rPr>
        <w:t>9,024 </w:t>
      </w:r>
      <w:r w:rsidR="00AE2C77" w:rsidRPr="00D866C8">
        <w:rPr>
          <w:rFonts w:ascii="Arial" w:hAnsi="Arial" w:cs="Arial"/>
          <w:sz w:val="22"/>
          <w:szCs w:val="22"/>
        </w:rPr>
        <w:t>confirmed cases and 1</w:t>
      </w:r>
      <w:r w:rsidR="00AE2C77">
        <w:rPr>
          <w:rFonts w:ascii="Arial" w:hAnsi="Arial" w:cs="Arial"/>
          <w:sz w:val="22"/>
          <w:szCs w:val="22"/>
        </w:rPr>
        <w:t>76</w:t>
      </w:r>
      <w:r w:rsidR="00AE2C77" w:rsidRPr="00D866C8">
        <w:rPr>
          <w:rFonts w:ascii="Arial" w:hAnsi="Arial" w:cs="Arial"/>
          <w:sz w:val="22"/>
          <w:szCs w:val="22"/>
        </w:rPr>
        <w:t xml:space="preserve"> deaths are reported</w:t>
      </w:r>
      <w:r w:rsidR="00DF13E7" w:rsidRPr="00D866C8">
        <w:rPr>
          <w:rFonts w:ascii="Arial" w:hAnsi="Arial" w:cs="Arial"/>
          <w:sz w:val="22"/>
          <w:szCs w:val="22"/>
        </w:rPr>
        <w:t>.</w:t>
      </w:r>
      <w:r w:rsidR="00DF13E7" w:rsidRPr="00D866C8">
        <w:rPr>
          <w:rStyle w:val="FootnoteReference"/>
          <w:rFonts w:ascii="Arial" w:hAnsi="Arial" w:cs="Arial"/>
          <w:sz w:val="22"/>
          <w:szCs w:val="22"/>
        </w:rPr>
        <w:footnoteReference w:id="4"/>
      </w:r>
    </w:p>
    <w:p w14:paraId="47D33BAB" w14:textId="69D4E0AA" w:rsidR="00617868" w:rsidRDefault="00A5261B" w:rsidP="00617868">
      <w:pPr>
        <w:pStyle w:val="Paragraph"/>
        <w:numPr>
          <w:ilvl w:val="1"/>
          <w:numId w:val="13"/>
        </w:numPr>
        <w:tabs>
          <w:tab w:val="clear" w:pos="2448"/>
          <w:tab w:val="num" w:pos="720"/>
        </w:tabs>
        <w:ind w:left="720" w:hanging="720"/>
        <w:rPr>
          <w:rFonts w:ascii="Arial" w:hAnsi="Arial" w:cs="Arial"/>
          <w:sz w:val="22"/>
          <w:szCs w:val="22"/>
        </w:rPr>
      </w:pPr>
      <w:r w:rsidRPr="00A5261B">
        <w:rPr>
          <w:rFonts w:ascii="Arial" w:hAnsi="Arial" w:cs="Arial"/>
          <w:b/>
          <w:bCs/>
          <w:sz w:val="22"/>
          <w:szCs w:val="22"/>
        </w:rPr>
        <w:t>Challenges</w:t>
      </w:r>
      <w:r w:rsidR="00617868" w:rsidRPr="00B81BBB">
        <w:rPr>
          <w:rFonts w:ascii="Arial" w:hAnsi="Arial" w:cs="Arial"/>
          <w:sz w:val="22"/>
          <w:szCs w:val="22"/>
        </w:rPr>
        <w:t xml:space="preserve"> </w:t>
      </w:r>
      <w:r w:rsidR="00C1341D" w:rsidRPr="008312FB">
        <w:rPr>
          <w:rFonts w:ascii="Arial" w:hAnsi="Arial" w:cs="Arial"/>
          <w:b/>
          <w:bCs/>
          <w:sz w:val="22"/>
          <w:szCs w:val="22"/>
        </w:rPr>
        <w:t>and progress.</w:t>
      </w:r>
      <w:r w:rsidR="00C1341D" w:rsidRPr="008312FB">
        <w:rPr>
          <w:rFonts w:ascii="Arial" w:hAnsi="Arial" w:cs="Arial"/>
          <w:sz w:val="22"/>
          <w:szCs w:val="22"/>
        </w:rPr>
        <w:t xml:space="preserve"> </w:t>
      </w:r>
      <w:bookmarkStart w:id="6" w:name="_Hlk42964404"/>
      <w:r w:rsidR="00DF13E7">
        <w:rPr>
          <w:rFonts w:ascii="Arial" w:hAnsi="Arial" w:cs="Arial"/>
          <w:sz w:val="22"/>
          <w:szCs w:val="22"/>
        </w:rPr>
        <w:t>Suriname</w:t>
      </w:r>
      <w:r w:rsidR="00DF13E7" w:rsidRPr="009267DB">
        <w:rPr>
          <w:rFonts w:ascii="Arial" w:hAnsi="Arial" w:cs="Arial"/>
          <w:sz w:val="22"/>
          <w:szCs w:val="22"/>
        </w:rPr>
        <w:t xml:space="preserve">’s operational capacity to manage a pandemic </w:t>
      </w:r>
      <w:r w:rsidR="00DF13E7">
        <w:rPr>
          <w:rFonts w:ascii="Arial" w:hAnsi="Arial" w:cs="Arial"/>
          <w:sz w:val="22"/>
          <w:szCs w:val="22"/>
        </w:rPr>
        <w:t>is</w:t>
      </w:r>
      <w:r w:rsidR="00DF13E7" w:rsidRPr="00550F2A">
        <w:rPr>
          <w:rFonts w:ascii="Arial" w:hAnsi="Arial" w:cs="Arial"/>
          <w:sz w:val="22"/>
          <w:szCs w:val="22"/>
        </w:rPr>
        <w:t xml:space="preserve"> </w:t>
      </w:r>
      <w:r w:rsidR="00DF13E7" w:rsidRPr="009267DB">
        <w:rPr>
          <w:rFonts w:ascii="Arial" w:hAnsi="Arial" w:cs="Arial"/>
          <w:sz w:val="22"/>
          <w:szCs w:val="22"/>
        </w:rPr>
        <w:t xml:space="preserve">classified </w:t>
      </w:r>
      <w:r w:rsidR="00DF13E7">
        <w:rPr>
          <w:rFonts w:ascii="Arial" w:hAnsi="Arial" w:cs="Arial"/>
          <w:sz w:val="22"/>
          <w:szCs w:val="22"/>
        </w:rPr>
        <w:t>as medium</w:t>
      </w:r>
      <w:r w:rsidR="00DF13E7" w:rsidRPr="009267DB">
        <w:rPr>
          <w:rFonts w:ascii="Arial" w:hAnsi="Arial" w:cs="Arial"/>
          <w:sz w:val="22"/>
          <w:szCs w:val="22"/>
        </w:rPr>
        <w:t xml:space="preserve"> </w:t>
      </w:r>
      <w:r w:rsidR="00DF13E7">
        <w:rPr>
          <w:rFonts w:ascii="Arial" w:hAnsi="Arial" w:cs="Arial"/>
          <w:sz w:val="22"/>
          <w:szCs w:val="22"/>
        </w:rPr>
        <w:t xml:space="preserve">by the </w:t>
      </w:r>
      <w:r w:rsidR="00DF13E7" w:rsidRPr="009267DB">
        <w:rPr>
          <w:rFonts w:ascii="Arial" w:hAnsi="Arial" w:cs="Arial"/>
          <w:sz w:val="22"/>
          <w:szCs w:val="22"/>
        </w:rPr>
        <w:t>WHO</w:t>
      </w:r>
      <w:r w:rsidR="00DF13E7" w:rsidRPr="00D82DE6">
        <w:rPr>
          <w:rFonts w:ascii="Arial" w:hAnsi="Arial" w:cs="Arial"/>
          <w:sz w:val="22"/>
          <w:szCs w:val="22"/>
          <w:lang w:val="en-GB"/>
        </w:rPr>
        <w:t xml:space="preserve">, </w:t>
      </w:r>
      <w:r w:rsidR="00DF13E7">
        <w:rPr>
          <w:rFonts w:ascii="Arial" w:hAnsi="Arial" w:cs="Arial"/>
          <w:sz w:val="22"/>
          <w:szCs w:val="22"/>
          <w:lang w:val="en-GB"/>
        </w:rPr>
        <w:t xml:space="preserve">due to </w:t>
      </w:r>
      <w:r w:rsidR="00DF13E7" w:rsidRPr="00D82DE6">
        <w:rPr>
          <w:rFonts w:ascii="Arial" w:hAnsi="Arial" w:cs="Arial"/>
          <w:sz w:val="22"/>
          <w:szCs w:val="22"/>
          <w:lang w:val="en-GB"/>
        </w:rPr>
        <w:t>certain deficiencies in the health system. The rapid increase in detected COVID-19 cases</w:t>
      </w:r>
      <w:r w:rsidR="00DF13E7">
        <w:rPr>
          <w:rFonts w:ascii="Arial" w:hAnsi="Arial" w:cs="Arial"/>
          <w:sz w:val="22"/>
          <w:szCs w:val="22"/>
          <w:lang w:val="en-GB"/>
        </w:rPr>
        <w:t xml:space="preserve"> after May </w:t>
      </w:r>
      <w:r w:rsidR="00DF13E7" w:rsidRPr="00D82DE6">
        <w:rPr>
          <w:rFonts w:ascii="Arial" w:hAnsi="Arial" w:cs="Arial"/>
          <w:sz w:val="22"/>
          <w:szCs w:val="22"/>
          <w:lang w:val="en-GB"/>
        </w:rPr>
        <w:t xml:space="preserve">put pressure on the country's health systems, exacerbating capacity gaps and the quality of the emergency response. To respond to these challenges, </w:t>
      </w:r>
      <w:r w:rsidR="00DF13E7">
        <w:rPr>
          <w:rFonts w:ascii="Arial" w:hAnsi="Arial" w:cs="Arial"/>
          <w:sz w:val="22"/>
          <w:szCs w:val="22"/>
          <w:lang w:val="en-GB"/>
        </w:rPr>
        <w:t xml:space="preserve">in June </w:t>
      </w:r>
      <w:r w:rsidR="00DF13E7" w:rsidRPr="00D82DE6">
        <w:rPr>
          <w:rFonts w:ascii="Arial" w:hAnsi="Arial" w:cs="Arial"/>
          <w:sz w:val="22"/>
          <w:szCs w:val="22"/>
          <w:lang w:val="en-GB"/>
        </w:rPr>
        <w:t xml:space="preserve">the </w:t>
      </w:r>
      <w:r w:rsidR="00DF13E7">
        <w:rPr>
          <w:rFonts w:ascii="Arial" w:hAnsi="Arial" w:cs="Arial"/>
          <w:sz w:val="22"/>
          <w:szCs w:val="22"/>
          <w:lang w:val="en-GB"/>
        </w:rPr>
        <w:t>M</w:t>
      </w:r>
      <w:r w:rsidR="00953DC6">
        <w:rPr>
          <w:rFonts w:ascii="Arial" w:hAnsi="Arial" w:cs="Arial"/>
          <w:sz w:val="22"/>
          <w:szCs w:val="22"/>
          <w:lang w:val="en-GB"/>
        </w:rPr>
        <w:t>O</w:t>
      </w:r>
      <w:r w:rsidR="00DF13E7">
        <w:rPr>
          <w:rFonts w:ascii="Arial" w:hAnsi="Arial" w:cs="Arial"/>
          <w:sz w:val="22"/>
          <w:szCs w:val="22"/>
          <w:lang w:val="en-GB"/>
        </w:rPr>
        <w:t>H,</w:t>
      </w:r>
      <w:r w:rsidR="00DF13E7" w:rsidRPr="00D82DE6">
        <w:rPr>
          <w:rFonts w:ascii="Arial" w:hAnsi="Arial" w:cs="Arial"/>
          <w:sz w:val="22"/>
          <w:szCs w:val="22"/>
          <w:lang w:val="en-GB"/>
        </w:rPr>
        <w:t xml:space="preserve"> with the support of IDB and </w:t>
      </w:r>
      <w:r w:rsidR="00DF13E7">
        <w:rPr>
          <w:rFonts w:ascii="Arial" w:hAnsi="Arial" w:cs="Arial"/>
          <w:sz w:val="22"/>
          <w:szCs w:val="22"/>
          <w:lang w:val="en-GB"/>
        </w:rPr>
        <w:t xml:space="preserve">the </w:t>
      </w:r>
      <w:r w:rsidR="00DF13E7" w:rsidRPr="005F4FDF">
        <w:rPr>
          <w:rFonts w:ascii="Arial" w:hAnsi="Arial" w:cs="Arial"/>
          <w:sz w:val="22"/>
          <w:szCs w:val="22"/>
        </w:rPr>
        <w:t xml:space="preserve">Pan-American Health Organization </w:t>
      </w:r>
      <w:r w:rsidR="00DF13E7">
        <w:rPr>
          <w:rFonts w:ascii="Arial" w:hAnsi="Arial" w:cs="Arial"/>
          <w:sz w:val="22"/>
          <w:szCs w:val="22"/>
        </w:rPr>
        <w:t>(</w:t>
      </w:r>
      <w:r w:rsidR="00DF13E7" w:rsidRPr="009267DB">
        <w:rPr>
          <w:rFonts w:ascii="Arial" w:hAnsi="Arial" w:cs="Arial"/>
          <w:sz w:val="22"/>
          <w:szCs w:val="22"/>
        </w:rPr>
        <w:t>PAHO</w:t>
      </w:r>
      <w:r w:rsidR="00DF13E7">
        <w:rPr>
          <w:rFonts w:ascii="Arial" w:hAnsi="Arial" w:cs="Arial"/>
          <w:sz w:val="22"/>
          <w:szCs w:val="22"/>
        </w:rPr>
        <w:t>),</w:t>
      </w:r>
      <w:r w:rsidR="00DF13E7" w:rsidRPr="009267DB">
        <w:rPr>
          <w:rFonts w:ascii="Arial" w:hAnsi="Arial" w:cs="Arial"/>
          <w:sz w:val="22"/>
          <w:szCs w:val="22"/>
        </w:rPr>
        <w:t xml:space="preserve"> </w:t>
      </w:r>
      <w:r w:rsidR="00DF13E7">
        <w:rPr>
          <w:rFonts w:ascii="Arial" w:hAnsi="Arial" w:cs="Arial"/>
          <w:sz w:val="22"/>
          <w:szCs w:val="22"/>
          <w:lang w:val="en-GB"/>
        </w:rPr>
        <w:t xml:space="preserve">issued </w:t>
      </w:r>
      <w:r w:rsidR="00DF13E7" w:rsidRPr="00D82DE6">
        <w:rPr>
          <w:rFonts w:ascii="Arial" w:hAnsi="Arial" w:cs="Arial"/>
          <w:sz w:val="22"/>
          <w:szCs w:val="22"/>
          <w:lang w:val="en-GB"/>
        </w:rPr>
        <w:t xml:space="preserve">the </w:t>
      </w:r>
      <w:hyperlink r:id="rId18" w:history="1">
        <w:r w:rsidR="008657BF">
          <w:rPr>
            <w:rStyle w:val="Hyperlink"/>
            <w:rFonts w:ascii="Arial" w:hAnsi="Arial" w:cs="Arial"/>
            <w:sz w:val="22"/>
            <w:szCs w:val="22"/>
          </w:rPr>
          <w:t>Comprehensive National Preparedness and Response Plan for COVID</w:t>
        </w:r>
        <w:r w:rsidR="008657BF">
          <w:rPr>
            <w:rStyle w:val="Hyperlink"/>
            <w:rFonts w:ascii="Arial" w:hAnsi="Arial" w:cs="Arial"/>
            <w:sz w:val="22"/>
            <w:szCs w:val="22"/>
          </w:rPr>
          <w:noBreakHyphen/>
          <w:t>19 (CNPRP)</w:t>
        </w:r>
      </w:hyperlink>
      <w:r w:rsidR="00DF13E7" w:rsidRPr="006740CE">
        <w:rPr>
          <w:rFonts w:ascii="Arial" w:hAnsi="Arial" w:cs="Arial"/>
          <w:sz w:val="22"/>
          <w:szCs w:val="22"/>
        </w:rPr>
        <w:t xml:space="preserve"> </w:t>
      </w:r>
      <w:r w:rsidR="00DF13E7" w:rsidRPr="009267DB">
        <w:rPr>
          <w:rFonts w:ascii="Arial" w:hAnsi="Arial" w:cs="Arial"/>
          <w:sz w:val="22"/>
          <w:szCs w:val="22"/>
        </w:rPr>
        <w:t>(</w:t>
      </w:r>
      <w:r w:rsidR="00DF13E7" w:rsidRPr="00E84EFE">
        <w:rPr>
          <w:rFonts w:ascii="Arial" w:hAnsi="Arial" w:cs="Arial"/>
          <w:sz w:val="22"/>
          <w:szCs w:val="22"/>
        </w:rPr>
        <w:t>OEL#</w:t>
      </w:r>
      <w:r w:rsidR="00DF13E7">
        <w:rPr>
          <w:rFonts w:ascii="Arial" w:hAnsi="Arial" w:cs="Arial"/>
          <w:sz w:val="22"/>
          <w:szCs w:val="22"/>
        </w:rPr>
        <w:t>5</w:t>
      </w:r>
      <w:r w:rsidR="00DF13E7" w:rsidRPr="0033752E">
        <w:rPr>
          <w:rFonts w:ascii="Arial" w:hAnsi="Arial" w:cs="Arial"/>
          <w:sz w:val="22"/>
          <w:szCs w:val="22"/>
        </w:rPr>
        <w:t>)</w:t>
      </w:r>
      <w:r w:rsidR="00DF13E7">
        <w:rPr>
          <w:rFonts w:ascii="Arial" w:hAnsi="Arial" w:cs="Arial"/>
          <w:sz w:val="22"/>
          <w:szCs w:val="22"/>
        </w:rPr>
        <w:t xml:space="preserve">, </w:t>
      </w:r>
      <w:r w:rsidR="00DF13E7">
        <w:rPr>
          <w:rFonts w:ascii="Arial" w:hAnsi="Arial" w:cs="Arial"/>
          <w:sz w:val="22"/>
          <w:szCs w:val="22"/>
          <w:lang w:val="en-GB"/>
        </w:rPr>
        <w:t>based on</w:t>
      </w:r>
      <w:r w:rsidR="00DF13E7">
        <w:rPr>
          <w:rFonts w:ascii="Arial" w:hAnsi="Arial" w:cs="Arial"/>
          <w:sz w:val="22"/>
          <w:szCs w:val="22"/>
        </w:rPr>
        <w:t xml:space="preserve"> the </w:t>
      </w:r>
      <w:r w:rsidR="00DF13E7" w:rsidRPr="009267DB">
        <w:rPr>
          <w:rFonts w:ascii="Arial" w:hAnsi="Arial" w:cs="Arial"/>
          <w:sz w:val="22"/>
          <w:szCs w:val="22"/>
        </w:rPr>
        <w:t xml:space="preserve">WHO guidelines for drafting a </w:t>
      </w:r>
      <w:hyperlink r:id="rId19" w:history="1">
        <w:r w:rsidR="00DF13E7" w:rsidRPr="00DE35FF">
          <w:rPr>
            <w:rStyle w:val="Hyperlink"/>
            <w:rFonts w:ascii="Arial" w:hAnsi="Arial" w:cs="Arial"/>
            <w:sz w:val="22"/>
            <w:szCs w:val="22"/>
          </w:rPr>
          <w:t>COVID</w:t>
        </w:r>
        <w:r w:rsidR="008657BF">
          <w:rPr>
            <w:rStyle w:val="Hyperlink"/>
            <w:rFonts w:ascii="Arial" w:hAnsi="Arial" w:cs="Arial"/>
            <w:sz w:val="22"/>
            <w:szCs w:val="22"/>
          </w:rPr>
          <w:noBreakHyphen/>
        </w:r>
        <w:r w:rsidR="00DF13E7" w:rsidRPr="00DE35FF">
          <w:rPr>
            <w:rStyle w:val="Hyperlink"/>
            <w:rFonts w:ascii="Arial" w:hAnsi="Arial" w:cs="Arial"/>
            <w:sz w:val="22"/>
            <w:szCs w:val="22"/>
          </w:rPr>
          <w:t>19 Strategic Preparedness and Response Plan</w:t>
        </w:r>
      </w:hyperlink>
      <w:r w:rsidR="00DF13E7">
        <w:rPr>
          <w:rFonts w:ascii="Arial" w:hAnsi="Arial" w:cs="Arial"/>
          <w:sz w:val="22"/>
          <w:szCs w:val="22"/>
        </w:rPr>
        <w:t xml:space="preserve"> </w:t>
      </w:r>
      <w:r w:rsidR="00DF13E7" w:rsidRPr="004F3A95">
        <w:rPr>
          <w:rFonts w:ascii="Arial" w:hAnsi="Arial" w:cs="Arial"/>
          <w:sz w:val="22"/>
          <w:szCs w:val="22"/>
        </w:rPr>
        <w:t>(</w:t>
      </w:r>
      <w:r w:rsidR="00DF13E7" w:rsidRPr="00DE35FF">
        <w:rPr>
          <w:rFonts w:ascii="Arial" w:hAnsi="Arial" w:cs="Arial"/>
          <w:sz w:val="22"/>
          <w:szCs w:val="22"/>
        </w:rPr>
        <w:t>OEL#4</w:t>
      </w:r>
      <w:r w:rsidR="00DF13E7" w:rsidRPr="004F3A95">
        <w:rPr>
          <w:rFonts w:ascii="Arial" w:hAnsi="Arial" w:cs="Arial"/>
          <w:sz w:val="22"/>
          <w:szCs w:val="22"/>
        </w:rPr>
        <w:t>)</w:t>
      </w:r>
      <w:r w:rsidR="00DF13E7">
        <w:rPr>
          <w:rStyle w:val="FootnoteReference"/>
          <w:rFonts w:ascii="Arial" w:hAnsi="Arial" w:cs="Arial"/>
          <w:sz w:val="22"/>
          <w:szCs w:val="22"/>
        </w:rPr>
        <w:footnoteReference w:id="5"/>
      </w:r>
      <w:r w:rsidR="00DF13E7" w:rsidRPr="00D82DE6">
        <w:rPr>
          <w:rFonts w:ascii="Arial" w:hAnsi="Arial" w:cs="Arial"/>
          <w:sz w:val="22"/>
          <w:szCs w:val="22"/>
          <w:lang w:val="en-GB"/>
        </w:rPr>
        <w:t>.</w:t>
      </w:r>
      <w:r w:rsidR="00DF13E7">
        <w:rPr>
          <w:rFonts w:ascii="Arial" w:hAnsi="Arial" w:cs="Arial"/>
          <w:sz w:val="22"/>
          <w:szCs w:val="22"/>
          <w:lang w:val="en-GB"/>
        </w:rPr>
        <w:t xml:space="preserve"> </w:t>
      </w:r>
      <w:r w:rsidR="00DF13E7" w:rsidRPr="00D82DE6">
        <w:rPr>
          <w:rFonts w:ascii="Arial" w:hAnsi="Arial" w:cs="Arial"/>
          <w:sz w:val="22"/>
          <w:szCs w:val="22"/>
          <w:lang w:val="en-GB"/>
        </w:rPr>
        <w:t xml:space="preserve">Below is a summary of the actions or investments planned in the </w:t>
      </w:r>
      <w:r w:rsidR="00DF13E7" w:rsidRPr="00CD3256">
        <w:rPr>
          <w:rFonts w:ascii="Arial" w:hAnsi="Arial" w:cs="Arial"/>
          <w:sz w:val="22"/>
          <w:szCs w:val="22"/>
          <w:lang w:val="en-GB"/>
        </w:rPr>
        <w:t>nine</w:t>
      </w:r>
      <w:r w:rsidR="00DF13E7">
        <w:rPr>
          <w:rFonts w:ascii="Arial" w:hAnsi="Arial" w:cs="Arial"/>
          <w:sz w:val="22"/>
          <w:szCs w:val="22"/>
          <w:lang w:val="en-GB"/>
        </w:rPr>
        <w:t xml:space="preserve"> </w:t>
      </w:r>
      <w:r w:rsidR="00DF13E7" w:rsidRPr="00D82DE6">
        <w:rPr>
          <w:rFonts w:ascii="Arial" w:hAnsi="Arial" w:cs="Arial"/>
          <w:sz w:val="22"/>
          <w:szCs w:val="22"/>
          <w:lang w:val="en-GB"/>
        </w:rPr>
        <w:t xml:space="preserve">strategic pillars of the </w:t>
      </w:r>
      <w:hyperlink r:id="rId20" w:history="1">
        <w:r w:rsidR="00DF13E7" w:rsidRPr="00694D1F">
          <w:rPr>
            <w:rStyle w:val="Hyperlink"/>
            <w:rFonts w:ascii="Arial" w:hAnsi="Arial" w:cs="Arial"/>
            <w:sz w:val="22"/>
            <w:szCs w:val="22"/>
            <w:lang w:val="en-GB"/>
          </w:rPr>
          <w:t>CNPRP</w:t>
        </w:r>
      </w:hyperlink>
      <w:r w:rsidR="00DF13E7" w:rsidRPr="00D82DE6">
        <w:rPr>
          <w:rFonts w:ascii="Arial" w:hAnsi="Arial" w:cs="Arial"/>
          <w:sz w:val="22"/>
          <w:szCs w:val="22"/>
          <w:lang w:val="en-GB"/>
        </w:rPr>
        <w:t>,</w:t>
      </w:r>
      <w:r w:rsidR="00DF13E7">
        <w:rPr>
          <w:rFonts w:ascii="Arial" w:hAnsi="Arial" w:cs="Arial"/>
          <w:sz w:val="22"/>
          <w:szCs w:val="22"/>
          <w:lang w:val="en-GB"/>
        </w:rPr>
        <w:t xml:space="preserve"> as well as the main challenges facing the country</w:t>
      </w:r>
      <w:r w:rsidR="00C1341D" w:rsidRPr="009267DB">
        <w:rPr>
          <w:rFonts w:ascii="Arial" w:hAnsi="Arial" w:cs="Arial"/>
          <w:sz w:val="22"/>
          <w:szCs w:val="22"/>
        </w:rPr>
        <w:t>.</w:t>
      </w:r>
      <w:bookmarkEnd w:id="6"/>
    </w:p>
    <w:p w14:paraId="72AA5F7B" w14:textId="35F2FF9F" w:rsidR="00A274DC" w:rsidRPr="005A73EA" w:rsidRDefault="00A274DC" w:rsidP="00DF5F65">
      <w:pPr>
        <w:pStyle w:val="Paragraph"/>
        <w:numPr>
          <w:ilvl w:val="1"/>
          <w:numId w:val="13"/>
        </w:numPr>
        <w:tabs>
          <w:tab w:val="clear" w:pos="2448"/>
          <w:tab w:val="num" w:pos="720"/>
        </w:tabs>
        <w:ind w:left="720" w:hanging="720"/>
        <w:rPr>
          <w:rFonts w:ascii="Arial" w:hAnsi="Arial" w:cs="Arial"/>
          <w:sz w:val="22"/>
          <w:szCs w:val="22"/>
        </w:rPr>
      </w:pPr>
      <w:r w:rsidRPr="005A73EA">
        <w:rPr>
          <w:rFonts w:ascii="Arial" w:hAnsi="Arial" w:cs="Arial"/>
          <w:b/>
          <w:bCs/>
          <w:sz w:val="22"/>
          <w:szCs w:val="22"/>
        </w:rPr>
        <w:t xml:space="preserve">Costs of emergency response. </w:t>
      </w:r>
      <w:r w:rsidR="00DF13E7" w:rsidRPr="005A73EA">
        <w:rPr>
          <w:rFonts w:ascii="Arial" w:hAnsi="Arial" w:cs="Arial"/>
          <w:sz w:val="22"/>
          <w:szCs w:val="22"/>
        </w:rPr>
        <w:t>W</w:t>
      </w:r>
      <w:proofErr w:type="spellStart"/>
      <w:r w:rsidR="00DF13E7" w:rsidRPr="005A73EA">
        <w:rPr>
          <w:rFonts w:ascii="Arial" w:hAnsi="Arial" w:cs="Arial"/>
          <w:bCs/>
          <w:sz w:val="22"/>
          <w:szCs w:val="22"/>
          <w:lang w:val="en-GB"/>
        </w:rPr>
        <w:t>hile</w:t>
      </w:r>
      <w:proofErr w:type="spellEnd"/>
      <w:r w:rsidR="00DF13E7" w:rsidRPr="005A73EA">
        <w:rPr>
          <w:rFonts w:ascii="Arial" w:hAnsi="Arial" w:cs="Arial"/>
          <w:bCs/>
          <w:sz w:val="22"/>
          <w:szCs w:val="22"/>
          <w:lang w:val="en-GB"/>
        </w:rPr>
        <w:t xml:space="preserve"> the government faces the challenge of strengthening its health system response and the country's ability to curb the spread of the virus, it also faces liquidity and financial constraints that limit its ability to close the gaps in preparedness and response </w:t>
      </w:r>
      <w:proofErr w:type="gramStart"/>
      <w:r w:rsidR="00DF13E7" w:rsidRPr="005A73EA">
        <w:rPr>
          <w:rFonts w:ascii="Arial" w:hAnsi="Arial" w:cs="Arial"/>
          <w:bCs/>
          <w:sz w:val="22"/>
          <w:szCs w:val="22"/>
          <w:lang w:val="en-GB"/>
        </w:rPr>
        <w:t>and also</w:t>
      </w:r>
      <w:proofErr w:type="gramEnd"/>
      <w:r w:rsidR="00DF13E7" w:rsidRPr="005A73EA">
        <w:rPr>
          <w:rFonts w:ascii="Arial" w:hAnsi="Arial" w:cs="Arial"/>
          <w:bCs/>
          <w:sz w:val="22"/>
          <w:szCs w:val="22"/>
          <w:lang w:val="en-GB"/>
        </w:rPr>
        <w:t xml:space="preserve"> maintaining health service delivery at an adequate level. </w:t>
      </w:r>
      <w:r w:rsidR="00DF13E7" w:rsidRPr="005A73EA">
        <w:rPr>
          <w:rFonts w:ascii="Arial" w:hAnsi="Arial" w:cs="Arial"/>
          <w:sz w:val="22"/>
          <w:szCs w:val="22"/>
        </w:rPr>
        <w:t>Since the start of the pandemic, an estimated US$13 million has been spent on COVID-19 related health activities over the past 7 months. M</w:t>
      </w:r>
      <w:r w:rsidR="00DF13E7" w:rsidRPr="005A73EA">
        <w:rPr>
          <w:rFonts w:ascii="Arial" w:hAnsi="Arial" w:cs="Arial"/>
          <w:bCs/>
          <w:sz w:val="22"/>
          <w:szCs w:val="22"/>
        </w:rPr>
        <w:t xml:space="preserve">ost costs will continue to be covered by either donations or by the </w:t>
      </w:r>
      <w:r w:rsidR="00EF0A7C">
        <w:rPr>
          <w:rFonts w:ascii="Arial" w:hAnsi="Arial" w:cs="Arial"/>
          <w:bCs/>
          <w:sz w:val="22"/>
          <w:szCs w:val="22"/>
        </w:rPr>
        <w:t>Government of Suriname</w:t>
      </w:r>
      <w:r w:rsidR="00DF13E7" w:rsidRPr="005A73EA">
        <w:rPr>
          <w:rFonts w:ascii="Arial" w:hAnsi="Arial" w:cs="Arial"/>
          <w:bCs/>
          <w:sz w:val="22"/>
          <w:szCs w:val="22"/>
        </w:rPr>
        <w:t xml:space="preserve"> budget</w:t>
      </w:r>
      <w:r w:rsidR="00DF13E7">
        <w:rPr>
          <w:rStyle w:val="FootnoteReference"/>
          <w:rFonts w:ascii="Arial" w:hAnsi="Arial" w:cs="Arial"/>
          <w:bCs/>
          <w:sz w:val="22"/>
          <w:szCs w:val="22"/>
        </w:rPr>
        <w:footnoteReference w:id="6"/>
      </w:r>
      <w:r w:rsidR="00DF13E7" w:rsidRPr="005A73EA">
        <w:rPr>
          <w:rFonts w:ascii="Arial" w:hAnsi="Arial" w:cs="Arial"/>
          <w:bCs/>
          <w:sz w:val="22"/>
          <w:szCs w:val="22"/>
        </w:rPr>
        <w:t>.</w:t>
      </w:r>
      <w:r w:rsidR="005A73EA" w:rsidRPr="005A73EA">
        <w:rPr>
          <w:rFonts w:ascii="Arial" w:hAnsi="Arial" w:cs="Arial"/>
          <w:bCs/>
          <w:sz w:val="22"/>
          <w:szCs w:val="22"/>
        </w:rPr>
        <w:t xml:space="preserve"> </w:t>
      </w:r>
      <w:r w:rsidR="00DF13E7" w:rsidRPr="005A73EA">
        <w:rPr>
          <w:rFonts w:ascii="Arial" w:hAnsi="Arial" w:cs="Arial"/>
          <w:bCs/>
          <w:sz w:val="22"/>
          <w:szCs w:val="22"/>
        </w:rPr>
        <w:t xml:space="preserve">The costs not covered either by </w:t>
      </w:r>
      <w:r w:rsidR="00EF0A7C">
        <w:rPr>
          <w:rFonts w:ascii="Arial" w:hAnsi="Arial" w:cs="Arial"/>
          <w:bCs/>
          <w:sz w:val="22"/>
          <w:szCs w:val="22"/>
        </w:rPr>
        <w:t>Government of Suriname</w:t>
      </w:r>
      <w:r w:rsidR="00DF13E7" w:rsidRPr="005A73EA">
        <w:rPr>
          <w:rFonts w:ascii="Arial" w:hAnsi="Arial" w:cs="Arial"/>
          <w:bCs/>
          <w:sz w:val="22"/>
          <w:szCs w:val="22"/>
        </w:rPr>
        <w:t xml:space="preserve"> budget or donations are mainly those associated with the vaccination and its deployment during 2021, estimated at approximately US$5.5 million. This would include vaccination of up to 40% of the population</w:t>
      </w:r>
      <w:r w:rsidR="00DF13E7" w:rsidRPr="005A73EA">
        <w:rPr>
          <w:rFonts w:ascii="Arial" w:hAnsi="Arial" w:cs="Arial"/>
          <w:sz w:val="22"/>
          <w:szCs w:val="22"/>
          <w:lang w:val="en-GB"/>
        </w:rPr>
        <w:t xml:space="preserve"> (and 85% of the population that is considered vulnerable)</w:t>
      </w:r>
      <w:r w:rsidR="00DF13E7" w:rsidRPr="005A73EA">
        <w:rPr>
          <w:rFonts w:ascii="Arial" w:hAnsi="Arial" w:cs="Arial"/>
          <w:bCs/>
          <w:sz w:val="22"/>
          <w:szCs w:val="22"/>
        </w:rPr>
        <w:t xml:space="preserve"> and associated costs for storage facilities and medical consumables</w:t>
      </w:r>
      <w:r w:rsidR="005A73EA">
        <w:rPr>
          <w:rFonts w:ascii="Arial" w:hAnsi="Arial" w:cs="Arial"/>
          <w:bCs/>
          <w:sz w:val="22"/>
          <w:szCs w:val="22"/>
        </w:rPr>
        <w:t>.</w:t>
      </w:r>
      <w:r w:rsidRPr="005A73EA">
        <w:rPr>
          <w:rFonts w:ascii="Arial" w:hAnsi="Arial" w:cs="Arial"/>
          <w:sz w:val="22"/>
          <w:szCs w:val="22"/>
        </w:rPr>
        <w:t xml:space="preserve"> </w:t>
      </w:r>
    </w:p>
    <w:p w14:paraId="42C4A843" w14:textId="25A97942" w:rsidR="00DF13E7" w:rsidRPr="003912A7" w:rsidRDefault="00872267" w:rsidP="00DF13E7">
      <w:pPr>
        <w:pStyle w:val="Paragraph"/>
        <w:numPr>
          <w:ilvl w:val="1"/>
          <w:numId w:val="13"/>
        </w:numPr>
        <w:tabs>
          <w:tab w:val="clear" w:pos="2448"/>
          <w:tab w:val="num" w:pos="720"/>
        </w:tabs>
        <w:autoSpaceDE w:val="0"/>
        <w:autoSpaceDN w:val="0"/>
        <w:adjustRightInd w:val="0"/>
        <w:ind w:left="720" w:hanging="720"/>
        <w:rPr>
          <w:rFonts w:ascii="Arial" w:hAnsi="Arial" w:cs="Arial"/>
          <w:b/>
          <w:sz w:val="22"/>
          <w:szCs w:val="22"/>
        </w:rPr>
      </w:pPr>
      <w:r w:rsidRPr="00DF13E7">
        <w:rPr>
          <w:rFonts w:ascii="Arial" w:hAnsi="Arial" w:cs="Arial"/>
          <w:b/>
          <w:sz w:val="22"/>
          <w:szCs w:val="22"/>
        </w:rPr>
        <w:t>Suriname</w:t>
      </w:r>
      <w:r w:rsidR="00617868" w:rsidRPr="00DF13E7">
        <w:rPr>
          <w:rFonts w:ascii="Arial" w:hAnsi="Arial" w:cs="Arial"/>
          <w:b/>
          <w:sz w:val="22"/>
          <w:szCs w:val="22"/>
        </w:rPr>
        <w:t>’s financial vulnerability</w:t>
      </w:r>
      <w:r w:rsidR="00617868" w:rsidRPr="00DF13E7">
        <w:rPr>
          <w:rFonts w:ascii="Arial" w:hAnsi="Arial" w:cs="Arial"/>
          <w:b/>
          <w:bCs/>
          <w:sz w:val="22"/>
          <w:szCs w:val="22"/>
        </w:rPr>
        <w:t>.</w:t>
      </w:r>
      <w:r w:rsidR="00DF13E7">
        <w:rPr>
          <w:rFonts w:ascii="Arial" w:hAnsi="Arial" w:cs="Arial"/>
          <w:b/>
          <w:bCs/>
          <w:sz w:val="22"/>
          <w:szCs w:val="22"/>
        </w:rPr>
        <w:t xml:space="preserve"> </w:t>
      </w:r>
      <w:r w:rsidR="00DF13E7">
        <w:rPr>
          <w:rFonts w:ascii="Arial" w:hAnsi="Arial" w:cs="Arial"/>
          <w:sz w:val="22"/>
          <w:szCs w:val="22"/>
        </w:rPr>
        <w:t>Suriname has experienced a period of macroeconomic and financial instability over the past five years. The economy, highly influenced by the mining sector as it accounts for more than 70% of total exports,</w:t>
      </w:r>
      <w:r w:rsidR="00DF13E7">
        <w:rPr>
          <w:rStyle w:val="FootnoteReference"/>
          <w:rFonts w:ascii="Arial" w:hAnsi="Arial" w:cs="Arial"/>
          <w:sz w:val="22"/>
          <w:szCs w:val="22"/>
        </w:rPr>
        <w:footnoteReference w:id="7"/>
      </w:r>
      <w:r w:rsidR="00DF13E7">
        <w:rPr>
          <w:rFonts w:ascii="Arial" w:hAnsi="Arial" w:cs="Arial"/>
          <w:sz w:val="22"/>
          <w:szCs w:val="22"/>
        </w:rPr>
        <w:t xml:space="preserve"> fell into a deep recession during 2015 and 2016 that was triggered by the</w:t>
      </w:r>
      <w:r w:rsidR="00DF13E7" w:rsidRPr="00FA5014">
        <w:rPr>
          <w:rFonts w:ascii="Arial" w:hAnsi="Arial" w:cs="Arial"/>
          <w:sz w:val="22"/>
          <w:szCs w:val="22"/>
        </w:rPr>
        <w:t xml:space="preserve"> drop in international gold and oil prices and the cessation of alumina production</w:t>
      </w:r>
      <w:r w:rsidR="00DF13E7">
        <w:rPr>
          <w:rFonts w:ascii="Arial" w:hAnsi="Arial" w:cs="Arial"/>
          <w:sz w:val="22"/>
          <w:szCs w:val="22"/>
        </w:rPr>
        <w:t xml:space="preserve">. As a result, the country’s macroeconomic conditions </w:t>
      </w:r>
      <w:r w:rsidR="00953DC6">
        <w:rPr>
          <w:rFonts w:ascii="Arial" w:hAnsi="Arial" w:cs="Arial"/>
          <w:sz w:val="22"/>
          <w:szCs w:val="22"/>
        </w:rPr>
        <w:t>deteriorated</w:t>
      </w:r>
      <w:r w:rsidR="00DF13E7">
        <w:rPr>
          <w:rFonts w:ascii="Arial" w:hAnsi="Arial" w:cs="Arial"/>
          <w:sz w:val="22"/>
          <w:szCs w:val="22"/>
        </w:rPr>
        <w:t xml:space="preserve"> rapidly: inflation surged to double-digit rates reflecting currency depreciation, current account deficit rose abruptly as exports slumped, fiscal deficits more than doubled compared to pre</w:t>
      </w:r>
      <w:r w:rsidR="00DF13E7">
        <w:rPr>
          <w:rFonts w:ascii="Arial" w:hAnsi="Arial" w:cs="Arial"/>
          <w:sz w:val="22"/>
          <w:szCs w:val="22"/>
        </w:rPr>
        <w:noBreakHyphen/>
        <w:t>recession levels, and government debt increased by about 50</w:t>
      </w:r>
      <w:r w:rsidR="00EF0A7C">
        <w:rPr>
          <w:rFonts w:ascii="Arial" w:hAnsi="Arial" w:cs="Arial"/>
          <w:sz w:val="22"/>
          <w:szCs w:val="22"/>
        </w:rPr>
        <w:t> </w:t>
      </w:r>
      <w:r w:rsidR="00DF13E7">
        <w:rPr>
          <w:rFonts w:ascii="Arial" w:hAnsi="Arial" w:cs="Arial"/>
          <w:sz w:val="22"/>
          <w:szCs w:val="22"/>
        </w:rPr>
        <w:t>percentage point to 76.9% by the end of 2016.</w:t>
      </w:r>
      <w:r w:rsidR="00DF13E7">
        <w:rPr>
          <w:rStyle w:val="FootnoteReference"/>
          <w:rFonts w:ascii="Arial" w:hAnsi="Arial" w:cs="Arial"/>
          <w:sz w:val="22"/>
          <w:szCs w:val="22"/>
        </w:rPr>
        <w:footnoteReference w:id="8"/>
      </w:r>
      <w:r w:rsidR="00DF13E7">
        <w:rPr>
          <w:rFonts w:ascii="Arial" w:hAnsi="Arial" w:cs="Arial"/>
          <w:sz w:val="22"/>
          <w:szCs w:val="22"/>
        </w:rPr>
        <w:t xml:space="preserve"> Although economic activity bounced back between 2017 and 2019, the recovery was slow and the government’s fiscal and debt positions continued to weaken as implementation of fiscal reforms was delayed.</w:t>
      </w:r>
      <w:r w:rsidR="00DF13E7">
        <w:rPr>
          <w:rStyle w:val="FootnoteReference"/>
          <w:rFonts w:ascii="Arial" w:hAnsi="Arial" w:cs="Arial"/>
          <w:sz w:val="22"/>
          <w:szCs w:val="22"/>
        </w:rPr>
        <w:footnoteReference w:id="9"/>
      </w:r>
      <w:r w:rsidR="00DF13E7">
        <w:rPr>
          <w:rFonts w:ascii="Arial" w:hAnsi="Arial" w:cs="Arial"/>
          <w:sz w:val="22"/>
          <w:szCs w:val="22"/>
        </w:rPr>
        <w:t xml:space="preserve"> </w:t>
      </w:r>
    </w:p>
    <w:p w14:paraId="418ECA14" w14:textId="0D77DB06" w:rsidR="005F171B" w:rsidRPr="00DF13E7" w:rsidRDefault="00DF13E7" w:rsidP="00DF13E7">
      <w:pPr>
        <w:pStyle w:val="Paragraph"/>
        <w:numPr>
          <w:ilvl w:val="1"/>
          <w:numId w:val="13"/>
        </w:numPr>
        <w:tabs>
          <w:tab w:val="clear" w:pos="2448"/>
          <w:tab w:val="num" w:pos="720"/>
        </w:tabs>
        <w:autoSpaceDE w:val="0"/>
        <w:autoSpaceDN w:val="0"/>
        <w:adjustRightInd w:val="0"/>
        <w:ind w:left="720" w:hanging="720"/>
        <w:rPr>
          <w:rFonts w:ascii="Arial" w:hAnsi="Arial" w:cs="Arial"/>
          <w:b/>
          <w:sz w:val="22"/>
          <w:szCs w:val="22"/>
        </w:rPr>
      </w:pPr>
      <w:r w:rsidRPr="00465A7B">
        <w:rPr>
          <w:rFonts w:ascii="Arial" w:hAnsi="Arial" w:cs="Arial"/>
          <w:sz w:val="22"/>
          <w:szCs w:val="22"/>
        </w:rPr>
        <w:t xml:space="preserve">The major public health and economic challenges arising from the </w:t>
      </w:r>
      <w:r>
        <w:rPr>
          <w:rFonts w:ascii="Arial" w:hAnsi="Arial" w:cs="Arial"/>
          <w:sz w:val="22"/>
          <w:szCs w:val="22"/>
        </w:rPr>
        <w:t xml:space="preserve">unprecedented </w:t>
      </w:r>
      <w:r w:rsidRPr="00465A7B">
        <w:rPr>
          <w:rFonts w:ascii="Arial" w:hAnsi="Arial" w:cs="Arial"/>
          <w:sz w:val="22"/>
          <w:szCs w:val="22"/>
        </w:rPr>
        <w:t xml:space="preserve">COVID-19 </w:t>
      </w:r>
      <w:r w:rsidRPr="003A01C3">
        <w:rPr>
          <w:rFonts w:ascii="Arial" w:hAnsi="Arial" w:cs="Arial"/>
          <w:sz w:val="22"/>
          <w:szCs w:val="22"/>
        </w:rPr>
        <w:t>crisis</w:t>
      </w:r>
      <w:r>
        <w:rPr>
          <w:rStyle w:val="FootnoteReference"/>
          <w:rFonts w:ascii="Arial" w:hAnsi="Arial" w:cs="Arial"/>
          <w:sz w:val="22"/>
          <w:szCs w:val="22"/>
        </w:rPr>
        <w:footnoteReference w:id="10"/>
      </w:r>
      <w:r w:rsidRPr="00465A7B">
        <w:rPr>
          <w:rFonts w:ascii="Arial" w:hAnsi="Arial" w:cs="Arial"/>
          <w:sz w:val="22"/>
          <w:szCs w:val="22"/>
        </w:rPr>
        <w:t xml:space="preserve"> will likely worsen Suriname’s macroeconomic conditions in the short term, as the measures taken to curb the spread of the coronavirus (e.g., social distancing measures and restrictions on non-essential business </w:t>
      </w:r>
      <w:r w:rsidRPr="00465A7B">
        <w:rPr>
          <w:rFonts w:ascii="Arial" w:hAnsi="Arial" w:cs="Arial"/>
          <w:sz w:val="22"/>
          <w:szCs w:val="22"/>
        </w:rPr>
        <w:lastRenderedPageBreak/>
        <w:t>activities)</w:t>
      </w:r>
      <w:r>
        <w:rPr>
          <w:rFonts w:ascii="Arial" w:hAnsi="Arial" w:cs="Arial"/>
          <w:sz w:val="22"/>
          <w:szCs w:val="22"/>
        </w:rPr>
        <w:t> </w:t>
      </w:r>
      <w:r w:rsidRPr="00465A7B">
        <w:rPr>
          <w:rFonts w:ascii="Arial" w:hAnsi="Arial" w:cs="Arial"/>
          <w:sz w:val="22"/>
          <w:szCs w:val="22"/>
        </w:rPr>
        <w:t xml:space="preserve">and </w:t>
      </w:r>
      <w:r>
        <w:rPr>
          <w:rFonts w:ascii="Arial" w:hAnsi="Arial" w:cs="Arial"/>
          <w:sz w:val="22"/>
          <w:szCs w:val="22"/>
        </w:rPr>
        <w:t xml:space="preserve">to </w:t>
      </w:r>
      <w:r w:rsidRPr="00465A7B">
        <w:rPr>
          <w:rFonts w:ascii="Arial" w:hAnsi="Arial" w:cs="Arial"/>
          <w:sz w:val="22"/>
          <w:szCs w:val="22"/>
        </w:rPr>
        <w:t xml:space="preserve">support the economy, vulnerable </w:t>
      </w:r>
      <w:r>
        <w:rPr>
          <w:rFonts w:ascii="Arial" w:hAnsi="Arial" w:cs="Arial"/>
          <w:sz w:val="22"/>
          <w:szCs w:val="22"/>
        </w:rPr>
        <w:t>groups</w:t>
      </w:r>
      <w:r w:rsidRPr="00465A7B">
        <w:rPr>
          <w:rFonts w:ascii="Arial" w:hAnsi="Arial" w:cs="Arial"/>
          <w:sz w:val="22"/>
          <w:szCs w:val="22"/>
        </w:rPr>
        <w:t xml:space="preserve"> and businesses will result in a</w:t>
      </w:r>
      <w:r>
        <w:rPr>
          <w:rFonts w:ascii="Arial" w:hAnsi="Arial" w:cs="Arial"/>
          <w:sz w:val="22"/>
          <w:szCs w:val="22"/>
        </w:rPr>
        <w:t>n increase</w:t>
      </w:r>
      <w:r w:rsidRPr="00465A7B">
        <w:rPr>
          <w:rFonts w:ascii="Arial" w:hAnsi="Arial" w:cs="Arial"/>
          <w:sz w:val="22"/>
          <w:szCs w:val="22"/>
        </w:rPr>
        <w:t xml:space="preserve"> in additional public spending</w:t>
      </w:r>
      <w:r>
        <w:rPr>
          <w:rFonts w:ascii="Arial" w:hAnsi="Arial" w:cs="Arial"/>
          <w:sz w:val="22"/>
          <w:szCs w:val="22"/>
        </w:rPr>
        <w:t>,</w:t>
      </w:r>
      <w:r>
        <w:rPr>
          <w:rStyle w:val="FootnoteReference"/>
          <w:rFonts w:ascii="Arial" w:hAnsi="Arial" w:cs="Arial"/>
          <w:sz w:val="22"/>
          <w:szCs w:val="22"/>
        </w:rPr>
        <w:footnoteReference w:id="11"/>
      </w:r>
      <w:r>
        <w:rPr>
          <w:rFonts w:ascii="Arial" w:hAnsi="Arial" w:cs="Arial"/>
          <w:sz w:val="22"/>
          <w:szCs w:val="22"/>
        </w:rPr>
        <w:t xml:space="preserve"> along with </w:t>
      </w:r>
      <w:r w:rsidRPr="00465A7B">
        <w:rPr>
          <w:rFonts w:ascii="Arial" w:hAnsi="Arial" w:cs="Arial"/>
          <w:sz w:val="22"/>
          <w:szCs w:val="22"/>
        </w:rPr>
        <w:t>a shortfall in fiscal revenues.</w:t>
      </w:r>
      <w:r>
        <w:rPr>
          <w:rFonts w:ascii="Arial" w:hAnsi="Arial" w:cs="Arial"/>
          <w:sz w:val="22"/>
          <w:szCs w:val="22"/>
        </w:rPr>
        <w:t xml:space="preserve"> According to IMF’s recent projections for 2020, the Surinamese economy is expected to contract by 13.1%; government revenue in relation to GDP will drop by 2.7 percentage points; fiscal deficit is expected to reach 13.9%; and public debt will rise to 145% of GDP.</w:t>
      </w:r>
      <w:r>
        <w:rPr>
          <w:rStyle w:val="FootnoteReference"/>
          <w:rFonts w:ascii="Arial" w:hAnsi="Arial" w:cs="Arial"/>
          <w:sz w:val="22"/>
          <w:szCs w:val="22"/>
        </w:rPr>
        <w:footnoteReference w:id="12"/>
      </w:r>
      <w:r w:rsidR="005F171B" w:rsidRPr="00DF13E7">
        <w:rPr>
          <w:rFonts w:ascii="Arial" w:hAnsi="Arial" w:cs="Arial"/>
          <w:sz w:val="22"/>
          <w:szCs w:val="22"/>
        </w:rPr>
        <w:t xml:space="preserve">      </w:t>
      </w:r>
    </w:p>
    <w:bookmarkEnd w:id="3"/>
    <w:p w14:paraId="75BCE0D5" w14:textId="0F8745F9" w:rsidR="00617868" w:rsidRPr="00B81BBB" w:rsidRDefault="00617868" w:rsidP="00617868">
      <w:pPr>
        <w:pStyle w:val="Paragraph"/>
        <w:numPr>
          <w:ilvl w:val="1"/>
          <w:numId w:val="13"/>
        </w:numPr>
        <w:tabs>
          <w:tab w:val="clear" w:pos="2448"/>
          <w:tab w:val="num" w:pos="720"/>
        </w:tabs>
        <w:ind w:left="720" w:hanging="720"/>
        <w:rPr>
          <w:rFonts w:ascii="Arial" w:hAnsi="Arial" w:cs="Arial"/>
          <w:sz w:val="22"/>
          <w:szCs w:val="22"/>
        </w:rPr>
      </w:pPr>
      <w:r w:rsidRPr="00B81BBB">
        <w:rPr>
          <w:rFonts w:ascii="Arial" w:hAnsi="Arial" w:cs="Arial"/>
          <w:b/>
          <w:bCs/>
          <w:sz w:val="22"/>
          <w:szCs w:val="22"/>
        </w:rPr>
        <w:t>Rationale.</w:t>
      </w:r>
      <w:r w:rsidR="00DF13E7">
        <w:rPr>
          <w:rFonts w:ascii="Arial" w:hAnsi="Arial" w:cs="Arial"/>
          <w:b/>
          <w:bCs/>
          <w:sz w:val="22"/>
          <w:szCs w:val="22"/>
        </w:rPr>
        <w:t xml:space="preserve"> </w:t>
      </w:r>
      <w:r w:rsidR="00DF13E7" w:rsidRPr="00113A97">
        <w:rPr>
          <w:rFonts w:ascii="Arial" w:hAnsi="Arial" w:cs="Arial"/>
          <w:sz w:val="22"/>
          <w:szCs w:val="22"/>
        </w:rPr>
        <w:t>In this challenging context,</w:t>
      </w:r>
      <w:r w:rsidR="00DF13E7" w:rsidRPr="00113A97">
        <w:rPr>
          <w:rFonts w:ascii="Arial" w:hAnsi="Arial" w:cs="Arial"/>
          <w:b/>
          <w:bCs/>
          <w:sz w:val="22"/>
          <w:szCs w:val="22"/>
        </w:rPr>
        <w:t xml:space="preserve"> </w:t>
      </w:r>
      <w:r w:rsidR="00DF13E7" w:rsidRPr="00113A97">
        <w:rPr>
          <w:rFonts w:ascii="Arial" w:hAnsi="Arial" w:cs="Arial"/>
          <w:sz w:val="22"/>
          <w:szCs w:val="22"/>
        </w:rPr>
        <w:t xml:space="preserve">while the government faces the challenge of strengthening the health system’s </w:t>
      </w:r>
      <w:r w:rsidR="00DF13E7">
        <w:rPr>
          <w:rFonts w:ascii="Arial" w:hAnsi="Arial" w:cs="Arial"/>
          <w:sz w:val="22"/>
          <w:szCs w:val="22"/>
        </w:rPr>
        <w:t xml:space="preserve">response and the country’s ability </w:t>
      </w:r>
      <w:r w:rsidR="00DF13E7" w:rsidRPr="00113A97">
        <w:rPr>
          <w:rFonts w:ascii="Arial" w:hAnsi="Arial" w:cs="Arial"/>
          <w:sz w:val="22"/>
          <w:szCs w:val="22"/>
        </w:rPr>
        <w:t xml:space="preserve">to </w:t>
      </w:r>
      <w:r w:rsidR="00DF13E7">
        <w:rPr>
          <w:rFonts w:ascii="Arial" w:hAnsi="Arial" w:cs="Arial"/>
          <w:sz w:val="22"/>
          <w:szCs w:val="22"/>
        </w:rPr>
        <w:t>slow</w:t>
      </w:r>
      <w:r w:rsidR="00DF13E7" w:rsidRPr="00113A97">
        <w:rPr>
          <w:rFonts w:ascii="Arial" w:hAnsi="Arial" w:cs="Arial"/>
          <w:sz w:val="22"/>
          <w:szCs w:val="22"/>
        </w:rPr>
        <w:t xml:space="preserve"> the </w:t>
      </w:r>
      <w:r w:rsidR="00DF13E7">
        <w:rPr>
          <w:rFonts w:ascii="Arial" w:hAnsi="Arial" w:cs="Arial"/>
          <w:sz w:val="22"/>
          <w:szCs w:val="22"/>
        </w:rPr>
        <w:t>spread</w:t>
      </w:r>
      <w:r w:rsidR="00DF13E7" w:rsidRPr="00113A97">
        <w:rPr>
          <w:rFonts w:ascii="Arial" w:hAnsi="Arial" w:cs="Arial"/>
          <w:sz w:val="22"/>
          <w:szCs w:val="22"/>
        </w:rPr>
        <w:t xml:space="preserve"> of the </w:t>
      </w:r>
      <w:r w:rsidR="00DF13E7">
        <w:rPr>
          <w:rFonts w:ascii="Arial" w:hAnsi="Arial" w:cs="Arial"/>
          <w:sz w:val="22"/>
          <w:szCs w:val="22"/>
        </w:rPr>
        <w:t>virus</w:t>
      </w:r>
      <w:r w:rsidR="00DF13E7" w:rsidRPr="00113A97">
        <w:rPr>
          <w:rFonts w:ascii="Arial" w:hAnsi="Arial" w:cs="Arial"/>
          <w:sz w:val="22"/>
          <w:szCs w:val="22"/>
        </w:rPr>
        <w:t>, it also confronts the financial and liquidity constraints that limit its capacity to close gaps in preparedness and response. As the number of COVID</w:t>
      </w:r>
      <w:r w:rsidR="00DF13E7">
        <w:rPr>
          <w:rFonts w:ascii="Arial" w:hAnsi="Arial" w:cs="Arial"/>
          <w:sz w:val="22"/>
          <w:szCs w:val="22"/>
        </w:rPr>
        <w:noBreakHyphen/>
      </w:r>
      <w:r w:rsidR="00DF13E7" w:rsidRPr="00113A97">
        <w:rPr>
          <w:rFonts w:ascii="Arial" w:hAnsi="Arial" w:cs="Arial"/>
          <w:sz w:val="22"/>
          <w:szCs w:val="22"/>
        </w:rPr>
        <w:t xml:space="preserve">19 cases </w:t>
      </w:r>
      <w:r w:rsidR="00DF13E7">
        <w:rPr>
          <w:rFonts w:ascii="Arial" w:hAnsi="Arial" w:cs="Arial"/>
          <w:sz w:val="22"/>
          <w:szCs w:val="22"/>
        </w:rPr>
        <w:t>continues to increase</w:t>
      </w:r>
      <w:r w:rsidR="00DF13E7" w:rsidRPr="00113A97">
        <w:rPr>
          <w:rFonts w:ascii="Arial" w:hAnsi="Arial" w:cs="Arial"/>
          <w:sz w:val="22"/>
          <w:szCs w:val="22"/>
        </w:rPr>
        <w:t xml:space="preserve"> in the country, it is critical to ensure that the government has the</w:t>
      </w:r>
      <w:r w:rsidR="00DF13E7">
        <w:rPr>
          <w:rFonts w:ascii="Arial" w:hAnsi="Arial" w:cs="Arial"/>
          <w:sz w:val="22"/>
          <w:szCs w:val="22"/>
        </w:rPr>
        <w:t xml:space="preserve"> necessary</w:t>
      </w:r>
      <w:r w:rsidR="00DF13E7" w:rsidRPr="00113A97">
        <w:rPr>
          <w:rFonts w:ascii="Arial" w:hAnsi="Arial" w:cs="Arial"/>
          <w:sz w:val="22"/>
          <w:szCs w:val="22"/>
        </w:rPr>
        <w:t xml:space="preserve"> funding to quickly implement </w:t>
      </w:r>
      <w:r w:rsidR="00DF13E7">
        <w:rPr>
          <w:rFonts w:ascii="Arial" w:hAnsi="Arial" w:cs="Arial"/>
          <w:sz w:val="22"/>
          <w:szCs w:val="22"/>
        </w:rPr>
        <w:t>all measures required to</w:t>
      </w:r>
      <w:r w:rsidR="00DF13E7" w:rsidRPr="00113A97">
        <w:rPr>
          <w:rFonts w:ascii="Arial" w:hAnsi="Arial" w:cs="Arial"/>
          <w:sz w:val="22"/>
          <w:szCs w:val="22"/>
        </w:rPr>
        <w:t xml:space="preserve"> control the outbreak.</w:t>
      </w:r>
      <w:r w:rsidR="00DF13E7">
        <w:rPr>
          <w:rStyle w:val="FootnoteReference"/>
          <w:rFonts w:ascii="Arial" w:hAnsi="Arial" w:cs="Arial"/>
          <w:sz w:val="22"/>
          <w:szCs w:val="22"/>
        </w:rPr>
        <w:footnoteReference w:id="13"/>
      </w:r>
      <w:r w:rsidR="00DF13E7" w:rsidRPr="00113A97">
        <w:rPr>
          <w:rFonts w:ascii="Arial" w:hAnsi="Arial" w:cs="Arial"/>
          <w:sz w:val="22"/>
          <w:szCs w:val="22"/>
        </w:rPr>
        <w:t xml:space="preserve"> Providing fast-access financing for emergency response not only saves lives, but also reduces the risk of even worse impact scenarios in terms of economic recovery and public finances because the overall costs of the health emergency can dramatically increase the longer it takes to organize a comprehensive response</w:t>
      </w:r>
      <w:r w:rsidR="00DF13E7">
        <w:rPr>
          <w:rFonts w:ascii="Arial" w:hAnsi="Arial" w:cs="Arial"/>
          <w:sz w:val="22"/>
          <w:szCs w:val="22"/>
        </w:rPr>
        <w:t xml:space="preserve"> and the expected recovery in 2021 largely hinges on </w:t>
      </w:r>
      <w:r w:rsidR="0029118A">
        <w:rPr>
          <w:rFonts w:ascii="Arial" w:hAnsi="Arial" w:cs="Arial"/>
          <w:sz w:val="22"/>
          <w:szCs w:val="22"/>
        </w:rPr>
        <w:t>containing</w:t>
      </w:r>
      <w:r w:rsidR="00DF13E7">
        <w:rPr>
          <w:rFonts w:ascii="Arial" w:hAnsi="Arial" w:cs="Arial"/>
          <w:sz w:val="22"/>
          <w:szCs w:val="22"/>
        </w:rPr>
        <w:t xml:space="preserve"> the spread of the disease</w:t>
      </w:r>
      <w:r w:rsidR="00DF13E7" w:rsidRPr="00113A97">
        <w:rPr>
          <w:rFonts w:ascii="Arial" w:hAnsi="Arial" w:cs="Arial"/>
          <w:sz w:val="22"/>
          <w:szCs w:val="22"/>
        </w:rPr>
        <w:t>.</w:t>
      </w:r>
      <w:r w:rsidR="00DF13E7">
        <w:rPr>
          <w:rFonts w:ascii="Arial" w:hAnsi="Arial" w:cs="Arial"/>
          <w:sz w:val="22"/>
          <w:szCs w:val="22"/>
        </w:rPr>
        <w:t xml:space="preserve"> </w:t>
      </w:r>
      <w:r w:rsidR="00DF13E7" w:rsidRPr="00113A97">
        <w:rPr>
          <w:rFonts w:ascii="Arial" w:hAnsi="Arial" w:cs="Arial"/>
          <w:sz w:val="22"/>
          <w:szCs w:val="22"/>
        </w:rPr>
        <w:t xml:space="preserve">For this reason, </w:t>
      </w:r>
      <w:r w:rsidR="00DF13E7">
        <w:rPr>
          <w:rFonts w:ascii="Arial" w:hAnsi="Arial" w:cs="Arial"/>
          <w:sz w:val="22"/>
          <w:szCs w:val="22"/>
        </w:rPr>
        <w:t>the Government of Suriname has requested the Bank to expand the current contingent loan’s coverage to include the COVID-19 outbreak</w:t>
      </w:r>
      <w:r w:rsidR="00585B1C">
        <w:rPr>
          <w:rFonts w:ascii="Arial" w:hAnsi="Arial" w:cs="Arial"/>
          <w:sz w:val="22"/>
          <w:szCs w:val="22"/>
        </w:rPr>
        <w:t>.</w:t>
      </w:r>
    </w:p>
    <w:p w14:paraId="264FE70F" w14:textId="41BC5C3D" w:rsidR="00352CFD" w:rsidRPr="00B81BBB" w:rsidRDefault="00352CFD" w:rsidP="00D52A80">
      <w:pPr>
        <w:pStyle w:val="Paragraph"/>
        <w:numPr>
          <w:ilvl w:val="1"/>
          <w:numId w:val="13"/>
        </w:numPr>
        <w:tabs>
          <w:tab w:val="clear" w:pos="2448"/>
          <w:tab w:val="num" w:pos="720"/>
        </w:tabs>
        <w:ind w:left="720" w:hanging="720"/>
        <w:rPr>
          <w:rFonts w:ascii="Arial" w:hAnsi="Arial" w:cs="Arial"/>
          <w:sz w:val="22"/>
          <w:szCs w:val="22"/>
        </w:rPr>
      </w:pPr>
      <w:r w:rsidRPr="00B81BBB">
        <w:rPr>
          <w:rFonts w:ascii="Arial" w:hAnsi="Arial" w:cs="Arial"/>
          <w:sz w:val="22"/>
          <w:szCs w:val="22"/>
        </w:rPr>
        <w:t>Consequently, this document aims to examine the efficiency of the financing arrangemen</w:t>
      </w:r>
      <w:r w:rsidR="00617868" w:rsidRPr="00B81BBB">
        <w:rPr>
          <w:rFonts w:ascii="Arial" w:hAnsi="Arial" w:cs="Arial"/>
          <w:sz w:val="22"/>
          <w:szCs w:val="22"/>
        </w:rPr>
        <w:t>t</w:t>
      </w:r>
      <w:r w:rsidRPr="00B81BBB">
        <w:rPr>
          <w:rFonts w:ascii="Arial" w:hAnsi="Arial" w:cs="Arial"/>
          <w:sz w:val="22"/>
          <w:szCs w:val="22"/>
        </w:rPr>
        <w:t xml:space="preserve"> provided by the Bank</w:t>
      </w:r>
      <w:r w:rsidR="00FD40F9">
        <w:rPr>
          <w:rFonts w:ascii="Arial" w:hAnsi="Arial" w:cs="Arial"/>
          <w:sz w:val="22"/>
          <w:szCs w:val="22"/>
        </w:rPr>
        <w:t xml:space="preserve"> for </w:t>
      </w:r>
      <w:r w:rsidR="00543670">
        <w:rPr>
          <w:rFonts w:ascii="Arial" w:hAnsi="Arial" w:cs="Arial"/>
          <w:sz w:val="22"/>
          <w:szCs w:val="22"/>
        </w:rPr>
        <w:t>the country’s public health response to COVID-19</w:t>
      </w:r>
      <w:r w:rsidRPr="00B81BBB">
        <w:rPr>
          <w:rFonts w:ascii="Arial" w:hAnsi="Arial" w:cs="Arial"/>
          <w:sz w:val="22"/>
          <w:szCs w:val="22"/>
        </w:rPr>
        <w:t xml:space="preserve">, through comparison with market-based financing alternatives that </w:t>
      </w:r>
      <w:r w:rsidR="0089540A">
        <w:rPr>
          <w:rFonts w:ascii="Arial" w:hAnsi="Arial" w:cs="Arial"/>
          <w:sz w:val="22"/>
          <w:szCs w:val="22"/>
        </w:rPr>
        <w:t xml:space="preserve">Suriname </w:t>
      </w:r>
      <w:r w:rsidRPr="00B81BBB">
        <w:rPr>
          <w:rFonts w:ascii="Arial" w:hAnsi="Arial" w:cs="Arial"/>
          <w:sz w:val="22"/>
          <w:szCs w:val="22"/>
        </w:rPr>
        <w:t xml:space="preserve">could choose to </w:t>
      </w:r>
      <w:r w:rsidR="00B17E10">
        <w:rPr>
          <w:rFonts w:ascii="Arial" w:hAnsi="Arial" w:cs="Arial"/>
          <w:sz w:val="22"/>
          <w:szCs w:val="22"/>
        </w:rPr>
        <w:t xml:space="preserve">cover the extraordinary public expenditures needed for the </w:t>
      </w:r>
      <w:r w:rsidR="00E233EB" w:rsidRPr="00B81BBB">
        <w:rPr>
          <w:rFonts w:ascii="Arial" w:hAnsi="Arial" w:cs="Arial"/>
          <w:sz w:val="22"/>
          <w:szCs w:val="22"/>
        </w:rPr>
        <w:t>public health emergenc</w:t>
      </w:r>
      <w:r w:rsidR="00B17E10">
        <w:rPr>
          <w:rFonts w:ascii="Arial" w:hAnsi="Arial" w:cs="Arial"/>
          <w:sz w:val="22"/>
          <w:szCs w:val="22"/>
        </w:rPr>
        <w:t>y response</w:t>
      </w:r>
      <w:r w:rsidRPr="00B81BBB">
        <w:rPr>
          <w:rFonts w:ascii="Arial" w:hAnsi="Arial" w:cs="Arial"/>
          <w:sz w:val="22"/>
          <w:szCs w:val="22"/>
        </w:rPr>
        <w:t xml:space="preserve">. The rapid and timely availability of funds to finance </w:t>
      </w:r>
      <w:r w:rsidR="002E540E">
        <w:rPr>
          <w:rFonts w:ascii="Arial" w:hAnsi="Arial" w:cs="Arial"/>
          <w:sz w:val="22"/>
          <w:szCs w:val="22"/>
        </w:rPr>
        <w:t>extraordinary</w:t>
      </w:r>
      <w:r w:rsidR="002E540E" w:rsidRPr="00B81BBB">
        <w:rPr>
          <w:rFonts w:ascii="Arial" w:hAnsi="Arial" w:cs="Arial"/>
          <w:sz w:val="22"/>
          <w:szCs w:val="22"/>
        </w:rPr>
        <w:t xml:space="preserve"> </w:t>
      </w:r>
      <w:r w:rsidRPr="00B81BBB">
        <w:rPr>
          <w:rFonts w:ascii="Arial" w:hAnsi="Arial" w:cs="Arial"/>
          <w:sz w:val="22"/>
          <w:szCs w:val="22"/>
        </w:rPr>
        <w:t>public expenditures during emergencies helps reduce the risks of large and long-lasting impacts on public finances, contains human losses</w:t>
      </w:r>
      <w:r w:rsidR="00DA09FE">
        <w:rPr>
          <w:rFonts w:ascii="Arial" w:hAnsi="Arial" w:cs="Arial"/>
          <w:sz w:val="22"/>
          <w:szCs w:val="22"/>
        </w:rPr>
        <w:t>, and supports</w:t>
      </w:r>
      <w:r w:rsidRPr="00B81BBB">
        <w:rPr>
          <w:rFonts w:ascii="Arial" w:hAnsi="Arial" w:cs="Arial"/>
          <w:sz w:val="22"/>
          <w:szCs w:val="22"/>
        </w:rPr>
        <w:t xml:space="preserve"> post-</w:t>
      </w:r>
      <w:r w:rsidR="00E233EB" w:rsidRPr="00B81BBB">
        <w:rPr>
          <w:rFonts w:ascii="Arial" w:hAnsi="Arial" w:cs="Arial"/>
          <w:sz w:val="22"/>
          <w:szCs w:val="22"/>
        </w:rPr>
        <w:t>emergency</w:t>
      </w:r>
      <w:r w:rsidRPr="00B81BBB">
        <w:rPr>
          <w:rFonts w:ascii="Arial" w:hAnsi="Arial" w:cs="Arial"/>
          <w:sz w:val="22"/>
          <w:szCs w:val="22"/>
        </w:rPr>
        <w:t xml:space="preserve"> recovery of economic activity.</w:t>
      </w:r>
    </w:p>
    <w:p w14:paraId="3A1ADDFA" w14:textId="2B284B57" w:rsidR="00A12539" w:rsidRPr="00B81BBB" w:rsidRDefault="00933646" w:rsidP="00A12539">
      <w:pPr>
        <w:pStyle w:val="Chapter"/>
        <w:tabs>
          <w:tab w:val="clear" w:pos="1440"/>
          <w:tab w:val="clear" w:pos="2952"/>
        </w:tabs>
        <w:ind w:left="0" w:firstLine="0"/>
        <w:rPr>
          <w:rFonts w:ascii="Arial" w:hAnsi="Arial" w:cs="Arial"/>
        </w:rPr>
      </w:pPr>
      <w:bookmarkStart w:id="7" w:name="_Toc510433073"/>
      <w:r w:rsidRPr="00B81BBB">
        <w:rPr>
          <w:rFonts w:ascii="Arial" w:hAnsi="Arial" w:cs="Arial"/>
        </w:rPr>
        <w:t xml:space="preserve">Objectives, Assumptions </w:t>
      </w:r>
      <w:r w:rsidR="00F36415" w:rsidRPr="00B81BBB">
        <w:rPr>
          <w:rFonts w:ascii="Arial" w:hAnsi="Arial" w:cs="Arial"/>
        </w:rPr>
        <w:t>and Alternatives</w:t>
      </w:r>
      <w:bookmarkEnd w:id="7"/>
    </w:p>
    <w:p w14:paraId="0F4B99FB" w14:textId="7315A9FA" w:rsidR="007E6874" w:rsidRPr="00B81BBB" w:rsidRDefault="00CA289A" w:rsidP="00F86017">
      <w:pPr>
        <w:pStyle w:val="Paragraph"/>
        <w:tabs>
          <w:tab w:val="clear" w:pos="3600"/>
        </w:tabs>
        <w:autoSpaceDE w:val="0"/>
        <w:autoSpaceDN w:val="0"/>
        <w:adjustRightInd w:val="0"/>
        <w:ind w:left="720" w:hanging="720"/>
        <w:rPr>
          <w:rFonts w:ascii="Arial" w:hAnsi="Arial" w:cs="Arial"/>
          <w:sz w:val="22"/>
          <w:szCs w:val="22"/>
        </w:rPr>
      </w:pPr>
      <w:r>
        <w:rPr>
          <w:rFonts w:ascii="Arial" w:hAnsi="Arial" w:cs="Arial"/>
          <w:sz w:val="22"/>
          <w:szCs w:val="22"/>
        </w:rPr>
        <w:t>Regarding the COVID-19 coverage, t</w:t>
      </w:r>
      <w:r w:rsidR="00E31C39" w:rsidRPr="00B81BBB">
        <w:rPr>
          <w:rFonts w:ascii="Arial" w:hAnsi="Arial" w:cs="Arial"/>
          <w:sz w:val="22"/>
          <w:szCs w:val="22"/>
        </w:rPr>
        <w:t xml:space="preserve">he </w:t>
      </w:r>
      <w:r w:rsidR="004B26C7" w:rsidRPr="00B81BBB">
        <w:rPr>
          <w:rFonts w:ascii="Arial" w:hAnsi="Arial" w:cs="Arial"/>
          <w:sz w:val="22"/>
          <w:szCs w:val="22"/>
        </w:rPr>
        <w:t xml:space="preserve">general </w:t>
      </w:r>
      <w:r w:rsidR="00E31C39" w:rsidRPr="00B81BBB">
        <w:rPr>
          <w:rFonts w:ascii="Arial" w:hAnsi="Arial" w:cs="Arial"/>
          <w:sz w:val="22"/>
          <w:szCs w:val="22"/>
        </w:rPr>
        <w:t xml:space="preserve">objective of </w:t>
      </w:r>
      <w:r w:rsidR="008C4BA0" w:rsidRPr="008C4BA0">
        <w:rPr>
          <w:rFonts w:ascii="Arial" w:hAnsi="Arial" w:cs="Arial"/>
          <w:sz w:val="22"/>
          <w:szCs w:val="22"/>
        </w:rPr>
        <w:t xml:space="preserve">the proposed modification of </w:t>
      </w:r>
      <w:r w:rsidR="00E31C39" w:rsidRPr="00B81BBB">
        <w:rPr>
          <w:rFonts w:ascii="Arial" w:hAnsi="Arial" w:cs="Arial"/>
          <w:sz w:val="22"/>
          <w:szCs w:val="22"/>
        </w:rPr>
        <w:t xml:space="preserve">the operation is </w:t>
      </w:r>
      <w:r w:rsidR="00976B07">
        <w:rPr>
          <w:rFonts w:ascii="Arial" w:hAnsi="Arial" w:cs="Arial"/>
          <w:sz w:val="22"/>
          <w:szCs w:val="22"/>
        </w:rPr>
        <w:t xml:space="preserve">to </w:t>
      </w:r>
      <w:bookmarkStart w:id="8" w:name="_Hlk43481832"/>
      <w:r w:rsidR="00976B07" w:rsidRPr="00804CDF">
        <w:rPr>
          <w:rFonts w:ascii="Arial" w:hAnsi="Arial" w:cs="Arial"/>
          <w:sz w:val="22"/>
          <w:szCs w:val="22"/>
        </w:rPr>
        <w:t>contribute to strengthen the country’s immediate public health response to the COVID-19 emergency</w:t>
      </w:r>
      <w:bookmarkEnd w:id="8"/>
      <w:r w:rsidR="00D52A80" w:rsidRPr="00B81BBB">
        <w:rPr>
          <w:rFonts w:ascii="Arial" w:hAnsi="Arial" w:cs="Arial"/>
          <w:sz w:val="22"/>
          <w:szCs w:val="22"/>
        </w:rPr>
        <w:t>.</w:t>
      </w:r>
      <w:r w:rsidR="007E6874" w:rsidRPr="00B81BBB">
        <w:rPr>
          <w:rFonts w:ascii="Arial" w:hAnsi="Arial" w:cs="Arial"/>
          <w:sz w:val="22"/>
          <w:szCs w:val="22"/>
        </w:rPr>
        <w:t xml:space="preserve"> </w:t>
      </w:r>
      <w:r w:rsidR="00F55FFB" w:rsidRPr="00804CDF">
        <w:rPr>
          <w:rFonts w:ascii="Arial" w:hAnsi="Arial" w:cs="Arial"/>
          <w:sz w:val="22"/>
          <w:szCs w:val="22"/>
        </w:rPr>
        <w:t>The specific objective</w:t>
      </w:r>
      <w:r w:rsidR="00F55FFB">
        <w:rPr>
          <w:rFonts w:ascii="Arial" w:hAnsi="Arial" w:cs="Arial"/>
          <w:sz w:val="22"/>
          <w:szCs w:val="22"/>
        </w:rPr>
        <w:t xml:space="preserve"> corresponding to the COVID</w:t>
      </w:r>
      <w:r w:rsidR="007F4C04">
        <w:rPr>
          <w:rFonts w:ascii="Arial" w:hAnsi="Arial" w:cs="Arial"/>
          <w:sz w:val="22"/>
          <w:szCs w:val="22"/>
        </w:rPr>
        <w:noBreakHyphen/>
      </w:r>
      <w:r w:rsidR="00F55FFB">
        <w:rPr>
          <w:rFonts w:ascii="Arial" w:hAnsi="Arial" w:cs="Arial"/>
          <w:sz w:val="22"/>
          <w:szCs w:val="22"/>
        </w:rPr>
        <w:t>19</w:t>
      </w:r>
      <w:r w:rsidR="007F4C04">
        <w:rPr>
          <w:rFonts w:ascii="Arial" w:hAnsi="Arial" w:cs="Arial"/>
          <w:sz w:val="22"/>
          <w:szCs w:val="22"/>
        </w:rPr>
        <w:t> </w:t>
      </w:r>
      <w:r w:rsidR="00F55FFB">
        <w:rPr>
          <w:rFonts w:ascii="Arial" w:hAnsi="Arial" w:cs="Arial"/>
          <w:sz w:val="22"/>
          <w:szCs w:val="22"/>
        </w:rPr>
        <w:t>coverage</w:t>
      </w:r>
      <w:r w:rsidR="00F55FFB" w:rsidRPr="00804CDF">
        <w:rPr>
          <w:rFonts w:ascii="Arial" w:hAnsi="Arial" w:cs="Arial"/>
          <w:sz w:val="22"/>
          <w:szCs w:val="22"/>
        </w:rPr>
        <w:t xml:space="preserve"> is to </w:t>
      </w:r>
      <w:bookmarkStart w:id="9" w:name="_Hlk43481847"/>
      <w:r w:rsidR="00F55FFB" w:rsidRPr="00804CDF">
        <w:rPr>
          <w:rFonts w:ascii="Arial" w:hAnsi="Arial" w:cs="Arial"/>
          <w:sz w:val="22"/>
          <w:szCs w:val="22"/>
        </w:rPr>
        <w:t xml:space="preserve">increase the country’s availability and efficiency of financing to cover extraordinary public expenditures related to the </w:t>
      </w:r>
      <w:r w:rsidR="00F55FFB">
        <w:rPr>
          <w:rFonts w:ascii="Arial" w:hAnsi="Arial" w:cs="Arial"/>
          <w:sz w:val="22"/>
          <w:szCs w:val="22"/>
        </w:rPr>
        <w:t>health</w:t>
      </w:r>
      <w:r w:rsidR="00F55FFB" w:rsidRPr="00804CDF">
        <w:rPr>
          <w:rFonts w:ascii="Arial" w:hAnsi="Arial" w:cs="Arial"/>
          <w:sz w:val="22"/>
          <w:szCs w:val="22"/>
        </w:rPr>
        <w:t xml:space="preserve"> emergency</w:t>
      </w:r>
      <w:bookmarkEnd w:id="9"/>
      <w:r w:rsidR="004B26C7" w:rsidRPr="00B81BBB">
        <w:rPr>
          <w:rFonts w:ascii="Arial" w:hAnsi="Arial" w:cs="Arial"/>
          <w:sz w:val="22"/>
          <w:szCs w:val="22"/>
        </w:rPr>
        <w:t>.</w:t>
      </w:r>
    </w:p>
    <w:p w14:paraId="1CE53D5E" w14:textId="19BC7FD0" w:rsidR="007734E2" w:rsidRDefault="004948A2" w:rsidP="00F86017">
      <w:pPr>
        <w:pStyle w:val="Paragraph"/>
        <w:tabs>
          <w:tab w:val="clear" w:pos="3600"/>
        </w:tabs>
        <w:autoSpaceDE w:val="0"/>
        <w:autoSpaceDN w:val="0"/>
        <w:adjustRightInd w:val="0"/>
        <w:ind w:left="720" w:hanging="720"/>
        <w:rPr>
          <w:rFonts w:ascii="Arial" w:hAnsi="Arial" w:cs="Arial"/>
          <w:sz w:val="22"/>
          <w:szCs w:val="22"/>
        </w:rPr>
      </w:pPr>
      <w:r w:rsidRPr="005C0892">
        <w:rPr>
          <w:rFonts w:ascii="Arial" w:hAnsi="Arial" w:cs="Arial"/>
          <w:sz w:val="22"/>
          <w:szCs w:val="18"/>
        </w:rPr>
        <w:t>This proposed modification maintains a single comp</w:t>
      </w:r>
      <w:r>
        <w:rPr>
          <w:rFonts w:ascii="Arial" w:hAnsi="Arial" w:cs="Arial"/>
          <w:sz w:val="22"/>
          <w:szCs w:val="18"/>
        </w:rPr>
        <w:t>onent</w:t>
      </w:r>
      <w:r w:rsidRPr="005C0892">
        <w:rPr>
          <w:rFonts w:ascii="Arial" w:hAnsi="Arial" w:cs="Arial"/>
          <w:sz w:val="22"/>
          <w:szCs w:val="18"/>
        </w:rPr>
        <w:t xml:space="preserve"> </w:t>
      </w:r>
      <w:r>
        <w:rPr>
          <w:rFonts w:ascii="Arial" w:hAnsi="Arial" w:cs="Arial"/>
          <w:sz w:val="22"/>
          <w:szCs w:val="18"/>
        </w:rPr>
        <w:t xml:space="preserve">under the CCF </w:t>
      </w:r>
      <w:r w:rsidRPr="005C0892">
        <w:rPr>
          <w:rFonts w:ascii="Arial" w:hAnsi="Arial" w:cs="Arial"/>
          <w:sz w:val="22"/>
          <w:szCs w:val="18"/>
        </w:rPr>
        <w:t>of US$</w:t>
      </w:r>
      <w:r>
        <w:rPr>
          <w:rFonts w:ascii="Arial" w:hAnsi="Arial" w:cs="Arial"/>
          <w:sz w:val="22"/>
          <w:szCs w:val="18"/>
        </w:rPr>
        <w:t>30 </w:t>
      </w:r>
      <w:r w:rsidRPr="005C0892">
        <w:rPr>
          <w:rFonts w:ascii="Arial" w:hAnsi="Arial" w:cs="Arial"/>
          <w:sz w:val="22"/>
          <w:szCs w:val="18"/>
        </w:rPr>
        <w:t xml:space="preserve">million to structure a stable and efficient ex ante financial coverage to afford, in a timely manner, any extraordinary expenses that could arise during emergencies. For the COVID-19 health emergency, the country will access up to </w:t>
      </w:r>
      <w:r w:rsidRPr="00527A5C">
        <w:rPr>
          <w:rFonts w:ascii="Arial" w:hAnsi="Arial" w:cs="Arial"/>
          <w:sz w:val="22"/>
          <w:szCs w:val="18"/>
        </w:rPr>
        <w:t>US$</w:t>
      </w:r>
      <w:r>
        <w:rPr>
          <w:rFonts w:ascii="Arial" w:hAnsi="Arial" w:cs="Arial"/>
          <w:sz w:val="22"/>
          <w:szCs w:val="18"/>
        </w:rPr>
        <w:t>5.5</w:t>
      </w:r>
      <w:r w:rsidRPr="00527A5C">
        <w:rPr>
          <w:rFonts w:ascii="Arial" w:hAnsi="Arial" w:cs="Arial"/>
          <w:sz w:val="22"/>
          <w:szCs w:val="18"/>
        </w:rPr>
        <w:t xml:space="preserve"> million</w:t>
      </w:r>
      <w:r w:rsidRPr="005C0892">
        <w:rPr>
          <w:rFonts w:ascii="Arial" w:hAnsi="Arial" w:cs="Arial"/>
          <w:sz w:val="22"/>
          <w:szCs w:val="18"/>
        </w:rPr>
        <w:t xml:space="preserve">, in accordance with the financing needs to implement the public health response measures and the </w:t>
      </w:r>
      <w:r w:rsidRPr="005C0892">
        <w:rPr>
          <w:rFonts w:ascii="Arial" w:hAnsi="Arial" w:cs="Arial"/>
          <w:sz w:val="22"/>
          <w:szCs w:val="22"/>
        </w:rPr>
        <w:t xml:space="preserve">limits established for the </w:t>
      </w:r>
      <w:r w:rsidRPr="005C0892">
        <w:rPr>
          <w:rFonts w:ascii="Arial" w:hAnsi="Arial" w:cs="Arial"/>
          <w:sz w:val="22"/>
          <w:szCs w:val="22"/>
        </w:rPr>
        <w:lastRenderedPageBreak/>
        <w:t>CCF</w:t>
      </w:r>
      <w:r>
        <w:rPr>
          <w:rFonts w:ascii="Arial" w:hAnsi="Arial" w:cs="Arial"/>
          <w:sz w:val="22"/>
          <w:szCs w:val="22"/>
        </w:rPr>
        <w:t> </w:t>
      </w:r>
      <w:r w:rsidRPr="005C0892">
        <w:rPr>
          <w:rFonts w:ascii="Arial" w:hAnsi="Arial" w:cs="Arial"/>
          <w:sz w:val="22"/>
          <w:szCs w:val="22"/>
        </w:rPr>
        <w:t>COVID</w:t>
      </w:r>
      <w:r>
        <w:rPr>
          <w:rFonts w:ascii="Arial" w:hAnsi="Arial" w:cs="Arial"/>
          <w:sz w:val="22"/>
          <w:szCs w:val="22"/>
        </w:rPr>
        <w:noBreakHyphen/>
      </w:r>
      <w:r w:rsidRPr="005C0892">
        <w:rPr>
          <w:rFonts w:ascii="Arial" w:hAnsi="Arial" w:cs="Arial"/>
          <w:sz w:val="22"/>
          <w:szCs w:val="22"/>
        </w:rPr>
        <w:t>19</w:t>
      </w:r>
      <w:r>
        <w:rPr>
          <w:rFonts w:ascii="Arial" w:hAnsi="Arial" w:cs="Arial"/>
          <w:sz w:val="22"/>
          <w:szCs w:val="22"/>
        </w:rPr>
        <w:t> </w:t>
      </w:r>
      <w:r w:rsidRPr="005C0892">
        <w:rPr>
          <w:rFonts w:ascii="Arial" w:hAnsi="Arial" w:cs="Arial"/>
          <w:sz w:val="22"/>
          <w:szCs w:val="22"/>
        </w:rPr>
        <w:t>(GN</w:t>
      </w:r>
      <w:r w:rsidRPr="005C0892">
        <w:rPr>
          <w:rFonts w:ascii="Arial" w:hAnsi="Arial" w:cs="Arial"/>
          <w:sz w:val="22"/>
          <w:szCs w:val="22"/>
        </w:rPr>
        <w:noBreakHyphen/>
        <w:t>2999</w:t>
      </w:r>
      <w:r>
        <w:rPr>
          <w:rFonts w:ascii="Arial" w:hAnsi="Arial" w:cs="Arial"/>
          <w:sz w:val="22"/>
          <w:szCs w:val="22"/>
        </w:rPr>
        <w:t>-4</w:t>
      </w:r>
      <w:r w:rsidRPr="005C0892">
        <w:rPr>
          <w:rFonts w:ascii="Arial" w:hAnsi="Arial" w:cs="Arial"/>
          <w:sz w:val="22"/>
          <w:szCs w:val="22"/>
        </w:rPr>
        <w:t>).</w:t>
      </w:r>
      <w:r w:rsidRPr="005F467B">
        <w:rPr>
          <w:rStyle w:val="FootnoteReference"/>
          <w:rFonts w:ascii="Arial" w:hAnsi="Arial" w:cs="Arial"/>
          <w:sz w:val="22"/>
          <w:szCs w:val="22"/>
        </w:rPr>
        <w:footnoteReference w:id="14"/>
      </w:r>
      <w:r w:rsidRPr="005C0892">
        <w:rPr>
          <w:rFonts w:ascii="Arial" w:hAnsi="Arial" w:cs="Arial"/>
          <w:sz w:val="22"/>
          <w:szCs w:val="22"/>
        </w:rPr>
        <w:t xml:space="preserve"> To determine the country's financing needs to address the public health emergency, the Bank analyzed the country’s </w:t>
      </w:r>
      <w:hyperlink r:id="rId21" w:history="1">
        <w:r w:rsidRPr="00F50718">
          <w:rPr>
            <w:rStyle w:val="Hyperlink"/>
            <w:rFonts w:ascii="Arial" w:hAnsi="Arial" w:cs="Arial"/>
            <w:sz w:val="22"/>
            <w:szCs w:val="22"/>
          </w:rPr>
          <w:t>CNPRP</w:t>
        </w:r>
      </w:hyperlink>
      <w:r>
        <w:rPr>
          <w:rFonts w:ascii="Arial" w:hAnsi="Arial" w:cs="Arial"/>
          <w:sz w:val="22"/>
          <w:szCs w:val="22"/>
        </w:rPr>
        <w:t xml:space="preserve">, other country budgetary assessments, </w:t>
      </w:r>
      <w:r w:rsidRPr="005C0892">
        <w:rPr>
          <w:rFonts w:ascii="Arial" w:hAnsi="Arial" w:cs="Arial"/>
          <w:sz w:val="22"/>
          <w:szCs w:val="22"/>
        </w:rPr>
        <w:t xml:space="preserve">and the complementarity of this operation with other Bank’s interventions, as well as activities being directly financed by other bilateral and/or multilateral  entities. </w:t>
      </w:r>
      <w:r w:rsidRPr="004772BF">
        <w:rPr>
          <w:rFonts w:ascii="Arial" w:hAnsi="Arial" w:cs="Arial"/>
          <w:bCs/>
          <w:sz w:val="22"/>
          <w:szCs w:val="22"/>
        </w:rPr>
        <w:t>Th</w:t>
      </w:r>
      <w:r>
        <w:rPr>
          <w:rFonts w:ascii="Arial" w:hAnsi="Arial" w:cs="Arial"/>
          <w:bCs/>
          <w:sz w:val="22"/>
          <w:szCs w:val="22"/>
        </w:rPr>
        <w:t xml:space="preserve">e amount allocated </w:t>
      </w:r>
      <w:r w:rsidRPr="004772BF">
        <w:rPr>
          <w:rFonts w:ascii="Arial" w:hAnsi="Arial" w:cs="Arial"/>
          <w:bCs/>
          <w:sz w:val="22"/>
          <w:szCs w:val="22"/>
        </w:rPr>
        <w:t>would include vaccination and associated costs for storage facilities and medical consumables</w:t>
      </w:r>
      <w:r w:rsidR="0024320A" w:rsidRPr="005C0892">
        <w:rPr>
          <w:rFonts w:ascii="Arial" w:hAnsi="Arial" w:cs="Arial"/>
          <w:sz w:val="22"/>
          <w:szCs w:val="22"/>
        </w:rPr>
        <w:t>.</w:t>
      </w:r>
    </w:p>
    <w:p w14:paraId="7A453060" w14:textId="76444311" w:rsidR="00E34DB9" w:rsidRPr="00B81BBB" w:rsidRDefault="004B26C7" w:rsidP="00F86017">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As in other CCF loans,</w:t>
      </w:r>
      <w:r w:rsidR="007C5027" w:rsidRPr="00B81BBB">
        <w:rPr>
          <w:rFonts w:ascii="Arial" w:hAnsi="Arial" w:cs="Arial"/>
          <w:sz w:val="22"/>
          <w:szCs w:val="22"/>
        </w:rPr>
        <w:t xml:space="preserve"> the efficiency of this operation</w:t>
      </w:r>
      <w:r w:rsidR="00147292">
        <w:rPr>
          <w:rFonts w:ascii="Arial" w:hAnsi="Arial" w:cs="Arial"/>
          <w:sz w:val="22"/>
          <w:szCs w:val="22"/>
        </w:rPr>
        <w:t>’s COVID-19 coverage</w:t>
      </w:r>
      <w:r w:rsidR="007C5027" w:rsidRPr="00B81BBB">
        <w:rPr>
          <w:rFonts w:ascii="Arial" w:hAnsi="Arial" w:cs="Arial"/>
          <w:sz w:val="22"/>
          <w:szCs w:val="22"/>
        </w:rPr>
        <w:t xml:space="preserve"> will be determined through an economic analysis that uses a cost-effectiveness methodology. This </w:t>
      </w:r>
      <w:r w:rsidR="006D75AA" w:rsidRPr="00B81BBB">
        <w:rPr>
          <w:rFonts w:ascii="Arial" w:hAnsi="Arial" w:cs="Arial"/>
          <w:sz w:val="22"/>
          <w:szCs w:val="22"/>
        </w:rPr>
        <w:t xml:space="preserve">approach </w:t>
      </w:r>
      <w:r w:rsidR="007C5027" w:rsidRPr="00B81BBB">
        <w:rPr>
          <w:rFonts w:ascii="Arial" w:hAnsi="Arial" w:cs="Arial"/>
          <w:sz w:val="22"/>
          <w:szCs w:val="22"/>
        </w:rPr>
        <w:t xml:space="preserve">is appropriate because a cost-benefit </w:t>
      </w:r>
      <w:r w:rsidR="006D75AA" w:rsidRPr="00B81BBB">
        <w:rPr>
          <w:rFonts w:ascii="Arial" w:hAnsi="Arial" w:cs="Arial"/>
          <w:sz w:val="22"/>
          <w:szCs w:val="22"/>
        </w:rPr>
        <w:t>methodology</w:t>
      </w:r>
      <w:r w:rsidR="007C5027" w:rsidRPr="00B81BBB">
        <w:rPr>
          <w:rFonts w:ascii="Arial" w:hAnsi="Arial" w:cs="Arial"/>
          <w:sz w:val="22"/>
          <w:szCs w:val="22"/>
        </w:rPr>
        <w:t xml:space="preserve"> would entail the estimation of potential uncertain benefits</w:t>
      </w:r>
      <w:r w:rsidR="007C5027" w:rsidRPr="00B81BBB">
        <w:rPr>
          <w:rStyle w:val="FootnoteReference"/>
          <w:rFonts w:ascii="Arial" w:hAnsi="Arial" w:cs="Arial"/>
          <w:sz w:val="22"/>
          <w:szCs w:val="22"/>
        </w:rPr>
        <w:footnoteReference w:id="15"/>
      </w:r>
      <w:r w:rsidR="007C5027" w:rsidRPr="00B81BBB">
        <w:rPr>
          <w:rFonts w:ascii="Arial" w:hAnsi="Arial" w:cs="Arial"/>
          <w:sz w:val="22"/>
          <w:szCs w:val="22"/>
        </w:rPr>
        <w:t xml:space="preserve"> during </w:t>
      </w:r>
      <w:r w:rsidR="00907FF7">
        <w:rPr>
          <w:rFonts w:ascii="Arial" w:hAnsi="Arial" w:cs="Arial"/>
          <w:sz w:val="22"/>
          <w:szCs w:val="22"/>
        </w:rPr>
        <w:t>the public health</w:t>
      </w:r>
      <w:r w:rsidR="007C5027" w:rsidRPr="00B81BBB">
        <w:rPr>
          <w:rFonts w:ascii="Arial" w:hAnsi="Arial" w:cs="Arial"/>
          <w:sz w:val="22"/>
          <w:szCs w:val="22"/>
        </w:rPr>
        <w:t xml:space="preserve"> emergency, which is a demanding and costly exercise, with little expected return. Thus, the analysis</w:t>
      </w:r>
      <w:r w:rsidR="00A12539" w:rsidRPr="00B81BBB">
        <w:rPr>
          <w:rFonts w:ascii="Arial" w:hAnsi="Arial" w:cs="Arial"/>
          <w:sz w:val="22"/>
          <w:szCs w:val="22"/>
        </w:rPr>
        <w:t xml:space="preserve"> will focus </w:t>
      </w:r>
      <w:r w:rsidR="007C5027" w:rsidRPr="00B81BBB">
        <w:rPr>
          <w:rFonts w:ascii="Arial" w:hAnsi="Arial" w:cs="Arial"/>
          <w:sz w:val="22"/>
          <w:szCs w:val="22"/>
        </w:rPr>
        <w:t xml:space="preserve">on </w:t>
      </w:r>
      <w:r w:rsidR="00A12539" w:rsidRPr="00B81BBB">
        <w:rPr>
          <w:rFonts w:ascii="Arial" w:hAnsi="Arial" w:cs="Arial"/>
          <w:sz w:val="22"/>
          <w:szCs w:val="22"/>
        </w:rPr>
        <w:t xml:space="preserve">the </w:t>
      </w:r>
      <w:r w:rsidR="006D75AA" w:rsidRPr="00B81BBB">
        <w:rPr>
          <w:rFonts w:ascii="Arial" w:hAnsi="Arial" w:cs="Arial"/>
          <w:sz w:val="22"/>
          <w:szCs w:val="22"/>
        </w:rPr>
        <w:t>efficiency conditions of the financial coverage</w:t>
      </w:r>
      <w:r w:rsidR="00453B85">
        <w:rPr>
          <w:rFonts w:ascii="Arial" w:hAnsi="Arial" w:cs="Arial"/>
          <w:sz w:val="22"/>
          <w:szCs w:val="22"/>
        </w:rPr>
        <w:t xml:space="preserve"> for COVID-19</w:t>
      </w:r>
      <w:r w:rsidR="006D75AA" w:rsidRPr="00B81BBB">
        <w:rPr>
          <w:rFonts w:ascii="Arial" w:hAnsi="Arial" w:cs="Arial"/>
          <w:sz w:val="22"/>
          <w:szCs w:val="22"/>
        </w:rPr>
        <w:t xml:space="preserve"> provided by this operation</w:t>
      </w:r>
      <w:r w:rsidR="00E34DB9" w:rsidRPr="00B81BBB">
        <w:rPr>
          <w:rFonts w:ascii="Arial" w:hAnsi="Arial" w:cs="Arial"/>
          <w:sz w:val="22"/>
          <w:szCs w:val="22"/>
        </w:rPr>
        <w:t xml:space="preserve">. </w:t>
      </w:r>
    </w:p>
    <w:p w14:paraId="678ECDFF" w14:textId="4E737C4B" w:rsidR="00D73AC5" w:rsidRPr="00B81BBB" w:rsidRDefault="001E12A1" w:rsidP="00F86017">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From a financial perspective, the </w:t>
      </w:r>
      <w:r w:rsidR="00380B8B" w:rsidRPr="00B81BBB">
        <w:rPr>
          <w:rFonts w:ascii="Arial" w:hAnsi="Arial" w:cs="Arial"/>
          <w:sz w:val="22"/>
          <w:szCs w:val="22"/>
        </w:rPr>
        <w:t xml:space="preserve">efficiency </w:t>
      </w:r>
      <w:r w:rsidRPr="00B81BBB">
        <w:rPr>
          <w:rFonts w:ascii="Arial" w:hAnsi="Arial" w:cs="Arial"/>
          <w:sz w:val="22"/>
          <w:szCs w:val="22"/>
        </w:rPr>
        <w:t xml:space="preserve">conditions </w:t>
      </w:r>
      <w:r w:rsidR="00380B8B" w:rsidRPr="00B81BBB">
        <w:rPr>
          <w:rFonts w:ascii="Arial" w:hAnsi="Arial" w:cs="Arial"/>
          <w:sz w:val="22"/>
          <w:szCs w:val="22"/>
        </w:rPr>
        <w:t xml:space="preserve">of </w:t>
      </w:r>
      <w:r w:rsidR="003A793C">
        <w:rPr>
          <w:rFonts w:ascii="Arial" w:hAnsi="Arial" w:cs="Arial"/>
          <w:sz w:val="22"/>
          <w:szCs w:val="22"/>
        </w:rPr>
        <w:t>the COVID-19</w:t>
      </w:r>
      <w:r w:rsidR="00780DC1" w:rsidRPr="00B81BBB">
        <w:rPr>
          <w:rFonts w:ascii="Arial" w:hAnsi="Arial" w:cs="Arial"/>
          <w:sz w:val="22"/>
          <w:szCs w:val="22"/>
        </w:rPr>
        <w:t xml:space="preserve"> </w:t>
      </w:r>
      <w:r w:rsidR="003D5D1E" w:rsidRPr="00B81BBB">
        <w:rPr>
          <w:rFonts w:ascii="Arial" w:hAnsi="Arial" w:cs="Arial"/>
          <w:sz w:val="22"/>
          <w:szCs w:val="22"/>
        </w:rPr>
        <w:t>coverage</w:t>
      </w:r>
      <w:r w:rsidR="0057122A" w:rsidRPr="00B81BBB">
        <w:rPr>
          <w:rFonts w:ascii="Arial" w:hAnsi="Arial" w:cs="Arial"/>
          <w:sz w:val="22"/>
          <w:szCs w:val="22"/>
        </w:rPr>
        <w:t xml:space="preserve"> </w:t>
      </w:r>
      <w:r w:rsidR="003D7309">
        <w:rPr>
          <w:rFonts w:ascii="Arial" w:hAnsi="Arial" w:cs="Arial"/>
          <w:sz w:val="22"/>
          <w:szCs w:val="22"/>
        </w:rPr>
        <w:t xml:space="preserve">for the health </w:t>
      </w:r>
      <w:r w:rsidR="0057122A" w:rsidRPr="00B81BBB">
        <w:rPr>
          <w:rFonts w:ascii="Arial" w:hAnsi="Arial" w:cs="Arial"/>
          <w:sz w:val="22"/>
          <w:szCs w:val="22"/>
        </w:rPr>
        <w:t>emergenc</w:t>
      </w:r>
      <w:r w:rsidR="003D7309">
        <w:rPr>
          <w:rFonts w:ascii="Arial" w:hAnsi="Arial" w:cs="Arial"/>
          <w:sz w:val="22"/>
          <w:szCs w:val="22"/>
        </w:rPr>
        <w:t>y</w:t>
      </w:r>
      <w:r w:rsidR="003D5D1E" w:rsidRPr="00B81BBB">
        <w:rPr>
          <w:rFonts w:ascii="Arial" w:hAnsi="Arial" w:cs="Arial"/>
          <w:sz w:val="22"/>
          <w:szCs w:val="22"/>
        </w:rPr>
        <w:t xml:space="preserve"> </w:t>
      </w:r>
      <w:r w:rsidR="0057122A" w:rsidRPr="00B81BBB">
        <w:rPr>
          <w:rFonts w:ascii="Arial" w:hAnsi="Arial" w:cs="Arial"/>
          <w:sz w:val="22"/>
          <w:szCs w:val="22"/>
        </w:rPr>
        <w:t>are</w:t>
      </w:r>
      <w:r w:rsidR="003D5D1E" w:rsidRPr="00B81BBB">
        <w:rPr>
          <w:rFonts w:ascii="Arial" w:hAnsi="Arial" w:cs="Arial"/>
          <w:sz w:val="22"/>
          <w:szCs w:val="22"/>
        </w:rPr>
        <w:t xml:space="preserve"> (i) </w:t>
      </w:r>
      <w:r w:rsidR="000179C7" w:rsidRPr="00B81BBB">
        <w:rPr>
          <w:rFonts w:ascii="Arial" w:hAnsi="Arial" w:cs="Arial"/>
          <w:sz w:val="22"/>
          <w:szCs w:val="22"/>
        </w:rPr>
        <w:t>its</w:t>
      </w:r>
      <w:r w:rsidR="003D5D1E" w:rsidRPr="00B81BBB">
        <w:rPr>
          <w:rFonts w:ascii="Arial" w:hAnsi="Arial" w:cs="Arial"/>
          <w:sz w:val="22"/>
          <w:szCs w:val="22"/>
        </w:rPr>
        <w:t xml:space="preserve"> financial cost, and (ii) the </w:t>
      </w:r>
      <w:r w:rsidR="00780DC1" w:rsidRPr="00B81BBB">
        <w:rPr>
          <w:rFonts w:ascii="Arial" w:hAnsi="Arial" w:cs="Arial"/>
          <w:sz w:val="22"/>
          <w:szCs w:val="22"/>
        </w:rPr>
        <w:t>speed</w:t>
      </w:r>
      <w:r w:rsidR="0057122A" w:rsidRPr="00B81BBB">
        <w:rPr>
          <w:rFonts w:ascii="Arial" w:hAnsi="Arial" w:cs="Arial"/>
          <w:sz w:val="22"/>
          <w:szCs w:val="22"/>
        </w:rPr>
        <w:t xml:space="preserve"> </w:t>
      </w:r>
      <w:r w:rsidR="00780DC1" w:rsidRPr="00B81BBB">
        <w:rPr>
          <w:rFonts w:ascii="Arial" w:hAnsi="Arial" w:cs="Arial"/>
          <w:sz w:val="22"/>
          <w:szCs w:val="22"/>
        </w:rPr>
        <w:t>of access to</w:t>
      </w:r>
      <w:r w:rsidR="0057122A" w:rsidRPr="00B81BBB">
        <w:rPr>
          <w:rFonts w:ascii="Arial" w:hAnsi="Arial" w:cs="Arial"/>
          <w:sz w:val="22"/>
          <w:szCs w:val="22"/>
        </w:rPr>
        <w:t xml:space="preserve"> resources. </w:t>
      </w:r>
      <w:r w:rsidR="000179C7" w:rsidRPr="00B81BBB">
        <w:rPr>
          <w:rFonts w:ascii="Arial" w:hAnsi="Arial" w:cs="Arial"/>
          <w:sz w:val="22"/>
          <w:szCs w:val="22"/>
        </w:rPr>
        <w:t>Hence</w:t>
      </w:r>
      <w:r w:rsidR="0057122A" w:rsidRPr="00B81BBB">
        <w:rPr>
          <w:rFonts w:ascii="Arial" w:hAnsi="Arial" w:cs="Arial"/>
          <w:sz w:val="22"/>
          <w:szCs w:val="22"/>
        </w:rPr>
        <w:t xml:space="preserve">, </w:t>
      </w:r>
      <w:r w:rsidR="000179C7" w:rsidRPr="00B81BBB">
        <w:rPr>
          <w:rFonts w:ascii="Arial" w:hAnsi="Arial" w:cs="Arial"/>
          <w:sz w:val="22"/>
          <w:szCs w:val="22"/>
        </w:rPr>
        <w:t xml:space="preserve">the </w:t>
      </w:r>
      <w:r w:rsidR="006D75AA" w:rsidRPr="00B81BBB">
        <w:rPr>
          <w:rFonts w:ascii="Arial" w:hAnsi="Arial" w:cs="Arial"/>
          <w:sz w:val="22"/>
          <w:szCs w:val="22"/>
        </w:rPr>
        <w:t>analysis</w:t>
      </w:r>
      <w:r w:rsidR="000179C7" w:rsidRPr="00B81BBB">
        <w:rPr>
          <w:rFonts w:ascii="Arial" w:hAnsi="Arial" w:cs="Arial"/>
          <w:sz w:val="22"/>
          <w:szCs w:val="22"/>
        </w:rPr>
        <w:t xml:space="preserve"> </w:t>
      </w:r>
      <w:r w:rsidR="008A39C4" w:rsidRPr="00B81BBB">
        <w:rPr>
          <w:rFonts w:ascii="Arial" w:hAnsi="Arial" w:cs="Arial"/>
          <w:sz w:val="22"/>
          <w:szCs w:val="22"/>
        </w:rPr>
        <w:t>will be limited</w:t>
      </w:r>
      <w:r w:rsidR="000179C7" w:rsidRPr="00B81BBB">
        <w:rPr>
          <w:rFonts w:ascii="Arial" w:hAnsi="Arial" w:cs="Arial"/>
          <w:sz w:val="22"/>
          <w:szCs w:val="22"/>
        </w:rPr>
        <w:t xml:space="preserve"> </w:t>
      </w:r>
      <w:r w:rsidR="008A39C4" w:rsidRPr="00B81BBB">
        <w:rPr>
          <w:rFonts w:ascii="Arial" w:hAnsi="Arial" w:cs="Arial"/>
          <w:sz w:val="22"/>
          <w:szCs w:val="22"/>
        </w:rPr>
        <w:t>to</w:t>
      </w:r>
      <w:r w:rsidR="000179C7" w:rsidRPr="00B81BBB">
        <w:rPr>
          <w:rFonts w:ascii="Arial" w:hAnsi="Arial" w:cs="Arial"/>
          <w:sz w:val="22"/>
          <w:szCs w:val="22"/>
        </w:rPr>
        <w:t xml:space="preserve"> </w:t>
      </w:r>
      <w:r w:rsidR="006D75AA" w:rsidRPr="00B81BBB">
        <w:rPr>
          <w:rFonts w:ascii="Arial" w:hAnsi="Arial" w:cs="Arial"/>
          <w:sz w:val="22"/>
          <w:szCs w:val="22"/>
        </w:rPr>
        <w:t>these two measures</w:t>
      </w:r>
      <w:r w:rsidR="00281A11" w:rsidRPr="00B81BBB">
        <w:rPr>
          <w:rFonts w:ascii="Arial" w:hAnsi="Arial" w:cs="Arial"/>
          <w:sz w:val="22"/>
          <w:szCs w:val="22"/>
        </w:rPr>
        <w:t>:</w:t>
      </w:r>
    </w:p>
    <w:p w14:paraId="134AAC71" w14:textId="5D7342D8" w:rsidR="00DA02AD" w:rsidRPr="00B81BBB" w:rsidRDefault="00236D49" w:rsidP="00236D49">
      <w:pPr>
        <w:pStyle w:val="Paragraph"/>
        <w:numPr>
          <w:ilvl w:val="0"/>
          <w:numId w:val="8"/>
        </w:numPr>
        <w:autoSpaceDE w:val="0"/>
        <w:autoSpaceDN w:val="0"/>
        <w:adjustRightInd w:val="0"/>
        <w:rPr>
          <w:rFonts w:ascii="Arial" w:hAnsi="Arial" w:cs="Arial"/>
          <w:sz w:val="22"/>
          <w:szCs w:val="22"/>
        </w:rPr>
      </w:pPr>
      <w:r w:rsidRPr="00B81BBB">
        <w:rPr>
          <w:rFonts w:ascii="Arial" w:hAnsi="Arial" w:cs="Arial"/>
          <w:sz w:val="22"/>
          <w:szCs w:val="22"/>
        </w:rPr>
        <w:t xml:space="preserve">how fast the </w:t>
      </w:r>
      <w:r w:rsidR="001A7DE9">
        <w:rPr>
          <w:rFonts w:ascii="Arial" w:hAnsi="Arial" w:cs="Arial"/>
          <w:sz w:val="22"/>
          <w:szCs w:val="22"/>
        </w:rPr>
        <w:t xml:space="preserve">borrower can access to </w:t>
      </w:r>
      <w:r w:rsidRPr="00B81BBB">
        <w:rPr>
          <w:rFonts w:ascii="Arial" w:hAnsi="Arial" w:cs="Arial"/>
          <w:sz w:val="22"/>
          <w:szCs w:val="22"/>
        </w:rPr>
        <w:t xml:space="preserve">the CCF loan proceeds available to cover unexpected public expenditures during the </w:t>
      </w:r>
      <w:r w:rsidR="001A7DE9">
        <w:rPr>
          <w:rFonts w:ascii="Arial" w:hAnsi="Arial" w:cs="Arial"/>
          <w:sz w:val="22"/>
          <w:szCs w:val="22"/>
        </w:rPr>
        <w:t>COVID-19</w:t>
      </w:r>
      <w:r w:rsidR="00484DA7">
        <w:rPr>
          <w:rFonts w:ascii="Arial" w:hAnsi="Arial" w:cs="Arial"/>
          <w:sz w:val="22"/>
          <w:szCs w:val="22"/>
        </w:rPr>
        <w:t xml:space="preserve"> </w:t>
      </w:r>
      <w:r w:rsidRPr="00B81BBB">
        <w:rPr>
          <w:rFonts w:ascii="Arial" w:hAnsi="Arial" w:cs="Arial"/>
          <w:sz w:val="22"/>
          <w:szCs w:val="22"/>
        </w:rPr>
        <w:t>emergency, as compared to the time that takes through other IDB debt instruments</w:t>
      </w:r>
      <w:r w:rsidR="00DA02AD" w:rsidRPr="00B81BBB">
        <w:rPr>
          <w:rFonts w:ascii="Arial" w:hAnsi="Arial" w:cs="Arial"/>
          <w:sz w:val="22"/>
          <w:szCs w:val="22"/>
        </w:rPr>
        <w:t>; and</w:t>
      </w:r>
    </w:p>
    <w:p w14:paraId="7E103DA1" w14:textId="36AA41E6" w:rsidR="006D75AA" w:rsidRPr="00B81BBB" w:rsidRDefault="00DA02AD" w:rsidP="00831002">
      <w:pPr>
        <w:pStyle w:val="Paragraph"/>
        <w:numPr>
          <w:ilvl w:val="0"/>
          <w:numId w:val="8"/>
        </w:numPr>
        <w:autoSpaceDE w:val="0"/>
        <w:autoSpaceDN w:val="0"/>
        <w:adjustRightInd w:val="0"/>
        <w:rPr>
          <w:rFonts w:ascii="Arial" w:hAnsi="Arial" w:cs="Arial"/>
          <w:sz w:val="22"/>
          <w:szCs w:val="22"/>
        </w:rPr>
      </w:pPr>
      <w:r w:rsidRPr="00B81BBB">
        <w:rPr>
          <w:rFonts w:ascii="Arial" w:hAnsi="Arial" w:cs="Arial"/>
          <w:sz w:val="22"/>
          <w:szCs w:val="22"/>
        </w:rPr>
        <w:t>t</w:t>
      </w:r>
      <w:r w:rsidR="00403418" w:rsidRPr="00B81BBB">
        <w:rPr>
          <w:rFonts w:ascii="Arial" w:hAnsi="Arial" w:cs="Arial"/>
          <w:sz w:val="22"/>
          <w:szCs w:val="22"/>
        </w:rPr>
        <w:t xml:space="preserve">he cost of the resources, that is, the financial cost per unit </w:t>
      </w:r>
      <w:r w:rsidR="002C6F9E" w:rsidRPr="00B81BBB">
        <w:rPr>
          <w:rFonts w:ascii="Arial" w:hAnsi="Arial" w:cs="Arial"/>
          <w:sz w:val="22"/>
          <w:szCs w:val="22"/>
        </w:rPr>
        <w:t>of extraordinary emergency expenditure financed by the loan proceeds</w:t>
      </w:r>
      <w:r w:rsidR="006D75AA" w:rsidRPr="00B81BBB">
        <w:rPr>
          <w:rFonts w:ascii="Arial" w:hAnsi="Arial" w:cs="Arial"/>
          <w:sz w:val="22"/>
          <w:szCs w:val="22"/>
        </w:rPr>
        <w:t xml:space="preserve">, compared to that of </w:t>
      </w:r>
      <w:r w:rsidR="00EB7BD1" w:rsidRPr="00B81BBB">
        <w:rPr>
          <w:rFonts w:ascii="Arial" w:hAnsi="Arial" w:cs="Arial"/>
          <w:sz w:val="22"/>
          <w:szCs w:val="22"/>
        </w:rPr>
        <w:t>financing alternatives available to the country</w:t>
      </w:r>
      <w:r w:rsidR="0031072F" w:rsidRPr="00B81BBB">
        <w:rPr>
          <w:rFonts w:ascii="Arial" w:hAnsi="Arial" w:cs="Arial"/>
          <w:sz w:val="22"/>
          <w:szCs w:val="22"/>
        </w:rPr>
        <w:t xml:space="preserve">. </w:t>
      </w:r>
    </w:p>
    <w:p w14:paraId="57C5F7BD" w14:textId="77777777" w:rsidR="005F7A7D" w:rsidRPr="00B81BBB" w:rsidRDefault="00F36415" w:rsidP="00F86017">
      <w:pPr>
        <w:pStyle w:val="Chapter"/>
        <w:tabs>
          <w:tab w:val="clear" w:pos="1440"/>
          <w:tab w:val="clear" w:pos="2952"/>
        </w:tabs>
        <w:ind w:left="0" w:firstLine="0"/>
        <w:rPr>
          <w:rFonts w:ascii="Arial" w:hAnsi="Arial" w:cs="Arial"/>
        </w:rPr>
      </w:pPr>
      <w:bookmarkStart w:id="10" w:name="_Toc510433074"/>
      <w:bookmarkStart w:id="11" w:name="_Toc208109836"/>
      <w:bookmarkStart w:id="12" w:name="_Toc208118131"/>
      <w:r w:rsidRPr="00B81BBB">
        <w:rPr>
          <w:rFonts w:ascii="Arial" w:hAnsi="Arial" w:cs="Arial"/>
        </w:rPr>
        <w:t>Economic Costs and Measurement of Effectiveness in terms of Cost</w:t>
      </w:r>
      <w:bookmarkEnd w:id="10"/>
    </w:p>
    <w:p w14:paraId="60BDE579" w14:textId="507BE0F7" w:rsidR="00694293" w:rsidRPr="00B81BBB" w:rsidRDefault="00724CE2" w:rsidP="002F0244">
      <w:pPr>
        <w:pStyle w:val="Paragraph"/>
        <w:tabs>
          <w:tab w:val="clear" w:pos="3600"/>
        </w:tabs>
        <w:autoSpaceDE w:val="0"/>
        <w:autoSpaceDN w:val="0"/>
        <w:adjustRightInd w:val="0"/>
        <w:spacing w:after="0"/>
        <w:ind w:left="720" w:hanging="720"/>
        <w:rPr>
          <w:rFonts w:ascii="Arial" w:hAnsi="Arial" w:cs="Arial"/>
          <w:sz w:val="22"/>
          <w:szCs w:val="22"/>
        </w:rPr>
      </w:pPr>
      <w:bookmarkStart w:id="13" w:name="_Ref517193208"/>
      <w:r w:rsidRPr="00B81BBB">
        <w:rPr>
          <w:rFonts w:ascii="Arial" w:hAnsi="Arial" w:cs="Arial"/>
          <w:sz w:val="22"/>
          <w:szCs w:val="22"/>
        </w:rPr>
        <w:t xml:space="preserve">As mentioned in </w:t>
      </w:r>
      <w:r w:rsidR="00DE67D1">
        <w:rPr>
          <w:rFonts w:ascii="Arial" w:hAnsi="Arial" w:cs="Arial"/>
          <w:sz w:val="22"/>
          <w:szCs w:val="22"/>
        </w:rPr>
        <w:t xml:space="preserve">the previous </w:t>
      </w:r>
      <w:r w:rsidRPr="00B81BBB">
        <w:rPr>
          <w:rFonts w:ascii="Arial" w:hAnsi="Arial" w:cs="Arial"/>
          <w:sz w:val="22"/>
          <w:szCs w:val="22"/>
        </w:rPr>
        <w:t xml:space="preserve">paragraph, the analysis </w:t>
      </w:r>
      <w:r w:rsidR="009E1394" w:rsidRPr="00B81BBB">
        <w:rPr>
          <w:rFonts w:ascii="Arial" w:hAnsi="Arial" w:cs="Arial"/>
          <w:sz w:val="22"/>
          <w:szCs w:val="22"/>
        </w:rPr>
        <w:t>uses</w:t>
      </w:r>
      <w:r w:rsidRPr="00B81BBB">
        <w:rPr>
          <w:rFonts w:ascii="Arial" w:hAnsi="Arial" w:cs="Arial"/>
          <w:sz w:val="22"/>
          <w:szCs w:val="22"/>
        </w:rPr>
        <w:t xml:space="preserve"> two key indicators </w:t>
      </w:r>
      <w:r w:rsidR="009E1394" w:rsidRPr="00B81BBB">
        <w:rPr>
          <w:rFonts w:ascii="Arial" w:hAnsi="Arial" w:cs="Arial"/>
          <w:sz w:val="22"/>
          <w:szCs w:val="22"/>
        </w:rPr>
        <w:t>to determine the efficiency of</w:t>
      </w:r>
      <w:r w:rsidRPr="00B81BBB">
        <w:rPr>
          <w:rFonts w:ascii="Arial" w:hAnsi="Arial" w:cs="Arial"/>
          <w:sz w:val="22"/>
          <w:szCs w:val="22"/>
        </w:rPr>
        <w:t xml:space="preserve"> </w:t>
      </w:r>
      <w:r w:rsidR="009E1394" w:rsidRPr="00B81BBB">
        <w:rPr>
          <w:rFonts w:ascii="Arial" w:hAnsi="Arial" w:cs="Arial"/>
          <w:sz w:val="22"/>
          <w:szCs w:val="22"/>
        </w:rPr>
        <w:t xml:space="preserve">the </w:t>
      </w:r>
      <w:r w:rsidR="00DE67D1">
        <w:rPr>
          <w:rFonts w:ascii="Arial" w:hAnsi="Arial" w:cs="Arial"/>
          <w:sz w:val="22"/>
          <w:szCs w:val="22"/>
        </w:rPr>
        <w:t>COVID-19 coverage provided by</w:t>
      </w:r>
      <w:r w:rsidR="007C6DD1">
        <w:rPr>
          <w:rFonts w:ascii="Arial" w:hAnsi="Arial" w:cs="Arial"/>
          <w:sz w:val="22"/>
          <w:szCs w:val="22"/>
        </w:rPr>
        <w:t xml:space="preserve"> this operation</w:t>
      </w:r>
      <w:r w:rsidR="009E1394" w:rsidRPr="00B81BBB">
        <w:rPr>
          <w:rFonts w:ascii="Arial" w:hAnsi="Arial" w:cs="Arial"/>
          <w:sz w:val="22"/>
          <w:szCs w:val="22"/>
        </w:rPr>
        <w:t xml:space="preserve">. </w:t>
      </w:r>
      <w:r w:rsidR="00694293" w:rsidRPr="00B81BBB">
        <w:rPr>
          <w:rFonts w:ascii="Arial" w:hAnsi="Arial" w:cs="Arial"/>
          <w:sz w:val="22"/>
          <w:szCs w:val="22"/>
        </w:rPr>
        <w:t>Table 1</w:t>
      </w:r>
      <w:r w:rsidR="009E1394" w:rsidRPr="00B81BBB">
        <w:rPr>
          <w:rFonts w:ascii="Arial" w:hAnsi="Arial" w:cs="Arial"/>
          <w:sz w:val="22"/>
          <w:szCs w:val="22"/>
        </w:rPr>
        <w:t xml:space="preserve"> details the indicator</w:t>
      </w:r>
      <w:r w:rsidRPr="00B81BBB">
        <w:rPr>
          <w:rFonts w:ascii="Arial" w:hAnsi="Arial" w:cs="Arial"/>
          <w:sz w:val="22"/>
          <w:szCs w:val="22"/>
        </w:rPr>
        <w:t xml:space="preserve"> </w:t>
      </w:r>
      <w:r w:rsidR="009E1394" w:rsidRPr="00B81BBB">
        <w:rPr>
          <w:rFonts w:ascii="Arial" w:hAnsi="Arial" w:cs="Arial"/>
          <w:sz w:val="22"/>
          <w:szCs w:val="22"/>
        </w:rPr>
        <w:t>used for each criterion.</w:t>
      </w:r>
      <w:bookmarkEnd w:id="13"/>
    </w:p>
    <w:p w14:paraId="30E2F452" w14:textId="63CE78DD" w:rsidR="00694293" w:rsidRPr="005C3BF5" w:rsidRDefault="00694293" w:rsidP="00DE35FF">
      <w:pPr>
        <w:pStyle w:val="Paragraph"/>
        <w:numPr>
          <w:ilvl w:val="0"/>
          <w:numId w:val="0"/>
        </w:numPr>
        <w:spacing w:after="0"/>
        <w:jc w:val="center"/>
        <w:rPr>
          <w:rFonts w:ascii="Arial" w:hAnsi="Arial" w:cs="Arial"/>
          <w:b/>
          <w:bCs/>
          <w:color w:val="000000"/>
          <w:spacing w:val="-4"/>
          <w:sz w:val="22"/>
          <w:szCs w:val="22"/>
        </w:rPr>
      </w:pPr>
      <w:r w:rsidRPr="005C3BF5">
        <w:rPr>
          <w:rFonts w:ascii="Arial" w:hAnsi="Arial" w:cs="Arial"/>
          <w:b/>
          <w:bCs/>
          <w:color w:val="000000"/>
          <w:spacing w:val="-4"/>
          <w:sz w:val="22"/>
          <w:szCs w:val="22"/>
        </w:rPr>
        <w:t>Table 1</w:t>
      </w:r>
      <w:r w:rsidR="00DD22BB" w:rsidRPr="005C3BF5">
        <w:rPr>
          <w:rFonts w:ascii="Arial" w:hAnsi="Arial" w:cs="Arial"/>
          <w:b/>
          <w:bCs/>
          <w:color w:val="000000"/>
          <w:spacing w:val="-4"/>
          <w:sz w:val="22"/>
          <w:szCs w:val="22"/>
        </w:rPr>
        <w:t>.</w:t>
      </w:r>
      <w:r w:rsidRPr="005C3BF5">
        <w:rPr>
          <w:rFonts w:ascii="Arial" w:hAnsi="Arial" w:cs="Arial"/>
          <w:b/>
          <w:bCs/>
          <w:color w:val="000000"/>
          <w:spacing w:val="-4"/>
          <w:sz w:val="22"/>
          <w:szCs w:val="22"/>
        </w:rPr>
        <w:t xml:space="preserve"> Criteria and indicators</w:t>
      </w:r>
    </w:p>
    <w:tbl>
      <w:tblPr>
        <w:tblStyle w:val="TableGrid"/>
        <w:tblpPr w:leftFromText="180" w:rightFromText="180" w:vertAnchor="text" w:horzAnchor="margin" w:tblpXSpec="center" w:tblpY="95"/>
        <w:tblW w:w="0" w:type="auto"/>
        <w:tblLook w:val="04A0" w:firstRow="1" w:lastRow="0" w:firstColumn="1" w:lastColumn="0" w:noHBand="0" w:noVBand="1"/>
      </w:tblPr>
      <w:tblGrid>
        <w:gridCol w:w="640"/>
        <w:gridCol w:w="4102"/>
        <w:gridCol w:w="3487"/>
      </w:tblGrid>
      <w:tr w:rsidR="0089350D" w:rsidRPr="00B81BBB" w14:paraId="01F858A9" w14:textId="77777777" w:rsidTr="00316E99">
        <w:trPr>
          <w:trHeight w:val="259"/>
          <w:tblHeader/>
        </w:trPr>
        <w:tc>
          <w:tcPr>
            <w:tcW w:w="640" w:type="dxa"/>
            <w:shd w:val="clear" w:color="auto" w:fill="DBE5F1" w:themeFill="accent1" w:themeFillTint="33"/>
          </w:tcPr>
          <w:p w14:paraId="0DC3AF94" w14:textId="77777777" w:rsidR="0089350D" w:rsidRPr="00B81BBB" w:rsidRDefault="0089350D" w:rsidP="00BC1407">
            <w:pPr>
              <w:pStyle w:val="Paragraph"/>
              <w:numPr>
                <w:ilvl w:val="0"/>
                <w:numId w:val="0"/>
              </w:numPr>
              <w:autoSpaceDE w:val="0"/>
              <w:autoSpaceDN w:val="0"/>
              <w:adjustRightInd w:val="0"/>
              <w:spacing w:before="0" w:after="0"/>
              <w:ind w:hanging="720"/>
              <w:jc w:val="center"/>
              <w:rPr>
                <w:rFonts w:ascii="Arial" w:hAnsi="Arial" w:cs="Arial"/>
                <w:b/>
                <w:sz w:val="20"/>
              </w:rPr>
            </w:pPr>
          </w:p>
        </w:tc>
        <w:tc>
          <w:tcPr>
            <w:tcW w:w="4102" w:type="dxa"/>
            <w:shd w:val="clear" w:color="auto" w:fill="DBE5F1" w:themeFill="accent1" w:themeFillTint="33"/>
          </w:tcPr>
          <w:p w14:paraId="273386AD" w14:textId="77777777" w:rsidR="0089350D" w:rsidRPr="00B81BBB" w:rsidRDefault="009E1394" w:rsidP="00BC1407">
            <w:pPr>
              <w:pStyle w:val="Paragraph"/>
              <w:numPr>
                <w:ilvl w:val="0"/>
                <w:numId w:val="0"/>
              </w:numPr>
              <w:autoSpaceDE w:val="0"/>
              <w:autoSpaceDN w:val="0"/>
              <w:adjustRightInd w:val="0"/>
              <w:ind w:hanging="720"/>
              <w:jc w:val="center"/>
              <w:rPr>
                <w:rFonts w:ascii="Arial" w:hAnsi="Arial" w:cs="Arial"/>
                <w:b/>
                <w:sz w:val="20"/>
              </w:rPr>
            </w:pPr>
            <w:r w:rsidRPr="00B81BBB">
              <w:rPr>
                <w:rFonts w:ascii="Arial" w:hAnsi="Arial" w:cs="Arial"/>
                <w:b/>
                <w:sz w:val="20"/>
              </w:rPr>
              <w:t>Criterion</w:t>
            </w:r>
          </w:p>
        </w:tc>
        <w:tc>
          <w:tcPr>
            <w:tcW w:w="3487" w:type="dxa"/>
            <w:shd w:val="clear" w:color="auto" w:fill="DBE5F1" w:themeFill="accent1" w:themeFillTint="33"/>
          </w:tcPr>
          <w:p w14:paraId="7EC26061" w14:textId="77777777" w:rsidR="0089350D" w:rsidRPr="00B81BBB" w:rsidRDefault="009E1394" w:rsidP="00BC1407">
            <w:pPr>
              <w:pStyle w:val="Paragraph"/>
              <w:numPr>
                <w:ilvl w:val="0"/>
                <w:numId w:val="0"/>
              </w:numPr>
              <w:autoSpaceDE w:val="0"/>
              <w:autoSpaceDN w:val="0"/>
              <w:adjustRightInd w:val="0"/>
              <w:jc w:val="center"/>
              <w:rPr>
                <w:rFonts w:ascii="Arial" w:hAnsi="Arial" w:cs="Arial"/>
                <w:b/>
                <w:sz w:val="20"/>
              </w:rPr>
            </w:pPr>
            <w:r w:rsidRPr="00B81BBB">
              <w:rPr>
                <w:rFonts w:ascii="Arial" w:hAnsi="Arial" w:cs="Arial"/>
                <w:b/>
                <w:sz w:val="20"/>
              </w:rPr>
              <w:t>Indicator</w:t>
            </w:r>
          </w:p>
        </w:tc>
      </w:tr>
      <w:tr w:rsidR="0089350D" w:rsidRPr="00B81BBB" w14:paraId="673130CB" w14:textId="77777777" w:rsidTr="003559CA">
        <w:trPr>
          <w:trHeight w:val="620"/>
        </w:trPr>
        <w:tc>
          <w:tcPr>
            <w:tcW w:w="640" w:type="dxa"/>
            <w:vAlign w:val="center"/>
          </w:tcPr>
          <w:p w14:paraId="2F6E02C5" w14:textId="77777777" w:rsidR="0089350D" w:rsidRPr="00B81BBB" w:rsidRDefault="0089350D" w:rsidP="00BC1407">
            <w:pPr>
              <w:jc w:val="center"/>
              <w:rPr>
                <w:rFonts w:ascii="Arial" w:hAnsi="Arial" w:cs="Arial"/>
                <w:sz w:val="20"/>
              </w:rPr>
            </w:pPr>
            <w:r w:rsidRPr="00B81BBB">
              <w:rPr>
                <w:rFonts w:ascii="Arial" w:hAnsi="Arial" w:cs="Arial"/>
                <w:sz w:val="20"/>
              </w:rPr>
              <w:t>1</w:t>
            </w:r>
          </w:p>
        </w:tc>
        <w:tc>
          <w:tcPr>
            <w:tcW w:w="4102" w:type="dxa"/>
          </w:tcPr>
          <w:p w14:paraId="2A6CFBF6" w14:textId="07647BF1" w:rsidR="0089350D" w:rsidRPr="00B81BBB" w:rsidRDefault="00FE3953" w:rsidP="003559CA">
            <w:pPr>
              <w:pStyle w:val="Paragraph"/>
              <w:numPr>
                <w:ilvl w:val="0"/>
                <w:numId w:val="0"/>
              </w:numPr>
              <w:autoSpaceDE w:val="0"/>
              <w:autoSpaceDN w:val="0"/>
              <w:adjustRightInd w:val="0"/>
              <w:spacing w:before="0" w:after="0"/>
              <w:ind w:left="162"/>
              <w:jc w:val="left"/>
              <w:rPr>
                <w:rFonts w:ascii="Arial" w:hAnsi="Arial" w:cs="Arial"/>
                <w:sz w:val="20"/>
              </w:rPr>
            </w:pPr>
            <w:r w:rsidRPr="00B81BBB">
              <w:rPr>
                <w:rFonts w:ascii="Arial" w:hAnsi="Arial" w:cs="Arial"/>
                <w:sz w:val="20"/>
              </w:rPr>
              <w:t>Speed of access to</w:t>
            </w:r>
            <w:r w:rsidR="008A39C4" w:rsidRPr="00B81BBB">
              <w:rPr>
                <w:rFonts w:ascii="Arial" w:hAnsi="Arial" w:cs="Arial"/>
                <w:sz w:val="20"/>
              </w:rPr>
              <w:t xml:space="preserve"> </w:t>
            </w:r>
            <w:r w:rsidR="00724CE2" w:rsidRPr="00B81BBB">
              <w:rPr>
                <w:rFonts w:ascii="Arial" w:hAnsi="Arial" w:cs="Arial"/>
                <w:sz w:val="20"/>
              </w:rPr>
              <w:t xml:space="preserve">resources to </w:t>
            </w:r>
            <w:r w:rsidR="00F76F13" w:rsidRPr="00F76F13">
              <w:rPr>
                <w:rFonts w:ascii="Arial" w:hAnsi="Arial" w:cs="Arial"/>
                <w:sz w:val="20"/>
              </w:rPr>
              <w:t>cover extraordinary public expenditures related to the COVID-19 health emergency</w:t>
            </w:r>
          </w:p>
        </w:tc>
        <w:tc>
          <w:tcPr>
            <w:tcW w:w="3487" w:type="dxa"/>
            <w:vAlign w:val="center"/>
          </w:tcPr>
          <w:p w14:paraId="320AE648" w14:textId="3D6C09FC" w:rsidR="0089350D" w:rsidRPr="00B81BBB" w:rsidRDefault="00FE3953" w:rsidP="00BC1407">
            <w:pPr>
              <w:pStyle w:val="Paragraph"/>
              <w:numPr>
                <w:ilvl w:val="0"/>
                <w:numId w:val="0"/>
              </w:numPr>
              <w:autoSpaceDE w:val="0"/>
              <w:autoSpaceDN w:val="0"/>
              <w:adjustRightInd w:val="0"/>
              <w:spacing w:before="0" w:after="0"/>
              <w:ind w:left="162"/>
              <w:jc w:val="left"/>
              <w:rPr>
                <w:rFonts w:ascii="Arial" w:hAnsi="Arial" w:cs="Arial"/>
                <w:sz w:val="20"/>
              </w:rPr>
            </w:pPr>
            <w:r w:rsidRPr="00B81BBB">
              <w:rPr>
                <w:rFonts w:ascii="Arial" w:hAnsi="Arial" w:cs="Arial"/>
                <w:sz w:val="20"/>
              </w:rPr>
              <w:t>Number of days between the</w:t>
            </w:r>
            <w:r w:rsidR="00A95AD3" w:rsidRPr="00B81BBB">
              <w:rPr>
                <w:rFonts w:ascii="Arial" w:hAnsi="Arial" w:cs="Arial"/>
                <w:sz w:val="20"/>
              </w:rPr>
              <w:t xml:space="preserve"> </w:t>
            </w:r>
            <w:r w:rsidR="0003587B" w:rsidRPr="00B81BBB">
              <w:rPr>
                <w:rFonts w:ascii="Arial" w:hAnsi="Arial" w:cs="Arial"/>
                <w:sz w:val="20"/>
              </w:rPr>
              <w:t>activation of the coverage (date the country fulfills the contractual conditions for general eligibility to request disbursements) and the value date of the first disbursement</w:t>
            </w:r>
          </w:p>
        </w:tc>
      </w:tr>
      <w:tr w:rsidR="0089350D" w:rsidRPr="00B81BBB" w14:paraId="67EE42FA" w14:textId="77777777" w:rsidTr="003559CA">
        <w:trPr>
          <w:trHeight w:val="107"/>
        </w:trPr>
        <w:tc>
          <w:tcPr>
            <w:tcW w:w="640" w:type="dxa"/>
            <w:vAlign w:val="center"/>
          </w:tcPr>
          <w:p w14:paraId="6529D760" w14:textId="77777777" w:rsidR="0089350D" w:rsidRPr="00B81BBB" w:rsidRDefault="0089350D" w:rsidP="00BC1407">
            <w:pPr>
              <w:pStyle w:val="Paragraph"/>
              <w:numPr>
                <w:ilvl w:val="0"/>
                <w:numId w:val="0"/>
              </w:numPr>
              <w:autoSpaceDE w:val="0"/>
              <w:autoSpaceDN w:val="0"/>
              <w:adjustRightInd w:val="0"/>
              <w:spacing w:before="0" w:after="0"/>
              <w:jc w:val="center"/>
              <w:rPr>
                <w:rFonts w:ascii="Arial" w:hAnsi="Arial" w:cs="Arial"/>
                <w:sz w:val="20"/>
              </w:rPr>
            </w:pPr>
            <w:r w:rsidRPr="00B81BBB">
              <w:rPr>
                <w:rFonts w:ascii="Arial" w:hAnsi="Arial" w:cs="Arial"/>
                <w:sz w:val="20"/>
              </w:rPr>
              <w:t>2</w:t>
            </w:r>
          </w:p>
        </w:tc>
        <w:tc>
          <w:tcPr>
            <w:tcW w:w="4102" w:type="dxa"/>
          </w:tcPr>
          <w:p w14:paraId="113872D7" w14:textId="77777777" w:rsidR="0089350D" w:rsidRPr="00B81BBB" w:rsidRDefault="00724CE2" w:rsidP="003559CA">
            <w:pPr>
              <w:pStyle w:val="Paragraph"/>
              <w:numPr>
                <w:ilvl w:val="0"/>
                <w:numId w:val="0"/>
              </w:numPr>
              <w:autoSpaceDE w:val="0"/>
              <w:autoSpaceDN w:val="0"/>
              <w:adjustRightInd w:val="0"/>
              <w:spacing w:before="0" w:after="0"/>
              <w:ind w:left="162"/>
              <w:jc w:val="left"/>
              <w:rPr>
                <w:rFonts w:ascii="Arial" w:hAnsi="Arial" w:cs="Arial"/>
                <w:sz w:val="20"/>
              </w:rPr>
            </w:pPr>
            <w:r w:rsidRPr="00B81BBB">
              <w:rPr>
                <w:rFonts w:ascii="Arial" w:hAnsi="Arial" w:cs="Arial"/>
                <w:sz w:val="20"/>
              </w:rPr>
              <w:t>Financial cost per unit of extraordinary emergency expenditure financed by the loan proceeds.</w:t>
            </w:r>
          </w:p>
        </w:tc>
        <w:tc>
          <w:tcPr>
            <w:tcW w:w="3487" w:type="dxa"/>
            <w:vAlign w:val="center"/>
          </w:tcPr>
          <w:p w14:paraId="3D9A6A56" w14:textId="77777777" w:rsidR="0089350D" w:rsidRPr="00B81BBB" w:rsidRDefault="00724CE2" w:rsidP="00BC1407">
            <w:pPr>
              <w:pStyle w:val="Paragraph"/>
              <w:numPr>
                <w:ilvl w:val="0"/>
                <w:numId w:val="0"/>
              </w:numPr>
              <w:autoSpaceDE w:val="0"/>
              <w:autoSpaceDN w:val="0"/>
              <w:adjustRightInd w:val="0"/>
              <w:spacing w:before="0" w:after="0"/>
              <w:ind w:left="162"/>
              <w:jc w:val="left"/>
              <w:rPr>
                <w:rFonts w:ascii="Arial" w:hAnsi="Arial" w:cs="Arial"/>
                <w:sz w:val="20"/>
              </w:rPr>
            </w:pPr>
            <w:r w:rsidRPr="00B81BBB">
              <w:rPr>
                <w:rFonts w:ascii="Arial" w:hAnsi="Arial" w:cs="Arial"/>
                <w:sz w:val="20"/>
              </w:rPr>
              <w:t>Interest rate</w:t>
            </w:r>
          </w:p>
        </w:tc>
      </w:tr>
    </w:tbl>
    <w:p w14:paraId="13030108" w14:textId="77777777" w:rsidR="00121C06" w:rsidRPr="00B81BBB" w:rsidRDefault="00F36415" w:rsidP="00F86017">
      <w:pPr>
        <w:pStyle w:val="Chapter"/>
        <w:tabs>
          <w:tab w:val="clear" w:pos="1440"/>
          <w:tab w:val="clear" w:pos="2952"/>
        </w:tabs>
        <w:ind w:left="0" w:firstLine="0"/>
        <w:rPr>
          <w:rFonts w:ascii="Arial" w:hAnsi="Arial" w:cs="Arial"/>
        </w:rPr>
      </w:pPr>
      <w:bookmarkStart w:id="14" w:name="_Toc510433075"/>
      <w:r w:rsidRPr="00B81BBB">
        <w:rPr>
          <w:rFonts w:ascii="Arial" w:hAnsi="Arial" w:cs="Arial"/>
        </w:rPr>
        <w:lastRenderedPageBreak/>
        <w:t>Availability of Resources</w:t>
      </w:r>
      <w:bookmarkEnd w:id="14"/>
    </w:p>
    <w:p w14:paraId="754B5E94" w14:textId="0A8793E2" w:rsidR="00D77705" w:rsidRPr="00B81BBB" w:rsidRDefault="008C6A77" w:rsidP="00F86017">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 xml:space="preserve">The availability </w:t>
      </w:r>
      <w:r w:rsidR="00C624EF" w:rsidRPr="00B81BBB">
        <w:rPr>
          <w:rFonts w:ascii="Arial" w:hAnsi="Arial" w:cs="Arial"/>
          <w:sz w:val="22"/>
          <w:szCs w:val="22"/>
        </w:rPr>
        <w:t xml:space="preserve">or speed of access </w:t>
      </w:r>
      <w:r w:rsidRPr="00B81BBB">
        <w:rPr>
          <w:rFonts w:ascii="Arial" w:hAnsi="Arial" w:cs="Arial"/>
          <w:sz w:val="22"/>
          <w:szCs w:val="22"/>
        </w:rPr>
        <w:t xml:space="preserve">to </w:t>
      </w:r>
      <w:r w:rsidR="00D77705" w:rsidRPr="00B81BBB">
        <w:rPr>
          <w:rFonts w:ascii="Arial" w:hAnsi="Arial" w:cs="Arial"/>
          <w:sz w:val="22"/>
          <w:szCs w:val="22"/>
        </w:rPr>
        <w:t xml:space="preserve">loan proceeds </w:t>
      </w:r>
      <w:r w:rsidR="00A11258" w:rsidRPr="00B81BBB">
        <w:rPr>
          <w:rFonts w:ascii="Arial" w:hAnsi="Arial" w:cs="Arial"/>
          <w:sz w:val="22"/>
          <w:szCs w:val="22"/>
        </w:rPr>
        <w:t xml:space="preserve">will be </w:t>
      </w:r>
      <w:r w:rsidRPr="00B81BBB">
        <w:rPr>
          <w:rFonts w:ascii="Arial" w:hAnsi="Arial" w:cs="Arial"/>
          <w:sz w:val="22"/>
          <w:szCs w:val="22"/>
        </w:rPr>
        <w:t xml:space="preserve">measured </w:t>
      </w:r>
      <w:r w:rsidR="00A95AD3" w:rsidRPr="00B81BBB">
        <w:rPr>
          <w:rFonts w:ascii="Arial" w:hAnsi="Arial" w:cs="Arial"/>
          <w:sz w:val="22"/>
          <w:szCs w:val="22"/>
        </w:rPr>
        <w:t xml:space="preserve">as the number of days between </w:t>
      </w:r>
      <w:r w:rsidR="00DA02AD" w:rsidRPr="00B81BBB">
        <w:rPr>
          <w:rFonts w:ascii="Arial" w:hAnsi="Arial" w:cs="Arial"/>
          <w:sz w:val="22"/>
          <w:szCs w:val="22"/>
        </w:rPr>
        <w:t>the activation of the coverage (date the country fulfills the contractual conditions for general eligibility to request disbursements) and the value date of the first disbursement</w:t>
      </w:r>
      <w:r w:rsidR="00C624EF" w:rsidRPr="00B81BBB">
        <w:rPr>
          <w:rFonts w:ascii="Arial" w:hAnsi="Arial" w:cs="Arial"/>
          <w:sz w:val="22"/>
          <w:szCs w:val="22"/>
        </w:rPr>
        <w:t xml:space="preserve">. For the </w:t>
      </w:r>
      <w:r w:rsidR="00FF51CA">
        <w:rPr>
          <w:rFonts w:ascii="Arial" w:hAnsi="Arial" w:cs="Arial"/>
          <w:sz w:val="22"/>
          <w:szCs w:val="22"/>
        </w:rPr>
        <w:t>Suriname</w:t>
      </w:r>
      <w:r w:rsidR="00C624EF" w:rsidRPr="00B81BBB">
        <w:rPr>
          <w:rFonts w:ascii="Arial" w:hAnsi="Arial" w:cs="Arial"/>
          <w:sz w:val="22"/>
          <w:szCs w:val="22"/>
        </w:rPr>
        <w:t>’s CCF operation</w:t>
      </w:r>
      <w:r w:rsidR="0075064C">
        <w:rPr>
          <w:rFonts w:ascii="Arial" w:hAnsi="Arial" w:cs="Arial"/>
          <w:sz w:val="22"/>
          <w:szCs w:val="22"/>
        </w:rPr>
        <w:t xml:space="preserve"> and </w:t>
      </w:r>
      <w:r w:rsidR="00A82157">
        <w:rPr>
          <w:rFonts w:ascii="Arial" w:hAnsi="Arial" w:cs="Arial"/>
          <w:sz w:val="22"/>
          <w:szCs w:val="22"/>
        </w:rPr>
        <w:t xml:space="preserve">in accordance with the </w:t>
      </w:r>
      <w:r w:rsidR="00765C15">
        <w:rPr>
          <w:rFonts w:ascii="Arial" w:hAnsi="Arial" w:cs="Arial"/>
          <w:sz w:val="22"/>
          <w:szCs w:val="22"/>
        </w:rPr>
        <w:t>r</w:t>
      </w:r>
      <w:r w:rsidR="00A82157">
        <w:rPr>
          <w:rFonts w:ascii="Arial" w:hAnsi="Arial" w:cs="Arial"/>
          <w:sz w:val="22"/>
          <w:szCs w:val="22"/>
        </w:rPr>
        <w:t xml:space="preserve">esults </w:t>
      </w:r>
      <w:r w:rsidR="00765C15">
        <w:rPr>
          <w:rFonts w:ascii="Arial" w:hAnsi="Arial" w:cs="Arial"/>
          <w:sz w:val="22"/>
          <w:szCs w:val="22"/>
        </w:rPr>
        <w:t>m</w:t>
      </w:r>
      <w:r w:rsidR="00A82157">
        <w:rPr>
          <w:rFonts w:ascii="Arial" w:hAnsi="Arial" w:cs="Arial"/>
          <w:sz w:val="22"/>
          <w:szCs w:val="22"/>
        </w:rPr>
        <w:t>a</w:t>
      </w:r>
      <w:r w:rsidR="00A36D22">
        <w:rPr>
          <w:rFonts w:ascii="Arial" w:hAnsi="Arial" w:cs="Arial"/>
          <w:sz w:val="22"/>
          <w:szCs w:val="22"/>
        </w:rPr>
        <w:t xml:space="preserve">trix </w:t>
      </w:r>
      <w:r w:rsidR="00765C15">
        <w:rPr>
          <w:rFonts w:ascii="Arial" w:hAnsi="Arial" w:cs="Arial"/>
          <w:sz w:val="22"/>
          <w:szCs w:val="22"/>
        </w:rPr>
        <w:t>for the COVID-19 coverage</w:t>
      </w:r>
      <w:r w:rsidR="00A36D22">
        <w:rPr>
          <w:rFonts w:ascii="Arial" w:hAnsi="Arial" w:cs="Arial"/>
          <w:sz w:val="22"/>
          <w:szCs w:val="22"/>
        </w:rPr>
        <w:t>,</w:t>
      </w:r>
      <w:r w:rsidR="00C624EF" w:rsidRPr="00B81BBB">
        <w:rPr>
          <w:rFonts w:ascii="Arial" w:hAnsi="Arial" w:cs="Arial"/>
          <w:sz w:val="22"/>
          <w:szCs w:val="22"/>
        </w:rPr>
        <w:t xml:space="preserve"> this period is estimated to be</w:t>
      </w:r>
      <w:r w:rsidR="00D77705" w:rsidRPr="00B81BBB">
        <w:rPr>
          <w:rFonts w:ascii="Arial" w:hAnsi="Arial" w:cs="Arial"/>
          <w:sz w:val="22"/>
          <w:szCs w:val="22"/>
        </w:rPr>
        <w:t xml:space="preserve"> </w:t>
      </w:r>
      <w:r w:rsidR="0078691B" w:rsidRPr="0078691B">
        <w:rPr>
          <w:rFonts w:ascii="Arial" w:hAnsi="Arial" w:cs="Arial"/>
          <w:sz w:val="22"/>
          <w:szCs w:val="22"/>
        </w:rPr>
        <w:t>30</w:t>
      </w:r>
      <w:r w:rsidR="00595295" w:rsidRPr="00B81BBB">
        <w:rPr>
          <w:rFonts w:ascii="Arial" w:hAnsi="Arial" w:cs="Arial"/>
          <w:sz w:val="22"/>
          <w:szCs w:val="22"/>
        </w:rPr>
        <w:t xml:space="preserve"> </w:t>
      </w:r>
      <w:r w:rsidR="00D77705" w:rsidRPr="00B81BBB">
        <w:rPr>
          <w:rFonts w:ascii="Arial" w:hAnsi="Arial" w:cs="Arial"/>
          <w:sz w:val="22"/>
          <w:szCs w:val="22"/>
        </w:rPr>
        <w:t>days</w:t>
      </w:r>
      <w:r w:rsidR="00A11258" w:rsidRPr="00B81BBB">
        <w:rPr>
          <w:rFonts w:ascii="Arial" w:hAnsi="Arial" w:cs="Arial"/>
          <w:sz w:val="22"/>
          <w:szCs w:val="22"/>
        </w:rPr>
        <w:t xml:space="preserve">. The estimation is based on </w:t>
      </w:r>
      <w:r w:rsidR="002C3441">
        <w:rPr>
          <w:rFonts w:ascii="Arial" w:hAnsi="Arial" w:cs="Arial"/>
          <w:sz w:val="22"/>
          <w:szCs w:val="22"/>
        </w:rPr>
        <w:t xml:space="preserve">the </w:t>
      </w:r>
      <w:r w:rsidR="009D1EE1">
        <w:rPr>
          <w:rFonts w:ascii="Arial" w:hAnsi="Arial" w:cs="Arial"/>
          <w:sz w:val="22"/>
          <w:szCs w:val="22"/>
        </w:rPr>
        <w:t>experience with previous disburs</w:t>
      </w:r>
      <w:r w:rsidR="002C3441">
        <w:rPr>
          <w:rFonts w:ascii="Arial" w:hAnsi="Arial" w:cs="Arial"/>
          <w:sz w:val="22"/>
          <w:szCs w:val="22"/>
        </w:rPr>
        <w:t xml:space="preserve">ements under the CCF and </w:t>
      </w:r>
      <w:r w:rsidR="00A11258" w:rsidRPr="00B81BBB">
        <w:rPr>
          <w:rFonts w:ascii="Arial" w:hAnsi="Arial" w:cs="Arial"/>
          <w:sz w:val="22"/>
          <w:szCs w:val="22"/>
        </w:rPr>
        <w:t xml:space="preserve">the Bank’s operational rules for </w:t>
      </w:r>
      <w:r w:rsidR="001A32CA">
        <w:rPr>
          <w:rFonts w:ascii="Arial" w:hAnsi="Arial" w:cs="Arial"/>
          <w:sz w:val="22"/>
          <w:szCs w:val="22"/>
        </w:rPr>
        <w:t>CCF operations with COVID-19 coverage</w:t>
      </w:r>
      <w:r w:rsidR="00595295" w:rsidRPr="00B81BBB">
        <w:rPr>
          <w:rFonts w:ascii="Arial" w:hAnsi="Arial" w:cs="Arial"/>
          <w:sz w:val="22"/>
          <w:szCs w:val="22"/>
        </w:rPr>
        <w:t>,</w:t>
      </w:r>
      <w:r w:rsidR="00A116DA" w:rsidRPr="00B81BBB">
        <w:rPr>
          <w:rStyle w:val="FootnoteReference"/>
          <w:rFonts w:ascii="Arial" w:hAnsi="Arial" w:cs="Arial"/>
          <w:sz w:val="22"/>
          <w:szCs w:val="22"/>
        </w:rPr>
        <w:footnoteReference w:id="16"/>
      </w:r>
      <w:r w:rsidR="00595295" w:rsidRPr="00B81BBB">
        <w:rPr>
          <w:rFonts w:ascii="Arial" w:hAnsi="Arial" w:cs="Arial"/>
          <w:sz w:val="22"/>
          <w:szCs w:val="22"/>
        </w:rPr>
        <w:t xml:space="preserve"> which</w:t>
      </w:r>
      <w:r w:rsidR="00C91D60" w:rsidRPr="00B81BBB">
        <w:rPr>
          <w:rFonts w:ascii="Arial" w:hAnsi="Arial" w:cs="Arial"/>
          <w:sz w:val="22"/>
          <w:szCs w:val="22"/>
        </w:rPr>
        <w:t xml:space="preserve"> include the </w:t>
      </w:r>
      <w:r w:rsidR="00973F46" w:rsidRPr="00B81BBB">
        <w:rPr>
          <w:rFonts w:ascii="Arial" w:hAnsi="Arial" w:cs="Arial"/>
          <w:sz w:val="22"/>
          <w:szCs w:val="22"/>
        </w:rPr>
        <w:t xml:space="preserve">time the Bank takes </w:t>
      </w:r>
      <w:r w:rsidR="00C624EF" w:rsidRPr="00B81BBB">
        <w:rPr>
          <w:rFonts w:ascii="Arial" w:hAnsi="Arial" w:cs="Arial"/>
          <w:sz w:val="22"/>
          <w:szCs w:val="22"/>
        </w:rPr>
        <w:t>to process an operation and a disbursement request</w:t>
      </w:r>
      <w:r w:rsidR="00281C52" w:rsidRPr="00B81BBB">
        <w:rPr>
          <w:rFonts w:ascii="Arial" w:hAnsi="Arial" w:cs="Arial"/>
          <w:sz w:val="22"/>
          <w:szCs w:val="22"/>
        </w:rPr>
        <w:t>.</w:t>
      </w:r>
    </w:p>
    <w:p w14:paraId="67784953" w14:textId="204EA191" w:rsidR="00886F27" w:rsidRPr="00B81BBB" w:rsidRDefault="00886F27" w:rsidP="00F86017">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Concerning</w:t>
      </w:r>
      <w:r w:rsidR="00AE080C" w:rsidRPr="00B81BBB">
        <w:rPr>
          <w:rFonts w:ascii="Arial" w:hAnsi="Arial" w:cs="Arial"/>
          <w:sz w:val="22"/>
          <w:szCs w:val="22"/>
        </w:rPr>
        <w:t xml:space="preserve"> the </w:t>
      </w:r>
      <w:r w:rsidRPr="00B81BBB">
        <w:rPr>
          <w:rFonts w:ascii="Arial" w:hAnsi="Arial" w:cs="Arial"/>
          <w:sz w:val="22"/>
          <w:szCs w:val="22"/>
        </w:rPr>
        <w:t xml:space="preserve">estimated </w:t>
      </w:r>
      <w:r w:rsidR="00AE080C" w:rsidRPr="00B81BBB">
        <w:rPr>
          <w:rFonts w:ascii="Arial" w:hAnsi="Arial" w:cs="Arial"/>
          <w:sz w:val="22"/>
          <w:szCs w:val="22"/>
        </w:rPr>
        <w:t>average</w:t>
      </w:r>
      <w:r w:rsidRPr="00B81BBB">
        <w:rPr>
          <w:rFonts w:ascii="Arial" w:hAnsi="Arial" w:cs="Arial"/>
          <w:sz w:val="22"/>
          <w:szCs w:val="22"/>
        </w:rPr>
        <w:t xml:space="preserve"> time for </w:t>
      </w:r>
      <w:r w:rsidR="00DA02AD" w:rsidRPr="00B81BBB">
        <w:rPr>
          <w:rFonts w:ascii="Arial" w:hAnsi="Arial" w:cs="Arial"/>
          <w:sz w:val="22"/>
          <w:szCs w:val="22"/>
        </w:rPr>
        <w:t xml:space="preserve">the Bank to make loan proceeds available to the borrower through other IDB debt instruments, it is </w:t>
      </w:r>
      <w:r w:rsidR="0078691B">
        <w:rPr>
          <w:rFonts w:ascii="Arial" w:hAnsi="Arial" w:cs="Arial"/>
          <w:sz w:val="22"/>
          <w:szCs w:val="22"/>
        </w:rPr>
        <w:t>50</w:t>
      </w:r>
      <w:r w:rsidR="00DA02AD" w:rsidRPr="00B81BBB">
        <w:rPr>
          <w:rFonts w:ascii="Arial" w:hAnsi="Arial" w:cs="Arial"/>
          <w:sz w:val="22"/>
          <w:szCs w:val="22"/>
        </w:rPr>
        <w:t xml:space="preserve"> days.</w:t>
      </w:r>
      <w:r w:rsidR="00BF243A">
        <w:rPr>
          <w:rStyle w:val="FootnoteReference"/>
          <w:rFonts w:ascii="Arial" w:hAnsi="Arial" w:cs="Arial"/>
          <w:sz w:val="22"/>
          <w:szCs w:val="22"/>
        </w:rPr>
        <w:footnoteReference w:id="17"/>
      </w:r>
      <w:r w:rsidR="00DA02AD" w:rsidRPr="00B81BBB">
        <w:rPr>
          <w:rFonts w:ascii="Arial" w:hAnsi="Arial" w:cs="Arial"/>
          <w:sz w:val="22"/>
          <w:szCs w:val="22"/>
        </w:rPr>
        <w:t xml:space="preserve"> </w:t>
      </w:r>
      <w:r w:rsidR="00EB7B52">
        <w:rPr>
          <w:rFonts w:ascii="Arial" w:hAnsi="Arial" w:cs="Arial"/>
          <w:sz w:val="22"/>
          <w:szCs w:val="22"/>
        </w:rPr>
        <w:t>T</w:t>
      </w:r>
      <w:r w:rsidR="00DA02AD" w:rsidRPr="00B81BBB">
        <w:rPr>
          <w:rFonts w:ascii="Arial" w:hAnsi="Arial" w:cs="Arial"/>
          <w:sz w:val="22"/>
          <w:szCs w:val="22"/>
        </w:rPr>
        <w:t>herefore</w:t>
      </w:r>
      <w:r w:rsidR="00EB7B52">
        <w:rPr>
          <w:rFonts w:ascii="Arial" w:hAnsi="Arial" w:cs="Arial"/>
          <w:sz w:val="22"/>
          <w:szCs w:val="22"/>
        </w:rPr>
        <w:t>,</w:t>
      </w:r>
      <w:r w:rsidR="00DA02AD" w:rsidRPr="00B81BBB">
        <w:rPr>
          <w:rFonts w:ascii="Arial" w:hAnsi="Arial" w:cs="Arial"/>
          <w:sz w:val="22"/>
          <w:szCs w:val="22"/>
        </w:rPr>
        <w:t xml:space="preserve"> </w:t>
      </w:r>
      <w:r w:rsidR="00247F77" w:rsidRPr="00B81BBB">
        <w:rPr>
          <w:rFonts w:ascii="Arial" w:hAnsi="Arial" w:cs="Arial"/>
          <w:sz w:val="22"/>
          <w:szCs w:val="22"/>
        </w:rPr>
        <w:t xml:space="preserve">the </w:t>
      </w:r>
      <w:r w:rsidR="00DA02AD" w:rsidRPr="00B81BBB">
        <w:rPr>
          <w:rFonts w:ascii="Arial" w:hAnsi="Arial" w:cs="Arial"/>
          <w:sz w:val="22"/>
          <w:szCs w:val="22"/>
        </w:rPr>
        <w:t>proposed</w:t>
      </w:r>
      <w:r w:rsidR="00247F77" w:rsidRPr="00B81BBB">
        <w:rPr>
          <w:rFonts w:ascii="Arial" w:hAnsi="Arial" w:cs="Arial"/>
          <w:sz w:val="22"/>
          <w:szCs w:val="22"/>
        </w:rPr>
        <w:t xml:space="preserve"> loan would be more efficient in terms of how quickly the country can access to the resources to cover</w:t>
      </w:r>
      <w:r w:rsidR="00DA02AD" w:rsidRPr="00B81BBB">
        <w:rPr>
          <w:rFonts w:ascii="Arial" w:hAnsi="Arial" w:cs="Arial"/>
          <w:sz w:val="22"/>
          <w:szCs w:val="22"/>
        </w:rPr>
        <w:t xml:space="preserve"> </w:t>
      </w:r>
      <w:r w:rsidR="00EB7B52">
        <w:rPr>
          <w:rFonts w:ascii="Arial" w:hAnsi="Arial" w:cs="Arial"/>
          <w:sz w:val="22"/>
          <w:szCs w:val="22"/>
        </w:rPr>
        <w:t>extraordinary</w:t>
      </w:r>
      <w:r w:rsidR="00DA02AD" w:rsidRPr="00B81BBB">
        <w:rPr>
          <w:rFonts w:ascii="Arial" w:hAnsi="Arial" w:cs="Arial"/>
          <w:sz w:val="22"/>
          <w:szCs w:val="22"/>
        </w:rPr>
        <w:t xml:space="preserve"> public expenditures during the </w:t>
      </w:r>
      <w:r w:rsidR="00EB7B52">
        <w:rPr>
          <w:rFonts w:ascii="Arial" w:hAnsi="Arial" w:cs="Arial"/>
          <w:sz w:val="22"/>
          <w:szCs w:val="22"/>
        </w:rPr>
        <w:t xml:space="preserve">health </w:t>
      </w:r>
      <w:r w:rsidR="00DA02AD" w:rsidRPr="00B81BBB">
        <w:rPr>
          <w:rFonts w:ascii="Arial" w:hAnsi="Arial" w:cs="Arial"/>
          <w:sz w:val="22"/>
          <w:szCs w:val="22"/>
        </w:rPr>
        <w:t>emergency</w:t>
      </w:r>
      <w:r w:rsidR="00247F77" w:rsidRPr="00B81BBB">
        <w:rPr>
          <w:rFonts w:ascii="Arial" w:hAnsi="Arial" w:cs="Arial"/>
          <w:sz w:val="22"/>
          <w:szCs w:val="22"/>
        </w:rPr>
        <w:t>.</w:t>
      </w:r>
    </w:p>
    <w:p w14:paraId="0CA1F535" w14:textId="77777777" w:rsidR="00121C06" w:rsidRPr="00B81BBB" w:rsidRDefault="00F36415" w:rsidP="00F86017">
      <w:pPr>
        <w:pStyle w:val="Chapter"/>
        <w:tabs>
          <w:tab w:val="clear" w:pos="1440"/>
          <w:tab w:val="clear" w:pos="2952"/>
        </w:tabs>
        <w:ind w:left="0" w:firstLine="0"/>
        <w:rPr>
          <w:rFonts w:ascii="Arial" w:hAnsi="Arial" w:cs="Arial"/>
        </w:rPr>
      </w:pPr>
      <w:bookmarkStart w:id="15" w:name="_Toc510433076"/>
      <w:r w:rsidRPr="00B81BBB">
        <w:rPr>
          <w:rFonts w:ascii="Arial" w:hAnsi="Arial" w:cs="Arial"/>
        </w:rPr>
        <w:t>Financial Cost</w:t>
      </w:r>
      <w:bookmarkEnd w:id="15"/>
    </w:p>
    <w:p w14:paraId="3C48B5FD" w14:textId="32160DC0" w:rsidR="00864DF2" w:rsidRPr="00B81BBB" w:rsidRDefault="000E0BF0" w:rsidP="005031EB">
      <w:pPr>
        <w:pStyle w:val="Paragraph"/>
        <w:tabs>
          <w:tab w:val="clear" w:pos="3600"/>
        </w:tabs>
        <w:autoSpaceDE w:val="0"/>
        <w:autoSpaceDN w:val="0"/>
        <w:adjustRightInd w:val="0"/>
        <w:ind w:left="720" w:hanging="720"/>
        <w:rPr>
          <w:rFonts w:ascii="Arial" w:hAnsi="Arial" w:cs="Arial"/>
          <w:sz w:val="22"/>
          <w:szCs w:val="22"/>
        </w:rPr>
      </w:pPr>
      <w:r w:rsidRPr="00B81BBB">
        <w:rPr>
          <w:rFonts w:ascii="Arial" w:hAnsi="Arial" w:cs="Arial"/>
          <w:sz w:val="22"/>
          <w:szCs w:val="22"/>
        </w:rPr>
        <w:t xml:space="preserve">Following the second criterion, </w:t>
      </w:r>
      <w:r w:rsidR="007C4D4A" w:rsidRPr="00B81BBB">
        <w:rPr>
          <w:rFonts w:ascii="Arial" w:hAnsi="Arial" w:cs="Arial"/>
          <w:sz w:val="22"/>
          <w:szCs w:val="22"/>
        </w:rPr>
        <w:t>the Bank’s proposed contingent loan</w:t>
      </w:r>
      <w:r w:rsidR="007A4917">
        <w:rPr>
          <w:rFonts w:ascii="Arial" w:hAnsi="Arial" w:cs="Arial"/>
          <w:sz w:val="22"/>
          <w:szCs w:val="22"/>
        </w:rPr>
        <w:t>’s COVID</w:t>
      </w:r>
      <w:r w:rsidR="00DE35FF">
        <w:rPr>
          <w:rFonts w:ascii="Arial" w:hAnsi="Arial" w:cs="Arial"/>
          <w:sz w:val="22"/>
          <w:szCs w:val="22"/>
        </w:rPr>
        <w:noBreakHyphen/>
      </w:r>
      <w:r w:rsidR="007A4917">
        <w:rPr>
          <w:rFonts w:ascii="Arial" w:hAnsi="Arial" w:cs="Arial"/>
          <w:sz w:val="22"/>
          <w:szCs w:val="22"/>
        </w:rPr>
        <w:t>19</w:t>
      </w:r>
      <w:r w:rsidR="00DE35FF">
        <w:rPr>
          <w:rFonts w:ascii="Arial" w:hAnsi="Arial" w:cs="Arial"/>
          <w:sz w:val="22"/>
          <w:szCs w:val="22"/>
        </w:rPr>
        <w:t> </w:t>
      </w:r>
      <w:r w:rsidR="007A4917">
        <w:rPr>
          <w:rFonts w:ascii="Arial" w:hAnsi="Arial" w:cs="Arial"/>
          <w:sz w:val="22"/>
          <w:szCs w:val="22"/>
        </w:rPr>
        <w:t>coverage</w:t>
      </w:r>
      <w:r w:rsidR="00D7416F">
        <w:rPr>
          <w:rFonts w:ascii="Arial" w:hAnsi="Arial" w:cs="Arial"/>
          <w:sz w:val="22"/>
          <w:szCs w:val="22"/>
        </w:rPr>
        <w:t xml:space="preserve"> (</w:t>
      </w:r>
      <w:r w:rsidR="00D7416F" w:rsidRPr="005C0892">
        <w:rPr>
          <w:rFonts w:ascii="Arial" w:hAnsi="Arial" w:cs="Arial"/>
          <w:sz w:val="22"/>
          <w:szCs w:val="18"/>
        </w:rPr>
        <w:t>US$</w:t>
      </w:r>
      <w:r w:rsidR="00F72621">
        <w:rPr>
          <w:rFonts w:ascii="Arial" w:hAnsi="Arial" w:cs="Arial"/>
          <w:sz w:val="22"/>
          <w:szCs w:val="22"/>
        </w:rPr>
        <w:t xml:space="preserve">5.5 </w:t>
      </w:r>
      <w:r w:rsidR="00D7416F" w:rsidRPr="005C0892">
        <w:rPr>
          <w:rFonts w:ascii="Arial" w:hAnsi="Arial" w:cs="Arial"/>
          <w:sz w:val="22"/>
          <w:szCs w:val="18"/>
        </w:rPr>
        <w:t>million</w:t>
      </w:r>
      <w:r w:rsidR="00D7416F">
        <w:rPr>
          <w:rFonts w:ascii="Arial" w:hAnsi="Arial" w:cs="Arial"/>
          <w:sz w:val="22"/>
          <w:szCs w:val="18"/>
        </w:rPr>
        <w:t>)</w:t>
      </w:r>
      <w:r w:rsidR="007C4D4A" w:rsidRPr="00B81BBB">
        <w:rPr>
          <w:rFonts w:ascii="Arial" w:hAnsi="Arial" w:cs="Arial"/>
          <w:sz w:val="22"/>
          <w:szCs w:val="22"/>
        </w:rPr>
        <w:t xml:space="preserve"> is an efficient option </w:t>
      </w:r>
      <w:proofErr w:type="gramStart"/>
      <w:r w:rsidR="007C4D4A" w:rsidRPr="00B81BBB">
        <w:rPr>
          <w:rFonts w:ascii="Arial" w:hAnsi="Arial" w:cs="Arial"/>
          <w:sz w:val="22"/>
          <w:szCs w:val="22"/>
        </w:rPr>
        <w:t>as long as</w:t>
      </w:r>
      <w:proofErr w:type="gramEnd"/>
      <w:r w:rsidR="007C4D4A" w:rsidRPr="00B81BBB">
        <w:rPr>
          <w:rFonts w:ascii="Arial" w:hAnsi="Arial" w:cs="Arial"/>
          <w:sz w:val="22"/>
          <w:szCs w:val="22"/>
        </w:rPr>
        <w:t xml:space="preserve"> its financial cost is lower than a comparable alternative, that is, a</w:t>
      </w:r>
      <w:r w:rsidR="008F4139" w:rsidRPr="00B81BBB">
        <w:rPr>
          <w:rFonts w:ascii="Arial" w:hAnsi="Arial" w:cs="Arial"/>
          <w:sz w:val="22"/>
          <w:szCs w:val="22"/>
        </w:rPr>
        <w:t>n international</w:t>
      </w:r>
      <w:r w:rsidR="007C4D4A" w:rsidRPr="00B81BBB">
        <w:rPr>
          <w:rFonts w:ascii="Arial" w:hAnsi="Arial" w:cs="Arial"/>
          <w:sz w:val="22"/>
          <w:szCs w:val="22"/>
        </w:rPr>
        <w:t xml:space="preserve"> bond issue by the </w:t>
      </w:r>
      <w:r w:rsidR="00F92F00" w:rsidRPr="00B81BBB">
        <w:rPr>
          <w:rFonts w:ascii="Arial" w:hAnsi="Arial" w:cs="Arial"/>
          <w:sz w:val="22"/>
          <w:szCs w:val="22"/>
        </w:rPr>
        <w:t>G</w:t>
      </w:r>
      <w:r w:rsidR="007C4D4A" w:rsidRPr="00B81BBB">
        <w:rPr>
          <w:rFonts w:ascii="Arial" w:hAnsi="Arial" w:cs="Arial"/>
          <w:sz w:val="22"/>
          <w:szCs w:val="22"/>
        </w:rPr>
        <w:t xml:space="preserve">overnment of </w:t>
      </w:r>
      <w:r w:rsidR="008662DB">
        <w:rPr>
          <w:rFonts w:ascii="Arial" w:hAnsi="Arial" w:cs="Arial"/>
          <w:sz w:val="22"/>
          <w:szCs w:val="22"/>
        </w:rPr>
        <w:t>Suriname</w:t>
      </w:r>
      <w:r w:rsidR="007C4D4A" w:rsidRPr="00B81BBB">
        <w:rPr>
          <w:rFonts w:ascii="Arial" w:hAnsi="Arial" w:cs="Arial"/>
          <w:sz w:val="22"/>
          <w:szCs w:val="22"/>
        </w:rPr>
        <w:t>. The financial cost of the Bank’s loan</w:t>
      </w:r>
      <w:r w:rsidR="00237210" w:rsidRPr="00B81BBB">
        <w:rPr>
          <w:rStyle w:val="FootnoteReference"/>
          <w:rFonts w:ascii="Arial" w:hAnsi="Arial" w:cs="Arial"/>
          <w:sz w:val="22"/>
          <w:szCs w:val="22"/>
        </w:rPr>
        <w:footnoteReference w:id="18"/>
      </w:r>
      <w:r w:rsidR="007C4D4A" w:rsidRPr="00B81BBB">
        <w:rPr>
          <w:rFonts w:ascii="Arial" w:hAnsi="Arial" w:cs="Arial"/>
          <w:sz w:val="22"/>
          <w:szCs w:val="22"/>
        </w:rPr>
        <w:t xml:space="preserve"> is set by the 3</w:t>
      </w:r>
      <w:r w:rsidR="00DD22BB">
        <w:rPr>
          <w:rFonts w:ascii="Arial" w:hAnsi="Arial" w:cs="Arial"/>
          <w:sz w:val="22"/>
          <w:szCs w:val="22"/>
        </w:rPr>
        <w:noBreakHyphen/>
      </w:r>
      <w:r w:rsidR="007C4D4A" w:rsidRPr="00B81BBB">
        <w:rPr>
          <w:rFonts w:ascii="Arial" w:hAnsi="Arial" w:cs="Arial"/>
          <w:sz w:val="22"/>
          <w:szCs w:val="22"/>
        </w:rPr>
        <w:t xml:space="preserve">month LIBOR rate (currently </w:t>
      </w:r>
      <w:r w:rsidR="00126571" w:rsidRPr="00B81BBB">
        <w:rPr>
          <w:rFonts w:ascii="Arial" w:hAnsi="Arial" w:cs="Arial"/>
          <w:sz w:val="22"/>
          <w:szCs w:val="22"/>
        </w:rPr>
        <w:t xml:space="preserve">at </w:t>
      </w:r>
      <w:r w:rsidR="00403F48">
        <w:rPr>
          <w:rFonts w:ascii="Arial" w:hAnsi="Arial" w:cs="Arial"/>
          <w:sz w:val="22"/>
          <w:szCs w:val="22"/>
        </w:rPr>
        <w:t>24</w:t>
      </w:r>
      <w:r w:rsidR="007A190B" w:rsidRPr="00B81BBB">
        <w:rPr>
          <w:rFonts w:ascii="Arial" w:hAnsi="Arial" w:cs="Arial"/>
          <w:sz w:val="22"/>
          <w:szCs w:val="22"/>
        </w:rPr>
        <w:t xml:space="preserve"> </w:t>
      </w:r>
      <w:r w:rsidR="00126571" w:rsidRPr="00B81BBB">
        <w:rPr>
          <w:rFonts w:ascii="Arial" w:hAnsi="Arial" w:cs="Arial"/>
          <w:sz w:val="22"/>
          <w:szCs w:val="22"/>
        </w:rPr>
        <w:t xml:space="preserve">basis points), plus a funding margin of </w:t>
      </w:r>
      <w:r w:rsidR="00743CA8">
        <w:rPr>
          <w:rFonts w:ascii="Arial" w:hAnsi="Arial" w:cs="Arial"/>
          <w:sz w:val="22"/>
          <w:szCs w:val="22"/>
        </w:rPr>
        <w:t>8</w:t>
      </w:r>
      <w:r w:rsidR="00C624EF" w:rsidRPr="00B81BBB">
        <w:rPr>
          <w:rFonts w:ascii="Arial" w:hAnsi="Arial" w:cs="Arial"/>
          <w:sz w:val="22"/>
          <w:szCs w:val="22"/>
        </w:rPr>
        <w:t xml:space="preserve"> </w:t>
      </w:r>
      <w:r w:rsidR="00126571" w:rsidRPr="00B81BBB">
        <w:rPr>
          <w:rFonts w:ascii="Arial" w:hAnsi="Arial" w:cs="Arial"/>
          <w:sz w:val="22"/>
          <w:szCs w:val="22"/>
        </w:rPr>
        <w:t xml:space="preserve">basis points (bps) and a lending spread of </w:t>
      </w:r>
      <w:r w:rsidR="00743CA8">
        <w:rPr>
          <w:rFonts w:ascii="Arial" w:hAnsi="Arial" w:cs="Arial"/>
          <w:sz w:val="22"/>
          <w:szCs w:val="22"/>
        </w:rPr>
        <w:t>80</w:t>
      </w:r>
      <w:r w:rsidR="00126571" w:rsidRPr="00B81BBB">
        <w:rPr>
          <w:rFonts w:ascii="Arial" w:hAnsi="Arial" w:cs="Arial"/>
          <w:sz w:val="22"/>
          <w:szCs w:val="22"/>
        </w:rPr>
        <w:t xml:space="preserve"> bps, which is determined by the Finance Department every 6 months. This implies a financial cost of </w:t>
      </w:r>
      <w:r w:rsidR="00743CA8" w:rsidRPr="00743CA8">
        <w:rPr>
          <w:rFonts w:ascii="Arial" w:hAnsi="Arial" w:cs="Arial"/>
          <w:b/>
          <w:bCs/>
          <w:sz w:val="22"/>
          <w:szCs w:val="22"/>
        </w:rPr>
        <w:t>112</w:t>
      </w:r>
      <w:r w:rsidR="00C44266" w:rsidRPr="00B81BBB">
        <w:rPr>
          <w:rFonts w:ascii="Arial" w:hAnsi="Arial" w:cs="Arial"/>
          <w:b/>
          <w:sz w:val="22"/>
          <w:szCs w:val="22"/>
        </w:rPr>
        <w:t xml:space="preserve"> </w:t>
      </w:r>
      <w:r w:rsidR="00126571" w:rsidRPr="00B81BBB">
        <w:rPr>
          <w:rFonts w:ascii="Arial" w:hAnsi="Arial" w:cs="Arial"/>
          <w:b/>
          <w:sz w:val="22"/>
          <w:szCs w:val="22"/>
        </w:rPr>
        <w:t>bps</w:t>
      </w:r>
      <w:r w:rsidR="00126571" w:rsidRPr="00B81BBB">
        <w:rPr>
          <w:rFonts w:ascii="Arial" w:hAnsi="Arial" w:cs="Arial"/>
          <w:sz w:val="22"/>
          <w:szCs w:val="22"/>
        </w:rPr>
        <w:t xml:space="preserve"> </w:t>
      </w:r>
      <w:r w:rsidR="00EE2691" w:rsidRPr="00B81BBB">
        <w:rPr>
          <w:rFonts w:ascii="Arial" w:hAnsi="Arial" w:cs="Arial"/>
          <w:sz w:val="22"/>
          <w:szCs w:val="22"/>
        </w:rPr>
        <w:t xml:space="preserve">that would apply to resources from Ordinary Capital. </w:t>
      </w:r>
      <w:r w:rsidR="00122EDF" w:rsidRPr="00B81BBB">
        <w:rPr>
          <w:rFonts w:ascii="Arial" w:hAnsi="Arial" w:cs="Arial"/>
          <w:sz w:val="22"/>
          <w:szCs w:val="22"/>
        </w:rPr>
        <w:t xml:space="preserve">The </w:t>
      </w:r>
      <w:r w:rsidR="000149DF" w:rsidRPr="00B81BBB">
        <w:rPr>
          <w:rFonts w:ascii="Arial" w:hAnsi="Arial" w:cs="Arial"/>
          <w:sz w:val="22"/>
          <w:szCs w:val="22"/>
        </w:rPr>
        <w:t xml:space="preserve">LIBOR rate could </w:t>
      </w:r>
      <w:r w:rsidR="00B805B0" w:rsidRPr="00B81BBB">
        <w:rPr>
          <w:rFonts w:ascii="Arial" w:hAnsi="Arial" w:cs="Arial"/>
          <w:sz w:val="22"/>
          <w:szCs w:val="22"/>
        </w:rPr>
        <w:t xml:space="preserve">still </w:t>
      </w:r>
      <w:r w:rsidR="000149DF" w:rsidRPr="00B81BBB">
        <w:rPr>
          <w:rFonts w:ascii="Arial" w:hAnsi="Arial" w:cs="Arial"/>
          <w:sz w:val="22"/>
          <w:szCs w:val="22"/>
        </w:rPr>
        <w:t xml:space="preserve">increase during the </w:t>
      </w:r>
      <w:r w:rsidR="00B805B0" w:rsidRPr="00B81BBB">
        <w:rPr>
          <w:rFonts w:ascii="Arial" w:hAnsi="Arial" w:cs="Arial"/>
          <w:sz w:val="22"/>
          <w:szCs w:val="22"/>
        </w:rPr>
        <w:t xml:space="preserve">short </w:t>
      </w:r>
      <w:r w:rsidR="00864DF2" w:rsidRPr="00B81BBB">
        <w:rPr>
          <w:rFonts w:ascii="Arial" w:hAnsi="Arial" w:cs="Arial"/>
          <w:sz w:val="22"/>
          <w:szCs w:val="22"/>
        </w:rPr>
        <w:t xml:space="preserve">lifespan of the Bank’s loan since </w:t>
      </w:r>
      <w:r w:rsidR="000149DF" w:rsidRPr="00B81BBB">
        <w:rPr>
          <w:rFonts w:ascii="Arial" w:hAnsi="Arial" w:cs="Arial"/>
          <w:sz w:val="22"/>
          <w:szCs w:val="22"/>
        </w:rPr>
        <w:t xml:space="preserve">it is still </w:t>
      </w:r>
      <w:r w:rsidR="00864DF2" w:rsidRPr="00B81BBB">
        <w:rPr>
          <w:rFonts w:ascii="Arial" w:hAnsi="Arial" w:cs="Arial"/>
          <w:sz w:val="22"/>
          <w:szCs w:val="22"/>
        </w:rPr>
        <w:t>low</w:t>
      </w:r>
      <w:r w:rsidR="000149DF" w:rsidRPr="00B81BBB">
        <w:rPr>
          <w:rFonts w:ascii="Arial" w:hAnsi="Arial" w:cs="Arial"/>
          <w:sz w:val="22"/>
          <w:szCs w:val="22"/>
        </w:rPr>
        <w:t xml:space="preserve"> by historical standards</w:t>
      </w:r>
      <w:r w:rsidR="00864DF2" w:rsidRPr="00B81BBB">
        <w:rPr>
          <w:rFonts w:ascii="Arial" w:hAnsi="Arial" w:cs="Arial"/>
          <w:sz w:val="22"/>
          <w:szCs w:val="22"/>
        </w:rPr>
        <w:t xml:space="preserve">. Nevertheless, the country could opt for a fixed LIBOR rate to hedge against the risk of unfavorable movements in interest rates. If that were the case, </w:t>
      </w:r>
      <w:r w:rsidR="00084C22" w:rsidRPr="00B81BBB">
        <w:rPr>
          <w:rFonts w:ascii="Arial" w:hAnsi="Arial" w:cs="Arial"/>
          <w:sz w:val="22"/>
          <w:szCs w:val="22"/>
        </w:rPr>
        <w:t xml:space="preserve">the cost of the Bank’s loan would increase </w:t>
      </w:r>
      <w:r w:rsidR="00AE1208" w:rsidRPr="00B81BBB">
        <w:rPr>
          <w:rFonts w:ascii="Arial" w:hAnsi="Arial" w:cs="Arial"/>
          <w:sz w:val="22"/>
          <w:szCs w:val="22"/>
        </w:rPr>
        <w:t xml:space="preserve">to </w:t>
      </w:r>
      <w:r w:rsidR="007442D6" w:rsidRPr="007442D6">
        <w:rPr>
          <w:rFonts w:ascii="Arial" w:hAnsi="Arial" w:cs="Arial"/>
          <w:b/>
          <w:bCs/>
          <w:sz w:val="22"/>
          <w:szCs w:val="22"/>
        </w:rPr>
        <w:t>157</w:t>
      </w:r>
      <w:r w:rsidR="00FE5D91" w:rsidRPr="00B81BBB">
        <w:rPr>
          <w:rFonts w:ascii="Arial" w:hAnsi="Arial" w:cs="Arial"/>
          <w:b/>
          <w:sz w:val="22"/>
          <w:szCs w:val="22"/>
        </w:rPr>
        <w:t xml:space="preserve"> </w:t>
      </w:r>
      <w:r w:rsidR="00084C22" w:rsidRPr="00B81BBB">
        <w:rPr>
          <w:rFonts w:ascii="Arial" w:hAnsi="Arial" w:cs="Arial"/>
          <w:b/>
          <w:sz w:val="22"/>
          <w:szCs w:val="22"/>
        </w:rPr>
        <w:t>bps</w:t>
      </w:r>
      <w:r w:rsidR="00237210" w:rsidRPr="00B81BBB">
        <w:rPr>
          <w:rFonts w:ascii="Arial" w:hAnsi="Arial" w:cs="Arial"/>
          <w:sz w:val="22"/>
          <w:szCs w:val="22"/>
        </w:rPr>
        <w:t>.</w:t>
      </w:r>
      <w:r w:rsidR="00D14F06" w:rsidRPr="00B81BBB">
        <w:rPr>
          <w:rStyle w:val="FootnoteReference"/>
          <w:rFonts w:ascii="Arial" w:hAnsi="Arial" w:cs="Arial"/>
          <w:sz w:val="22"/>
          <w:szCs w:val="22"/>
        </w:rPr>
        <w:footnoteReference w:id="19"/>
      </w:r>
    </w:p>
    <w:p w14:paraId="0B504466" w14:textId="541B4C3D" w:rsidR="00182E84" w:rsidRPr="00182E84" w:rsidRDefault="00C203F8" w:rsidP="00182E84">
      <w:pPr>
        <w:pStyle w:val="Paragraph"/>
        <w:tabs>
          <w:tab w:val="clear" w:pos="3600"/>
        </w:tabs>
        <w:autoSpaceDE w:val="0"/>
        <w:autoSpaceDN w:val="0"/>
        <w:adjustRightInd w:val="0"/>
        <w:ind w:left="720" w:hanging="720"/>
        <w:rPr>
          <w:rFonts w:ascii="Arial" w:hAnsi="Arial" w:cs="Arial"/>
          <w:b/>
          <w:sz w:val="22"/>
          <w:szCs w:val="22"/>
        </w:rPr>
      </w:pPr>
      <w:r w:rsidRPr="00B81BBB">
        <w:rPr>
          <w:rFonts w:ascii="Arial" w:hAnsi="Arial" w:cs="Arial"/>
          <w:sz w:val="22"/>
          <w:szCs w:val="22"/>
        </w:rPr>
        <w:t>Regarding the option of issuing sovereign bonds with a 10-year maturity</w:t>
      </w:r>
      <w:r w:rsidR="00477DFA">
        <w:rPr>
          <w:rFonts w:ascii="Arial" w:hAnsi="Arial" w:cs="Arial"/>
          <w:sz w:val="22"/>
          <w:szCs w:val="22"/>
        </w:rPr>
        <w:t>,</w:t>
      </w:r>
      <w:r w:rsidRPr="00B81BBB">
        <w:rPr>
          <w:rFonts w:ascii="Arial" w:hAnsi="Arial" w:cs="Arial"/>
          <w:sz w:val="22"/>
          <w:szCs w:val="22"/>
        </w:rPr>
        <w:t xml:space="preserve"> </w:t>
      </w:r>
      <w:r w:rsidR="004B0B22">
        <w:rPr>
          <w:rFonts w:ascii="Arial" w:hAnsi="Arial" w:cs="Arial"/>
          <w:sz w:val="22"/>
          <w:szCs w:val="22"/>
        </w:rPr>
        <w:t>Suriname has not made any recent bond issuance that would provide an estimated financing cost of the country to access international financial markets</w:t>
      </w:r>
      <w:r w:rsidR="008E6412">
        <w:rPr>
          <w:rFonts w:ascii="Arial" w:hAnsi="Arial" w:cs="Arial"/>
          <w:sz w:val="22"/>
          <w:szCs w:val="22"/>
        </w:rPr>
        <w:t xml:space="preserve">. The last issuance </w:t>
      </w:r>
      <w:r w:rsidR="00E41432">
        <w:rPr>
          <w:rFonts w:ascii="Arial" w:hAnsi="Arial" w:cs="Arial"/>
          <w:sz w:val="22"/>
          <w:szCs w:val="22"/>
        </w:rPr>
        <w:t>o</w:t>
      </w:r>
      <w:r w:rsidR="00654904">
        <w:rPr>
          <w:rFonts w:ascii="Arial" w:hAnsi="Arial" w:cs="Arial"/>
          <w:sz w:val="22"/>
          <w:szCs w:val="22"/>
        </w:rPr>
        <w:t xml:space="preserve">f 10-year bonds </w:t>
      </w:r>
      <w:r w:rsidR="008E6412">
        <w:rPr>
          <w:rFonts w:ascii="Arial" w:hAnsi="Arial" w:cs="Arial"/>
          <w:sz w:val="22"/>
          <w:szCs w:val="22"/>
        </w:rPr>
        <w:t xml:space="preserve">was </w:t>
      </w:r>
      <w:r w:rsidR="0000272D">
        <w:rPr>
          <w:rFonts w:ascii="Arial" w:hAnsi="Arial" w:cs="Arial"/>
          <w:sz w:val="22"/>
          <w:szCs w:val="22"/>
        </w:rPr>
        <w:t xml:space="preserve">in October </w:t>
      </w:r>
      <w:r w:rsidR="004D56F6">
        <w:rPr>
          <w:rFonts w:ascii="Arial" w:hAnsi="Arial" w:cs="Arial"/>
          <w:sz w:val="22"/>
          <w:szCs w:val="22"/>
        </w:rPr>
        <w:t>2016</w:t>
      </w:r>
      <w:r w:rsidR="004846A8">
        <w:rPr>
          <w:rFonts w:ascii="Arial" w:hAnsi="Arial" w:cs="Arial"/>
          <w:sz w:val="22"/>
          <w:szCs w:val="22"/>
        </w:rPr>
        <w:t xml:space="preserve"> for US$550 million</w:t>
      </w:r>
      <w:r w:rsidR="004D1B0E">
        <w:rPr>
          <w:rFonts w:ascii="Arial" w:hAnsi="Arial" w:cs="Arial"/>
          <w:sz w:val="22"/>
          <w:szCs w:val="22"/>
        </w:rPr>
        <w:t xml:space="preserve"> </w:t>
      </w:r>
      <w:r w:rsidR="00654904">
        <w:rPr>
          <w:rFonts w:ascii="Arial" w:hAnsi="Arial" w:cs="Arial"/>
          <w:sz w:val="22"/>
          <w:szCs w:val="22"/>
        </w:rPr>
        <w:t xml:space="preserve">with a coupon of </w:t>
      </w:r>
      <w:r w:rsidR="00654904" w:rsidRPr="00654904">
        <w:rPr>
          <w:rFonts w:ascii="Arial" w:hAnsi="Arial" w:cs="Arial"/>
          <w:sz w:val="22"/>
          <w:szCs w:val="22"/>
        </w:rPr>
        <w:t>9.25%</w:t>
      </w:r>
      <w:r w:rsidR="00DD22BB">
        <w:rPr>
          <w:rFonts w:ascii="Arial" w:hAnsi="Arial" w:cs="Arial"/>
          <w:sz w:val="22"/>
          <w:szCs w:val="22"/>
        </w:rPr>
        <w:t> </w:t>
      </w:r>
      <w:r w:rsidR="001702B3">
        <w:rPr>
          <w:rFonts w:ascii="Arial" w:hAnsi="Arial" w:cs="Arial"/>
          <w:sz w:val="22"/>
          <w:szCs w:val="22"/>
        </w:rPr>
        <w:t>(</w:t>
      </w:r>
      <w:r w:rsidR="001702B3" w:rsidRPr="001702B3">
        <w:rPr>
          <w:rFonts w:ascii="Arial" w:hAnsi="Arial" w:cs="Arial"/>
          <w:b/>
          <w:bCs/>
          <w:sz w:val="22"/>
          <w:szCs w:val="22"/>
        </w:rPr>
        <w:t>925 bps</w:t>
      </w:r>
      <w:r w:rsidR="001702B3">
        <w:rPr>
          <w:rFonts w:ascii="Arial" w:hAnsi="Arial" w:cs="Arial"/>
          <w:sz w:val="22"/>
          <w:szCs w:val="22"/>
        </w:rPr>
        <w:t>).</w:t>
      </w:r>
      <w:r w:rsidR="007B3EC8">
        <w:rPr>
          <w:rFonts w:ascii="Arial" w:hAnsi="Arial" w:cs="Arial"/>
          <w:sz w:val="22"/>
          <w:szCs w:val="22"/>
        </w:rPr>
        <w:t xml:space="preserve"> </w:t>
      </w:r>
      <w:r w:rsidR="002F6688">
        <w:rPr>
          <w:rFonts w:ascii="Arial" w:hAnsi="Arial" w:cs="Arial"/>
          <w:sz w:val="22"/>
          <w:szCs w:val="22"/>
        </w:rPr>
        <w:t>The</w:t>
      </w:r>
      <w:r w:rsidR="00D2068D">
        <w:rPr>
          <w:rFonts w:ascii="Arial" w:hAnsi="Arial" w:cs="Arial"/>
          <w:sz w:val="22"/>
          <w:szCs w:val="22"/>
        </w:rPr>
        <w:t xml:space="preserve"> </w:t>
      </w:r>
      <w:r w:rsidR="002F6688">
        <w:rPr>
          <w:rFonts w:ascii="Arial" w:hAnsi="Arial" w:cs="Arial"/>
          <w:sz w:val="22"/>
          <w:szCs w:val="22"/>
        </w:rPr>
        <w:t>yield</w:t>
      </w:r>
      <w:r w:rsidR="00D2068D">
        <w:rPr>
          <w:rFonts w:ascii="Arial" w:hAnsi="Arial" w:cs="Arial"/>
          <w:sz w:val="22"/>
          <w:szCs w:val="22"/>
        </w:rPr>
        <w:t>s of these</w:t>
      </w:r>
      <w:r w:rsidR="00AE53F1">
        <w:rPr>
          <w:rFonts w:ascii="Arial" w:hAnsi="Arial" w:cs="Arial"/>
          <w:sz w:val="22"/>
          <w:szCs w:val="22"/>
        </w:rPr>
        <w:t xml:space="preserve"> sovereign</w:t>
      </w:r>
      <w:r w:rsidR="00D2068D">
        <w:rPr>
          <w:rFonts w:ascii="Arial" w:hAnsi="Arial" w:cs="Arial"/>
          <w:sz w:val="22"/>
          <w:szCs w:val="22"/>
        </w:rPr>
        <w:t xml:space="preserve"> bonds </w:t>
      </w:r>
      <w:r w:rsidR="006F5917">
        <w:rPr>
          <w:rFonts w:ascii="Arial" w:hAnsi="Arial" w:cs="Arial"/>
          <w:sz w:val="22"/>
          <w:szCs w:val="22"/>
        </w:rPr>
        <w:t xml:space="preserve">rapidly </w:t>
      </w:r>
      <w:r w:rsidR="00AB1E9C">
        <w:rPr>
          <w:rFonts w:ascii="Arial" w:hAnsi="Arial" w:cs="Arial"/>
          <w:sz w:val="22"/>
          <w:szCs w:val="22"/>
        </w:rPr>
        <w:t xml:space="preserve">spiked </w:t>
      </w:r>
      <w:r w:rsidR="006F5917">
        <w:rPr>
          <w:rFonts w:ascii="Arial" w:hAnsi="Arial" w:cs="Arial"/>
          <w:sz w:val="22"/>
          <w:szCs w:val="22"/>
        </w:rPr>
        <w:t xml:space="preserve">in </w:t>
      </w:r>
      <w:r w:rsidR="00C10B36">
        <w:rPr>
          <w:rFonts w:ascii="Arial" w:hAnsi="Arial" w:cs="Arial"/>
          <w:sz w:val="22"/>
          <w:szCs w:val="22"/>
        </w:rPr>
        <w:t>March </w:t>
      </w:r>
      <w:r w:rsidR="006F5917">
        <w:rPr>
          <w:rFonts w:ascii="Arial" w:hAnsi="Arial" w:cs="Arial"/>
          <w:sz w:val="22"/>
          <w:szCs w:val="22"/>
        </w:rPr>
        <w:t xml:space="preserve">2020 </w:t>
      </w:r>
      <w:r w:rsidR="001B3D69">
        <w:rPr>
          <w:rFonts w:ascii="Arial" w:hAnsi="Arial" w:cs="Arial"/>
          <w:sz w:val="22"/>
          <w:szCs w:val="22"/>
        </w:rPr>
        <w:t>due to the</w:t>
      </w:r>
      <w:r w:rsidR="00E15631">
        <w:rPr>
          <w:rFonts w:ascii="Arial" w:hAnsi="Arial" w:cs="Arial"/>
          <w:sz w:val="22"/>
          <w:szCs w:val="22"/>
        </w:rPr>
        <w:t xml:space="preserve"> COVID-19 pandemic</w:t>
      </w:r>
      <w:r w:rsidR="006F5917">
        <w:rPr>
          <w:rFonts w:ascii="Arial" w:hAnsi="Arial" w:cs="Arial"/>
          <w:sz w:val="22"/>
          <w:szCs w:val="22"/>
        </w:rPr>
        <w:t xml:space="preserve">, </w:t>
      </w:r>
      <w:r w:rsidR="00C11231">
        <w:rPr>
          <w:rFonts w:ascii="Arial" w:hAnsi="Arial" w:cs="Arial"/>
          <w:sz w:val="22"/>
          <w:szCs w:val="22"/>
        </w:rPr>
        <w:t>and</w:t>
      </w:r>
      <w:r w:rsidR="00B03CD1">
        <w:rPr>
          <w:rFonts w:ascii="Arial" w:hAnsi="Arial" w:cs="Arial"/>
          <w:sz w:val="22"/>
          <w:szCs w:val="22"/>
        </w:rPr>
        <w:t xml:space="preserve"> </w:t>
      </w:r>
      <w:r w:rsidR="00D2068D">
        <w:rPr>
          <w:rFonts w:ascii="Arial" w:hAnsi="Arial" w:cs="Arial"/>
          <w:sz w:val="22"/>
          <w:szCs w:val="22"/>
        </w:rPr>
        <w:t>have been</w:t>
      </w:r>
      <w:r w:rsidR="00923424">
        <w:rPr>
          <w:rFonts w:ascii="Arial" w:hAnsi="Arial" w:cs="Arial"/>
          <w:sz w:val="22"/>
          <w:szCs w:val="22"/>
        </w:rPr>
        <w:t xml:space="preserve"> averaging</w:t>
      </w:r>
      <w:r w:rsidR="00EA5965">
        <w:rPr>
          <w:rFonts w:ascii="Arial" w:hAnsi="Arial" w:cs="Arial"/>
          <w:sz w:val="22"/>
          <w:szCs w:val="22"/>
        </w:rPr>
        <w:t xml:space="preserve"> </w:t>
      </w:r>
      <w:r w:rsidR="00971102">
        <w:rPr>
          <w:rFonts w:ascii="Arial" w:hAnsi="Arial" w:cs="Arial"/>
          <w:sz w:val="22"/>
          <w:szCs w:val="22"/>
        </w:rPr>
        <w:t>above 20%</w:t>
      </w:r>
      <w:r w:rsidR="00C10B36">
        <w:rPr>
          <w:rFonts w:ascii="Arial" w:hAnsi="Arial" w:cs="Arial"/>
          <w:sz w:val="22"/>
          <w:szCs w:val="22"/>
        </w:rPr>
        <w:t> </w:t>
      </w:r>
      <w:r w:rsidR="002642AD">
        <w:rPr>
          <w:rFonts w:ascii="Arial" w:hAnsi="Arial" w:cs="Arial"/>
          <w:sz w:val="22"/>
          <w:szCs w:val="22"/>
        </w:rPr>
        <w:t>si</w:t>
      </w:r>
      <w:r w:rsidR="001E4D5F">
        <w:rPr>
          <w:rFonts w:ascii="Arial" w:hAnsi="Arial" w:cs="Arial"/>
          <w:sz w:val="22"/>
          <w:szCs w:val="22"/>
        </w:rPr>
        <w:t xml:space="preserve">nce </w:t>
      </w:r>
      <w:r w:rsidR="00E15631">
        <w:rPr>
          <w:rFonts w:ascii="Arial" w:hAnsi="Arial" w:cs="Arial"/>
          <w:sz w:val="22"/>
          <w:szCs w:val="22"/>
        </w:rPr>
        <w:t>then</w:t>
      </w:r>
      <w:r w:rsidR="00B06804">
        <w:rPr>
          <w:rFonts w:ascii="Arial" w:hAnsi="Arial" w:cs="Arial"/>
          <w:sz w:val="22"/>
          <w:szCs w:val="22"/>
        </w:rPr>
        <w:t xml:space="preserve">, as </w:t>
      </w:r>
      <w:r w:rsidR="00651E3B">
        <w:rPr>
          <w:rFonts w:ascii="Arial" w:hAnsi="Arial" w:cs="Arial"/>
          <w:sz w:val="22"/>
          <w:szCs w:val="22"/>
        </w:rPr>
        <w:t xml:space="preserve">major credit rating agencies downgraded </w:t>
      </w:r>
      <w:r w:rsidR="007C5102">
        <w:rPr>
          <w:rFonts w:ascii="Arial" w:hAnsi="Arial" w:cs="Arial"/>
          <w:sz w:val="22"/>
          <w:szCs w:val="22"/>
        </w:rPr>
        <w:t>t</w:t>
      </w:r>
      <w:r w:rsidR="00E25CC6">
        <w:rPr>
          <w:rFonts w:ascii="Arial" w:hAnsi="Arial" w:cs="Arial"/>
          <w:sz w:val="22"/>
          <w:szCs w:val="22"/>
        </w:rPr>
        <w:t>o near default status</w:t>
      </w:r>
      <w:r w:rsidR="00B10414">
        <w:rPr>
          <w:rFonts w:ascii="Arial" w:hAnsi="Arial" w:cs="Arial"/>
          <w:sz w:val="22"/>
          <w:szCs w:val="22"/>
        </w:rPr>
        <w:t xml:space="preserve"> in response to </w:t>
      </w:r>
      <w:r w:rsidR="008355FC">
        <w:rPr>
          <w:rFonts w:ascii="Arial" w:hAnsi="Arial" w:cs="Arial"/>
          <w:sz w:val="22"/>
          <w:szCs w:val="22"/>
        </w:rPr>
        <w:t xml:space="preserve">the government’s proposed standstill on </w:t>
      </w:r>
      <w:r w:rsidR="00114ED7">
        <w:rPr>
          <w:rFonts w:ascii="Arial" w:hAnsi="Arial" w:cs="Arial"/>
          <w:sz w:val="22"/>
          <w:szCs w:val="22"/>
        </w:rPr>
        <w:t>fore</w:t>
      </w:r>
      <w:r w:rsidR="00BE2C17">
        <w:rPr>
          <w:rFonts w:ascii="Arial" w:hAnsi="Arial" w:cs="Arial"/>
          <w:sz w:val="22"/>
          <w:szCs w:val="22"/>
        </w:rPr>
        <w:t xml:space="preserve">ign-currency debt service payments </w:t>
      </w:r>
      <w:r w:rsidR="0024474D">
        <w:rPr>
          <w:rFonts w:ascii="Arial" w:hAnsi="Arial" w:cs="Arial"/>
          <w:sz w:val="22"/>
          <w:szCs w:val="22"/>
        </w:rPr>
        <w:t>to</w:t>
      </w:r>
      <w:r w:rsidR="00666682">
        <w:rPr>
          <w:rFonts w:ascii="Arial" w:hAnsi="Arial" w:cs="Arial"/>
          <w:sz w:val="22"/>
          <w:szCs w:val="22"/>
        </w:rPr>
        <w:t xml:space="preserve"> find resolution to the</w:t>
      </w:r>
      <w:r w:rsidR="00BE2C17">
        <w:rPr>
          <w:rFonts w:ascii="Arial" w:hAnsi="Arial" w:cs="Arial"/>
          <w:sz w:val="22"/>
          <w:szCs w:val="22"/>
        </w:rPr>
        <w:t xml:space="preserve"> </w:t>
      </w:r>
      <w:r w:rsidR="0024474D">
        <w:rPr>
          <w:rFonts w:ascii="Arial" w:hAnsi="Arial" w:cs="Arial"/>
          <w:sz w:val="22"/>
          <w:szCs w:val="22"/>
        </w:rPr>
        <w:t>debt sustainability issues</w:t>
      </w:r>
      <w:r w:rsidR="00BE2C17">
        <w:rPr>
          <w:rFonts w:ascii="Arial" w:hAnsi="Arial" w:cs="Arial"/>
          <w:sz w:val="22"/>
          <w:szCs w:val="22"/>
        </w:rPr>
        <w:t>.</w:t>
      </w:r>
      <w:r w:rsidR="00CF4671">
        <w:rPr>
          <w:rFonts w:ascii="Arial" w:hAnsi="Arial" w:cs="Arial"/>
          <w:sz w:val="22"/>
          <w:szCs w:val="22"/>
        </w:rPr>
        <w:t xml:space="preserve"> A</w:t>
      </w:r>
      <w:r w:rsidR="00277C1A">
        <w:rPr>
          <w:rFonts w:ascii="Arial" w:hAnsi="Arial" w:cs="Arial"/>
          <w:sz w:val="22"/>
          <w:szCs w:val="22"/>
        </w:rPr>
        <w:t xml:space="preserve">s </w:t>
      </w:r>
      <w:r w:rsidR="00502A14">
        <w:rPr>
          <w:rFonts w:ascii="Arial" w:hAnsi="Arial" w:cs="Arial"/>
          <w:sz w:val="22"/>
          <w:szCs w:val="22"/>
        </w:rPr>
        <w:t xml:space="preserve">the </w:t>
      </w:r>
      <w:r w:rsidR="0068469E">
        <w:rPr>
          <w:rFonts w:ascii="Arial" w:hAnsi="Arial" w:cs="Arial"/>
          <w:sz w:val="22"/>
          <w:szCs w:val="22"/>
        </w:rPr>
        <w:t>government undertakes</w:t>
      </w:r>
      <w:r w:rsidR="008C5C11">
        <w:rPr>
          <w:rFonts w:ascii="Arial" w:hAnsi="Arial" w:cs="Arial"/>
          <w:sz w:val="22"/>
          <w:szCs w:val="22"/>
        </w:rPr>
        <w:t xml:space="preserve"> a </w:t>
      </w:r>
      <w:r w:rsidR="004200E1">
        <w:rPr>
          <w:rFonts w:ascii="Arial" w:hAnsi="Arial" w:cs="Arial"/>
          <w:sz w:val="22"/>
          <w:szCs w:val="22"/>
        </w:rPr>
        <w:t xml:space="preserve">debt restructuring process with external and internal </w:t>
      </w:r>
      <w:r w:rsidR="004200E1">
        <w:rPr>
          <w:rFonts w:ascii="Arial" w:hAnsi="Arial" w:cs="Arial"/>
          <w:sz w:val="22"/>
          <w:szCs w:val="22"/>
        </w:rPr>
        <w:lastRenderedPageBreak/>
        <w:t>c</w:t>
      </w:r>
      <w:r w:rsidR="006F664C">
        <w:rPr>
          <w:rFonts w:ascii="Arial" w:hAnsi="Arial" w:cs="Arial"/>
          <w:sz w:val="22"/>
          <w:szCs w:val="22"/>
        </w:rPr>
        <w:t>reditors</w:t>
      </w:r>
      <w:r w:rsidR="001600D9">
        <w:rPr>
          <w:rFonts w:ascii="Arial" w:hAnsi="Arial" w:cs="Arial"/>
          <w:sz w:val="22"/>
          <w:szCs w:val="22"/>
        </w:rPr>
        <w:t>,</w:t>
      </w:r>
      <w:r w:rsidR="00DF563F" w:rsidRPr="00B81BBB">
        <w:rPr>
          <w:rStyle w:val="FootnoteReference"/>
          <w:rFonts w:ascii="Arial" w:hAnsi="Arial" w:cs="Arial"/>
          <w:sz w:val="22"/>
          <w:szCs w:val="22"/>
        </w:rPr>
        <w:footnoteReference w:id="20"/>
      </w:r>
      <w:r w:rsidR="001600D9">
        <w:rPr>
          <w:rFonts w:ascii="Arial" w:hAnsi="Arial" w:cs="Arial"/>
          <w:sz w:val="22"/>
          <w:szCs w:val="22"/>
        </w:rPr>
        <w:t xml:space="preserve"> it</w:t>
      </w:r>
      <w:r w:rsidR="00D03184">
        <w:rPr>
          <w:rFonts w:ascii="Arial" w:hAnsi="Arial" w:cs="Arial"/>
          <w:sz w:val="22"/>
          <w:szCs w:val="22"/>
        </w:rPr>
        <w:t xml:space="preserve"> is not unlik</w:t>
      </w:r>
      <w:r w:rsidR="005D1F70">
        <w:rPr>
          <w:rFonts w:ascii="Arial" w:hAnsi="Arial" w:cs="Arial"/>
          <w:sz w:val="22"/>
          <w:szCs w:val="22"/>
        </w:rPr>
        <w:t>ely that</w:t>
      </w:r>
      <w:r w:rsidR="00704AD7">
        <w:rPr>
          <w:rFonts w:ascii="Arial" w:hAnsi="Arial" w:cs="Arial"/>
          <w:sz w:val="22"/>
          <w:szCs w:val="22"/>
        </w:rPr>
        <w:t xml:space="preserve"> the yields would </w:t>
      </w:r>
      <w:r w:rsidR="00953DC6">
        <w:rPr>
          <w:rFonts w:ascii="Arial" w:hAnsi="Arial" w:cs="Arial"/>
          <w:sz w:val="22"/>
          <w:szCs w:val="22"/>
        </w:rPr>
        <w:t>normalize,</w:t>
      </w:r>
      <w:r w:rsidR="00704AD7">
        <w:rPr>
          <w:rFonts w:ascii="Arial" w:hAnsi="Arial" w:cs="Arial"/>
          <w:sz w:val="22"/>
          <w:szCs w:val="22"/>
        </w:rPr>
        <w:t xml:space="preserve"> and</w:t>
      </w:r>
      <w:r w:rsidR="005D1F70">
        <w:rPr>
          <w:rFonts w:ascii="Arial" w:hAnsi="Arial" w:cs="Arial"/>
          <w:sz w:val="22"/>
          <w:szCs w:val="22"/>
        </w:rPr>
        <w:t xml:space="preserve"> the </w:t>
      </w:r>
      <w:r w:rsidR="001F0BAB">
        <w:rPr>
          <w:rFonts w:ascii="Arial" w:hAnsi="Arial" w:cs="Arial"/>
          <w:sz w:val="22"/>
          <w:szCs w:val="22"/>
        </w:rPr>
        <w:t>cos</w:t>
      </w:r>
      <w:r w:rsidR="00704AD7">
        <w:rPr>
          <w:rFonts w:ascii="Arial" w:hAnsi="Arial" w:cs="Arial"/>
          <w:sz w:val="22"/>
          <w:szCs w:val="22"/>
        </w:rPr>
        <w:t>t of external financing would</w:t>
      </w:r>
      <w:r w:rsidR="00B45D91">
        <w:rPr>
          <w:rFonts w:ascii="Arial" w:hAnsi="Arial" w:cs="Arial"/>
          <w:sz w:val="22"/>
          <w:szCs w:val="22"/>
        </w:rPr>
        <w:t xml:space="preserve"> fall in the short-to-medium term. </w:t>
      </w:r>
      <w:r w:rsidR="00963306">
        <w:rPr>
          <w:rFonts w:ascii="Arial" w:hAnsi="Arial" w:cs="Arial"/>
          <w:sz w:val="22"/>
          <w:szCs w:val="22"/>
        </w:rPr>
        <w:t>I</w:t>
      </w:r>
      <w:r w:rsidR="003A4570">
        <w:rPr>
          <w:rFonts w:ascii="Arial" w:hAnsi="Arial" w:cs="Arial"/>
          <w:sz w:val="22"/>
          <w:szCs w:val="22"/>
        </w:rPr>
        <w:t>n this context</w:t>
      </w:r>
      <w:r w:rsidR="006F0FBF">
        <w:rPr>
          <w:rFonts w:ascii="Arial" w:hAnsi="Arial" w:cs="Arial"/>
          <w:sz w:val="22"/>
          <w:szCs w:val="22"/>
        </w:rPr>
        <w:t xml:space="preserve"> and taking a conservative approach</w:t>
      </w:r>
      <w:r w:rsidR="00705240">
        <w:rPr>
          <w:rFonts w:ascii="Arial" w:hAnsi="Arial" w:cs="Arial"/>
          <w:sz w:val="22"/>
          <w:szCs w:val="22"/>
        </w:rPr>
        <w:t>,</w:t>
      </w:r>
      <w:r w:rsidR="00A443D2">
        <w:rPr>
          <w:rFonts w:ascii="Arial" w:hAnsi="Arial" w:cs="Arial"/>
          <w:sz w:val="22"/>
          <w:szCs w:val="22"/>
        </w:rPr>
        <w:t xml:space="preserve"> </w:t>
      </w:r>
      <w:r w:rsidR="006770D2">
        <w:rPr>
          <w:rFonts w:ascii="Arial" w:hAnsi="Arial" w:cs="Arial"/>
          <w:sz w:val="22"/>
          <w:szCs w:val="22"/>
        </w:rPr>
        <w:t>the</w:t>
      </w:r>
      <w:r w:rsidR="00987185">
        <w:rPr>
          <w:rFonts w:ascii="Arial" w:hAnsi="Arial" w:cs="Arial"/>
          <w:sz w:val="22"/>
          <w:szCs w:val="22"/>
        </w:rPr>
        <w:t xml:space="preserve"> last issuance’s </w:t>
      </w:r>
      <w:r w:rsidR="00A15928">
        <w:rPr>
          <w:rFonts w:ascii="Arial" w:hAnsi="Arial" w:cs="Arial"/>
          <w:sz w:val="22"/>
          <w:szCs w:val="22"/>
        </w:rPr>
        <w:t>financing cost can be used</w:t>
      </w:r>
      <w:r w:rsidR="00655BA4">
        <w:rPr>
          <w:rFonts w:ascii="Arial" w:hAnsi="Arial" w:cs="Arial"/>
          <w:sz w:val="22"/>
          <w:szCs w:val="22"/>
        </w:rPr>
        <w:t xml:space="preserve"> </w:t>
      </w:r>
      <w:r w:rsidR="00A443D2">
        <w:rPr>
          <w:rFonts w:ascii="Arial" w:hAnsi="Arial" w:cs="Arial"/>
          <w:sz w:val="22"/>
          <w:szCs w:val="22"/>
        </w:rPr>
        <w:t xml:space="preserve">as a </w:t>
      </w:r>
      <w:r w:rsidR="00C6496C">
        <w:rPr>
          <w:rFonts w:ascii="Arial" w:hAnsi="Arial" w:cs="Arial"/>
          <w:sz w:val="22"/>
          <w:szCs w:val="22"/>
        </w:rPr>
        <w:t>reference point</w:t>
      </w:r>
      <w:r w:rsidR="00737B9B" w:rsidRPr="004C7FC8">
        <w:rPr>
          <w:rFonts w:ascii="Arial" w:hAnsi="Arial" w:cs="Arial"/>
          <w:sz w:val="22"/>
          <w:szCs w:val="22"/>
        </w:rPr>
        <w:t>.</w:t>
      </w:r>
      <w:r w:rsidR="00963306">
        <w:rPr>
          <w:rFonts w:ascii="Arial" w:hAnsi="Arial" w:cs="Arial"/>
          <w:sz w:val="22"/>
          <w:szCs w:val="22"/>
        </w:rPr>
        <w:t xml:space="preserve"> Thus, </w:t>
      </w:r>
      <w:r w:rsidR="00EC39E2">
        <w:rPr>
          <w:rFonts w:ascii="Arial" w:hAnsi="Arial" w:cs="Arial"/>
          <w:sz w:val="22"/>
          <w:szCs w:val="22"/>
        </w:rPr>
        <w:t xml:space="preserve">the spread between the cost of the Bank’s </w:t>
      </w:r>
      <w:r w:rsidR="003A0759">
        <w:rPr>
          <w:rFonts w:ascii="Arial" w:hAnsi="Arial" w:cs="Arial"/>
          <w:sz w:val="22"/>
          <w:szCs w:val="22"/>
        </w:rPr>
        <w:t xml:space="preserve">investment </w:t>
      </w:r>
      <w:r w:rsidR="00EC39E2">
        <w:rPr>
          <w:rFonts w:ascii="Arial" w:hAnsi="Arial" w:cs="Arial"/>
          <w:sz w:val="22"/>
          <w:szCs w:val="22"/>
        </w:rPr>
        <w:t xml:space="preserve">loan </w:t>
      </w:r>
      <w:r w:rsidR="00B71C06">
        <w:rPr>
          <w:rFonts w:ascii="Arial" w:hAnsi="Arial" w:cs="Arial"/>
          <w:sz w:val="22"/>
          <w:szCs w:val="22"/>
        </w:rPr>
        <w:t>(</w:t>
      </w:r>
      <w:r w:rsidR="00B71C06" w:rsidRPr="006A59C1">
        <w:rPr>
          <w:rFonts w:ascii="Arial" w:hAnsi="Arial" w:cs="Arial"/>
          <w:b/>
          <w:bCs/>
          <w:sz w:val="22"/>
          <w:szCs w:val="22"/>
        </w:rPr>
        <w:t>112 bps</w:t>
      </w:r>
      <w:r w:rsidR="00B71C06">
        <w:rPr>
          <w:rFonts w:ascii="Arial" w:hAnsi="Arial" w:cs="Arial"/>
          <w:sz w:val="22"/>
          <w:szCs w:val="22"/>
        </w:rPr>
        <w:t xml:space="preserve">) and the cost of issuing </w:t>
      </w:r>
      <w:r w:rsidR="003A0759">
        <w:rPr>
          <w:rFonts w:ascii="Arial" w:hAnsi="Arial" w:cs="Arial"/>
          <w:sz w:val="22"/>
          <w:szCs w:val="22"/>
        </w:rPr>
        <w:t xml:space="preserve">new </w:t>
      </w:r>
      <w:r w:rsidR="00B71C06">
        <w:rPr>
          <w:rFonts w:ascii="Arial" w:hAnsi="Arial" w:cs="Arial"/>
          <w:sz w:val="22"/>
          <w:szCs w:val="22"/>
        </w:rPr>
        <w:t>sovereign bonds</w:t>
      </w:r>
      <w:r w:rsidR="003A0759">
        <w:rPr>
          <w:rFonts w:ascii="Arial" w:hAnsi="Arial" w:cs="Arial"/>
          <w:sz w:val="22"/>
          <w:szCs w:val="22"/>
        </w:rPr>
        <w:t xml:space="preserve"> (</w:t>
      </w:r>
      <w:r w:rsidR="003A0759" w:rsidRPr="004A01B2">
        <w:rPr>
          <w:rFonts w:ascii="Arial" w:hAnsi="Arial" w:cs="Arial"/>
          <w:b/>
          <w:bCs/>
          <w:sz w:val="22"/>
          <w:szCs w:val="22"/>
        </w:rPr>
        <w:t>925 bps</w:t>
      </w:r>
      <w:r w:rsidR="003A0759">
        <w:rPr>
          <w:rFonts w:ascii="Arial" w:hAnsi="Arial" w:cs="Arial"/>
          <w:sz w:val="22"/>
          <w:szCs w:val="22"/>
        </w:rPr>
        <w:t>)</w:t>
      </w:r>
      <w:r w:rsidR="006A59C1">
        <w:rPr>
          <w:rFonts w:ascii="Arial" w:hAnsi="Arial" w:cs="Arial"/>
          <w:sz w:val="22"/>
          <w:szCs w:val="22"/>
        </w:rPr>
        <w:t xml:space="preserve"> is</w:t>
      </w:r>
      <w:r w:rsidR="004A01B2">
        <w:rPr>
          <w:rFonts w:ascii="Arial" w:hAnsi="Arial" w:cs="Arial"/>
          <w:sz w:val="22"/>
          <w:szCs w:val="22"/>
        </w:rPr>
        <w:t xml:space="preserve"> </w:t>
      </w:r>
      <w:r w:rsidR="004A01B2" w:rsidRPr="004A01B2">
        <w:rPr>
          <w:rFonts w:ascii="Arial" w:hAnsi="Arial" w:cs="Arial"/>
          <w:b/>
          <w:bCs/>
          <w:sz w:val="22"/>
          <w:szCs w:val="22"/>
        </w:rPr>
        <w:t>813 bps</w:t>
      </w:r>
      <w:r w:rsidR="004A01B2" w:rsidRPr="004A01B2">
        <w:rPr>
          <w:rFonts w:ascii="Arial" w:hAnsi="Arial" w:cs="Arial"/>
          <w:sz w:val="22"/>
          <w:szCs w:val="22"/>
        </w:rPr>
        <w:t>.</w:t>
      </w:r>
      <w:r w:rsidR="006A59C1">
        <w:rPr>
          <w:rFonts w:ascii="Arial" w:hAnsi="Arial" w:cs="Arial"/>
          <w:sz w:val="22"/>
          <w:szCs w:val="22"/>
        </w:rPr>
        <w:t xml:space="preserve"> </w:t>
      </w:r>
      <w:r w:rsidR="00B71C06">
        <w:rPr>
          <w:rFonts w:ascii="Arial" w:hAnsi="Arial" w:cs="Arial"/>
          <w:sz w:val="22"/>
          <w:szCs w:val="22"/>
        </w:rPr>
        <w:t xml:space="preserve"> </w:t>
      </w:r>
    </w:p>
    <w:p w14:paraId="1E039551" w14:textId="3648931B" w:rsidR="008F30B8" w:rsidRPr="00B727F3" w:rsidRDefault="004008B8" w:rsidP="00B727F3">
      <w:pPr>
        <w:pStyle w:val="Paragraph"/>
        <w:tabs>
          <w:tab w:val="clear" w:pos="3600"/>
        </w:tabs>
        <w:autoSpaceDE w:val="0"/>
        <w:autoSpaceDN w:val="0"/>
        <w:adjustRightInd w:val="0"/>
        <w:ind w:left="720" w:hanging="720"/>
        <w:rPr>
          <w:rFonts w:ascii="Arial" w:hAnsi="Arial" w:cs="Arial"/>
          <w:sz w:val="22"/>
          <w:szCs w:val="22"/>
        </w:rPr>
      </w:pPr>
      <w:r>
        <w:rPr>
          <w:rFonts w:ascii="Arial" w:hAnsi="Arial" w:cs="Arial"/>
          <w:sz w:val="22"/>
          <w:szCs w:val="22"/>
        </w:rPr>
        <w:t>A</w:t>
      </w:r>
      <w:r w:rsidR="00826100">
        <w:rPr>
          <w:rFonts w:ascii="Arial" w:hAnsi="Arial" w:cs="Arial"/>
          <w:sz w:val="22"/>
          <w:szCs w:val="22"/>
        </w:rPr>
        <w:t>ccording to Standard &amp; Poor’s, Suriname has currently a foreign-</w:t>
      </w:r>
      <w:r w:rsidR="007E03AE">
        <w:rPr>
          <w:rFonts w:ascii="Arial" w:hAnsi="Arial" w:cs="Arial"/>
          <w:sz w:val="22"/>
          <w:szCs w:val="22"/>
        </w:rPr>
        <w:t>currency credit rating of Selective Default</w:t>
      </w:r>
      <w:r w:rsidR="000155D2">
        <w:rPr>
          <w:rFonts w:ascii="Arial" w:hAnsi="Arial" w:cs="Arial"/>
          <w:sz w:val="22"/>
          <w:szCs w:val="22"/>
        </w:rPr>
        <w:t xml:space="preserve">. Although </w:t>
      </w:r>
      <w:r w:rsidR="00A3140C">
        <w:rPr>
          <w:rFonts w:ascii="Arial" w:hAnsi="Arial" w:cs="Arial"/>
          <w:sz w:val="22"/>
          <w:szCs w:val="22"/>
        </w:rPr>
        <w:t>t</w:t>
      </w:r>
      <w:r w:rsidR="00A26D19">
        <w:rPr>
          <w:rFonts w:ascii="Arial" w:hAnsi="Arial" w:cs="Arial"/>
          <w:sz w:val="22"/>
          <w:szCs w:val="22"/>
        </w:rPr>
        <w:t>he country’s credit rating could improve in the short term</w:t>
      </w:r>
      <w:r w:rsidR="006656F5">
        <w:rPr>
          <w:rFonts w:ascii="Arial" w:hAnsi="Arial" w:cs="Arial"/>
          <w:sz w:val="22"/>
          <w:szCs w:val="22"/>
        </w:rPr>
        <w:t xml:space="preserve"> given the </w:t>
      </w:r>
      <w:r w:rsidR="00FA0C95">
        <w:rPr>
          <w:rFonts w:ascii="Arial" w:hAnsi="Arial" w:cs="Arial"/>
          <w:sz w:val="22"/>
          <w:szCs w:val="22"/>
        </w:rPr>
        <w:t xml:space="preserve">new </w:t>
      </w:r>
      <w:r w:rsidR="006656F5">
        <w:rPr>
          <w:rFonts w:ascii="Arial" w:hAnsi="Arial" w:cs="Arial"/>
          <w:sz w:val="22"/>
          <w:szCs w:val="22"/>
        </w:rPr>
        <w:t xml:space="preserve">government’s </w:t>
      </w:r>
      <w:r w:rsidR="00520DBB">
        <w:rPr>
          <w:rFonts w:ascii="Arial" w:hAnsi="Arial" w:cs="Arial"/>
          <w:sz w:val="22"/>
          <w:szCs w:val="22"/>
        </w:rPr>
        <w:t>e</w:t>
      </w:r>
      <w:r w:rsidR="00C07689">
        <w:rPr>
          <w:rFonts w:ascii="Arial" w:hAnsi="Arial" w:cs="Arial"/>
          <w:sz w:val="22"/>
          <w:szCs w:val="22"/>
        </w:rPr>
        <w:t xml:space="preserve">fforts to restructure its </w:t>
      </w:r>
      <w:r w:rsidR="006E2849">
        <w:rPr>
          <w:rFonts w:ascii="Arial" w:hAnsi="Arial" w:cs="Arial"/>
          <w:sz w:val="22"/>
          <w:szCs w:val="22"/>
        </w:rPr>
        <w:t xml:space="preserve">debt and </w:t>
      </w:r>
      <w:r w:rsidR="00FA0C95">
        <w:rPr>
          <w:rFonts w:ascii="Arial" w:hAnsi="Arial" w:cs="Arial"/>
          <w:sz w:val="22"/>
          <w:szCs w:val="22"/>
        </w:rPr>
        <w:t>other obligations</w:t>
      </w:r>
      <w:r w:rsidR="00A26D19">
        <w:rPr>
          <w:rFonts w:ascii="Arial" w:hAnsi="Arial" w:cs="Arial"/>
          <w:sz w:val="22"/>
          <w:szCs w:val="22"/>
        </w:rPr>
        <w:t>, it</w:t>
      </w:r>
      <w:r w:rsidR="00FA0C95">
        <w:rPr>
          <w:rFonts w:ascii="Arial" w:hAnsi="Arial" w:cs="Arial"/>
          <w:sz w:val="22"/>
          <w:szCs w:val="22"/>
        </w:rPr>
        <w:t xml:space="preserve"> is unlikely t</w:t>
      </w:r>
      <w:r w:rsidR="006E5C3A">
        <w:rPr>
          <w:rFonts w:ascii="Arial" w:hAnsi="Arial" w:cs="Arial"/>
          <w:sz w:val="22"/>
          <w:szCs w:val="22"/>
        </w:rPr>
        <w:t xml:space="preserve">hat the borrowing conditions </w:t>
      </w:r>
      <w:r w:rsidR="00D57045">
        <w:rPr>
          <w:rFonts w:ascii="Arial" w:hAnsi="Arial" w:cs="Arial"/>
          <w:sz w:val="22"/>
          <w:szCs w:val="22"/>
        </w:rPr>
        <w:t>woul</w:t>
      </w:r>
      <w:r w:rsidR="008D29C9">
        <w:rPr>
          <w:rFonts w:ascii="Arial" w:hAnsi="Arial" w:cs="Arial"/>
          <w:sz w:val="22"/>
          <w:szCs w:val="22"/>
        </w:rPr>
        <w:t>d be</w:t>
      </w:r>
      <w:r w:rsidR="00D57045">
        <w:rPr>
          <w:rFonts w:ascii="Arial" w:hAnsi="Arial" w:cs="Arial"/>
          <w:sz w:val="22"/>
          <w:szCs w:val="22"/>
        </w:rPr>
        <w:t xml:space="preserve"> </w:t>
      </w:r>
      <w:r w:rsidR="009E3BD7">
        <w:rPr>
          <w:rFonts w:ascii="Arial" w:hAnsi="Arial" w:cs="Arial"/>
          <w:sz w:val="22"/>
          <w:szCs w:val="22"/>
        </w:rPr>
        <w:t xml:space="preserve">much </w:t>
      </w:r>
      <w:r w:rsidR="00406889">
        <w:rPr>
          <w:rFonts w:ascii="Arial" w:hAnsi="Arial" w:cs="Arial"/>
          <w:sz w:val="22"/>
          <w:szCs w:val="22"/>
        </w:rPr>
        <w:t xml:space="preserve">better than </w:t>
      </w:r>
      <w:r w:rsidR="009E3BD7">
        <w:rPr>
          <w:rFonts w:ascii="Arial" w:hAnsi="Arial" w:cs="Arial"/>
          <w:sz w:val="22"/>
          <w:szCs w:val="22"/>
        </w:rPr>
        <w:t xml:space="preserve">these in the </w:t>
      </w:r>
      <w:r w:rsidR="00D57045">
        <w:rPr>
          <w:rFonts w:ascii="Arial" w:hAnsi="Arial" w:cs="Arial"/>
          <w:sz w:val="22"/>
          <w:szCs w:val="22"/>
        </w:rPr>
        <w:t>pre-pandemic level</w:t>
      </w:r>
      <w:r w:rsidR="00406889">
        <w:rPr>
          <w:rFonts w:ascii="Arial" w:hAnsi="Arial" w:cs="Arial"/>
          <w:sz w:val="22"/>
          <w:szCs w:val="22"/>
        </w:rPr>
        <w:t>s</w:t>
      </w:r>
      <w:r w:rsidR="00141174">
        <w:rPr>
          <w:rFonts w:ascii="Arial" w:hAnsi="Arial" w:cs="Arial"/>
          <w:sz w:val="22"/>
          <w:szCs w:val="22"/>
        </w:rPr>
        <w:t>.</w:t>
      </w:r>
      <w:r w:rsidR="00B727F3">
        <w:rPr>
          <w:rFonts w:ascii="Arial" w:hAnsi="Arial" w:cs="Arial"/>
          <w:sz w:val="22"/>
          <w:szCs w:val="22"/>
        </w:rPr>
        <w:t xml:space="preserve"> </w:t>
      </w:r>
      <w:r w:rsidR="00141174">
        <w:rPr>
          <w:rFonts w:ascii="Arial" w:hAnsi="Arial" w:cs="Arial"/>
          <w:sz w:val="22"/>
          <w:szCs w:val="22"/>
        </w:rPr>
        <w:t>T</w:t>
      </w:r>
      <w:r w:rsidR="005A612A" w:rsidRPr="00B727F3">
        <w:rPr>
          <w:rFonts w:ascii="Arial" w:hAnsi="Arial" w:cs="Arial"/>
          <w:sz w:val="22"/>
          <w:szCs w:val="22"/>
        </w:rPr>
        <w:t>herefore</w:t>
      </w:r>
      <w:r w:rsidR="006E12FF" w:rsidRPr="00B727F3">
        <w:rPr>
          <w:rFonts w:ascii="Arial" w:hAnsi="Arial" w:cs="Arial"/>
          <w:sz w:val="22"/>
          <w:szCs w:val="22"/>
        </w:rPr>
        <w:t xml:space="preserve">, the team expects the Bank’s </w:t>
      </w:r>
      <w:r w:rsidR="00CA07DF">
        <w:rPr>
          <w:rFonts w:ascii="Arial" w:hAnsi="Arial" w:cs="Arial"/>
          <w:sz w:val="22"/>
          <w:szCs w:val="22"/>
        </w:rPr>
        <w:t>COVID</w:t>
      </w:r>
      <w:r w:rsidR="00DD22BB">
        <w:rPr>
          <w:rFonts w:ascii="Arial" w:hAnsi="Arial" w:cs="Arial"/>
          <w:sz w:val="22"/>
          <w:szCs w:val="22"/>
        </w:rPr>
        <w:noBreakHyphen/>
      </w:r>
      <w:r w:rsidR="00CA07DF">
        <w:rPr>
          <w:rFonts w:ascii="Arial" w:hAnsi="Arial" w:cs="Arial"/>
          <w:sz w:val="22"/>
          <w:szCs w:val="22"/>
        </w:rPr>
        <w:t>19 coverage</w:t>
      </w:r>
      <w:r w:rsidR="006E12FF" w:rsidRPr="00B727F3">
        <w:rPr>
          <w:rFonts w:ascii="Arial" w:hAnsi="Arial" w:cs="Arial"/>
          <w:sz w:val="22"/>
          <w:szCs w:val="22"/>
        </w:rPr>
        <w:t xml:space="preserve"> to remain the most efficient option throughout the entire lifespan of the </w:t>
      </w:r>
      <w:r w:rsidR="00CA07DF">
        <w:rPr>
          <w:rFonts w:ascii="Arial" w:hAnsi="Arial" w:cs="Arial"/>
          <w:sz w:val="22"/>
          <w:szCs w:val="22"/>
        </w:rPr>
        <w:t>operation</w:t>
      </w:r>
      <w:r w:rsidR="006E12FF" w:rsidRPr="00B727F3">
        <w:rPr>
          <w:rFonts w:ascii="Arial" w:hAnsi="Arial" w:cs="Arial"/>
          <w:sz w:val="22"/>
          <w:szCs w:val="22"/>
        </w:rPr>
        <w:t>.</w:t>
      </w:r>
      <w:r w:rsidR="00437E00" w:rsidRPr="00B727F3">
        <w:rPr>
          <w:rFonts w:ascii="Arial" w:hAnsi="Arial" w:cs="Arial"/>
          <w:sz w:val="22"/>
          <w:szCs w:val="22"/>
        </w:rPr>
        <w:t xml:space="preserve"> </w:t>
      </w:r>
    </w:p>
    <w:p w14:paraId="6DE38C40" w14:textId="533968EF" w:rsidR="00952EE0" w:rsidRPr="00B81BBB" w:rsidRDefault="00837A89" w:rsidP="00694293">
      <w:pPr>
        <w:pStyle w:val="Paragraph"/>
        <w:tabs>
          <w:tab w:val="clear" w:pos="3600"/>
        </w:tabs>
        <w:autoSpaceDE w:val="0"/>
        <w:autoSpaceDN w:val="0"/>
        <w:adjustRightInd w:val="0"/>
        <w:ind w:left="720" w:hanging="720"/>
        <w:rPr>
          <w:rFonts w:ascii="Arial" w:hAnsi="Arial" w:cs="Arial"/>
          <w:sz w:val="22"/>
          <w:szCs w:val="22"/>
        </w:rPr>
      </w:pPr>
      <w:r>
        <w:rPr>
          <w:rFonts w:ascii="Arial" w:hAnsi="Arial" w:cs="Arial"/>
          <w:sz w:val="22"/>
          <w:szCs w:val="22"/>
        </w:rPr>
        <w:t>Un</w:t>
      </w:r>
      <w:r w:rsidR="003958E7">
        <w:rPr>
          <w:rFonts w:ascii="Arial" w:hAnsi="Arial" w:cs="Arial"/>
          <w:sz w:val="22"/>
          <w:szCs w:val="22"/>
        </w:rPr>
        <w:t>til now the assumption was that the borrowing conditions would improve in the shor</w:t>
      </w:r>
      <w:r w:rsidR="00322A22">
        <w:rPr>
          <w:rFonts w:ascii="Arial" w:hAnsi="Arial" w:cs="Arial"/>
          <w:sz w:val="22"/>
          <w:szCs w:val="22"/>
        </w:rPr>
        <w:t>t-term</w:t>
      </w:r>
      <w:r w:rsidR="00154EAD" w:rsidRPr="00B81BBB">
        <w:rPr>
          <w:rFonts w:ascii="Arial" w:hAnsi="Arial" w:cs="Arial"/>
          <w:sz w:val="22"/>
          <w:szCs w:val="22"/>
        </w:rPr>
        <w:t>,</w:t>
      </w:r>
      <w:r w:rsidR="00322A22">
        <w:rPr>
          <w:rFonts w:ascii="Arial" w:hAnsi="Arial" w:cs="Arial"/>
          <w:sz w:val="22"/>
          <w:szCs w:val="22"/>
        </w:rPr>
        <w:t xml:space="preserve"> however, it is also possible that </w:t>
      </w:r>
      <w:r w:rsidR="0009520A">
        <w:rPr>
          <w:rFonts w:ascii="Arial" w:hAnsi="Arial" w:cs="Arial"/>
          <w:sz w:val="22"/>
          <w:szCs w:val="22"/>
        </w:rPr>
        <w:t xml:space="preserve">the country’s </w:t>
      </w:r>
      <w:r w:rsidR="006E1EFD" w:rsidRPr="00B81BBB">
        <w:rPr>
          <w:rFonts w:ascii="Arial" w:hAnsi="Arial" w:cs="Arial"/>
          <w:sz w:val="22"/>
          <w:szCs w:val="22"/>
        </w:rPr>
        <w:t>public financial position</w:t>
      </w:r>
      <w:r w:rsidR="0009520A">
        <w:rPr>
          <w:rFonts w:ascii="Arial" w:hAnsi="Arial" w:cs="Arial"/>
          <w:sz w:val="22"/>
          <w:szCs w:val="22"/>
        </w:rPr>
        <w:t xml:space="preserve"> </w:t>
      </w:r>
      <w:r w:rsidR="00906B3A">
        <w:rPr>
          <w:rFonts w:ascii="Arial" w:hAnsi="Arial" w:cs="Arial"/>
          <w:sz w:val="22"/>
          <w:szCs w:val="22"/>
        </w:rPr>
        <w:t xml:space="preserve">further deteriorates </w:t>
      </w:r>
      <w:r w:rsidR="006E1EFD" w:rsidRPr="00B81BBB">
        <w:rPr>
          <w:rFonts w:ascii="Arial" w:hAnsi="Arial" w:cs="Arial"/>
          <w:sz w:val="22"/>
          <w:szCs w:val="22"/>
        </w:rPr>
        <w:t>and access to international financial markets</w:t>
      </w:r>
      <w:r w:rsidR="00181CD8">
        <w:rPr>
          <w:rFonts w:ascii="Arial" w:hAnsi="Arial" w:cs="Arial"/>
          <w:sz w:val="22"/>
          <w:szCs w:val="22"/>
        </w:rPr>
        <w:t xml:space="preserve"> become more </w:t>
      </w:r>
      <w:r w:rsidR="00033A4E">
        <w:rPr>
          <w:rFonts w:ascii="Arial" w:hAnsi="Arial" w:cs="Arial"/>
          <w:sz w:val="22"/>
          <w:szCs w:val="22"/>
        </w:rPr>
        <w:t>limited</w:t>
      </w:r>
      <w:r w:rsidR="008903FE">
        <w:rPr>
          <w:rFonts w:ascii="Arial" w:hAnsi="Arial" w:cs="Arial"/>
          <w:sz w:val="22"/>
          <w:szCs w:val="22"/>
        </w:rPr>
        <w:t xml:space="preserve"> and costlier</w:t>
      </w:r>
      <w:r w:rsidR="00181CD8">
        <w:rPr>
          <w:rFonts w:ascii="Arial" w:hAnsi="Arial" w:cs="Arial"/>
          <w:sz w:val="22"/>
          <w:szCs w:val="22"/>
        </w:rPr>
        <w:t>.</w:t>
      </w:r>
      <w:r w:rsidR="006E1EFD" w:rsidRPr="00B81BBB">
        <w:rPr>
          <w:rFonts w:ascii="Arial" w:hAnsi="Arial" w:cs="Arial"/>
          <w:sz w:val="22"/>
          <w:szCs w:val="22"/>
        </w:rPr>
        <w:t xml:space="preserve"> </w:t>
      </w:r>
      <w:r w:rsidR="00C44885">
        <w:rPr>
          <w:rFonts w:ascii="Arial" w:hAnsi="Arial" w:cs="Arial"/>
          <w:sz w:val="22"/>
          <w:szCs w:val="22"/>
        </w:rPr>
        <w:t xml:space="preserve">Under that </w:t>
      </w:r>
      <w:r w:rsidR="00EF3B16">
        <w:rPr>
          <w:rFonts w:ascii="Arial" w:hAnsi="Arial" w:cs="Arial"/>
          <w:sz w:val="22"/>
          <w:szCs w:val="22"/>
        </w:rPr>
        <w:t xml:space="preserve">scenario, </w:t>
      </w:r>
      <w:r w:rsidR="00154EAD" w:rsidRPr="00B81BBB">
        <w:rPr>
          <w:rFonts w:ascii="Arial" w:hAnsi="Arial" w:cs="Arial"/>
          <w:sz w:val="22"/>
          <w:szCs w:val="22"/>
        </w:rPr>
        <w:t xml:space="preserve">the </w:t>
      </w:r>
      <w:r w:rsidR="00812B5B" w:rsidRPr="00B81BBB">
        <w:rPr>
          <w:rFonts w:ascii="Arial" w:hAnsi="Arial" w:cs="Arial"/>
          <w:sz w:val="22"/>
          <w:szCs w:val="22"/>
        </w:rPr>
        <w:t>spread</w:t>
      </w:r>
      <w:r w:rsidR="00154EAD" w:rsidRPr="00B81BBB">
        <w:rPr>
          <w:rFonts w:ascii="Arial" w:hAnsi="Arial" w:cs="Arial"/>
          <w:sz w:val="22"/>
          <w:szCs w:val="22"/>
        </w:rPr>
        <w:t xml:space="preserve"> between the Bank’s </w:t>
      </w:r>
      <w:r w:rsidR="00C44885">
        <w:rPr>
          <w:rFonts w:ascii="Arial" w:hAnsi="Arial" w:cs="Arial"/>
          <w:sz w:val="22"/>
          <w:szCs w:val="22"/>
        </w:rPr>
        <w:t>loan</w:t>
      </w:r>
      <w:r w:rsidR="00154EAD" w:rsidRPr="00B81BBB">
        <w:rPr>
          <w:rFonts w:ascii="Arial" w:hAnsi="Arial" w:cs="Arial"/>
          <w:sz w:val="22"/>
          <w:szCs w:val="22"/>
        </w:rPr>
        <w:t xml:space="preserve"> and a 10-year sovereign bond issu</w:t>
      </w:r>
      <w:r w:rsidR="006E1EFD" w:rsidRPr="00B81BBB">
        <w:rPr>
          <w:rFonts w:ascii="Arial" w:hAnsi="Arial" w:cs="Arial"/>
          <w:sz w:val="22"/>
          <w:szCs w:val="22"/>
        </w:rPr>
        <w:t>ance</w:t>
      </w:r>
      <w:r w:rsidR="00BA0097" w:rsidRPr="00B81BBB">
        <w:rPr>
          <w:rFonts w:ascii="Arial" w:hAnsi="Arial" w:cs="Arial"/>
          <w:sz w:val="22"/>
          <w:szCs w:val="22"/>
        </w:rPr>
        <w:t xml:space="preserve"> </w:t>
      </w:r>
      <w:r w:rsidR="00EF3B16">
        <w:rPr>
          <w:rFonts w:ascii="Arial" w:hAnsi="Arial" w:cs="Arial"/>
          <w:sz w:val="22"/>
          <w:szCs w:val="22"/>
        </w:rPr>
        <w:t>would</w:t>
      </w:r>
      <w:r w:rsidR="008C4B8B">
        <w:rPr>
          <w:rFonts w:ascii="Arial" w:hAnsi="Arial" w:cs="Arial"/>
          <w:sz w:val="22"/>
          <w:szCs w:val="22"/>
        </w:rPr>
        <w:t xml:space="preserve"> </w:t>
      </w:r>
      <w:r w:rsidR="0058122C">
        <w:rPr>
          <w:rFonts w:ascii="Arial" w:hAnsi="Arial" w:cs="Arial"/>
          <w:sz w:val="22"/>
          <w:szCs w:val="22"/>
        </w:rPr>
        <w:t xml:space="preserve">be </w:t>
      </w:r>
      <w:r w:rsidR="00C10B36">
        <w:rPr>
          <w:rFonts w:ascii="Arial" w:hAnsi="Arial" w:cs="Arial"/>
          <w:sz w:val="22"/>
          <w:szCs w:val="22"/>
        </w:rPr>
        <w:t>even</w:t>
      </w:r>
      <w:r w:rsidR="00A249AA">
        <w:rPr>
          <w:rFonts w:ascii="Arial" w:hAnsi="Arial" w:cs="Arial"/>
          <w:sz w:val="22"/>
          <w:szCs w:val="22"/>
        </w:rPr>
        <w:t xml:space="preserve"> </w:t>
      </w:r>
      <w:r w:rsidR="0058122C">
        <w:rPr>
          <w:rFonts w:ascii="Arial" w:hAnsi="Arial" w:cs="Arial"/>
          <w:sz w:val="22"/>
          <w:szCs w:val="22"/>
        </w:rPr>
        <w:t>higher</w:t>
      </w:r>
      <w:r w:rsidR="00BA0097" w:rsidRPr="00B81BBB">
        <w:rPr>
          <w:rFonts w:ascii="Arial" w:hAnsi="Arial" w:cs="Arial"/>
          <w:sz w:val="22"/>
          <w:szCs w:val="22"/>
        </w:rPr>
        <w:t xml:space="preserve">. </w:t>
      </w:r>
      <w:r w:rsidR="0058122C">
        <w:rPr>
          <w:rFonts w:ascii="Arial" w:hAnsi="Arial" w:cs="Arial"/>
          <w:sz w:val="22"/>
          <w:szCs w:val="22"/>
        </w:rPr>
        <w:t>Notwithstanding</w:t>
      </w:r>
      <w:r w:rsidR="00BA0097" w:rsidRPr="00B81BBB">
        <w:rPr>
          <w:rFonts w:ascii="Arial" w:hAnsi="Arial" w:cs="Arial"/>
          <w:sz w:val="22"/>
          <w:szCs w:val="22"/>
        </w:rPr>
        <w:t xml:space="preserve">, this cost-effective analysis </w:t>
      </w:r>
      <w:r w:rsidR="00694293" w:rsidRPr="00B81BBB">
        <w:rPr>
          <w:rFonts w:ascii="Arial" w:hAnsi="Arial" w:cs="Arial"/>
          <w:sz w:val="22"/>
          <w:szCs w:val="22"/>
        </w:rPr>
        <w:t xml:space="preserve">takes a conservative approach and </w:t>
      </w:r>
      <w:r w:rsidR="00BA0097" w:rsidRPr="00B81BBB">
        <w:rPr>
          <w:rFonts w:ascii="Arial" w:hAnsi="Arial" w:cs="Arial"/>
          <w:sz w:val="22"/>
          <w:szCs w:val="22"/>
        </w:rPr>
        <w:t xml:space="preserve">assumes </w:t>
      </w:r>
      <w:r w:rsidR="00694293" w:rsidRPr="00B81BBB">
        <w:rPr>
          <w:rFonts w:ascii="Arial" w:hAnsi="Arial" w:cs="Arial"/>
          <w:sz w:val="22"/>
          <w:szCs w:val="22"/>
        </w:rPr>
        <w:t xml:space="preserve">that the financial conditions for the government to issue bonds </w:t>
      </w:r>
      <w:r w:rsidR="00CC635F" w:rsidRPr="00B81BBB">
        <w:rPr>
          <w:rFonts w:ascii="Arial" w:hAnsi="Arial" w:cs="Arial"/>
          <w:sz w:val="22"/>
          <w:szCs w:val="22"/>
        </w:rPr>
        <w:t>will be</w:t>
      </w:r>
      <w:r w:rsidR="00694293" w:rsidRPr="00B81BBB">
        <w:rPr>
          <w:rFonts w:ascii="Arial" w:hAnsi="Arial" w:cs="Arial"/>
          <w:sz w:val="22"/>
          <w:szCs w:val="22"/>
        </w:rPr>
        <w:t xml:space="preserve"> </w:t>
      </w:r>
      <w:proofErr w:type="gramStart"/>
      <w:r w:rsidR="00C6496C">
        <w:rPr>
          <w:rFonts w:ascii="Arial" w:hAnsi="Arial" w:cs="Arial"/>
          <w:sz w:val="22"/>
          <w:szCs w:val="22"/>
        </w:rPr>
        <w:t>similar to</w:t>
      </w:r>
      <w:proofErr w:type="gramEnd"/>
      <w:r w:rsidR="00C6496C">
        <w:rPr>
          <w:rFonts w:ascii="Arial" w:hAnsi="Arial" w:cs="Arial"/>
          <w:sz w:val="22"/>
          <w:szCs w:val="22"/>
        </w:rPr>
        <w:t xml:space="preserve"> </w:t>
      </w:r>
      <w:r w:rsidR="00A35630">
        <w:rPr>
          <w:rFonts w:ascii="Arial" w:hAnsi="Arial" w:cs="Arial"/>
          <w:sz w:val="22"/>
          <w:szCs w:val="22"/>
        </w:rPr>
        <w:t>the reference point</w:t>
      </w:r>
      <w:r w:rsidR="006E1EFD" w:rsidRPr="00B81BBB">
        <w:rPr>
          <w:rFonts w:ascii="Arial" w:hAnsi="Arial" w:cs="Arial"/>
          <w:sz w:val="22"/>
          <w:szCs w:val="22"/>
        </w:rPr>
        <w:t>.</w:t>
      </w:r>
    </w:p>
    <w:p w14:paraId="4D886870" w14:textId="77777777" w:rsidR="00BA456D" w:rsidRPr="00B81BBB" w:rsidRDefault="00F36415" w:rsidP="00F86017">
      <w:pPr>
        <w:pStyle w:val="Chapter"/>
        <w:tabs>
          <w:tab w:val="clear" w:pos="1440"/>
          <w:tab w:val="clear" w:pos="2952"/>
        </w:tabs>
        <w:ind w:left="0" w:firstLine="0"/>
        <w:rPr>
          <w:rFonts w:ascii="Arial" w:hAnsi="Arial" w:cs="Arial"/>
        </w:rPr>
      </w:pPr>
      <w:bookmarkStart w:id="16" w:name="_Toc510433077"/>
      <w:r w:rsidRPr="00B81BBB">
        <w:rPr>
          <w:rFonts w:ascii="Arial" w:hAnsi="Arial" w:cs="Arial"/>
        </w:rPr>
        <w:t>Indicators</w:t>
      </w:r>
      <w:bookmarkEnd w:id="16"/>
    </w:p>
    <w:p w14:paraId="051B6DD4" w14:textId="3881DCF6" w:rsidR="00694293" w:rsidRPr="00B81BBB" w:rsidRDefault="00694293" w:rsidP="002F0244">
      <w:pPr>
        <w:pStyle w:val="Paragraph"/>
        <w:tabs>
          <w:tab w:val="clear" w:pos="3600"/>
        </w:tabs>
        <w:autoSpaceDE w:val="0"/>
        <w:autoSpaceDN w:val="0"/>
        <w:adjustRightInd w:val="0"/>
        <w:spacing w:after="0"/>
        <w:ind w:left="720" w:hanging="720"/>
        <w:rPr>
          <w:rFonts w:ascii="Arial" w:hAnsi="Arial" w:cs="Arial"/>
          <w:sz w:val="22"/>
          <w:szCs w:val="22"/>
        </w:rPr>
      </w:pPr>
      <w:r w:rsidRPr="00B81BBB">
        <w:rPr>
          <w:rFonts w:ascii="Arial" w:hAnsi="Arial" w:cs="Arial"/>
          <w:sz w:val="22"/>
          <w:szCs w:val="22"/>
        </w:rPr>
        <w:t xml:space="preserve">Table 2 </w:t>
      </w:r>
      <w:r w:rsidR="004731A7" w:rsidRPr="00B81BBB">
        <w:rPr>
          <w:rFonts w:ascii="Arial" w:hAnsi="Arial" w:cs="Arial"/>
          <w:sz w:val="22"/>
          <w:szCs w:val="22"/>
        </w:rPr>
        <w:t>summari</w:t>
      </w:r>
      <w:r w:rsidR="00DC3521" w:rsidRPr="00B81BBB">
        <w:rPr>
          <w:rFonts w:ascii="Arial" w:hAnsi="Arial" w:cs="Arial"/>
          <w:sz w:val="22"/>
          <w:szCs w:val="22"/>
        </w:rPr>
        <w:t>z</w:t>
      </w:r>
      <w:r w:rsidR="004731A7" w:rsidRPr="00B81BBB">
        <w:rPr>
          <w:rFonts w:ascii="Arial" w:hAnsi="Arial" w:cs="Arial"/>
          <w:sz w:val="22"/>
          <w:szCs w:val="22"/>
        </w:rPr>
        <w:t>es</w:t>
      </w:r>
      <w:r w:rsidRPr="00B81BBB">
        <w:rPr>
          <w:rFonts w:ascii="Arial" w:hAnsi="Arial" w:cs="Arial"/>
          <w:sz w:val="22"/>
          <w:szCs w:val="22"/>
        </w:rPr>
        <w:t xml:space="preserve"> the </w:t>
      </w:r>
      <w:r w:rsidR="004731A7" w:rsidRPr="00B81BBB">
        <w:rPr>
          <w:rFonts w:ascii="Arial" w:hAnsi="Arial" w:cs="Arial"/>
          <w:sz w:val="22"/>
          <w:szCs w:val="22"/>
        </w:rPr>
        <w:t xml:space="preserve">values of the two efficiency indicators for </w:t>
      </w:r>
      <w:r w:rsidR="00831002" w:rsidRPr="00B81BBB">
        <w:rPr>
          <w:rFonts w:ascii="Arial" w:hAnsi="Arial" w:cs="Arial"/>
          <w:sz w:val="22"/>
          <w:szCs w:val="22"/>
        </w:rPr>
        <w:t xml:space="preserve">the proposed </w:t>
      </w:r>
      <w:r w:rsidR="006A7CDD">
        <w:rPr>
          <w:rFonts w:ascii="Arial" w:hAnsi="Arial" w:cs="Arial"/>
          <w:sz w:val="22"/>
          <w:szCs w:val="22"/>
        </w:rPr>
        <w:t>COVID-19 coverage</w:t>
      </w:r>
      <w:r w:rsidR="00831002" w:rsidRPr="00B81BBB">
        <w:rPr>
          <w:rFonts w:ascii="Arial" w:hAnsi="Arial" w:cs="Arial"/>
          <w:sz w:val="22"/>
          <w:szCs w:val="22"/>
        </w:rPr>
        <w:t xml:space="preserve"> and comparable benchmarks</w:t>
      </w:r>
      <w:r w:rsidR="004731A7" w:rsidRPr="00B81BBB">
        <w:rPr>
          <w:rFonts w:ascii="Arial" w:hAnsi="Arial" w:cs="Arial"/>
          <w:sz w:val="22"/>
          <w:szCs w:val="22"/>
        </w:rPr>
        <w:t>.</w:t>
      </w:r>
    </w:p>
    <w:p w14:paraId="08510907" w14:textId="77777777" w:rsidR="002F0244" w:rsidRPr="00B81BBB" w:rsidRDefault="002F0244" w:rsidP="0057363A">
      <w:pPr>
        <w:pStyle w:val="Paragraph"/>
        <w:numPr>
          <w:ilvl w:val="0"/>
          <w:numId w:val="0"/>
        </w:numPr>
        <w:spacing w:before="0" w:after="0"/>
        <w:jc w:val="center"/>
        <w:rPr>
          <w:rFonts w:ascii="Arial" w:hAnsi="Arial" w:cs="Arial"/>
          <w:color w:val="000000"/>
          <w:spacing w:val="-4"/>
          <w:sz w:val="22"/>
          <w:szCs w:val="22"/>
        </w:rPr>
      </w:pPr>
    </w:p>
    <w:p w14:paraId="27D40F10" w14:textId="29198B99" w:rsidR="00694293" w:rsidRPr="00C10B36" w:rsidRDefault="00694293" w:rsidP="00694293">
      <w:pPr>
        <w:pStyle w:val="Paragraph"/>
        <w:numPr>
          <w:ilvl w:val="0"/>
          <w:numId w:val="0"/>
        </w:numPr>
        <w:spacing w:before="0"/>
        <w:jc w:val="center"/>
        <w:rPr>
          <w:rFonts w:ascii="Arial" w:hAnsi="Arial" w:cs="Arial"/>
          <w:b/>
          <w:bCs/>
          <w:color w:val="000000"/>
          <w:spacing w:val="-4"/>
          <w:sz w:val="22"/>
          <w:szCs w:val="22"/>
        </w:rPr>
      </w:pPr>
      <w:r w:rsidRPr="00C10B36">
        <w:rPr>
          <w:rFonts w:ascii="Arial" w:hAnsi="Arial" w:cs="Arial"/>
          <w:b/>
          <w:bCs/>
          <w:color w:val="000000"/>
          <w:spacing w:val="-4"/>
          <w:sz w:val="22"/>
          <w:szCs w:val="22"/>
        </w:rPr>
        <w:t>Table 2</w:t>
      </w:r>
      <w:r w:rsidR="00DD22BB" w:rsidRPr="00C10B36">
        <w:rPr>
          <w:rFonts w:ascii="Arial" w:hAnsi="Arial" w:cs="Arial"/>
          <w:b/>
          <w:bCs/>
          <w:color w:val="000000"/>
          <w:spacing w:val="-4"/>
          <w:sz w:val="22"/>
          <w:szCs w:val="22"/>
        </w:rPr>
        <w:t>.</w:t>
      </w:r>
      <w:r w:rsidRPr="00C10B36">
        <w:rPr>
          <w:rFonts w:ascii="Arial" w:hAnsi="Arial" w:cs="Arial"/>
          <w:b/>
          <w:bCs/>
          <w:color w:val="000000"/>
          <w:spacing w:val="-4"/>
          <w:sz w:val="22"/>
          <w:szCs w:val="22"/>
        </w:rPr>
        <w:t xml:space="preserve"> </w:t>
      </w:r>
      <w:r w:rsidR="004731A7" w:rsidRPr="00C10B36">
        <w:rPr>
          <w:rFonts w:ascii="Arial" w:hAnsi="Arial" w:cs="Arial"/>
          <w:b/>
          <w:bCs/>
          <w:color w:val="000000"/>
          <w:spacing w:val="-4"/>
          <w:sz w:val="22"/>
          <w:szCs w:val="22"/>
        </w:rPr>
        <w:t xml:space="preserve">Summary of efficiency indicators </w:t>
      </w:r>
    </w:p>
    <w:tbl>
      <w:tblPr>
        <w:tblStyle w:val="TableGrid"/>
        <w:tblW w:w="8200" w:type="dxa"/>
        <w:jc w:val="right"/>
        <w:tblLayout w:type="fixed"/>
        <w:tblLook w:val="04A0" w:firstRow="1" w:lastRow="0" w:firstColumn="1" w:lastColumn="0" w:noHBand="0" w:noVBand="1"/>
      </w:tblPr>
      <w:tblGrid>
        <w:gridCol w:w="355"/>
        <w:gridCol w:w="3340"/>
        <w:gridCol w:w="1530"/>
        <w:gridCol w:w="1440"/>
        <w:gridCol w:w="1535"/>
      </w:tblGrid>
      <w:tr w:rsidR="0092040B" w:rsidRPr="00B81BBB" w14:paraId="04414C1A" w14:textId="77777777" w:rsidTr="00333038">
        <w:trPr>
          <w:trHeight w:val="353"/>
          <w:jc w:val="right"/>
        </w:trPr>
        <w:tc>
          <w:tcPr>
            <w:tcW w:w="355" w:type="dxa"/>
            <w:vMerge w:val="restart"/>
            <w:shd w:val="clear" w:color="auto" w:fill="DBE5F1" w:themeFill="accent1" w:themeFillTint="33"/>
          </w:tcPr>
          <w:p w14:paraId="0D529129" w14:textId="77777777" w:rsidR="0092040B" w:rsidRPr="00B81BBB" w:rsidRDefault="0092040B" w:rsidP="00F86017">
            <w:pPr>
              <w:pStyle w:val="Paragraph"/>
              <w:numPr>
                <w:ilvl w:val="0"/>
                <w:numId w:val="0"/>
              </w:numPr>
              <w:autoSpaceDE w:val="0"/>
              <w:autoSpaceDN w:val="0"/>
              <w:adjustRightInd w:val="0"/>
              <w:ind w:hanging="720"/>
              <w:jc w:val="center"/>
              <w:rPr>
                <w:rFonts w:ascii="Arial" w:hAnsi="Arial" w:cs="Arial"/>
                <w:b/>
                <w:sz w:val="20"/>
                <w:highlight w:val="yellow"/>
              </w:rPr>
            </w:pPr>
          </w:p>
        </w:tc>
        <w:tc>
          <w:tcPr>
            <w:tcW w:w="3340" w:type="dxa"/>
            <w:vMerge w:val="restart"/>
            <w:shd w:val="clear" w:color="auto" w:fill="DBE5F1" w:themeFill="accent1" w:themeFillTint="33"/>
            <w:vAlign w:val="center"/>
          </w:tcPr>
          <w:p w14:paraId="33979C26" w14:textId="77777777" w:rsidR="0092040B" w:rsidRPr="00B81BBB" w:rsidRDefault="0092040B" w:rsidP="00FF78FF">
            <w:pPr>
              <w:pStyle w:val="Paragraph"/>
              <w:numPr>
                <w:ilvl w:val="0"/>
                <w:numId w:val="0"/>
              </w:numPr>
              <w:autoSpaceDE w:val="0"/>
              <w:autoSpaceDN w:val="0"/>
              <w:adjustRightInd w:val="0"/>
              <w:jc w:val="center"/>
              <w:rPr>
                <w:rFonts w:ascii="Arial" w:hAnsi="Arial" w:cs="Arial"/>
                <w:b/>
                <w:sz w:val="20"/>
              </w:rPr>
            </w:pPr>
            <w:r w:rsidRPr="00B81BBB">
              <w:rPr>
                <w:rFonts w:ascii="Arial" w:hAnsi="Arial" w:cs="Arial"/>
                <w:b/>
                <w:sz w:val="20"/>
              </w:rPr>
              <w:t>Indicator</w:t>
            </w:r>
          </w:p>
        </w:tc>
        <w:tc>
          <w:tcPr>
            <w:tcW w:w="2970" w:type="dxa"/>
            <w:gridSpan w:val="2"/>
            <w:shd w:val="clear" w:color="auto" w:fill="DBE5F1" w:themeFill="accent1" w:themeFillTint="33"/>
            <w:vAlign w:val="center"/>
          </w:tcPr>
          <w:p w14:paraId="5A4E37DE" w14:textId="358467B3" w:rsidR="0092040B" w:rsidRPr="00B81BBB" w:rsidRDefault="0092040B" w:rsidP="00FF78FF">
            <w:pPr>
              <w:pStyle w:val="Paragraph"/>
              <w:numPr>
                <w:ilvl w:val="0"/>
                <w:numId w:val="0"/>
              </w:numPr>
              <w:autoSpaceDE w:val="0"/>
              <w:autoSpaceDN w:val="0"/>
              <w:adjustRightInd w:val="0"/>
              <w:ind w:left="-64"/>
              <w:jc w:val="center"/>
              <w:rPr>
                <w:rFonts w:ascii="Arial" w:hAnsi="Arial" w:cs="Arial"/>
                <w:b/>
                <w:sz w:val="20"/>
              </w:rPr>
            </w:pPr>
            <w:r w:rsidRPr="00B81BBB">
              <w:rPr>
                <w:rFonts w:ascii="Arial" w:hAnsi="Arial" w:cs="Arial"/>
                <w:b/>
                <w:sz w:val="20"/>
              </w:rPr>
              <w:t xml:space="preserve">IDB </w:t>
            </w:r>
            <w:r w:rsidR="00FF78FF">
              <w:rPr>
                <w:rFonts w:ascii="Arial" w:hAnsi="Arial" w:cs="Arial"/>
                <w:b/>
                <w:sz w:val="20"/>
              </w:rPr>
              <w:t>COVID-19 coverage</w:t>
            </w:r>
          </w:p>
        </w:tc>
        <w:tc>
          <w:tcPr>
            <w:tcW w:w="1535" w:type="dxa"/>
            <w:vMerge w:val="restart"/>
            <w:shd w:val="clear" w:color="auto" w:fill="DBE5F1" w:themeFill="accent1" w:themeFillTint="33"/>
            <w:vAlign w:val="center"/>
          </w:tcPr>
          <w:p w14:paraId="05C2263B" w14:textId="0FFBAA42" w:rsidR="0092040B" w:rsidRPr="00B81BBB" w:rsidRDefault="0092040B" w:rsidP="00FF78FF">
            <w:pPr>
              <w:pStyle w:val="Paragraph"/>
              <w:numPr>
                <w:ilvl w:val="0"/>
                <w:numId w:val="0"/>
              </w:numPr>
              <w:autoSpaceDE w:val="0"/>
              <w:autoSpaceDN w:val="0"/>
              <w:adjustRightInd w:val="0"/>
              <w:ind w:left="-64"/>
              <w:jc w:val="center"/>
              <w:rPr>
                <w:rFonts w:ascii="Arial" w:hAnsi="Arial" w:cs="Arial"/>
                <w:b/>
                <w:sz w:val="20"/>
              </w:rPr>
            </w:pPr>
            <w:r w:rsidRPr="00B81BBB">
              <w:rPr>
                <w:rFonts w:ascii="Arial" w:hAnsi="Arial" w:cs="Arial"/>
                <w:b/>
                <w:sz w:val="20"/>
              </w:rPr>
              <w:t>Comparable benchmark</w:t>
            </w:r>
          </w:p>
        </w:tc>
      </w:tr>
      <w:tr w:rsidR="0092040B" w:rsidRPr="00B81BBB" w14:paraId="353FFBA2" w14:textId="77777777" w:rsidTr="00333038">
        <w:trPr>
          <w:trHeight w:val="287"/>
          <w:jc w:val="right"/>
        </w:trPr>
        <w:tc>
          <w:tcPr>
            <w:tcW w:w="355" w:type="dxa"/>
            <w:vMerge/>
            <w:shd w:val="clear" w:color="auto" w:fill="DBE5F1" w:themeFill="accent1" w:themeFillTint="33"/>
          </w:tcPr>
          <w:p w14:paraId="76ED21A0" w14:textId="77777777" w:rsidR="0092040B" w:rsidRPr="00B81BBB" w:rsidRDefault="0092040B" w:rsidP="00F86017">
            <w:pPr>
              <w:pStyle w:val="Paragraph"/>
              <w:numPr>
                <w:ilvl w:val="0"/>
                <w:numId w:val="0"/>
              </w:numPr>
              <w:autoSpaceDE w:val="0"/>
              <w:autoSpaceDN w:val="0"/>
              <w:adjustRightInd w:val="0"/>
              <w:ind w:hanging="720"/>
              <w:jc w:val="center"/>
              <w:rPr>
                <w:rFonts w:ascii="Arial" w:hAnsi="Arial" w:cs="Arial"/>
                <w:b/>
                <w:sz w:val="20"/>
                <w:highlight w:val="yellow"/>
              </w:rPr>
            </w:pPr>
          </w:p>
        </w:tc>
        <w:tc>
          <w:tcPr>
            <w:tcW w:w="3340" w:type="dxa"/>
            <w:vMerge/>
            <w:shd w:val="clear" w:color="auto" w:fill="DBE5F1" w:themeFill="accent1" w:themeFillTint="33"/>
            <w:vAlign w:val="center"/>
          </w:tcPr>
          <w:p w14:paraId="022FEF64" w14:textId="77777777" w:rsidR="0092040B" w:rsidRPr="00B81BBB" w:rsidRDefault="0092040B" w:rsidP="00FF78FF">
            <w:pPr>
              <w:pStyle w:val="Paragraph"/>
              <w:numPr>
                <w:ilvl w:val="0"/>
                <w:numId w:val="0"/>
              </w:numPr>
              <w:autoSpaceDE w:val="0"/>
              <w:autoSpaceDN w:val="0"/>
              <w:adjustRightInd w:val="0"/>
              <w:jc w:val="center"/>
              <w:rPr>
                <w:rFonts w:ascii="Arial" w:hAnsi="Arial" w:cs="Arial"/>
                <w:b/>
                <w:sz w:val="20"/>
              </w:rPr>
            </w:pPr>
          </w:p>
        </w:tc>
        <w:tc>
          <w:tcPr>
            <w:tcW w:w="1530" w:type="dxa"/>
            <w:shd w:val="clear" w:color="auto" w:fill="DBE5F1" w:themeFill="accent1" w:themeFillTint="33"/>
            <w:vAlign w:val="center"/>
          </w:tcPr>
          <w:p w14:paraId="27566698" w14:textId="2900EA8D" w:rsidR="0092040B" w:rsidRPr="00B81BBB" w:rsidRDefault="0092040B" w:rsidP="00FF78FF">
            <w:pPr>
              <w:pStyle w:val="Paragraph"/>
              <w:numPr>
                <w:ilvl w:val="0"/>
                <w:numId w:val="0"/>
              </w:numPr>
              <w:autoSpaceDE w:val="0"/>
              <w:autoSpaceDN w:val="0"/>
              <w:adjustRightInd w:val="0"/>
              <w:ind w:left="-64"/>
              <w:jc w:val="center"/>
              <w:rPr>
                <w:rFonts w:ascii="Arial" w:hAnsi="Arial" w:cs="Arial"/>
                <w:b/>
                <w:sz w:val="20"/>
              </w:rPr>
            </w:pPr>
            <w:r>
              <w:rPr>
                <w:rFonts w:ascii="Arial" w:hAnsi="Arial" w:cs="Arial"/>
                <w:b/>
                <w:sz w:val="20"/>
              </w:rPr>
              <w:t>F</w:t>
            </w:r>
            <w:r w:rsidRPr="00B81BBB">
              <w:rPr>
                <w:rFonts w:ascii="Arial" w:hAnsi="Arial" w:cs="Arial"/>
                <w:b/>
                <w:sz w:val="20"/>
              </w:rPr>
              <w:t>ixed rate</w:t>
            </w:r>
          </w:p>
        </w:tc>
        <w:tc>
          <w:tcPr>
            <w:tcW w:w="1440" w:type="dxa"/>
            <w:shd w:val="clear" w:color="auto" w:fill="DBE5F1" w:themeFill="accent1" w:themeFillTint="33"/>
            <w:vAlign w:val="center"/>
          </w:tcPr>
          <w:p w14:paraId="03FF70FA" w14:textId="1AF93485" w:rsidR="0092040B" w:rsidRPr="00B81BBB" w:rsidRDefault="0092040B" w:rsidP="00FF78FF">
            <w:pPr>
              <w:pStyle w:val="Paragraph"/>
              <w:numPr>
                <w:ilvl w:val="0"/>
                <w:numId w:val="0"/>
              </w:numPr>
              <w:autoSpaceDE w:val="0"/>
              <w:autoSpaceDN w:val="0"/>
              <w:adjustRightInd w:val="0"/>
              <w:ind w:left="-64"/>
              <w:jc w:val="center"/>
              <w:rPr>
                <w:rFonts w:ascii="Arial" w:hAnsi="Arial" w:cs="Arial"/>
                <w:b/>
                <w:sz w:val="20"/>
              </w:rPr>
            </w:pPr>
            <w:r>
              <w:rPr>
                <w:rFonts w:ascii="Arial" w:hAnsi="Arial" w:cs="Arial"/>
                <w:b/>
                <w:sz w:val="20"/>
              </w:rPr>
              <w:t>Variable rate</w:t>
            </w:r>
          </w:p>
        </w:tc>
        <w:tc>
          <w:tcPr>
            <w:tcW w:w="1535" w:type="dxa"/>
            <w:vMerge/>
            <w:shd w:val="clear" w:color="auto" w:fill="DBE5F1" w:themeFill="accent1" w:themeFillTint="33"/>
          </w:tcPr>
          <w:p w14:paraId="799DC949" w14:textId="77777777" w:rsidR="0092040B" w:rsidRPr="00B81BBB" w:rsidRDefault="0092040B" w:rsidP="00F86017">
            <w:pPr>
              <w:pStyle w:val="Paragraph"/>
              <w:numPr>
                <w:ilvl w:val="0"/>
                <w:numId w:val="0"/>
              </w:numPr>
              <w:autoSpaceDE w:val="0"/>
              <w:autoSpaceDN w:val="0"/>
              <w:adjustRightInd w:val="0"/>
              <w:ind w:left="-64"/>
              <w:jc w:val="center"/>
              <w:rPr>
                <w:rFonts w:ascii="Arial" w:hAnsi="Arial" w:cs="Arial"/>
                <w:b/>
                <w:sz w:val="20"/>
              </w:rPr>
            </w:pPr>
          </w:p>
        </w:tc>
      </w:tr>
      <w:tr w:rsidR="0092040B" w:rsidRPr="00B81BBB" w14:paraId="0635AFB7" w14:textId="77777777" w:rsidTr="00333038">
        <w:trPr>
          <w:jc w:val="right"/>
        </w:trPr>
        <w:tc>
          <w:tcPr>
            <w:tcW w:w="355" w:type="dxa"/>
          </w:tcPr>
          <w:p w14:paraId="58112A6E" w14:textId="77777777" w:rsidR="0092040B" w:rsidRPr="00B81BBB" w:rsidRDefault="0092040B" w:rsidP="00F86017">
            <w:pPr>
              <w:pStyle w:val="Paragraph"/>
              <w:numPr>
                <w:ilvl w:val="0"/>
                <w:numId w:val="0"/>
              </w:numPr>
              <w:autoSpaceDE w:val="0"/>
              <w:autoSpaceDN w:val="0"/>
              <w:adjustRightInd w:val="0"/>
              <w:rPr>
                <w:rFonts w:ascii="Arial" w:hAnsi="Arial" w:cs="Arial"/>
                <w:sz w:val="20"/>
              </w:rPr>
            </w:pPr>
            <w:r w:rsidRPr="00B81BBB">
              <w:rPr>
                <w:rFonts w:ascii="Arial" w:hAnsi="Arial" w:cs="Arial"/>
                <w:sz w:val="20"/>
              </w:rPr>
              <w:t>1</w:t>
            </w:r>
          </w:p>
        </w:tc>
        <w:tc>
          <w:tcPr>
            <w:tcW w:w="3340" w:type="dxa"/>
          </w:tcPr>
          <w:p w14:paraId="2595A584" w14:textId="6A8CCF6C" w:rsidR="0092040B" w:rsidRPr="00B81BBB" w:rsidRDefault="0092040B" w:rsidP="00F86017">
            <w:pPr>
              <w:pStyle w:val="Paragraph"/>
              <w:numPr>
                <w:ilvl w:val="0"/>
                <w:numId w:val="0"/>
              </w:numPr>
              <w:autoSpaceDE w:val="0"/>
              <w:autoSpaceDN w:val="0"/>
              <w:adjustRightInd w:val="0"/>
              <w:jc w:val="left"/>
              <w:rPr>
                <w:rFonts w:ascii="Arial" w:hAnsi="Arial" w:cs="Arial"/>
                <w:sz w:val="20"/>
              </w:rPr>
            </w:pPr>
            <w:r w:rsidRPr="00B81BBB">
              <w:rPr>
                <w:rFonts w:ascii="Arial" w:hAnsi="Arial" w:cs="Arial"/>
                <w:sz w:val="20"/>
              </w:rPr>
              <w:t>Number of days between the activation of the coverage (date the country fulfills the contractual conditions for general eligibility to request disbursements) and the value date of the first disbursement</w:t>
            </w:r>
          </w:p>
        </w:tc>
        <w:tc>
          <w:tcPr>
            <w:tcW w:w="2970" w:type="dxa"/>
            <w:gridSpan w:val="2"/>
            <w:vAlign w:val="center"/>
          </w:tcPr>
          <w:p w14:paraId="78FB6D7A" w14:textId="12F4FDA9" w:rsidR="0092040B" w:rsidRPr="00B81BBB" w:rsidRDefault="00F72621" w:rsidP="00F86017">
            <w:pPr>
              <w:pStyle w:val="Paragraph"/>
              <w:numPr>
                <w:ilvl w:val="0"/>
                <w:numId w:val="0"/>
              </w:numPr>
              <w:autoSpaceDE w:val="0"/>
              <w:autoSpaceDN w:val="0"/>
              <w:adjustRightInd w:val="0"/>
              <w:jc w:val="center"/>
              <w:rPr>
                <w:rFonts w:ascii="Arial" w:hAnsi="Arial" w:cs="Arial"/>
                <w:sz w:val="20"/>
              </w:rPr>
            </w:pPr>
            <w:r>
              <w:rPr>
                <w:rFonts w:ascii="Arial" w:hAnsi="Arial" w:cs="Arial"/>
                <w:sz w:val="20"/>
              </w:rPr>
              <w:t>30</w:t>
            </w:r>
          </w:p>
        </w:tc>
        <w:tc>
          <w:tcPr>
            <w:tcW w:w="1535" w:type="dxa"/>
            <w:vAlign w:val="center"/>
          </w:tcPr>
          <w:p w14:paraId="60A3C7D2" w14:textId="1EB80341" w:rsidR="0092040B" w:rsidRPr="00B81BBB" w:rsidRDefault="00F72621" w:rsidP="00F86017">
            <w:pPr>
              <w:pStyle w:val="Paragraph"/>
              <w:numPr>
                <w:ilvl w:val="0"/>
                <w:numId w:val="0"/>
              </w:numPr>
              <w:autoSpaceDE w:val="0"/>
              <w:autoSpaceDN w:val="0"/>
              <w:adjustRightInd w:val="0"/>
              <w:jc w:val="center"/>
              <w:rPr>
                <w:rFonts w:ascii="Arial" w:hAnsi="Arial" w:cs="Arial"/>
                <w:sz w:val="20"/>
              </w:rPr>
            </w:pPr>
            <w:r>
              <w:rPr>
                <w:rFonts w:ascii="Arial" w:hAnsi="Arial" w:cs="Arial"/>
                <w:sz w:val="20"/>
              </w:rPr>
              <w:t>50</w:t>
            </w:r>
          </w:p>
        </w:tc>
      </w:tr>
      <w:tr w:rsidR="0092040B" w:rsidRPr="00B81BBB" w14:paraId="4CE1795A" w14:textId="77777777" w:rsidTr="00333038">
        <w:trPr>
          <w:jc w:val="right"/>
        </w:trPr>
        <w:tc>
          <w:tcPr>
            <w:tcW w:w="355" w:type="dxa"/>
          </w:tcPr>
          <w:p w14:paraId="54A2AC96" w14:textId="77777777" w:rsidR="0092040B" w:rsidRPr="00B81BBB" w:rsidRDefault="0092040B" w:rsidP="00F86017">
            <w:pPr>
              <w:pStyle w:val="Paragraph"/>
              <w:numPr>
                <w:ilvl w:val="0"/>
                <w:numId w:val="0"/>
              </w:numPr>
              <w:autoSpaceDE w:val="0"/>
              <w:autoSpaceDN w:val="0"/>
              <w:adjustRightInd w:val="0"/>
              <w:rPr>
                <w:rFonts w:ascii="Arial" w:hAnsi="Arial" w:cs="Arial"/>
                <w:sz w:val="20"/>
              </w:rPr>
            </w:pPr>
            <w:r w:rsidRPr="00B81BBB">
              <w:rPr>
                <w:rFonts w:ascii="Arial" w:hAnsi="Arial" w:cs="Arial"/>
                <w:sz w:val="20"/>
              </w:rPr>
              <w:t>2</w:t>
            </w:r>
          </w:p>
        </w:tc>
        <w:tc>
          <w:tcPr>
            <w:tcW w:w="3340" w:type="dxa"/>
          </w:tcPr>
          <w:p w14:paraId="7FC3DDAA" w14:textId="77777777" w:rsidR="0092040B" w:rsidRPr="00B81BBB" w:rsidRDefault="0092040B" w:rsidP="00F86017">
            <w:pPr>
              <w:pStyle w:val="Paragraph"/>
              <w:numPr>
                <w:ilvl w:val="0"/>
                <w:numId w:val="0"/>
              </w:numPr>
              <w:autoSpaceDE w:val="0"/>
              <w:autoSpaceDN w:val="0"/>
              <w:adjustRightInd w:val="0"/>
              <w:jc w:val="left"/>
              <w:rPr>
                <w:rFonts w:ascii="Arial" w:hAnsi="Arial" w:cs="Arial"/>
                <w:sz w:val="20"/>
              </w:rPr>
            </w:pPr>
            <w:r w:rsidRPr="00B81BBB">
              <w:rPr>
                <w:rFonts w:ascii="Arial" w:hAnsi="Arial" w:cs="Arial"/>
                <w:sz w:val="20"/>
              </w:rPr>
              <w:t>Financial cost (interest rate)</w:t>
            </w:r>
          </w:p>
        </w:tc>
        <w:tc>
          <w:tcPr>
            <w:tcW w:w="1530" w:type="dxa"/>
            <w:vAlign w:val="center"/>
          </w:tcPr>
          <w:p w14:paraId="0E78A7BF" w14:textId="1EA22DAC" w:rsidR="0092040B" w:rsidRPr="00B81BBB" w:rsidRDefault="00670ACA" w:rsidP="00F86017">
            <w:pPr>
              <w:pStyle w:val="Paragraph"/>
              <w:numPr>
                <w:ilvl w:val="0"/>
                <w:numId w:val="0"/>
              </w:numPr>
              <w:autoSpaceDE w:val="0"/>
              <w:autoSpaceDN w:val="0"/>
              <w:adjustRightInd w:val="0"/>
              <w:jc w:val="center"/>
              <w:rPr>
                <w:rFonts w:ascii="Arial" w:hAnsi="Arial" w:cs="Arial"/>
                <w:sz w:val="20"/>
              </w:rPr>
            </w:pPr>
            <w:r>
              <w:rPr>
                <w:rFonts w:ascii="Arial" w:hAnsi="Arial" w:cs="Arial"/>
                <w:sz w:val="20"/>
              </w:rPr>
              <w:t>157</w:t>
            </w:r>
            <w:r w:rsidR="0092040B" w:rsidRPr="00B81BBB">
              <w:rPr>
                <w:rFonts w:ascii="Arial" w:hAnsi="Arial" w:cs="Arial"/>
                <w:sz w:val="20"/>
              </w:rPr>
              <w:t xml:space="preserve"> bps</w:t>
            </w:r>
          </w:p>
        </w:tc>
        <w:tc>
          <w:tcPr>
            <w:tcW w:w="1440" w:type="dxa"/>
            <w:vAlign w:val="center"/>
          </w:tcPr>
          <w:p w14:paraId="181BC789" w14:textId="539499CC" w:rsidR="0092040B" w:rsidRPr="00B81BBB" w:rsidRDefault="00670ACA" w:rsidP="00F86017">
            <w:pPr>
              <w:pStyle w:val="Paragraph"/>
              <w:numPr>
                <w:ilvl w:val="0"/>
                <w:numId w:val="0"/>
              </w:numPr>
              <w:autoSpaceDE w:val="0"/>
              <w:autoSpaceDN w:val="0"/>
              <w:adjustRightInd w:val="0"/>
              <w:jc w:val="center"/>
              <w:rPr>
                <w:rFonts w:ascii="Arial" w:hAnsi="Arial" w:cs="Arial"/>
                <w:sz w:val="20"/>
              </w:rPr>
            </w:pPr>
            <w:r>
              <w:rPr>
                <w:rFonts w:ascii="Arial" w:hAnsi="Arial" w:cs="Arial"/>
                <w:sz w:val="20"/>
              </w:rPr>
              <w:t>112</w:t>
            </w:r>
            <w:r w:rsidR="0092040B" w:rsidRPr="00B81BBB">
              <w:rPr>
                <w:rFonts w:ascii="Arial" w:hAnsi="Arial" w:cs="Arial"/>
                <w:sz w:val="20"/>
              </w:rPr>
              <w:t xml:space="preserve"> bps</w:t>
            </w:r>
          </w:p>
        </w:tc>
        <w:tc>
          <w:tcPr>
            <w:tcW w:w="1535" w:type="dxa"/>
            <w:vAlign w:val="center"/>
          </w:tcPr>
          <w:p w14:paraId="7CC28126" w14:textId="050B2BE1" w:rsidR="0092040B" w:rsidRPr="00B81BBB" w:rsidRDefault="00670ACA" w:rsidP="00F86017">
            <w:pPr>
              <w:pStyle w:val="Paragraph"/>
              <w:numPr>
                <w:ilvl w:val="0"/>
                <w:numId w:val="0"/>
              </w:numPr>
              <w:autoSpaceDE w:val="0"/>
              <w:autoSpaceDN w:val="0"/>
              <w:adjustRightInd w:val="0"/>
              <w:jc w:val="center"/>
              <w:rPr>
                <w:rFonts w:ascii="Arial" w:hAnsi="Arial" w:cs="Arial"/>
                <w:sz w:val="20"/>
              </w:rPr>
            </w:pPr>
            <w:r>
              <w:rPr>
                <w:rFonts w:ascii="Arial" w:hAnsi="Arial" w:cs="Arial"/>
                <w:sz w:val="20"/>
              </w:rPr>
              <w:t>925</w:t>
            </w:r>
            <w:r w:rsidR="0092040B" w:rsidRPr="00B81BBB">
              <w:rPr>
                <w:rFonts w:ascii="Arial" w:hAnsi="Arial" w:cs="Arial"/>
                <w:sz w:val="20"/>
              </w:rPr>
              <w:t xml:space="preserve"> bps</w:t>
            </w:r>
          </w:p>
        </w:tc>
      </w:tr>
    </w:tbl>
    <w:p w14:paraId="788884C8" w14:textId="17826384" w:rsidR="005F7A7D" w:rsidRPr="00B81BBB" w:rsidRDefault="00F36415" w:rsidP="003268D3">
      <w:pPr>
        <w:pStyle w:val="Chapter"/>
        <w:tabs>
          <w:tab w:val="clear" w:pos="1440"/>
          <w:tab w:val="clear" w:pos="2952"/>
        </w:tabs>
        <w:ind w:left="0" w:firstLine="0"/>
        <w:rPr>
          <w:rFonts w:ascii="Arial" w:hAnsi="Arial" w:cs="Arial"/>
        </w:rPr>
      </w:pPr>
      <w:bookmarkStart w:id="17" w:name="_Toc510433078"/>
      <w:bookmarkEnd w:id="11"/>
      <w:bookmarkEnd w:id="12"/>
      <w:r w:rsidRPr="00B81BBB">
        <w:rPr>
          <w:rFonts w:ascii="Arial" w:hAnsi="Arial" w:cs="Arial"/>
        </w:rPr>
        <w:t>Cost-Effectiveness Analysis</w:t>
      </w:r>
      <w:bookmarkEnd w:id="17"/>
    </w:p>
    <w:p w14:paraId="285ADFD3" w14:textId="05C2A2C1" w:rsidR="00064BA2" w:rsidRPr="00B81BBB" w:rsidRDefault="00064BA2" w:rsidP="00F92E94">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Based on the information discussed in </w:t>
      </w:r>
      <w:r w:rsidR="00C10B36">
        <w:rPr>
          <w:rFonts w:ascii="Arial" w:hAnsi="Arial" w:cs="Arial"/>
          <w:sz w:val="22"/>
          <w:szCs w:val="22"/>
        </w:rPr>
        <w:t>S</w:t>
      </w:r>
      <w:r w:rsidRPr="00B81BBB">
        <w:rPr>
          <w:rFonts w:ascii="Arial" w:hAnsi="Arial" w:cs="Arial"/>
          <w:sz w:val="22"/>
          <w:szCs w:val="22"/>
        </w:rPr>
        <w:t xml:space="preserve">ection </w:t>
      </w:r>
      <w:r w:rsidR="002C39A2">
        <w:rPr>
          <w:rFonts w:ascii="Arial" w:hAnsi="Arial" w:cs="Arial"/>
          <w:sz w:val="22"/>
          <w:szCs w:val="22"/>
        </w:rPr>
        <w:t>VI</w:t>
      </w:r>
      <w:r w:rsidRPr="00B81BBB">
        <w:rPr>
          <w:rFonts w:ascii="Arial" w:hAnsi="Arial" w:cs="Arial"/>
          <w:sz w:val="22"/>
          <w:szCs w:val="22"/>
        </w:rPr>
        <w:t>, the conclusion is that the</w:t>
      </w:r>
      <w:r w:rsidR="0005181C" w:rsidRPr="00B81BBB">
        <w:rPr>
          <w:rFonts w:ascii="Arial" w:hAnsi="Arial" w:cs="Arial"/>
          <w:sz w:val="22"/>
          <w:szCs w:val="22"/>
        </w:rPr>
        <w:t xml:space="preserve"> CCF</w:t>
      </w:r>
      <w:r w:rsidR="00DE35FF">
        <w:rPr>
          <w:rFonts w:ascii="Arial" w:hAnsi="Arial" w:cs="Arial"/>
          <w:sz w:val="22"/>
          <w:szCs w:val="22"/>
        </w:rPr>
        <w:t> </w:t>
      </w:r>
      <w:r w:rsidRPr="00B81BBB">
        <w:rPr>
          <w:rFonts w:ascii="Arial" w:hAnsi="Arial" w:cs="Arial"/>
          <w:sz w:val="22"/>
          <w:szCs w:val="22"/>
        </w:rPr>
        <w:t>loan</w:t>
      </w:r>
      <w:r w:rsidR="002C39A2">
        <w:rPr>
          <w:rFonts w:ascii="Arial" w:hAnsi="Arial" w:cs="Arial"/>
          <w:sz w:val="22"/>
          <w:szCs w:val="22"/>
        </w:rPr>
        <w:t>’s COVID-19 coverage</w:t>
      </w:r>
      <w:r w:rsidRPr="00B81BBB">
        <w:rPr>
          <w:rFonts w:ascii="Arial" w:hAnsi="Arial" w:cs="Arial"/>
          <w:sz w:val="22"/>
          <w:szCs w:val="22"/>
        </w:rPr>
        <w:t xml:space="preserve"> is</w:t>
      </w:r>
      <w:r w:rsidR="00172382" w:rsidRPr="00B81BBB">
        <w:rPr>
          <w:rFonts w:ascii="Arial" w:hAnsi="Arial" w:cs="Arial"/>
          <w:sz w:val="22"/>
          <w:szCs w:val="22"/>
        </w:rPr>
        <w:t xml:space="preserve"> the most efficient for </w:t>
      </w:r>
      <w:r w:rsidR="00995678">
        <w:rPr>
          <w:rFonts w:ascii="Arial" w:hAnsi="Arial" w:cs="Arial"/>
          <w:sz w:val="22"/>
          <w:szCs w:val="22"/>
        </w:rPr>
        <w:t>Suriname</w:t>
      </w:r>
      <w:r w:rsidR="00172382" w:rsidRPr="00B81BBB">
        <w:rPr>
          <w:rFonts w:ascii="Arial" w:hAnsi="Arial" w:cs="Arial"/>
          <w:sz w:val="22"/>
          <w:szCs w:val="22"/>
        </w:rPr>
        <w:t xml:space="preserve">. </w:t>
      </w:r>
      <w:r w:rsidR="0005181C" w:rsidRPr="00B81BBB">
        <w:rPr>
          <w:rFonts w:ascii="Arial" w:hAnsi="Arial" w:cs="Arial"/>
          <w:sz w:val="22"/>
          <w:szCs w:val="22"/>
        </w:rPr>
        <w:t>T</w:t>
      </w:r>
      <w:r w:rsidR="00172382" w:rsidRPr="00B81BBB">
        <w:rPr>
          <w:rFonts w:ascii="Arial" w:hAnsi="Arial" w:cs="Arial"/>
          <w:sz w:val="22"/>
          <w:szCs w:val="22"/>
        </w:rPr>
        <w:t xml:space="preserve">he Bank’s proposed option would be efficient not only in terms of how fast the loan proceeds </w:t>
      </w:r>
      <w:r w:rsidR="00172382" w:rsidRPr="00B81BBB">
        <w:rPr>
          <w:rFonts w:ascii="Arial" w:hAnsi="Arial" w:cs="Arial"/>
          <w:sz w:val="22"/>
          <w:szCs w:val="22"/>
        </w:rPr>
        <w:lastRenderedPageBreak/>
        <w:t xml:space="preserve">would be made available to the country to </w:t>
      </w:r>
      <w:r w:rsidR="004A051C" w:rsidRPr="00B81BBB">
        <w:rPr>
          <w:rFonts w:ascii="Arial" w:hAnsi="Arial" w:cs="Arial"/>
          <w:sz w:val="22"/>
          <w:szCs w:val="22"/>
        </w:rPr>
        <w:t xml:space="preserve">fund the </w:t>
      </w:r>
      <w:r w:rsidR="00EF2CEA">
        <w:rPr>
          <w:rFonts w:ascii="Arial" w:hAnsi="Arial" w:cs="Arial"/>
          <w:sz w:val="22"/>
          <w:szCs w:val="22"/>
        </w:rPr>
        <w:t>additional</w:t>
      </w:r>
      <w:r w:rsidR="004A051C" w:rsidRPr="00B81BBB">
        <w:rPr>
          <w:rFonts w:ascii="Arial" w:hAnsi="Arial" w:cs="Arial"/>
          <w:sz w:val="22"/>
          <w:szCs w:val="22"/>
        </w:rPr>
        <w:t xml:space="preserve"> financi</w:t>
      </w:r>
      <w:r w:rsidR="00EF2CEA">
        <w:rPr>
          <w:rFonts w:ascii="Arial" w:hAnsi="Arial" w:cs="Arial"/>
          <w:sz w:val="22"/>
          <w:szCs w:val="22"/>
        </w:rPr>
        <w:t>ng</w:t>
      </w:r>
      <w:r w:rsidR="004A051C" w:rsidRPr="00B81BBB">
        <w:rPr>
          <w:rFonts w:ascii="Arial" w:hAnsi="Arial" w:cs="Arial"/>
          <w:sz w:val="22"/>
          <w:szCs w:val="22"/>
        </w:rPr>
        <w:t xml:space="preserve"> needs</w:t>
      </w:r>
      <w:r w:rsidR="00172382" w:rsidRPr="00B81BBB">
        <w:rPr>
          <w:rFonts w:ascii="Arial" w:hAnsi="Arial" w:cs="Arial"/>
          <w:sz w:val="22"/>
          <w:szCs w:val="22"/>
        </w:rPr>
        <w:t xml:space="preserve">, but </w:t>
      </w:r>
      <w:r w:rsidR="004A051C" w:rsidRPr="00B81BBB">
        <w:rPr>
          <w:rFonts w:ascii="Arial" w:hAnsi="Arial" w:cs="Arial"/>
          <w:sz w:val="22"/>
          <w:szCs w:val="22"/>
        </w:rPr>
        <w:t xml:space="preserve">also </w:t>
      </w:r>
      <w:r w:rsidR="00172382" w:rsidRPr="00B81BBB">
        <w:rPr>
          <w:rFonts w:ascii="Arial" w:hAnsi="Arial" w:cs="Arial"/>
          <w:sz w:val="22"/>
          <w:szCs w:val="22"/>
        </w:rPr>
        <w:t>in terms of financial cost per unit of extraordinary public expenditure.</w:t>
      </w:r>
    </w:p>
    <w:p w14:paraId="414967B6" w14:textId="3AD14C7F" w:rsidR="00471A3B" w:rsidRPr="00B81BBB" w:rsidRDefault="004A051C" w:rsidP="003268D3">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Saving in financial costs will enhance the government’s ability to properly finance the extraordinary expenditures caused by </w:t>
      </w:r>
      <w:r w:rsidR="0005181C" w:rsidRPr="00B81BBB">
        <w:rPr>
          <w:rFonts w:ascii="Arial" w:hAnsi="Arial" w:cs="Arial"/>
          <w:sz w:val="22"/>
          <w:szCs w:val="22"/>
        </w:rPr>
        <w:t xml:space="preserve">the </w:t>
      </w:r>
      <w:r w:rsidR="007608DF">
        <w:rPr>
          <w:rFonts w:ascii="Arial" w:hAnsi="Arial" w:cs="Arial"/>
          <w:sz w:val="22"/>
          <w:szCs w:val="22"/>
        </w:rPr>
        <w:t>COVID-19</w:t>
      </w:r>
      <w:r w:rsidR="0005181C" w:rsidRPr="00B81BBB">
        <w:rPr>
          <w:rFonts w:ascii="Arial" w:hAnsi="Arial" w:cs="Arial"/>
          <w:sz w:val="22"/>
          <w:szCs w:val="22"/>
        </w:rPr>
        <w:t xml:space="preserve"> emergency</w:t>
      </w:r>
      <w:r w:rsidR="00471A3B" w:rsidRPr="00B81BBB">
        <w:rPr>
          <w:rFonts w:ascii="Arial" w:hAnsi="Arial" w:cs="Arial"/>
          <w:sz w:val="22"/>
          <w:szCs w:val="22"/>
        </w:rPr>
        <w:t xml:space="preserve">. Likewise, faster access to resources will ease the liquidity pressures, and help contain human and </w:t>
      </w:r>
      <w:r w:rsidR="002B6DA6">
        <w:rPr>
          <w:rFonts w:ascii="Arial" w:hAnsi="Arial" w:cs="Arial"/>
          <w:sz w:val="22"/>
          <w:szCs w:val="22"/>
        </w:rPr>
        <w:t>economic</w:t>
      </w:r>
      <w:r w:rsidR="00471A3B" w:rsidRPr="00B81BBB">
        <w:rPr>
          <w:rFonts w:ascii="Arial" w:hAnsi="Arial" w:cs="Arial"/>
          <w:sz w:val="22"/>
          <w:szCs w:val="22"/>
        </w:rPr>
        <w:t xml:space="preserve"> losses during </w:t>
      </w:r>
      <w:r w:rsidR="002B6DA6">
        <w:rPr>
          <w:rFonts w:ascii="Arial" w:hAnsi="Arial" w:cs="Arial"/>
          <w:sz w:val="22"/>
          <w:szCs w:val="22"/>
        </w:rPr>
        <w:t>the health crisis</w:t>
      </w:r>
      <w:r w:rsidR="00471A3B" w:rsidRPr="00B81BBB">
        <w:rPr>
          <w:rFonts w:ascii="Arial" w:hAnsi="Arial" w:cs="Arial"/>
          <w:sz w:val="22"/>
          <w:szCs w:val="22"/>
        </w:rPr>
        <w:t>, which in turn increases the likelihood of a speedy post-</w:t>
      </w:r>
      <w:r w:rsidR="0005181C" w:rsidRPr="00B81BBB">
        <w:rPr>
          <w:rFonts w:ascii="Arial" w:hAnsi="Arial" w:cs="Arial"/>
          <w:sz w:val="22"/>
          <w:szCs w:val="22"/>
        </w:rPr>
        <w:t>emergency</w:t>
      </w:r>
      <w:r w:rsidR="00471A3B" w:rsidRPr="00B81BBB">
        <w:rPr>
          <w:rFonts w:ascii="Arial" w:hAnsi="Arial" w:cs="Arial"/>
          <w:sz w:val="22"/>
          <w:szCs w:val="22"/>
        </w:rPr>
        <w:t xml:space="preserve"> economic recovery.</w:t>
      </w:r>
    </w:p>
    <w:p w14:paraId="381C8497" w14:textId="7371432C" w:rsidR="002D38E5" w:rsidRPr="00B81BBB" w:rsidRDefault="002D38E5" w:rsidP="003268D3">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It is important to </w:t>
      </w:r>
      <w:r w:rsidR="007778A1" w:rsidRPr="00B81BBB">
        <w:rPr>
          <w:rFonts w:ascii="Arial" w:hAnsi="Arial" w:cs="Arial"/>
          <w:sz w:val="22"/>
          <w:szCs w:val="22"/>
        </w:rPr>
        <w:t>stress that the assumptions used in the analysis are conservative</w:t>
      </w:r>
      <w:r w:rsidR="00962058" w:rsidRPr="00B81BBB">
        <w:rPr>
          <w:rFonts w:ascii="Arial" w:hAnsi="Arial" w:cs="Arial"/>
          <w:sz w:val="22"/>
          <w:szCs w:val="22"/>
        </w:rPr>
        <w:t xml:space="preserve"> because</w:t>
      </w:r>
      <w:r w:rsidR="007778A1" w:rsidRPr="00B81BBB">
        <w:rPr>
          <w:rFonts w:ascii="Arial" w:hAnsi="Arial" w:cs="Arial"/>
          <w:sz w:val="22"/>
          <w:szCs w:val="22"/>
        </w:rPr>
        <w:t xml:space="preserve"> financing conditions of alternative options, both in terms of quickness and cost, </w:t>
      </w:r>
      <w:r w:rsidR="00962058" w:rsidRPr="00B81BBB">
        <w:rPr>
          <w:rFonts w:ascii="Arial" w:hAnsi="Arial" w:cs="Arial"/>
          <w:sz w:val="22"/>
          <w:szCs w:val="22"/>
        </w:rPr>
        <w:t>are assumed to remain</w:t>
      </w:r>
      <w:r w:rsidR="007778A1" w:rsidRPr="00B81BBB">
        <w:rPr>
          <w:rFonts w:ascii="Arial" w:hAnsi="Arial" w:cs="Arial"/>
          <w:sz w:val="22"/>
          <w:szCs w:val="22"/>
        </w:rPr>
        <w:t xml:space="preserve"> constant in </w:t>
      </w:r>
      <w:r w:rsidR="00A70C3B">
        <w:rPr>
          <w:rFonts w:ascii="Arial" w:hAnsi="Arial" w:cs="Arial"/>
          <w:sz w:val="22"/>
          <w:szCs w:val="22"/>
        </w:rPr>
        <w:t>during</w:t>
      </w:r>
      <w:r w:rsidR="007778A1" w:rsidRPr="00B81BBB">
        <w:rPr>
          <w:rFonts w:ascii="Arial" w:hAnsi="Arial" w:cs="Arial"/>
          <w:sz w:val="22"/>
          <w:szCs w:val="22"/>
        </w:rPr>
        <w:t xml:space="preserve"> </w:t>
      </w:r>
      <w:r w:rsidR="0005181C" w:rsidRPr="00B81BBB">
        <w:rPr>
          <w:rFonts w:ascii="Arial" w:hAnsi="Arial" w:cs="Arial"/>
          <w:sz w:val="22"/>
          <w:szCs w:val="22"/>
        </w:rPr>
        <w:t xml:space="preserve">the </w:t>
      </w:r>
      <w:r w:rsidR="00D45610">
        <w:rPr>
          <w:rFonts w:ascii="Arial" w:hAnsi="Arial" w:cs="Arial"/>
          <w:sz w:val="22"/>
          <w:szCs w:val="22"/>
        </w:rPr>
        <w:t xml:space="preserve">health </w:t>
      </w:r>
      <w:r w:rsidR="0005181C" w:rsidRPr="00B81BBB">
        <w:rPr>
          <w:rFonts w:ascii="Arial" w:hAnsi="Arial" w:cs="Arial"/>
          <w:sz w:val="22"/>
          <w:szCs w:val="22"/>
        </w:rPr>
        <w:t>emergency</w:t>
      </w:r>
      <w:r w:rsidR="00962058" w:rsidRPr="00B81BBB">
        <w:rPr>
          <w:rFonts w:ascii="Arial" w:hAnsi="Arial" w:cs="Arial"/>
          <w:sz w:val="22"/>
          <w:szCs w:val="22"/>
        </w:rPr>
        <w:t xml:space="preserve">. </w:t>
      </w:r>
      <w:r w:rsidR="00D45610">
        <w:rPr>
          <w:rFonts w:ascii="Arial" w:hAnsi="Arial" w:cs="Arial"/>
          <w:sz w:val="22"/>
          <w:szCs w:val="22"/>
        </w:rPr>
        <w:t>However</w:t>
      </w:r>
      <w:r w:rsidR="00962058" w:rsidRPr="00B81BBB">
        <w:rPr>
          <w:rFonts w:ascii="Arial" w:hAnsi="Arial" w:cs="Arial"/>
          <w:sz w:val="22"/>
          <w:szCs w:val="22"/>
        </w:rPr>
        <w:t>, h</w:t>
      </w:r>
      <w:r w:rsidR="007778A1" w:rsidRPr="00B81BBB">
        <w:rPr>
          <w:rFonts w:ascii="Arial" w:hAnsi="Arial" w:cs="Arial"/>
          <w:sz w:val="22"/>
          <w:szCs w:val="22"/>
        </w:rPr>
        <w:t xml:space="preserve">istorical evidence shows that financing conditions </w:t>
      </w:r>
      <w:r w:rsidR="00962058" w:rsidRPr="00B81BBB">
        <w:rPr>
          <w:rFonts w:ascii="Arial" w:hAnsi="Arial" w:cs="Arial"/>
          <w:sz w:val="22"/>
          <w:szCs w:val="22"/>
        </w:rPr>
        <w:t>tend to</w:t>
      </w:r>
      <w:r w:rsidR="007778A1" w:rsidRPr="00B81BBB">
        <w:rPr>
          <w:rFonts w:ascii="Arial" w:hAnsi="Arial" w:cs="Arial"/>
          <w:sz w:val="22"/>
          <w:szCs w:val="22"/>
        </w:rPr>
        <w:t xml:space="preserve"> tighten </w:t>
      </w:r>
      <w:r w:rsidR="00962058" w:rsidRPr="00B81BBB">
        <w:rPr>
          <w:rFonts w:ascii="Arial" w:hAnsi="Arial" w:cs="Arial"/>
          <w:sz w:val="22"/>
          <w:szCs w:val="22"/>
        </w:rPr>
        <w:t xml:space="preserve">right after </w:t>
      </w:r>
      <w:r w:rsidR="00D45610">
        <w:rPr>
          <w:rFonts w:ascii="Arial" w:hAnsi="Arial" w:cs="Arial"/>
          <w:sz w:val="22"/>
          <w:szCs w:val="22"/>
        </w:rPr>
        <w:t>major</w:t>
      </w:r>
      <w:r w:rsidR="0005181C" w:rsidRPr="00B81BBB">
        <w:rPr>
          <w:rFonts w:ascii="Arial" w:hAnsi="Arial" w:cs="Arial"/>
          <w:sz w:val="22"/>
          <w:szCs w:val="22"/>
        </w:rPr>
        <w:t xml:space="preserve"> emergencies</w:t>
      </w:r>
      <w:r w:rsidR="00D45610">
        <w:rPr>
          <w:rFonts w:ascii="Arial" w:hAnsi="Arial" w:cs="Arial"/>
          <w:sz w:val="22"/>
          <w:szCs w:val="22"/>
        </w:rPr>
        <w:t xml:space="preserve"> (e.g., natural disasters or pandemics)</w:t>
      </w:r>
      <w:r w:rsidR="007778A1" w:rsidRPr="00B81BBB">
        <w:rPr>
          <w:rFonts w:ascii="Arial" w:hAnsi="Arial" w:cs="Arial"/>
          <w:sz w:val="22"/>
          <w:szCs w:val="22"/>
        </w:rPr>
        <w:t xml:space="preserve"> as governments </w:t>
      </w:r>
      <w:r w:rsidR="00962058" w:rsidRPr="00B81BBB">
        <w:rPr>
          <w:rFonts w:ascii="Arial" w:hAnsi="Arial" w:cs="Arial"/>
          <w:sz w:val="22"/>
          <w:szCs w:val="22"/>
        </w:rPr>
        <w:t>usually</w:t>
      </w:r>
      <w:r w:rsidR="007778A1" w:rsidRPr="00B81BBB">
        <w:rPr>
          <w:rFonts w:ascii="Arial" w:hAnsi="Arial" w:cs="Arial"/>
          <w:sz w:val="22"/>
          <w:szCs w:val="22"/>
        </w:rPr>
        <w:t xml:space="preserve"> face</w:t>
      </w:r>
      <w:r w:rsidR="00962058" w:rsidRPr="00B81BBB">
        <w:rPr>
          <w:rFonts w:ascii="Arial" w:hAnsi="Arial" w:cs="Arial"/>
          <w:sz w:val="22"/>
          <w:szCs w:val="22"/>
        </w:rPr>
        <w:t xml:space="preserve"> lower tax revenues and increased unforeseen expenditures.</w:t>
      </w:r>
      <w:r w:rsidR="009C4A7D" w:rsidRPr="00B81BBB">
        <w:rPr>
          <w:rFonts w:ascii="Arial" w:hAnsi="Arial" w:cs="Arial"/>
          <w:sz w:val="22"/>
          <w:szCs w:val="22"/>
        </w:rPr>
        <w:t xml:space="preserve"> This implies that the expected comparative benefit of the Bank’s proposed loan might be even higher</w:t>
      </w:r>
      <w:r w:rsidR="001938E0" w:rsidRPr="00B81BBB">
        <w:rPr>
          <w:rFonts w:ascii="Arial" w:hAnsi="Arial" w:cs="Arial"/>
          <w:sz w:val="22"/>
          <w:szCs w:val="22"/>
        </w:rPr>
        <w:t>, though the real benefits can only be properly measure ex post.</w:t>
      </w:r>
    </w:p>
    <w:p w14:paraId="391755AB" w14:textId="77777777" w:rsidR="005B4D32" w:rsidRPr="00B81BBB" w:rsidRDefault="00F36415" w:rsidP="003268D3">
      <w:pPr>
        <w:pStyle w:val="Chapter"/>
        <w:tabs>
          <w:tab w:val="clear" w:pos="1440"/>
          <w:tab w:val="clear" w:pos="2952"/>
        </w:tabs>
        <w:ind w:left="0" w:firstLine="0"/>
        <w:rPr>
          <w:rFonts w:ascii="Arial" w:hAnsi="Arial" w:cs="Arial"/>
        </w:rPr>
      </w:pPr>
      <w:bookmarkStart w:id="18" w:name="_Toc510433079"/>
      <w:r w:rsidRPr="00B81BBB">
        <w:rPr>
          <w:rFonts w:ascii="Arial" w:hAnsi="Arial" w:cs="Arial"/>
        </w:rPr>
        <w:t>Sensibility Analysis</w:t>
      </w:r>
      <w:bookmarkEnd w:id="18"/>
    </w:p>
    <w:p w14:paraId="4F3E5F88" w14:textId="589DBE3F" w:rsidR="0075508C" w:rsidRPr="00B81BBB" w:rsidRDefault="0075508C" w:rsidP="005031EB">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This section analyzes whether the </w:t>
      </w:r>
      <w:r w:rsidR="00D46A14">
        <w:rPr>
          <w:rFonts w:ascii="Arial" w:hAnsi="Arial" w:cs="Arial"/>
          <w:sz w:val="22"/>
          <w:szCs w:val="22"/>
        </w:rPr>
        <w:t>contingent</w:t>
      </w:r>
      <w:r w:rsidRPr="00B81BBB">
        <w:rPr>
          <w:rFonts w:ascii="Arial" w:hAnsi="Arial" w:cs="Arial"/>
          <w:sz w:val="22"/>
          <w:szCs w:val="22"/>
        </w:rPr>
        <w:t xml:space="preserve"> loan</w:t>
      </w:r>
      <w:r w:rsidR="00D46A14">
        <w:rPr>
          <w:rFonts w:ascii="Arial" w:hAnsi="Arial" w:cs="Arial"/>
          <w:sz w:val="22"/>
          <w:szCs w:val="22"/>
        </w:rPr>
        <w:t xml:space="preserve">’s </w:t>
      </w:r>
      <w:r w:rsidR="00D34EB4">
        <w:rPr>
          <w:rFonts w:ascii="Arial" w:hAnsi="Arial" w:cs="Arial"/>
          <w:sz w:val="22"/>
          <w:szCs w:val="22"/>
        </w:rPr>
        <w:t>COVID-19 coverage</w:t>
      </w:r>
      <w:r w:rsidRPr="00B81BBB">
        <w:rPr>
          <w:rFonts w:ascii="Arial" w:hAnsi="Arial" w:cs="Arial"/>
          <w:sz w:val="22"/>
          <w:szCs w:val="22"/>
        </w:rPr>
        <w:t xml:space="preserve"> will remain</w:t>
      </w:r>
      <w:r w:rsidR="004E0EDC" w:rsidRPr="00B81BBB">
        <w:rPr>
          <w:rFonts w:ascii="Arial" w:hAnsi="Arial" w:cs="Arial"/>
          <w:sz w:val="22"/>
          <w:szCs w:val="22"/>
        </w:rPr>
        <w:t>, and to what extent,</w:t>
      </w:r>
      <w:r w:rsidRPr="00B81BBB">
        <w:rPr>
          <w:rFonts w:ascii="Arial" w:hAnsi="Arial" w:cs="Arial"/>
          <w:sz w:val="22"/>
          <w:szCs w:val="22"/>
        </w:rPr>
        <w:t xml:space="preserve"> the most efficient option for</w:t>
      </w:r>
      <w:r w:rsidR="00704624">
        <w:rPr>
          <w:rFonts w:ascii="Arial" w:hAnsi="Arial" w:cs="Arial"/>
          <w:sz w:val="22"/>
          <w:szCs w:val="22"/>
        </w:rPr>
        <w:t xml:space="preserve"> Suriname</w:t>
      </w:r>
      <w:r w:rsidR="00E30CDC" w:rsidRPr="00B81BBB">
        <w:rPr>
          <w:rFonts w:ascii="Arial" w:hAnsi="Arial" w:cs="Arial"/>
          <w:sz w:val="22"/>
          <w:szCs w:val="22"/>
        </w:rPr>
        <w:t xml:space="preserve"> </w:t>
      </w:r>
      <w:r w:rsidR="004E0EDC" w:rsidRPr="00B81BBB">
        <w:rPr>
          <w:rFonts w:ascii="Arial" w:hAnsi="Arial" w:cs="Arial"/>
          <w:sz w:val="22"/>
          <w:szCs w:val="22"/>
        </w:rPr>
        <w:t>if</w:t>
      </w:r>
      <w:r w:rsidRPr="00B81BBB">
        <w:rPr>
          <w:rFonts w:ascii="Arial" w:hAnsi="Arial" w:cs="Arial"/>
          <w:sz w:val="22"/>
          <w:szCs w:val="22"/>
        </w:rPr>
        <w:t xml:space="preserve"> the assumptions and financing conditions </w:t>
      </w:r>
      <w:r w:rsidR="004E0EDC" w:rsidRPr="00B81BBB">
        <w:rPr>
          <w:rFonts w:ascii="Arial" w:hAnsi="Arial" w:cs="Arial"/>
          <w:sz w:val="22"/>
          <w:szCs w:val="22"/>
        </w:rPr>
        <w:t xml:space="preserve">set in the previous sections change. The analysis shows that the </w:t>
      </w:r>
      <w:r w:rsidR="00D34EB4">
        <w:rPr>
          <w:rFonts w:ascii="Arial" w:hAnsi="Arial" w:cs="Arial"/>
          <w:sz w:val="22"/>
          <w:szCs w:val="22"/>
        </w:rPr>
        <w:t>COVID-19 coverage</w:t>
      </w:r>
      <w:r w:rsidR="004E0EDC" w:rsidRPr="00B81BBB">
        <w:rPr>
          <w:rFonts w:ascii="Arial" w:hAnsi="Arial" w:cs="Arial"/>
          <w:sz w:val="22"/>
          <w:szCs w:val="22"/>
        </w:rPr>
        <w:t xml:space="preserve"> is the most efficient option in terms of the indicators </w:t>
      </w:r>
      <w:r w:rsidR="0005181C" w:rsidRPr="00B81BBB">
        <w:rPr>
          <w:rFonts w:ascii="Arial" w:hAnsi="Arial" w:cs="Arial"/>
          <w:sz w:val="22"/>
          <w:szCs w:val="22"/>
        </w:rPr>
        <w:t>e</w:t>
      </w:r>
      <w:r w:rsidR="004E0EDC" w:rsidRPr="00B81BBB">
        <w:rPr>
          <w:rFonts w:ascii="Arial" w:hAnsi="Arial" w:cs="Arial"/>
          <w:sz w:val="22"/>
          <w:szCs w:val="22"/>
        </w:rPr>
        <w:t>stablished in ¶</w:t>
      </w:r>
      <w:r w:rsidR="00F83539" w:rsidRPr="00B81BBB">
        <w:rPr>
          <w:rFonts w:ascii="Arial" w:hAnsi="Arial" w:cs="Arial"/>
          <w:sz w:val="22"/>
          <w:szCs w:val="22"/>
        </w:rPr>
        <w:fldChar w:fldCharType="begin"/>
      </w:r>
      <w:r w:rsidR="00F83539" w:rsidRPr="00B81BBB">
        <w:rPr>
          <w:rFonts w:ascii="Arial" w:hAnsi="Arial" w:cs="Arial"/>
          <w:sz w:val="22"/>
          <w:szCs w:val="22"/>
        </w:rPr>
        <w:instrText xml:space="preserve"> REF _Ref517193208 \r \h </w:instrText>
      </w:r>
      <w:r w:rsidR="00F83539" w:rsidRPr="00B81BBB">
        <w:rPr>
          <w:rFonts w:ascii="Arial" w:hAnsi="Arial" w:cs="Arial"/>
          <w:sz w:val="22"/>
          <w:szCs w:val="22"/>
        </w:rPr>
      </w:r>
      <w:r w:rsidR="00F83539" w:rsidRPr="00B81BBB">
        <w:rPr>
          <w:rFonts w:ascii="Arial" w:hAnsi="Arial" w:cs="Arial"/>
          <w:sz w:val="22"/>
          <w:szCs w:val="22"/>
        </w:rPr>
        <w:fldChar w:fldCharType="separate"/>
      </w:r>
      <w:r w:rsidR="008F4139" w:rsidRPr="00B81BBB">
        <w:rPr>
          <w:rFonts w:ascii="Arial" w:hAnsi="Arial" w:cs="Arial"/>
          <w:sz w:val="22"/>
          <w:szCs w:val="22"/>
        </w:rPr>
        <w:t>3.1</w:t>
      </w:r>
      <w:r w:rsidR="00F83539" w:rsidRPr="00B81BBB">
        <w:rPr>
          <w:rFonts w:ascii="Arial" w:hAnsi="Arial" w:cs="Arial"/>
          <w:sz w:val="22"/>
          <w:szCs w:val="22"/>
        </w:rPr>
        <w:fldChar w:fldCharType="end"/>
      </w:r>
      <w:r w:rsidR="0005181C" w:rsidRPr="00B81BBB">
        <w:rPr>
          <w:rFonts w:ascii="Arial" w:hAnsi="Arial" w:cs="Arial"/>
          <w:sz w:val="22"/>
          <w:szCs w:val="22"/>
        </w:rPr>
        <w:t>, since</w:t>
      </w:r>
      <w:r w:rsidR="0024017A" w:rsidRPr="00B81BBB">
        <w:rPr>
          <w:rFonts w:ascii="Arial" w:hAnsi="Arial" w:cs="Arial"/>
          <w:sz w:val="22"/>
          <w:szCs w:val="22"/>
        </w:rPr>
        <w:t xml:space="preserve"> its financial cost would be lower than any other financing alternatives</w:t>
      </w:r>
      <w:r w:rsidR="0005181C" w:rsidRPr="00B81BBB">
        <w:rPr>
          <w:rFonts w:ascii="Arial" w:hAnsi="Arial" w:cs="Arial"/>
          <w:sz w:val="22"/>
          <w:szCs w:val="22"/>
        </w:rPr>
        <w:t xml:space="preserve"> and loan resources will be made available faster</w:t>
      </w:r>
      <w:r w:rsidR="0024017A" w:rsidRPr="00B81BBB">
        <w:rPr>
          <w:rFonts w:ascii="Arial" w:hAnsi="Arial" w:cs="Arial"/>
          <w:sz w:val="22"/>
          <w:szCs w:val="22"/>
        </w:rPr>
        <w:t>.</w:t>
      </w:r>
    </w:p>
    <w:p w14:paraId="26E3B927" w14:textId="25FBCA30" w:rsidR="00A10305" w:rsidRPr="00B81BBB" w:rsidRDefault="00907535" w:rsidP="00A10305">
      <w:pPr>
        <w:pStyle w:val="Paragraph"/>
        <w:tabs>
          <w:tab w:val="clear" w:pos="3600"/>
        </w:tabs>
        <w:spacing w:after="0"/>
        <w:ind w:left="720" w:hanging="720"/>
        <w:rPr>
          <w:rFonts w:ascii="Arial" w:hAnsi="Arial" w:cs="Arial"/>
          <w:sz w:val="22"/>
          <w:szCs w:val="22"/>
        </w:rPr>
      </w:pPr>
      <w:r w:rsidRPr="00B81BBB">
        <w:rPr>
          <w:rFonts w:ascii="Arial" w:hAnsi="Arial" w:cs="Arial"/>
          <w:sz w:val="22"/>
          <w:szCs w:val="22"/>
        </w:rPr>
        <w:t xml:space="preserve">Though it is not </w:t>
      </w:r>
      <w:r w:rsidR="00376DB4" w:rsidRPr="00B81BBB">
        <w:rPr>
          <w:rFonts w:ascii="Arial" w:hAnsi="Arial" w:cs="Arial"/>
          <w:sz w:val="22"/>
          <w:szCs w:val="22"/>
        </w:rPr>
        <w:t>impossible</w:t>
      </w:r>
      <w:r w:rsidRPr="00B81BBB">
        <w:rPr>
          <w:rFonts w:ascii="Arial" w:hAnsi="Arial" w:cs="Arial"/>
          <w:sz w:val="22"/>
          <w:szCs w:val="22"/>
        </w:rPr>
        <w:t xml:space="preserve"> that the credit rating of the </w:t>
      </w:r>
      <w:r w:rsidR="00E30CDC" w:rsidRPr="00B81BBB">
        <w:rPr>
          <w:rFonts w:ascii="Arial" w:hAnsi="Arial" w:cs="Arial"/>
          <w:sz w:val="22"/>
          <w:szCs w:val="22"/>
        </w:rPr>
        <w:t>G</w:t>
      </w:r>
      <w:r w:rsidRPr="00B81BBB">
        <w:rPr>
          <w:rFonts w:ascii="Arial" w:hAnsi="Arial" w:cs="Arial"/>
          <w:sz w:val="22"/>
          <w:szCs w:val="22"/>
        </w:rPr>
        <w:t xml:space="preserve">overnment of </w:t>
      </w:r>
      <w:r w:rsidR="00704624">
        <w:rPr>
          <w:rFonts w:ascii="Arial" w:hAnsi="Arial" w:cs="Arial"/>
          <w:sz w:val="22"/>
          <w:szCs w:val="22"/>
        </w:rPr>
        <w:t>Suriname</w:t>
      </w:r>
      <w:r w:rsidR="00E30CDC" w:rsidRPr="00B81BBB">
        <w:rPr>
          <w:rFonts w:ascii="Arial" w:hAnsi="Arial" w:cs="Arial"/>
          <w:sz w:val="22"/>
          <w:szCs w:val="22"/>
        </w:rPr>
        <w:t xml:space="preserve"> </w:t>
      </w:r>
      <w:r w:rsidRPr="00B81BBB">
        <w:rPr>
          <w:rFonts w:ascii="Arial" w:hAnsi="Arial" w:cs="Arial"/>
          <w:sz w:val="22"/>
          <w:szCs w:val="22"/>
        </w:rPr>
        <w:t xml:space="preserve">could </w:t>
      </w:r>
      <w:r w:rsidR="0006117B" w:rsidRPr="00B81BBB">
        <w:rPr>
          <w:rFonts w:ascii="Arial" w:hAnsi="Arial" w:cs="Arial"/>
          <w:sz w:val="22"/>
          <w:szCs w:val="22"/>
        </w:rPr>
        <w:t>worsen</w:t>
      </w:r>
      <w:r w:rsidRPr="00B81BBB">
        <w:rPr>
          <w:rFonts w:ascii="Arial" w:hAnsi="Arial" w:cs="Arial"/>
          <w:sz w:val="22"/>
          <w:szCs w:val="22"/>
        </w:rPr>
        <w:t xml:space="preserve"> during the lifespan of </w:t>
      </w:r>
      <w:r w:rsidR="00376DB4" w:rsidRPr="00B81BBB">
        <w:rPr>
          <w:rFonts w:ascii="Arial" w:hAnsi="Arial" w:cs="Arial"/>
          <w:sz w:val="22"/>
          <w:szCs w:val="22"/>
        </w:rPr>
        <w:t xml:space="preserve">this operation, in which case the Bank’s option would be even more appealing, the analysis focuses on a scenario where </w:t>
      </w:r>
      <w:r w:rsidR="00D91169" w:rsidRPr="00B81BBB">
        <w:rPr>
          <w:rFonts w:ascii="Arial" w:hAnsi="Arial" w:cs="Arial"/>
          <w:sz w:val="22"/>
          <w:szCs w:val="22"/>
        </w:rPr>
        <w:t>the country</w:t>
      </w:r>
      <w:r w:rsidR="00376DB4" w:rsidRPr="00B81BBB">
        <w:rPr>
          <w:rFonts w:ascii="Arial" w:hAnsi="Arial" w:cs="Arial"/>
          <w:sz w:val="22"/>
          <w:szCs w:val="22"/>
        </w:rPr>
        <w:t xml:space="preserve"> </w:t>
      </w:r>
      <w:r w:rsidR="00D91169" w:rsidRPr="00B81BBB">
        <w:rPr>
          <w:rFonts w:ascii="Arial" w:hAnsi="Arial" w:cs="Arial"/>
          <w:sz w:val="22"/>
          <w:szCs w:val="22"/>
        </w:rPr>
        <w:t xml:space="preserve">reaches macroeconomic and </w:t>
      </w:r>
      <w:r w:rsidR="005C3BF5" w:rsidRPr="00B81BBB">
        <w:rPr>
          <w:rFonts w:ascii="Arial" w:hAnsi="Arial" w:cs="Arial"/>
          <w:sz w:val="22"/>
          <w:szCs w:val="22"/>
        </w:rPr>
        <w:t>macro financial</w:t>
      </w:r>
      <w:r w:rsidR="00D91169" w:rsidRPr="00B81BBB">
        <w:rPr>
          <w:rFonts w:ascii="Arial" w:hAnsi="Arial" w:cs="Arial"/>
          <w:sz w:val="22"/>
          <w:szCs w:val="22"/>
        </w:rPr>
        <w:t xml:space="preserve"> conditions levels </w:t>
      </w:r>
      <w:proofErr w:type="gramStart"/>
      <w:r w:rsidR="00FD7E7A">
        <w:rPr>
          <w:rFonts w:ascii="Arial" w:hAnsi="Arial" w:cs="Arial"/>
          <w:sz w:val="22"/>
          <w:szCs w:val="22"/>
        </w:rPr>
        <w:t>similar</w:t>
      </w:r>
      <w:r w:rsidR="00D91169" w:rsidRPr="00B81BBB">
        <w:rPr>
          <w:rFonts w:ascii="Arial" w:hAnsi="Arial" w:cs="Arial"/>
          <w:sz w:val="22"/>
          <w:szCs w:val="22"/>
        </w:rPr>
        <w:t xml:space="preserve"> to</w:t>
      </w:r>
      <w:proofErr w:type="gramEnd"/>
      <w:r w:rsidR="00D91169" w:rsidRPr="00B81BBB">
        <w:rPr>
          <w:rFonts w:ascii="Arial" w:hAnsi="Arial" w:cs="Arial"/>
          <w:sz w:val="22"/>
          <w:szCs w:val="22"/>
        </w:rPr>
        <w:t xml:space="preserve"> best </w:t>
      </w:r>
      <w:r w:rsidR="00FD7E7A">
        <w:rPr>
          <w:rFonts w:ascii="Arial" w:hAnsi="Arial" w:cs="Arial"/>
          <w:sz w:val="22"/>
          <w:szCs w:val="22"/>
        </w:rPr>
        <w:t xml:space="preserve">comparable </w:t>
      </w:r>
      <w:r w:rsidR="00D91169" w:rsidRPr="00B81BBB">
        <w:rPr>
          <w:rFonts w:ascii="Arial" w:hAnsi="Arial" w:cs="Arial"/>
          <w:sz w:val="22"/>
          <w:szCs w:val="22"/>
        </w:rPr>
        <w:t>cases in the region</w:t>
      </w:r>
      <w:r w:rsidR="00376DB4" w:rsidRPr="00B81BBB">
        <w:rPr>
          <w:rFonts w:ascii="Arial" w:hAnsi="Arial" w:cs="Arial"/>
          <w:sz w:val="22"/>
          <w:szCs w:val="22"/>
        </w:rPr>
        <w:t>.</w:t>
      </w:r>
      <w:r w:rsidR="002D3C31" w:rsidRPr="00B81BBB">
        <w:rPr>
          <w:rFonts w:ascii="Arial" w:hAnsi="Arial" w:cs="Arial"/>
          <w:sz w:val="22"/>
          <w:szCs w:val="22"/>
        </w:rPr>
        <w:t xml:space="preserve"> The financial cost for</w:t>
      </w:r>
      <w:r w:rsidR="00CC5766">
        <w:rPr>
          <w:rFonts w:ascii="Arial" w:hAnsi="Arial" w:cs="Arial"/>
          <w:sz w:val="22"/>
          <w:szCs w:val="22"/>
        </w:rPr>
        <w:t xml:space="preserve"> Bolivia, Dominican Republic and Honduras</w:t>
      </w:r>
      <w:r w:rsidR="008E3549" w:rsidRPr="00B81BBB">
        <w:rPr>
          <w:rFonts w:ascii="Arial" w:hAnsi="Arial" w:cs="Arial"/>
          <w:sz w:val="22"/>
          <w:szCs w:val="22"/>
        </w:rPr>
        <w:t>,</w:t>
      </w:r>
      <w:r w:rsidR="002D3C31" w:rsidRPr="00B81BBB">
        <w:rPr>
          <w:rFonts w:ascii="Arial" w:hAnsi="Arial" w:cs="Arial"/>
          <w:sz w:val="22"/>
          <w:szCs w:val="22"/>
        </w:rPr>
        <w:t xml:space="preserve"> whose </w:t>
      </w:r>
      <w:r w:rsidR="00063BBF" w:rsidRPr="00B81BBB">
        <w:rPr>
          <w:rFonts w:ascii="Arial" w:hAnsi="Arial" w:cs="Arial"/>
          <w:sz w:val="22"/>
          <w:szCs w:val="22"/>
        </w:rPr>
        <w:t xml:space="preserve">credit ratings are higher, of issuing similar debt instruments in the financial markets </w:t>
      </w:r>
      <w:r w:rsidR="00EA6882">
        <w:rPr>
          <w:rFonts w:ascii="Arial" w:hAnsi="Arial" w:cs="Arial"/>
          <w:sz w:val="22"/>
          <w:szCs w:val="22"/>
        </w:rPr>
        <w:t>between 600 and 400</w:t>
      </w:r>
      <w:r w:rsidR="00063BBF" w:rsidRPr="00B81BBB">
        <w:rPr>
          <w:rFonts w:ascii="Arial" w:hAnsi="Arial" w:cs="Arial"/>
          <w:sz w:val="22"/>
          <w:szCs w:val="22"/>
        </w:rPr>
        <w:t xml:space="preserve"> bps, which can be interpreted as the lower limit for </w:t>
      </w:r>
      <w:r w:rsidR="003C4661">
        <w:rPr>
          <w:rFonts w:ascii="Arial" w:hAnsi="Arial" w:cs="Arial"/>
          <w:sz w:val="22"/>
          <w:szCs w:val="22"/>
        </w:rPr>
        <w:t>Suriname</w:t>
      </w:r>
      <w:r w:rsidR="00E30CDC" w:rsidRPr="00B81BBB">
        <w:rPr>
          <w:rFonts w:ascii="Arial" w:hAnsi="Arial" w:cs="Arial"/>
          <w:sz w:val="22"/>
          <w:szCs w:val="22"/>
        </w:rPr>
        <w:t xml:space="preserve"> </w:t>
      </w:r>
      <w:r w:rsidR="00063BBF" w:rsidRPr="00B81BBB">
        <w:rPr>
          <w:rFonts w:ascii="Arial" w:hAnsi="Arial" w:cs="Arial"/>
          <w:sz w:val="22"/>
          <w:szCs w:val="22"/>
        </w:rPr>
        <w:t>should the country improves its credit ratings</w:t>
      </w:r>
      <w:r w:rsidR="003C4661">
        <w:rPr>
          <w:rFonts w:ascii="Arial" w:hAnsi="Arial" w:cs="Arial"/>
          <w:sz w:val="22"/>
          <w:szCs w:val="22"/>
        </w:rPr>
        <w:t xml:space="preserve"> substantially</w:t>
      </w:r>
      <w:r w:rsidR="00063BBF" w:rsidRPr="00B81BBB">
        <w:rPr>
          <w:rFonts w:ascii="Arial" w:hAnsi="Arial" w:cs="Arial"/>
          <w:sz w:val="22"/>
          <w:szCs w:val="22"/>
        </w:rPr>
        <w:t xml:space="preserve">. Clearly, the Bank’s </w:t>
      </w:r>
      <w:r w:rsidR="00B346AB">
        <w:rPr>
          <w:rFonts w:ascii="Arial" w:hAnsi="Arial" w:cs="Arial"/>
          <w:sz w:val="22"/>
          <w:szCs w:val="22"/>
        </w:rPr>
        <w:t>option</w:t>
      </w:r>
      <w:r w:rsidR="00063BBF" w:rsidRPr="00B81BBB">
        <w:rPr>
          <w:rFonts w:ascii="Arial" w:hAnsi="Arial" w:cs="Arial"/>
          <w:sz w:val="22"/>
          <w:szCs w:val="22"/>
        </w:rPr>
        <w:t xml:space="preserve"> (</w:t>
      </w:r>
      <w:r w:rsidR="003C4661" w:rsidRPr="003C4661">
        <w:rPr>
          <w:rFonts w:ascii="Arial" w:hAnsi="Arial" w:cs="Arial"/>
          <w:b/>
          <w:bCs/>
          <w:sz w:val="22"/>
          <w:szCs w:val="22"/>
        </w:rPr>
        <w:t>112</w:t>
      </w:r>
      <w:r w:rsidR="00C52028" w:rsidRPr="00B81BBB">
        <w:rPr>
          <w:rFonts w:ascii="Arial" w:hAnsi="Arial" w:cs="Arial"/>
          <w:b/>
          <w:sz w:val="22"/>
          <w:szCs w:val="22"/>
        </w:rPr>
        <w:t xml:space="preserve"> </w:t>
      </w:r>
      <w:r w:rsidR="00063BBF" w:rsidRPr="00B81BBB">
        <w:rPr>
          <w:rFonts w:ascii="Arial" w:hAnsi="Arial" w:cs="Arial"/>
          <w:b/>
          <w:sz w:val="22"/>
          <w:szCs w:val="22"/>
        </w:rPr>
        <w:t>bps</w:t>
      </w:r>
      <w:r w:rsidR="00063BBF" w:rsidRPr="00B81BBB">
        <w:rPr>
          <w:rFonts w:ascii="Arial" w:hAnsi="Arial" w:cs="Arial"/>
          <w:sz w:val="22"/>
          <w:szCs w:val="22"/>
        </w:rPr>
        <w:t>) would be more efficient in that optimistic scenario</w:t>
      </w:r>
      <w:r w:rsidR="00A10305" w:rsidRPr="00B81BBB">
        <w:rPr>
          <w:rFonts w:ascii="Arial" w:hAnsi="Arial" w:cs="Arial"/>
          <w:sz w:val="22"/>
          <w:szCs w:val="22"/>
        </w:rPr>
        <w:t xml:space="preserve"> (Table 3)</w:t>
      </w:r>
      <w:r w:rsidR="00063BBF" w:rsidRPr="00B81BBB">
        <w:rPr>
          <w:rFonts w:ascii="Arial" w:hAnsi="Arial" w:cs="Arial"/>
          <w:sz w:val="22"/>
          <w:szCs w:val="22"/>
        </w:rPr>
        <w:t>.</w:t>
      </w:r>
    </w:p>
    <w:p w14:paraId="1BEC779E" w14:textId="77777777" w:rsidR="005B24C9" w:rsidRPr="00B81BBB" w:rsidRDefault="005B24C9" w:rsidP="00A10305">
      <w:pPr>
        <w:pStyle w:val="Paragraph"/>
        <w:numPr>
          <w:ilvl w:val="0"/>
          <w:numId w:val="0"/>
        </w:numPr>
        <w:spacing w:before="0" w:after="0"/>
        <w:ind w:left="720"/>
        <w:rPr>
          <w:rFonts w:ascii="Arial" w:hAnsi="Arial" w:cs="Arial"/>
          <w:sz w:val="22"/>
          <w:szCs w:val="22"/>
        </w:rPr>
      </w:pPr>
    </w:p>
    <w:p w14:paraId="63664EC6" w14:textId="3061487D" w:rsidR="00CA6184" w:rsidRPr="005C3BF5" w:rsidRDefault="00A10305" w:rsidP="00A10305">
      <w:pPr>
        <w:pStyle w:val="Paragraph"/>
        <w:numPr>
          <w:ilvl w:val="0"/>
          <w:numId w:val="0"/>
        </w:numPr>
        <w:spacing w:before="0"/>
        <w:jc w:val="center"/>
        <w:rPr>
          <w:rFonts w:ascii="Arial" w:hAnsi="Arial" w:cs="Arial"/>
          <w:b/>
          <w:bCs/>
          <w:color w:val="000000"/>
          <w:spacing w:val="-4"/>
          <w:sz w:val="22"/>
          <w:szCs w:val="22"/>
        </w:rPr>
      </w:pPr>
      <w:r w:rsidRPr="005C3BF5">
        <w:rPr>
          <w:rFonts w:ascii="Arial" w:hAnsi="Arial" w:cs="Arial"/>
          <w:b/>
          <w:bCs/>
          <w:color w:val="000000"/>
          <w:spacing w:val="-4"/>
          <w:sz w:val="22"/>
          <w:szCs w:val="22"/>
        </w:rPr>
        <w:t>Table 3</w:t>
      </w:r>
      <w:r w:rsidR="00DD22BB" w:rsidRPr="005C3BF5">
        <w:rPr>
          <w:rFonts w:ascii="Arial" w:hAnsi="Arial" w:cs="Arial"/>
          <w:b/>
          <w:bCs/>
          <w:color w:val="000000"/>
          <w:spacing w:val="-4"/>
          <w:sz w:val="22"/>
          <w:szCs w:val="22"/>
        </w:rPr>
        <w:t>.</w:t>
      </w:r>
      <w:r w:rsidRPr="005C3BF5">
        <w:rPr>
          <w:rFonts w:ascii="Arial" w:hAnsi="Arial" w:cs="Arial"/>
          <w:b/>
          <w:bCs/>
          <w:color w:val="000000"/>
          <w:spacing w:val="-4"/>
          <w:sz w:val="22"/>
          <w:szCs w:val="22"/>
        </w:rPr>
        <w:t xml:space="preserve"> Credit ratings and financing cost</w:t>
      </w:r>
    </w:p>
    <w:tbl>
      <w:tblPr>
        <w:tblStyle w:val="TableGrid"/>
        <w:tblW w:w="0" w:type="auto"/>
        <w:jc w:val="right"/>
        <w:tblLook w:val="04A0" w:firstRow="1" w:lastRow="0" w:firstColumn="1" w:lastColumn="0" w:noHBand="0" w:noVBand="1"/>
      </w:tblPr>
      <w:tblGrid>
        <w:gridCol w:w="3726"/>
        <w:gridCol w:w="2080"/>
        <w:gridCol w:w="1984"/>
      </w:tblGrid>
      <w:tr w:rsidR="006F3EEA" w:rsidRPr="00B81BBB" w14:paraId="5BDBC1E5" w14:textId="77777777" w:rsidTr="0045688F">
        <w:trPr>
          <w:trHeight w:val="278"/>
          <w:jc w:val="right"/>
        </w:trPr>
        <w:tc>
          <w:tcPr>
            <w:tcW w:w="3726" w:type="dxa"/>
            <w:shd w:val="clear" w:color="auto" w:fill="D9D9D9" w:themeFill="background1" w:themeFillShade="D9"/>
            <w:vAlign w:val="center"/>
          </w:tcPr>
          <w:p w14:paraId="66E8DD0A" w14:textId="77777777" w:rsidR="002B489E" w:rsidRPr="00B81BBB" w:rsidRDefault="004731A7" w:rsidP="005D38F4">
            <w:pPr>
              <w:pStyle w:val="Paragraph"/>
              <w:numPr>
                <w:ilvl w:val="0"/>
                <w:numId w:val="0"/>
              </w:numPr>
              <w:spacing w:before="40" w:after="40"/>
              <w:rPr>
                <w:rFonts w:ascii="Arial" w:hAnsi="Arial" w:cs="Arial"/>
                <w:b/>
                <w:sz w:val="20"/>
                <w:szCs w:val="22"/>
              </w:rPr>
            </w:pPr>
            <w:r w:rsidRPr="00B81BBB">
              <w:rPr>
                <w:rFonts w:ascii="Arial" w:hAnsi="Arial" w:cs="Arial"/>
                <w:b/>
                <w:sz w:val="20"/>
                <w:szCs w:val="22"/>
              </w:rPr>
              <w:t>Country</w:t>
            </w:r>
          </w:p>
        </w:tc>
        <w:tc>
          <w:tcPr>
            <w:tcW w:w="2080" w:type="dxa"/>
            <w:shd w:val="clear" w:color="auto" w:fill="D9D9D9" w:themeFill="background1" w:themeFillShade="D9"/>
            <w:vAlign w:val="center"/>
          </w:tcPr>
          <w:p w14:paraId="0E74C40B" w14:textId="77777777" w:rsidR="002B489E" w:rsidRPr="00B81BBB" w:rsidRDefault="001B5F39" w:rsidP="005D38F4">
            <w:pPr>
              <w:pStyle w:val="Paragraph"/>
              <w:numPr>
                <w:ilvl w:val="0"/>
                <w:numId w:val="0"/>
              </w:numPr>
              <w:tabs>
                <w:tab w:val="left" w:pos="1854"/>
              </w:tabs>
              <w:spacing w:before="40" w:after="40"/>
              <w:jc w:val="center"/>
              <w:rPr>
                <w:rFonts w:ascii="Arial" w:hAnsi="Arial" w:cs="Arial"/>
                <w:b/>
                <w:sz w:val="20"/>
                <w:szCs w:val="22"/>
              </w:rPr>
            </w:pPr>
            <w:r w:rsidRPr="00B81BBB">
              <w:rPr>
                <w:rFonts w:ascii="Arial" w:hAnsi="Arial" w:cs="Arial"/>
                <w:b/>
                <w:sz w:val="20"/>
                <w:szCs w:val="22"/>
              </w:rPr>
              <w:t>Rating</w:t>
            </w:r>
          </w:p>
        </w:tc>
        <w:tc>
          <w:tcPr>
            <w:tcW w:w="1984" w:type="dxa"/>
            <w:shd w:val="clear" w:color="auto" w:fill="D9D9D9" w:themeFill="background1" w:themeFillShade="D9"/>
            <w:vAlign w:val="center"/>
          </w:tcPr>
          <w:p w14:paraId="309193B1" w14:textId="77777777" w:rsidR="002B489E" w:rsidRPr="00B81BBB" w:rsidRDefault="001B5F39" w:rsidP="005D38F4">
            <w:pPr>
              <w:pStyle w:val="Paragraph"/>
              <w:numPr>
                <w:ilvl w:val="0"/>
                <w:numId w:val="0"/>
              </w:numPr>
              <w:spacing w:before="40" w:after="40"/>
              <w:jc w:val="center"/>
              <w:rPr>
                <w:rFonts w:ascii="Arial" w:hAnsi="Arial" w:cs="Arial"/>
                <w:b/>
                <w:sz w:val="20"/>
                <w:szCs w:val="22"/>
              </w:rPr>
            </w:pPr>
            <w:r w:rsidRPr="00B81BBB">
              <w:rPr>
                <w:rFonts w:ascii="Arial" w:hAnsi="Arial" w:cs="Arial"/>
                <w:b/>
                <w:sz w:val="20"/>
                <w:szCs w:val="22"/>
              </w:rPr>
              <w:t>Yield (</w:t>
            </w:r>
            <w:r w:rsidR="004731A7" w:rsidRPr="00B81BBB">
              <w:rPr>
                <w:rFonts w:ascii="Arial" w:hAnsi="Arial" w:cs="Arial"/>
                <w:b/>
                <w:sz w:val="20"/>
                <w:szCs w:val="22"/>
              </w:rPr>
              <w:t>bps</w:t>
            </w:r>
            <w:r w:rsidRPr="00B81BBB">
              <w:rPr>
                <w:rFonts w:ascii="Arial" w:hAnsi="Arial" w:cs="Arial"/>
                <w:b/>
                <w:sz w:val="20"/>
                <w:szCs w:val="22"/>
              </w:rPr>
              <w:t>)</w:t>
            </w:r>
          </w:p>
        </w:tc>
      </w:tr>
      <w:tr w:rsidR="00246FB4" w:rsidRPr="00B81BBB" w14:paraId="12667B43" w14:textId="77777777" w:rsidTr="0045688F">
        <w:trPr>
          <w:trHeight w:val="287"/>
          <w:jc w:val="right"/>
        </w:trPr>
        <w:tc>
          <w:tcPr>
            <w:tcW w:w="3726" w:type="dxa"/>
            <w:vAlign w:val="center"/>
          </w:tcPr>
          <w:p w14:paraId="18AA4ACE" w14:textId="2C797488" w:rsidR="002B489E" w:rsidRPr="00B81BBB" w:rsidRDefault="00C34D9D" w:rsidP="005D38F4">
            <w:pPr>
              <w:pStyle w:val="Paragraph"/>
              <w:numPr>
                <w:ilvl w:val="0"/>
                <w:numId w:val="0"/>
              </w:numPr>
              <w:spacing w:before="40" w:after="40"/>
              <w:rPr>
                <w:rFonts w:ascii="Arial" w:hAnsi="Arial" w:cs="Arial"/>
                <w:sz w:val="20"/>
                <w:szCs w:val="22"/>
                <w:vertAlign w:val="superscript"/>
              </w:rPr>
            </w:pPr>
            <w:r>
              <w:rPr>
                <w:rFonts w:ascii="Arial" w:hAnsi="Arial" w:cs="Arial"/>
                <w:sz w:val="20"/>
                <w:szCs w:val="22"/>
              </w:rPr>
              <w:t>Bolivia</w:t>
            </w:r>
            <w:r w:rsidR="00094F7A" w:rsidRPr="00B81BBB">
              <w:rPr>
                <w:rFonts w:ascii="Arial" w:hAnsi="Arial" w:cs="Arial"/>
                <w:sz w:val="20"/>
                <w:szCs w:val="22"/>
                <w:vertAlign w:val="superscript"/>
              </w:rPr>
              <w:t>1</w:t>
            </w:r>
          </w:p>
        </w:tc>
        <w:tc>
          <w:tcPr>
            <w:tcW w:w="2080" w:type="dxa"/>
            <w:vAlign w:val="center"/>
          </w:tcPr>
          <w:p w14:paraId="580487CB" w14:textId="2DB908BE" w:rsidR="002B489E" w:rsidRPr="00B81BBB" w:rsidRDefault="00C34D9D" w:rsidP="005D38F4">
            <w:pPr>
              <w:pStyle w:val="Paragraph"/>
              <w:numPr>
                <w:ilvl w:val="0"/>
                <w:numId w:val="0"/>
              </w:numPr>
              <w:tabs>
                <w:tab w:val="left" w:pos="1854"/>
              </w:tabs>
              <w:spacing w:before="40" w:after="40"/>
              <w:jc w:val="center"/>
              <w:rPr>
                <w:rFonts w:ascii="Arial" w:hAnsi="Arial" w:cs="Arial"/>
                <w:sz w:val="20"/>
                <w:szCs w:val="22"/>
              </w:rPr>
            </w:pPr>
            <w:r>
              <w:rPr>
                <w:rFonts w:ascii="Arial" w:hAnsi="Arial" w:cs="Arial"/>
                <w:sz w:val="20"/>
                <w:szCs w:val="22"/>
              </w:rPr>
              <w:t>B+</w:t>
            </w:r>
          </w:p>
        </w:tc>
        <w:tc>
          <w:tcPr>
            <w:tcW w:w="1984" w:type="dxa"/>
            <w:vAlign w:val="center"/>
          </w:tcPr>
          <w:p w14:paraId="40DA511C" w14:textId="49B37C18" w:rsidR="002B489E" w:rsidRPr="00B81BBB" w:rsidRDefault="008C1D55" w:rsidP="005D38F4">
            <w:pPr>
              <w:pStyle w:val="Paragraph"/>
              <w:numPr>
                <w:ilvl w:val="0"/>
                <w:numId w:val="0"/>
              </w:numPr>
              <w:spacing w:before="40" w:after="40"/>
              <w:jc w:val="center"/>
              <w:rPr>
                <w:rFonts w:ascii="Arial" w:hAnsi="Arial" w:cs="Arial"/>
                <w:sz w:val="20"/>
                <w:szCs w:val="22"/>
              </w:rPr>
            </w:pPr>
            <w:r>
              <w:rPr>
                <w:rFonts w:ascii="Arial" w:hAnsi="Arial" w:cs="Arial"/>
                <w:sz w:val="20"/>
                <w:szCs w:val="22"/>
              </w:rPr>
              <w:t>600</w:t>
            </w:r>
          </w:p>
        </w:tc>
      </w:tr>
      <w:tr w:rsidR="00D91169" w:rsidRPr="00B81BBB" w14:paraId="116697B9" w14:textId="77777777" w:rsidTr="0045688F">
        <w:trPr>
          <w:trHeight w:val="287"/>
          <w:jc w:val="right"/>
        </w:trPr>
        <w:tc>
          <w:tcPr>
            <w:tcW w:w="3726" w:type="dxa"/>
            <w:tcBorders>
              <w:bottom w:val="single" w:sz="4" w:space="0" w:color="auto"/>
            </w:tcBorders>
            <w:vAlign w:val="center"/>
          </w:tcPr>
          <w:p w14:paraId="009375E3" w14:textId="39812DC7" w:rsidR="00D91169" w:rsidRPr="00B81BBB" w:rsidRDefault="008C1D55" w:rsidP="005D38F4">
            <w:pPr>
              <w:pStyle w:val="Paragraph"/>
              <w:numPr>
                <w:ilvl w:val="0"/>
                <w:numId w:val="0"/>
              </w:numPr>
              <w:spacing w:before="40" w:after="40"/>
              <w:rPr>
                <w:rFonts w:ascii="Arial" w:hAnsi="Arial" w:cs="Arial"/>
                <w:sz w:val="20"/>
                <w:szCs w:val="22"/>
                <w:vertAlign w:val="superscript"/>
              </w:rPr>
            </w:pPr>
            <w:r>
              <w:rPr>
                <w:rFonts w:ascii="Arial" w:hAnsi="Arial" w:cs="Arial"/>
                <w:sz w:val="20"/>
                <w:szCs w:val="22"/>
              </w:rPr>
              <w:t>Dominican Republic</w:t>
            </w:r>
            <w:r w:rsidR="00094F7A" w:rsidRPr="00B81BBB">
              <w:rPr>
                <w:rFonts w:ascii="Arial" w:hAnsi="Arial" w:cs="Arial"/>
                <w:sz w:val="20"/>
                <w:szCs w:val="22"/>
                <w:vertAlign w:val="superscript"/>
              </w:rPr>
              <w:t>2</w:t>
            </w:r>
          </w:p>
        </w:tc>
        <w:tc>
          <w:tcPr>
            <w:tcW w:w="2080" w:type="dxa"/>
            <w:tcBorders>
              <w:bottom w:val="single" w:sz="4" w:space="0" w:color="auto"/>
            </w:tcBorders>
            <w:vAlign w:val="center"/>
          </w:tcPr>
          <w:p w14:paraId="341E2FF3" w14:textId="3BE1019A" w:rsidR="00D91169" w:rsidRPr="00B81BBB" w:rsidRDefault="008C1D55" w:rsidP="005D38F4">
            <w:pPr>
              <w:pStyle w:val="Paragraph"/>
              <w:numPr>
                <w:ilvl w:val="0"/>
                <w:numId w:val="0"/>
              </w:numPr>
              <w:tabs>
                <w:tab w:val="left" w:pos="1854"/>
              </w:tabs>
              <w:spacing w:before="40" w:after="40"/>
              <w:jc w:val="center"/>
              <w:rPr>
                <w:rFonts w:ascii="Arial" w:hAnsi="Arial" w:cs="Arial"/>
                <w:sz w:val="20"/>
                <w:szCs w:val="22"/>
              </w:rPr>
            </w:pPr>
            <w:r>
              <w:rPr>
                <w:rFonts w:ascii="Arial" w:hAnsi="Arial" w:cs="Arial"/>
                <w:sz w:val="20"/>
                <w:szCs w:val="22"/>
              </w:rPr>
              <w:t>B</w:t>
            </w:r>
            <w:r w:rsidR="0013649B">
              <w:rPr>
                <w:rFonts w:ascii="Arial" w:hAnsi="Arial" w:cs="Arial"/>
                <w:sz w:val="20"/>
                <w:szCs w:val="22"/>
              </w:rPr>
              <w:t>B-</w:t>
            </w:r>
          </w:p>
        </w:tc>
        <w:tc>
          <w:tcPr>
            <w:tcW w:w="1984" w:type="dxa"/>
            <w:tcBorders>
              <w:bottom w:val="single" w:sz="4" w:space="0" w:color="auto"/>
            </w:tcBorders>
            <w:vAlign w:val="center"/>
          </w:tcPr>
          <w:p w14:paraId="052256BF" w14:textId="234AC66E" w:rsidR="00D91169" w:rsidRPr="00B81BBB" w:rsidRDefault="0013649B" w:rsidP="005D38F4">
            <w:pPr>
              <w:pStyle w:val="Paragraph"/>
              <w:numPr>
                <w:ilvl w:val="0"/>
                <w:numId w:val="0"/>
              </w:numPr>
              <w:spacing w:before="40" w:after="40"/>
              <w:jc w:val="center"/>
              <w:rPr>
                <w:rFonts w:ascii="Arial" w:hAnsi="Arial" w:cs="Arial"/>
                <w:sz w:val="20"/>
                <w:szCs w:val="22"/>
              </w:rPr>
            </w:pPr>
            <w:r>
              <w:rPr>
                <w:rFonts w:ascii="Arial" w:hAnsi="Arial" w:cs="Arial"/>
                <w:sz w:val="20"/>
                <w:szCs w:val="22"/>
              </w:rPr>
              <w:t>418</w:t>
            </w:r>
          </w:p>
        </w:tc>
      </w:tr>
      <w:tr w:rsidR="00630F61" w:rsidRPr="00B81BBB" w14:paraId="5E6145B6" w14:textId="77777777" w:rsidTr="0045688F">
        <w:trPr>
          <w:trHeight w:val="287"/>
          <w:jc w:val="right"/>
        </w:trPr>
        <w:tc>
          <w:tcPr>
            <w:tcW w:w="3726" w:type="dxa"/>
            <w:tcBorders>
              <w:bottom w:val="single" w:sz="4" w:space="0" w:color="auto"/>
            </w:tcBorders>
            <w:vAlign w:val="center"/>
          </w:tcPr>
          <w:p w14:paraId="53F14AC5" w14:textId="515E3547" w:rsidR="00630F61" w:rsidRPr="00B81BBB" w:rsidRDefault="0013649B" w:rsidP="00630F61">
            <w:pPr>
              <w:pStyle w:val="Paragraph"/>
              <w:numPr>
                <w:ilvl w:val="0"/>
                <w:numId w:val="0"/>
              </w:numPr>
              <w:spacing w:before="40" w:after="40"/>
              <w:rPr>
                <w:rFonts w:ascii="Arial" w:hAnsi="Arial" w:cs="Arial"/>
                <w:sz w:val="20"/>
                <w:szCs w:val="22"/>
                <w:highlight w:val="lightGray"/>
              </w:rPr>
            </w:pPr>
            <w:r>
              <w:rPr>
                <w:rFonts w:ascii="Arial" w:hAnsi="Arial" w:cs="Arial"/>
                <w:sz w:val="20"/>
                <w:szCs w:val="22"/>
              </w:rPr>
              <w:t>Honduras</w:t>
            </w:r>
            <w:r w:rsidR="00630F61">
              <w:rPr>
                <w:rFonts w:ascii="Arial" w:hAnsi="Arial" w:cs="Arial"/>
                <w:sz w:val="20"/>
                <w:szCs w:val="22"/>
                <w:vertAlign w:val="superscript"/>
              </w:rPr>
              <w:t>3</w:t>
            </w:r>
          </w:p>
        </w:tc>
        <w:tc>
          <w:tcPr>
            <w:tcW w:w="2080" w:type="dxa"/>
            <w:tcBorders>
              <w:bottom w:val="single" w:sz="4" w:space="0" w:color="auto"/>
            </w:tcBorders>
            <w:vAlign w:val="center"/>
          </w:tcPr>
          <w:p w14:paraId="6ACE4154" w14:textId="59CF67AA" w:rsidR="00630F61" w:rsidRPr="00B81BBB" w:rsidRDefault="00053A4F" w:rsidP="00630F61">
            <w:pPr>
              <w:pStyle w:val="Paragraph"/>
              <w:numPr>
                <w:ilvl w:val="0"/>
                <w:numId w:val="0"/>
              </w:numPr>
              <w:tabs>
                <w:tab w:val="left" w:pos="1854"/>
              </w:tabs>
              <w:spacing w:before="40" w:after="40"/>
              <w:jc w:val="center"/>
              <w:rPr>
                <w:rFonts w:ascii="Arial" w:hAnsi="Arial" w:cs="Arial"/>
                <w:sz w:val="20"/>
                <w:szCs w:val="22"/>
                <w:highlight w:val="lightGray"/>
              </w:rPr>
            </w:pPr>
            <w:r w:rsidRPr="00053A4F">
              <w:rPr>
                <w:rFonts w:ascii="Arial" w:hAnsi="Arial" w:cs="Arial"/>
                <w:sz w:val="20"/>
                <w:szCs w:val="22"/>
              </w:rPr>
              <w:t>BB-</w:t>
            </w:r>
          </w:p>
        </w:tc>
        <w:tc>
          <w:tcPr>
            <w:tcW w:w="1984" w:type="dxa"/>
            <w:tcBorders>
              <w:bottom w:val="single" w:sz="4" w:space="0" w:color="auto"/>
            </w:tcBorders>
            <w:vAlign w:val="center"/>
          </w:tcPr>
          <w:p w14:paraId="05AD2496" w14:textId="12D84023" w:rsidR="00630F61" w:rsidRPr="00B81BBB" w:rsidRDefault="00DF4396" w:rsidP="00630F61">
            <w:pPr>
              <w:pStyle w:val="Paragraph"/>
              <w:numPr>
                <w:ilvl w:val="0"/>
                <w:numId w:val="0"/>
              </w:numPr>
              <w:spacing w:before="40" w:after="40"/>
              <w:jc w:val="center"/>
              <w:rPr>
                <w:rFonts w:ascii="Arial" w:hAnsi="Arial" w:cs="Arial"/>
                <w:sz w:val="20"/>
                <w:szCs w:val="22"/>
                <w:highlight w:val="lightGray"/>
              </w:rPr>
            </w:pPr>
            <w:r w:rsidRPr="00DF4396">
              <w:rPr>
                <w:rFonts w:ascii="Arial" w:hAnsi="Arial" w:cs="Arial"/>
                <w:sz w:val="20"/>
                <w:szCs w:val="22"/>
              </w:rPr>
              <w:t>411</w:t>
            </w:r>
          </w:p>
        </w:tc>
      </w:tr>
      <w:tr w:rsidR="00540C5D" w:rsidRPr="00B81BBB" w14:paraId="39F67863" w14:textId="77777777" w:rsidTr="0045688F">
        <w:trPr>
          <w:trHeight w:val="287"/>
          <w:jc w:val="right"/>
        </w:trPr>
        <w:tc>
          <w:tcPr>
            <w:tcW w:w="3726" w:type="dxa"/>
            <w:tcBorders>
              <w:bottom w:val="single" w:sz="4" w:space="0" w:color="auto"/>
            </w:tcBorders>
            <w:vAlign w:val="center"/>
          </w:tcPr>
          <w:p w14:paraId="27D74420" w14:textId="2AB32F5C" w:rsidR="00540C5D" w:rsidRPr="00B81BBB" w:rsidRDefault="00DF4396" w:rsidP="005D38F4">
            <w:pPr>
              <w:pStyle w:val="Paragraph"/>
              <w:numPr>
                <w:ilvl w:val="0"/>
                <w:numId w:val="0"/>
              </w:numPr>
              <w:spacing w:before="40" w:after="40"/>
              <w:rPr>
                <w:rFonts w:ascii="Arial" w:hAnsi="Arial" w:cs="Arial"/>
                <w:sz w:val="20"/>
                <w:szCs w:val="22"/>
              </w:rPr>
            </w:pPr>
            <w:r>
              <w:rPr>
                <w:rFonts w:ascii="Arial" w:hAnsi="Arial" w:cs="Arial"/>
                <w:sz w:val="20"/>
                <w:szCs w:val="22"/>
              </w:rPr>
              <w:t>Suriname</w:t>
            </w:r>
          </w:p>
        </w:tc>
        <w:tc>
          <w:tcPr>
            <w:tcW w:w="2080" w:type="dxa"/>
            <w:tcBorders>
              <w:bottom w:val="single" w:sz="4" w:space="0" w:color="auto"/>
            </w:tcBorders>
            <w:vAlign w:val="center"/>
          </w:tcPr>
          <w:p w14:paraId="085D4C65" w14:textId="0C3BE18E" w:rsidR="00540C5D" w:rsidRPr="00B81BBB" w:rsidRDefault="00DF4396" w:rsidP="005D38F4">
            <w:pPr>
              <w:pStyle w:val="Paragraph"/>
              <w:numPr>
                <w:ilvl w:val="0"/>
                <w:numId w:val="0"/>
              </w:numPr>
              <w:tabs>
                <w:tab w:val="left" w:pos="1854"/>
              </w:tabs>
              <w:spacing w:before="40" w:after="40"/>
              <w:jc w:val="center"/>
              <w:rPr>
                <w:rFonts w:ascii="Arial" w:hAnsi="Arial" w:cs="Arial"/>
                <w:sz w:val="20"/>
                <w:szCs w:val="22"/>
              </w:rPr>
            </w:pPr>
            <w:r>
              <w:rPr>
                <w:rFonts w:ascii="Arial" w:hAnsi="Arial" w:cs="Arial"/>
                <w:sz w:val="20"/>
                <w:szCs w:val="22"/>
              </w:rPr>
              <w:t>Selective Default</w:t>
            </w:r>
          </w:p>
        </w:tc>
        <w:tc>
          <w:tcPr>
            <w:tcW w:w="1984" w:type="dxa"/>
            <w:tcBorders>
              <w:bottom w:val="single" w:sz="4" w:space="0" w:color="auto"/>
            </w:tcBorders>
            <w:vAlign w:val="center"/>
          </w:tcPr>
          <w:p w14:paraId="7E486277" w14:textId="2DC75486" w:rsidR="00540C5D" w:rsidRPr="00B81BBB" w:rsidRDefault="00382B8C" w:rsidP="005D38F4">
            <w:pPr>
              <w:pStyle w:val="Paragraph"/>
              <w:numPr>
                <w:ilvl w:val="0"/>
                <w:numId w:val="0"/>
              </w:numPr>
              <w:spacing w:before="40" w:after="40"/>
              <w:jc w:val="center"/>
              <w:rPr>
                <w:rFonts w:ascii="Arial" w:hAnsi="Arial" w:cs="Arial"/>
                <w:sz w:val="20"/>
                <w:szCs w:val="22"/>
              </w:rPr>
            </w:pPr>
            <w:r>
              <w:rPr>
                <w:rFonts w:ascii="Arial" w:hAnsi="Arial" w:cs="Arial"/>
                <w:sz w:val="20"/>
                <w:szCs w:val="22"/>
              </w:rPr>
              <w:t>925</w:t>
            </w:r>
          </w:p>
        </w:tc>
      </w:tr>
      <w:tr w:rsidR="00246FB4" w:rsidRPr="00B81BBB" w14:paraId="03C1F239" w14:textId="77777777" w:rsidTr="0045688F">
        <w:trPr>
          <w:trHeight w:val="287"/>
          <w:jc w:val="right"/>
        </w:trPr>
        <w:tc>
          <w:tcPr>
            <w:tcW w:w="3726" w:type="dxa"/>
            <w:shd w:val="clear" w:color="auto" w:fill="DBE5F1" w:themeFill="accent1" w:themeFillTint="33"/>
            <w:vAlign w:val="center"/>
          </w:tcPr>
          <w:p w14:paraId="3F7547A8" w14:textId="0CE897B5" w:rsidR="002B489E" w:rsidRPr="00B81BBB" w:rsidRDefault="004731A7" w:rsidP="005D38F4">
            <w:pPr>
              <w:pStyle w:val="Paragraph"/>
              <w:numPr>
                <w:ilvl w:val="0"/>
                <w:numId w:val="0"/>
              </w:numPr>
              <w:tabs>
                <w:tab w:val="left" w:pos="2304"/>
              </w:tabs>
              <w:spacing w:before="40" w:after="40"/>
              <w:rPr>
                <w:rFonts w:ascii="Arial" w:hAnsi="Arial" w:cs="Arial"/>
                <w:sz w:val="20"/>
                <w:szCs w:val="22"/>
                <w:vertAlign w:val="superscript"/>
              </w:rPr>
            </w:pPr>
            <w:r w:rsidRPr="00B81BBB">
              <w:rPr>
                <w:rFonts w:ascii="Arial" w:hAnsi="Arial" w:cs="Arial"/>
                <w:sz w:val="20"/>
                <w:szCs w:val="22"/>
              </w:rPr>
              <w:t>IDB loan</w:t>
            </w:r>
            <w:r w:rsidR="00B346AB">
              <w:rPr>
                <w:rFonts w:ascii="Arial" w:hAnsi="Arial" w:cs="Arial"/>
                <w:sz w:val="20"/>
                <w:szCs w:val="22"/>
              </w:rPr>
              <w:t>’s COVID-19 coverage</w:t>
            </w:r>
            <w:r w:rsidR="003726BD">
              <w:rPr>
                <w:rFonts w:ascii="Arial" w:hAnsi="Arial" w:cs="Arial"/>
                <w:sz w:val="20"/>
                <w:szCs w:val="22"/>
                <w:vertAlign w:val="superscript"/>
              </w:rPr>
              <w:t>4</w:t>
            </w:r>
          </w:p>
        </w:tc>
        <w:tc>
          <w:tcPr>
            <w:tcW w:w="2080" w:type="dxa"/>
            <w:shd w:val="clear" w:color="auto" w:fill="DBE5F1" w:themeFill="accent1" w:themeFillTint="33"/>
            <w:vAlign w:val="center"/>
          </w:tcPr>
          <w:p w14:paraId="114ABBC5" w14:textId="13B3A5C8" w:rsidR="002B489E" w:rsidRPr="00B81BBB" w:rsidRDefault="00246FB4" w:rsidP="005D38F4">
            <w:pPr>
              <w:pStyle w:val="Paragraph"/>
              <w:numPr>
                <w:ilvl w:val="0"/>
                <w:numId w:val="0"/>
              </w:numPr>
              <w:tabs>
                <w:tab w:val="left" w:pos="1854"/>
              </w:tabs>
              <w:spacing w:before="40" w:after="40"/>
              <w:jc w:val="center"/>
              <w:rPr>
                <w:rFonts w:ascii="Arial" w:hAnsi="Arial" w:cs="Arial"/>
                <w:sz w:val="20"/>
                <w:szCs w:val="22"/>
              </w:rPr>
            </w:pPr>
            <w:r w:rsidRPr="00B81BBB">
              <w:rPr>
                <w:rFonts w:ascii="Arial" w:hAnsi="Arial" w:cs="Arial"/>
                <w:sz w:val="20"/>
                <w:szCs w:val="22"/>
              </w:rPr>
              <w:t>A</w:t>
            </w:r>
            <w:r w:rsidR="00092EEA" w:rsidRPr="00B81BBB">
              <w:rPr>
                <w:rFonts w:ascii="Arial" w:hAnsi="Arial" w:cs="Arial"/>
                <w:sz w:val="20"/>
                <w:szCs w:val="22"/>
              </w:rPr>
              <w:t>AA</w:t>
            </w:r>
          </w:p>
        </w:tc>
        <w:tc>
          <w:tcPr>
            <w:tcW w:w="1984" w:type="dxa"/>
            <w:shd w:val="clear" w:color="auto" w:fill="DBE5F1" w:themeFill="accent1" w:themeFillTint="33"/>
            <w:vAlign w:val="center"/>
          </w:tcPr>
          <w:p w14:paraId="7B122FD5" w14:textId="29B8004B" w:rsidR="002B489E" w:rsidRPr="00B81BBB" w:rsidRDefault="00382B8C" w:rsidP="005D38F4">
            <w:pPr>
              <w:pStyle w:val="Paragraph"/>
              <w:numPr>
                <w:ilvl w:val="0"/>
                <w:numId w:val="0"/>
              </w:numPr>
              <w:spacing w:before="40" w:after="40"/>
              <w:jc w:val="center"/>
              <w:rPr>
                <w:rFonts w:ascii="Arial" w:hAnsi="Arial" w:cs="Arial"/>
                <w:sz w:val="20"/>
                <w:szCs w:val="22"/>
              </w:rPr>
            </w:pPr>
            <w:r>
              <w:rPr>
                <w:rFonts w:ascii="Arial" w:hAnsi="Arial" w:cs="Arial"/>
                <w:sz w:val="20"/>
                <w:szCs w:val="22"/>
              </w:rPr>
              <w:t>112</w:t>
            </w:r>
          </w:p>
        </w:tc>
      </w:tr>
    </w:tbl>
    <w:p w14:paraId="0507BED7" w14:textId="45C5BCEE" w:rsidR="00DE0125" w:rsidRPr="00B81BBB" w:rsidRDefault="005D38F4" w:rsidP="006D6706">
      <w:pPr>
        <w:pStyle w:val="Paragraph"/>
        <w:numPr>
          <w:ilvl w:val="0"/>
          <w:numId w:val="0"/>
        </w:numPr>
        <w:spacing w:before="0" w:after="0"/>
        <w:ind w:left="810" w:hanging="180"/>
        <w:rPr>
          <w:rFonts w:ascii="Arial" w:hAnsi="Arial" w:cs="Arial"/>
          <w:sz w:val="22"/>
          <w:szCs w:val="22"/>
        </w:rPr>
      </w:pPr>
      <w:r w:rsidRPr="00B81BBB">
        <w:rPr>
          <w:rFonts w:ascii="Arial" w:hAnsi="Arial" w:cs="Arial"/>
          <w:sz w:val="22"/>
          <w:szCs w:val="22"/>
        </w:rPr>
        <w:t xml:space="preserve">  </w:t>
      </w:r>
      <w:r w:rsidR="006557AA" w:rsidRPr="00B81BBB">
        <w:rPr>
          <w:rFonts w:ascii="Arial" w:hAnsi="Arial" w:cs="Arial"/>
          <w:sz w:val="22"/>
          <w:szCs w:val="22"/>
        </w:rPr>
        <w:t xml:space="preserve"> </w:t>
      </w:r>
      <w:r w:rsidR="00354D5F" w:rsidRPr="00354D5F">
        <w:rPr>
          <w:rFonts w:ascii="Arial" w:hAnsi="Arial" w:cs="Arial"/>
          <w:sz w:val="18"/>
          <w:szCs w:val="18"/>
        </w:rPr>
        <w:t xml:space="preserve">Issue date: </w:t>
      </w:r>
      <w:r w:rsidR="00094F7A" w:rsidRPr="001E008D">
        <w:rPr>
          <w:rFonts w:ascii="Arial" w:hAnsi="Arial" w:cs="Arial"/>
          <w:sz w:val="18"/>
          <w:szCs w:val="18"/>
        </w:rPr>
        <w:t>1</w:t>
      </w:r>
      <w:r w:rsidR="00094F7A" w:rsidRPr="001E008D">
        <w:rPr>
          <w:rFonts w:ascii="Arial" w:hAnsi="Arial" w:cs="Arial"/>
          <w:sz w:val="18"/>
          <w:szCs w:val="22"/>
        </w:rPr>
        <w:t>/</w:t>
      </w:r>
      <w:r w:rsidR="00C531F6" w:rsidRPr="001E008D">
        <w:rPr>
          <w:rFonts w:ascii="Arial" w:hAnsi="Arial" w:cs="Arial"/>
          <w:sz w:val="18"/>
          <w:szCs w:val="22"/>
        </w:rPr>
        <w:t xml:space="preserve"> </w:t>
      </w:r>
      <w:r w:rsidR="00BC4856" w:rsidRPr="001E008D">
        <w:rPr>
          <w:rFonts w:ascii="Arial" w:hAnsi="Arial" w:cs="Arial"/>
          <w:sz w:val="18"/>
          <w:szCs w:val="22"/>
        </w:rPr>
        <w:t>March 2017,</w:t>
      </w:r>
      <w:r w:rsidR="006930EC" w:rsidRPr="001E008D">
        <w:rPr>
          <w:rFonts w:ascii="Arial" w:hAnsi="Arial" w:cs="Arial"/>
          <w:sz w:val="18"/>
          <w:szCs w:val="22"/>
        </w:rPr>
        <w:t xml:space="preserve"> </w:t>
      </w:r>
      <w:r w:rsidR="009A496D" w:rsidRPr="001E008D">
        <w:rPr>
          <w:rFonts w:ascii="Arial" w:hAnsi="Arial" w:cs="Arial"/>
          <w:sz w:val="18"/>
          <w:szCs w:val="22"/>
        </w:rPr>
        <w:t>maturing in</w:t>
      </w:r>
      <w:r w:rsidR="001E008D">
        <w:rPr>
          <w:rFonts w:ascii="Arial" w:hAnsi="Arial" w:cs="Arial"/>
          <w:sz w:val="18"/>
          <w:szCs w:val="22"/>
        </w:rPr>
        <w:t xml:space="preserve"> 2028; 2/</w:t>
      </w:r>
      <w:r w:rsidR="007C6A59">
        <w:rPr>
          <w:rFonts w:ascii="Arial" w:hAnsi="Arial" w:cs="Arial"/>
          <w:sz w:val="18"/>
          <w:szCs w:val="22"/>
        </w:rPr>
        <w:t xml:space="preserve"> September 20</w:t>
      </w:r>
      <w:r w:rsidR="00686022">
        <w:rPr>
          <w:rFonts w:ascii="Arial" w:hAnsi="Arial" w:cs="Arial"/>
          <w:sz w:val="18"/>
          <w:szCs w:val="22"/>
        </w:rPr>
        <w:t>20</w:t>
      </w:r>
      <w:r w:rsidR="007C6A59">
        <w:rPr>
          <w:rFonts w:ascii="Arial" w:hAnsi="Arial" w:cs="Arial"/>
          <w:sz w:val="18"/>
          <w:szCs w:val="22"/>
        </w:rPr>
        <w:t>, maturing in 203</w:t>
      </w:r>
      <w:r w:rsidR="00686022">
        <w:rPr>
          <w:rFonts w:ascii="Arial" w:hAnsi="Arial" w:cs="Arial"/>
          <w:sz w:val="18"/>
          <w:szCs w:val="22"/>
        </w:rPr>
        <w:t xml:space="preserve">2; 3/ </w:t>
      </w:r>
      <w:r w:rsidR="00283788">
        <w:rPr>
          <w:rFonts w:ascii="Arial" w:hAnsi="Arial" w:cs="Arial"/>
          <w:sz w:val="18"/>
          <w:szCs w:val="22"/>
        </w:rPr>
        <w:t>June 2020, maturing</w:t>
      </w:r>
      <w:r w:rsidR="00D84189">
        <w:rPr>
          <w:rFonts w:ascii="Arial" w:hAnsi="Arial" w:cs="Arial"/>
          <w:sz w:val="18"/>
          <w:szCs w:val="22"/>
        </w:rPr>
        <w:t xml:space="preserve"> in 20</w:t>
      </w:r>
      <w:r w:rsidR="003F0FC0">
        <w:rPr>
          <w:rFonts w:ascii="Arial" w:hAnsi="Arial" w:cs="Arial"/>
          <w:sz w:val="18"/>
          <w:szCs w:val="22"/>
        </w:rPr>
        <w:t xml:space="preserve">30. </w:t>
      </w:r>
      <w:proofErr w:type="gramStart"/>
      <w:r w:rsidR="003F0FC0">
        <w:rPr>
          <w:rFonts w:ascii="Arial" w:hAnsi="Arial" w:cs="Arial"/>
          <w:sz w:val="18"/>
          <w:szCs w:val="22"/>
        </w:rPr>
        <w:t>Bloomberg</w:t>
      </w:r>
      <w:r w:rsidR="002B5B4E">
        <w:rPr>
          <w:rFonts w:ascii="Arial" w:hAnsi="Arial" w:cs="Arial"/>
          <w:sz w:val="18"/>
          <w:szCs w:val="22"/>
        </w:rPr>
        <w:t>;</w:t>
      </w:r>
      <w:proofErr w:type="gramEnd"/>
      <w:r w:rsidR="002B5B4E">
        <w:rPr>
          <w:rFonts w:ascii="Arial" w:hAnsi="Arial" w:cs="Arial"/>
          <w:sz w:val="18"/>
          <w:szCs w:val="22"/>
        </w:rPr>
        <w:t xml:space="preserve"> </w:t>
      </w:r>
      <w:r w:rsidR="0034484C">
        <w:rPr>
          <w:rFonts w:ascii="Arial" w:hAnsi="Arial" w:cs="Arial"/>
          <w:sz w:val="18"/>
        </w:rPr>
        <w:t>4</w:t>
      </w:r>
      <w:r w:rsidR="006557AA" w:rsidRPr="00B81BBB">
        <w:rPr>
          <w:rFonts w:ascii="Arial" w:hAnsi="Arial" w:cs="Arial"/>
          <w:sz w:val="18"/>
        </w:rPr>
        <w:t xml:space="preserve">/ </w:t>
      </w:r>
      <w:r w:rsidR="00953DC6" w:rsidRPr="00B81BBB">
        <w:rPr>
          <w:rFonts w:ascii="Arial" w:hAnsi="Arial" w:cs="Arial"/>
          <w:sz w:val="18"/>
        </w:rPr>
        <w:t>AAA</w:t>
      </w:r>
      <w:r w:rsidR="006557AA" w:rsidRPr="00B81BBB">
        <w:rPr>
          <w:rFonts w:ascii="Arial" w:hAnsi="Arial" w:cs="Arial"/>
          <w:sz w:val="18"/>
        </w:rPr>
        <w:t xml:space="preserve"> is the c</w:t>
      </w:r>
      <w:r w:rsidRPr="00B81BBB">
        <w:rPr>
          <w:rFonts w:ascii="Arial" w:hAnsi="Arial" w:cs="Arial"/>
          <w:sz w:val="18"/>
        </w:rPr>
        <w:t>redit rating that the IDB would likely receive as debt issuer given its funding cost.</w:t>
      </w:r>
      <w:r w:rsidRPr="00B81BBB">
        <w:rPr>
          <w:rFonts w:ascii="Arial" w:hAnsi="Arial" w:cs="Arial"/>
          <w:sz w:val="22"/>
          <w:szCs w:val="22"/>
        </w:rPr>
        <w:tab/>
      </w:r>
    </w:p>
    <w:p w14:paraId="1530E9DE" w14:textId="77777777" w:rsidR="006557AA" w:rsidRPr="00B81BBB" w:rsidRDefault="006557AA" w:rsidP="006557AA">
      <w:pPr>
        <w:pStyle w:val="Paragraph"/>
        <w:numPr>
          <w:ilvl w:val="0"/>
          <w:numId w:val="0"/>
        </w:numPr>
        <w:spacing w:before="0" w:after="0"/>
        <w:ind w:left="634"/>
        <w:rPr>
          <w:rFonts w:ascii="Arial" w:hAnsi="Arial" w:cs="Arial"/>
          <w:sz w:val="22"/>
          <w:szCs w:val="22"/>
          <w:highlight w:val="yellow"/>
        </w:rPr>
      </w:pPr>
    </w:p>
    <w:p w14:paraId="1088A020" w14:textId="737E2A6D" w:rsidR="00930F33" w:rsidRPr="00B81BBB" w:rsidRDefault="00A10305" w:rsidP="00930F33">
      <w:pPr>
        <w:pStyle w:val="Paragraph"/>
        <w:tabs>
          <w:tab w:val="clear" w:pos="3600"/>
        </w:tabs>
        <w:spacing w:before="0"/>
        <w:ind w:left="720" w:hanging="720"/>
        <w:rPr>
          <w:rFonts w:ascii="Arial" w:hAnsi="Arial" w:cs="Arial"/>
          <w:sz w:val="22"/>
          <w:szCs w:val="22"/>
        </w:rPr>
      </w:pPr>
      <w:r w:rsidRPr="00B81BBB">
        <w:rPr>
          <w:rFonts w:ascii="Arial" w:hAnsi="Arial" w:cs="Arial"/>
          <w:sz w:val="22"/>
          <w:szCs w:val="22"/>
        </w:rPr>
        <w:t xml:space="preserve">The only exogenous variable (to the Bank and the country) that could make the Bank’s </w:t>
      </w:r>
      <w:r w:rsidR="00764513">
        <w:rPr>
          <w:rFonts w:ascii="Arial" w:hAnsi="Arial" w:cs="Arial"/>
          <w:sz w:val="22"/>
          <w:szCs w:val="22"/>
        </w:rPr>
        <w:t>option</w:t>
      </w:r>
      <w:r w:rsidRPr="00B81BBB">
        <w:rPr>
          <w:rFonts w:ascii="Arial" w:hAnsi="Arial" w:cs="Arial"/>
          <w:sz w:val="22"/>
          <w:szCs w:val="22"/>
        </w:rPr>
        <w:t xml:space="preserve"> less attractive would be the LIBOR rate. </w:t>
      </w:r>
      <w:r w:rsidR="00E761A1">
        <w:rPr>
          <w:rFonts w:ascii="Arial" w:hAnsi="Arial" w:cs="Arial"/>
          <w:sz w:val="22"/>
          <w:szCs w:val="22"/>
        </w:rPr>
        <w:t xml:space="preserve">Given the </w:t>
      </w:r>
      <w:r w:rsidR="00ED20D3">
        <w:rPr>
          <w:rFonts w:ascii="Arial" w:hAnsi="Arial" w:cs="Arial"/>
          <w:sz w:val="22"/>
          <w:szCs w:val="22"/>
        </w:rPr>
        <w:t>chall</w:t>
      </w:r>
      <w:r w:rsidR="006A7A0B">
        <w:rPr>
          <w:rFonts w:ascii="Arial" w:hAnsi="Arial" w:cs="Arial"/>
          <w:sz w:val="22"/>
          <w:szCs w:val="22"/>
        </w:rPr>
        <w:t>enging</w:t>
      </w:r>
      <w:r w:rsidR="004E47A3">
        <w:rPr>
          <w:rFonts w:ascii="Arial" w:hAnsi="Arial" w:cs="Arial"/>
          <w:sz w:val="22"/>
          <w:szCs w:val="22"/>
        </w:rPr>
        <w:t xml:space="preserve"> global</w:t>
      </w:r>
      <w:r w:rsidR="006A7A0B">
        <w:rPr>
          <w:rFonts w:ascii="Arial" w:hAnsi="Arial" w:cs="Arial"/>
          <w:sz w:val="22"/>
          <w:szCs w:val="22"/>
        </w:rPr>
        <w:t xml:space="preserve"> </w:t>
      </w:r>
      <w:r w:rsidR="006A7A0B">
        <w:rPr>
          <w:rFonts w:ascii="Arial" w:hAnsi="Arial" w:cs="Arial"/>
          <w:sz w:val="22"/>
          <w:szCs w:val="22"/>
        </w:rPr>
        <w:lastRenderedPageBreak/>
        <w:t xml:space="preserve">environment due to the </w:t>
      </w:r>
      <w:r w:rsidR="00F95FFF">
        <w:rPr>
          <w:rFonts w:ascii="Arial" w:hAnsi="Arial" w:cs="Arial"/>
          <w:sz w:val="22"/>
          <w:szCs w:val="22"/>
        </w:rPr>
        <w:t>COVID-19 pandemic</w:t>
      </w:r>
      <w:r w:rsidR="006A7A0B">
        <w:rPr>
          <w:rFonts w:ascii="Arial" w:hAnsi="Arial" w:cs="Arial"/>
          <w:sz w:val="22"/>
          <w:szCs w:val="22"/>
        </w:rPr>
        <w:t>,</w:t>
      </w:r>
      <w:r w:rsidR="00E761A1">
        <w:rPr>
          <w:rFonts w:ascii="Arial" w:hAnsi="Arial" w:cs="Arial"/>
          <w:sz w:val="22"/>
          <w:szCs w:val="22"/>
        </w:rPr>
        <w:t xml:space="preserve"> </w:t>
      </w:r>
      <w:r w:rsidR="00F95FFF">
        <w:rPr>
          <w:rFonts w:ascii="Arial" w:hAnsi="Arial" w:cs="Arial"/>
          <w:sz w:val="22"/>
          <w:szCs w:val="22"/>
        </w:rPr>
        <w:t xml:space="preserve">it is not unlikely that external financing conditions </w:t>
      </w:r>
      <w:r w:rsidR="008656DA">
        <w:rPr>
          <w:rFonts w:ascii="Arial" w:hAnsi="Arial" w:cs="Arial"/>
          <w:sz w:val="22"/>
          <w:szCs w:val="22"/>
        </w:rPr>
        <w:t>tighten in the near term</w:t>
      </w:r>
      <w:r w:rsidR="00930F33" w:rsidRPr="00B81BBB">
        <w:rPr>
          <w:rFonts w:ascii="Arial" w:hAnsi="Arial" w:cs="Arial"/>
          <w:sz w:val="22"/>
          <w:szCs w:val="22"/>
        </w:rPr>
        <w:t xml:space="preserve">. However, </w:t>
      </w:r>
      <w:r w:rsidR="006069C6" w:rsidRPr="00B81BBB">
        <w:rPr>
          <w:rFonts w:ascii="Arial" w:hAnsi="Arial" w:cs="Arial"/>
          <w:sz w:val="22"/>
          <w:szCs w:val="22"/>
        </w:rPr>
        <w:t xml:space="preserve">given </w:t>
      </w:r>
      <w:r w:rsidR="00930F33" w:rsidRPr="00B81BBB">
        <w:rPr>
          <w:rFonts w:ascii="Arial" w:hAnsi="Arial" w:cs="Arial"/>
          <w:sz w:val="22"/>
          <w:szCs w:val="22"/>
        </w:rPr>
        <w:t xml:space="preserve">the </w:t>
      </w:r>
      <w:r w:rsidR="006069C6" w:rsidRPr="00B81BBB">
        <w:rPr>
          <w:rFonts w:ascii="Arial" w:hAnsi="Arial" w:cs="Arial"/>
          <w:sz w:val="22"/>
          <w:szCs w:val="22"/>
        </w:rPr>
        <w:t xml:space="preserve">short </w:t>
      </w:r>
      <w:r w:rsidR="00930F33" w:rsidRPr="00B81BBB">
        <w:rPr>
          <w:rFonts w:ascii="Arial" w:hAnsi="Arial" w:cs="Arial"/>
          <w:sz w:val="22"/>
          <w:szCs w:val="22"/>
        </w:rPr>
        <w:t xml:space="preserve">lifespan of this operation, it is not reasonable to assume </w:t>
      </w:r>
      <w:r w:rsidR="006069C6" w:rsidRPr="00B81BBB">
        <w:rPr>
          <w:rFonts w:ascii="Arial" w:hAnsi="Arial" w:cs="Arial"/>
          <w:sz w:val="22"/>
          <w:szCs w:val="22"/>
        </w:rPr>
        <w:t xml:space="preserve">a substantial </w:t>
      </w:r>
      <w:r w:rsidR="00020DAE" w:rsidRPr="00B81BBB">
        <w:rPr>
          <w:rFonts w:ascii="Arial" w:hAnsi="Arial" w:cs="Arial"/>
          <w:sz w:val="22"/>
          <w:szCs w:val="22"/>
        </w:rPr>
        <w:t xml:space="preserve">LIBOR </w:t>
      </w:r>
      <w:r w:rsidR="006069C6" w:rsidRPr="00B81BBB">
        <w:rPr>
          <w:rFonts w:ascii="Arial" w:hAnsi="Arial" w:cs="Arial"/>
          <w:sz w:val="22"/>
          <w:szCs w:val="22"/>
        </w:rPr>
        <w:t xml:space="preserve">increase without an increase in </w:t>
      </w:r>
      <w:r w:rsidR="00930F33" w:rsidRPr="00B81BBB">
        <w:rPr>
          <w:rFonts w:ascii="Arial" w:hAnsi="Arial" w:cs="Arial"/>
          <w:sz w:val="22"/>
          <w:szCs w:val="22"/>
        </w:rPr>
        <w:t>th</w:t>
      </w:r>
      <w:r w:rsidR="00020DAE" w:rsidRPr="00B81BBB">
        <w:rPr>
          <w:rFonts w:ascii="Arial" w:hAnsi="Arial" w:cs="Arial"/>
          <w:sz w:val="22"/>
          <w:szCs w:val="22"/>
        </w:rPr>
        <w:t>e mentioned</w:t>
      </w:r>
      <w:r w:rsidR="00930F33" w:rsidRPr="00B81BBB">
        <w:rPr>
          <w:rFonts w:ascii="Arial" w:hAnsi="Arial" w:cs="Arial"/>
          <w:sz w:val="22"/>
          <w:szCs w:val="22"/>
        </w:rPr>
        <w:t xml:space="preserve"> sovereign yields. More likely, the yields would rise as well, therefore keeping the favorable cost differential of the Bank’s loan.</w:t>
      </w:r>
    </w:p>
    <w:p w14:paraId="6473A11F" w14:textId="49A444FA" w:rsidR="00DE0125" w:rsidRPr="00B81BBB" w:rsidRDefault="00A10305" w:rsidP="00B130A0">
      <w:pPr>
        <w:pStyle w:val="Paragraph"/>
        <w:tabs>
          <w:tab w:val="clear" w:pos="3600"/>
        </w:tabs>
        <w:spacing w:before="0"/>
        <w:ind w:left="720" w:hanging="720"/>
        <w:rPr>
          <w:rFonts w:ascii="Arial" w:hAnsi="Arial" w:cs="Arial"/>
          <w:sz w:val="22"/>
          <w:szCs w:val="22"/>
        </w:rPr>
      </w:pPr>
      <w:r w:rsidRPr="00B81BBB">
        <w:rPr>
          <w:rFonts w:ascii="Arial" w:hAnsi="Arial" w:cs="Arial"/>
          <w:sz w:val="22"/>
          <w:szCs w:val="22"/>
        </w:rPr>
        <w:t xml:space="preserve">As mentioned before, the country has the option to opt for a fixed LIBOR rate </w:t>
      </w:r>
      <w:r w:rsidR="00930F33" w:rsidRPr="00B81BBB">
        <w:rPr>
          <w:rFonts w:ascii="Arial" w:hAnsi="Arial" w:cs="Arial"/>
          <w:sz w:val="22"/>
          <w:szCs w:val="22"/>
        </w:rPr>
        <w:t xml:space="preserve">instead of </w:t>
      </w:r>
      <w:r w:rsidRPr="00B81BBB">
        <w:rPr>
          <w:rFonts w:ascii="Arial" w:hAnsi="Arial" w:cs="Arial"/>
          <w:sz w:val="22"/>
          <w:szCs w:val="22"/>
        </w:rPr>
        <w:t>floating LIBOR rate. Given that the LIBOR rate is</w:t>
      </w:r>
      <w:r w:rsidR="006069C6" w:rsidRPr="00B81BBB">
        <w:rPr>
          <w:rFonts w:ascii="Arial" w:hAnsi="Arial" w:cs="Arial"/>
          <w:sz w:val="22"/>
          <w:szCs w:val="22"/>
        </w:rPr>
        <w:t xml:space="preserve"> </w:t>
      </w:r>
      <w:r w:rsidRPr="00B81BBB">
        <w:rPr>
          <w:rFonts w:ascii="Arial" w:hAnsi="Arial" w:cs="Arial"/>
          <w:sz w:val="22"/>
          <w:szCs w:val="22"/>
        </w:rPr>
        <w:t>low by historical standa</w:t>
      </w:r>
      <w:r w:rsidR="00F813E0" w:rsidRPr="00B81BBB">
        <w:rPr>
          <w:rFonts w:ascii="Arial" w:hAnsi="Arial" w:cs="Arial"/>
          <w:sz w:val="22"/>
          <w:szCs w:val="22"/>
        </w:rPr>
        <w:t xml:space="preserve">rds (Figure 2), it is reasonable that the country would choose a fixed rate. If that were the case, the cost of the </w:t>
      </w:r>
      <w:r w:rsidR="009C59D1">
        <w:rPr>
          <w:rFonts w:ascii="Arial" w:hAnsi="Arial" w:cs="Arial"/>
          <w:sz w:val="22"/>
          <w:szCs w:val="22"/>
        </w:rPr>
        <w:t>Bank’s</w:t>
      </w:r>
      <w:r w:rsidR="00F813E0" w:rsidRPr="00B81BBB">
        <w:rPr>
          <w:rFonts w:ascii="Arial" w:hAnsi="Arial" w:cs="Arial"/>
          <w:sz w:val="22"/>
          <w:szCs w:val="22"/>
        </w:rPr>
        <w:t xml:space="preserve"> loan would increase to </w:t>
      </w:r>
      <w:r w:rsidR="00A62483" w:rsidRPr="004A0320">
        <w:rPr>
          <w:rFonts w:ascii="Arial" w:hAnsi="Arial" w:cs="Arial"/>
          <w:b/>
          <w:bCs/>
          <w:sz w:val="22"/>
          <w:szCs w:val="22"/>
        </w:rPr>
        <w:t>1</w:t>
      </w:r>
      <w:r w:rsidR="004A0320" w:rsidRPr="004A0320">
        <w:rPr>
          <w:rFonts w:ascii="Arial" w:hAnsi="Arial" w:cs="Arial"/>
          <w:b/>
          <w:bCs/>
          <w:sz w:val="22"/>
          <w:szCs w:val="22"/>
        </w:rPr>
        <w:t>57</w:t>
      </w:r>
      <w:r w:rsidR="00930F33" w:rsidRPr="00B81BBB">
        <w:rPr>
          <w:rFonts w:ascii="Arial" w:hAnsi="Arial" w:cs="Arial"/>
          <w:b/>
          <w:sz w:val="22"/>
          <w:szCs w:val="22"/>
        </w:rPr>
        <w:t xml:space="preserve"> </w:t>
      </w:r>
      <w:r w:rsidR="00F813E0" w:rsidRPr="00B81BBB">
        <w:rPr>
          <w:rFonts w:ascii="Arial" w:hAnsi="Arial" w:cs="Arial"/>
          <w:b/>
          <w:sz w:val="22"/>
          <w:szCs w:val="22"/>
        </w:rPr>
        <w:t>bps</w:t>
      </w:r>
      <w:r w:rsidR="00930F33" w:rsidRPr="00B81BBB">
        <w:rPr>
          <w:rFonts w:ascii="Arial" w:hAnsi="Arial" w:cs="Arial"/>
          <w:sz w:val="22"/>
          <w:szCs w:val="22"/>
        </w:rPr>
        <w:t>, which</w:t>
      </w:r>
      <w:r w:rsidR="00FE072B" w:rsidRPr="00B81BBB">
        <w:rPr>
          <w:rFonts w:ascii="Arial" w:hAnsi="Arial" w:cs="Arial"/>
          <w:sz w:val="22"/>
          <w:szCs w:val="22"/>
        </w:rPr>
        <w:t xml:space="preserve"> is </w:t>
      </w:r>
      <w:r w:rsidR="004A0320">
        <w:rPr>
          <w:rFonts w:ascii="Arial" w:hAnsi="Arial" w:cs="Arial"/>
          <w:sz w:val="22"/>
          <w:szCs w:val="22"/>
        </w:rPr>
        <w:t xml:space="preserve">still </w:t>
      </w:r>
      <w:r w:rsidR="00FE072B" w:rsidRPr="00B81BBB">
        <w:rPr>
          <w:rFonts w:ascii="Arial" w:hAnsi="Arial" w:cs="Arial"/>
          <w:sz w:val="22"/>
          <w:szCs w:val="22"/>
        </w:rPr>
        <w:t>less expensive than issuing sovereign bonds under the best possible conditions (Table 3)</w:t>
      </w:r>
      <w:r w:rsidR="00F813E0" w:rsidRPr="00B81BBB">
        <w:rPr>
          <w:rFonts w:ascii="Arial" w:hAnsi="Arial" w:cs="Arial"/>
          <w:sz w:val="22"/>
          <w:szCs w:val="22"/>
        </w:rPr>
        <w:t>.</w:t>
      </w:r>
    </w:p>
    <w:p w14:paraId="42F916A0" w14:textId="40EE96F8" w:rsidR="00AA35E7" w:rsidRPr="00B81BBB" w:rsidRDefault="00633871" w:rsidP="005031EB">
      <w:pPr>
        <w:pStyle w:val="Paragraph"/>
        <w:tabs>
          <w:tab w:val="clear" w:pos="3600"/>
        </w:tabs>
        <w:spacing w:before="0"/>
        <w:ind w:left="720" w:hanging="720"/>
        <w:rPr>
          <w:rFonts w:ascii="Arial" w:hAnsi="Arial" w:cs="Arial"/>
          <w:sz w:val="22"/>
          <w:szCs w:val="22"/>
        </w:rPr>
      </w:pPr>
      <w:r w:rsidRPr="00B81BBB">
        <w:rPr>
          <w:rFonts w:ascii="Arial" w:hAnsi="Arial" w:cs="Arial"/>
          <w:sz w:val="22"/>
          <w:szCs w:val="22"/>
        </w:rPr>
        <w:t>In case</w:t>
      </w:r>
      <w:r w:rsidR="00AA35E7" w:rsidRPr="00B81BBB">
        <w:rPr>
          <w:rFonts w:ascii="Arial" w:hAnsi="Arial" w:cs="Arial"/>
          <w:sz w:val="22"/>
          <w:szCs w:val="22"/>
        </w:rPr>
        <w:t xml:space="preserve"> the country </w:t>
      </w:r>
      <w:r w:rsidRPr="00B81BBB">
        <w:rPr>
          <w:rFonts w:ascii="Arial" w:hAnsi="Arial" w:cs="Arial"/>
          <w:sz w:val="22"/>
          <w:szCs w:val="22"/>
        </w:rPr>
        <w:t>chooses</w:t>
      </w:r>
      <w:r w:rsidR="00AA35E7" w:rsidRPr="00B81BBB">
        <w:rPr>
          <w:rFonts w:ascii="Arial" w:hAnsi="Arial" w:cs="Arial"/>
          <w:sz w:val="22"/>
          <w:szCs w:val="22"/>
        </w:rPr>
        <w:t xml:space="preserve"> floating LIBOR rate, the financial cost of the Bank’s loan would be </w:t>
      </w:r>
      <w:r w:rsidR="004A0320" w:rsidRPr="0094460C">
        <w:rPr>
          <w:rFonts w:ascii="Arial" w:hAnsi="Arial" w:cs="Arial"/>
          <w:b/>
          <w:sz w:val="22"/>
          <w:szCs w:val="22"/>
        </w:rPr>
        <w:t>1</w:t>
      </w:r>
      <w:r w:rsidR="004A0320" w:rsidRPr="004A0320">
        <w:rPr>
          <w:rFonts w:ascii="Arial" w:hAnsi="Arial" w:cs="Arial"/>
          <w:b/>
          <w:sz w:val="22"/>
          <w:szCs w:val="22"/>
        </w:rPr>
        <w:t>12</w:t>
      </w:r>
      <w:r w:rsidR="00304711" w:rsidRPr="00B81BBB">
        <w:rPr>
          <w:rFonts w:ascii="Arial" w:hAnsi="Arial" w:cs="Arial"/>
          <w:b/>
          <w:sz w:val="22"/>
          <w:szCs w:val="22"/>
        </w:rPr>
        <w:t xml:space="preserve"> </w:t>
      </w:r>
      <w:r w:rsidR="00AA35E7" w:rsidRPr="00B81BBB">
        <w:rPr>
          <w:rFonts w:ascii="Arial" w:hAnsi="Arial" w:cs="Arial"/>
          <w:b/>
          <w:sz w:val="22"/>
          <w:szCs w:val="22"/>
        </w:rPr>
        <w:t>bps</w:t>
      </w:r>
      <w:r w:rsidRPr="00B81BBB">
        <w:rPr>
          <w:rFonts w:ascii="Arial" w:hAnsi="Arial" w:cs="Arial"/>
          <w:sz w:val="22"/>
          <w:szCs w:val="22"/>
        </w:rPr>
        <w:t xml:space="preserve">, though it would be exposed to unfavorable movements in interest rates throughout the lifespan of this operation. </w:t>
      </w:r>
      <w:r w:rsidR="00B130A0" w:rsidRPr="00B81BBB">
        <w:rPr>
          <w:rFonts w:ascii="Arial" w:hAnsi="Arial" w:cs="Arial"/>
          <w:sz w:val="22"/>
          <w:szCs w:val="22"/>
        </w:rPr>
        <w:t>Based on</w:t>
      </w:r>
      <w:r w:rsidRPr="00B81BBB">
        <w:rPr>
          <w:rFonts w:ascii="Arial" w:hAnsi="Arial" w:cs="Arial"/>
          <w:sz w:val="22"/>
          <w:szCs w:val="22"/>
        </w:rPr>
        <w:t xml:space="preserve"> the historical behavior of the LIBOR</w:t>
      </w:r>
      <w:r w:rsidR="00510F79" w:rsidRPr="00B81BBB">
        <w:rPr>
          <w:rFonts w:ascii="Arial" w:hAnsi="Arial" w:cs="Arial"/>
          <w:sz w:val="22"/>
          <w:szCs w:val="22"/>
        </w:rPr>
        <w:t xml:space="preserve"> (Figure 2)</w:t>
      </w:r>
      <w:r w:rsidRPr="00B81BBB">
        <w:rPr>
          <w:rFonts w:ascii="Arial" w:hAnsi="Arial" w:cs="Arial"/>
          <w:sz w:val="22"/>
          <w:szCs w:val="22"/>
        </w:rPr>
        <w:t>,</w:t>
      </w:r>
      <w:r w:rsidR="00B130A0" w:rsidRPr="00B81BBB">
        <w:rPr>
          <w:rFonts w:ascii="Arial" w:hAnsi="Arial" w:cs="Arial"/>
          <w:sz w:val="22"/>
          <w:szCs w:val="22"/>
        </w:rPr>
        <w:t xml:space="preserve"> the annual standard deviation is </w:t>
      </w:r>
      <w:r w:rsidR="00413847">
        <w:rPr>
          <w:rFonts w:ascii="Arial" w:hAnsi="Arial" w:cs="Arial"/>
          <w:sz w:val="22"/>
          <w:szCs w:val="22"/>
        </w:rPr>
        <w:t>43</w:t>
      </w:r>
      <w:r w:rsidR="001F29F7">
        <w:rPr>
          <w:rFonts w:ascii="Arial" w:hAnsi="Arial" w:cs="Arial"/>
          <w:sz w:val="22"/>
          <w:szCs w:val="22"/>
        </w:rPr>
        <w:t>.1</w:t>
      </w:r>
      <w:r w:rsidR="00B130A0" w:rsidRPr="00B81BBB">
        <w:rPr>
          <w:rFonts w:ascii="Arial" w:hAnsi="Arial" w:cs="Arial"/>
          <w:sz w:val="22"/>
          <w:szCs w:val="22"/>
        </w:rPr>
        <w:t xml:space="preserve">%, </w:t>
      </w:r>
      <w:r w:rsidR="00510F79" w:rsidRPr="00B81BBB">
        <w:rPr>
          <w:rFonts w:ascii="Arial" w:hAnsi="Arial" w:cs="Arial"/>
          <w:sz w:val="22"/>
          <w:szCs w:val="22"/>
        </w:rPr>
        <w:t>or</w:t>
      </w:r>
      <w:r w:rsidR="00B130A0" w:rsidRPr="00B81BBB">
        <w:rPr>
          <w:rFonts w:ascii="Arial" w:hAnsi="Arial" w:cs="Arial"/>
          <w:sz w:val="22"/>
          <w:szCs w:val="22"/>
        </w:rPr>
        <w:t xml:space="preserve"> </w:t>
      </w:r>
      <w:r w:rsidR="00300C01">
        <w:rPr>
          <w:rFonts w:ascii="Arial" w:hAnsi="Arial" w:cs="Arial"/>
          <w:sz w:val="22"/>
          <w:szCs w:val="22"/>
        </w:rPr>
        <w:t>10</w:t>
      </w:r>
      <w:r w:rsidR="00304711" w:rsidRPr="00B81BBB">
        <w:rPr>
          <w:rFonts w:ascii="Arial" w:hAnsi="Arial" w:cs="Arial"/>
          <w:b/>
          <w:sz w:val="22"/>
          <w:szCs w:val="22"/>
        </w:rPr>
        <w:t xml:space="preserve"> </w:t>
      </w:r>
      <w:r w:rsidR="00510F79" w:rsidRPr="00B81BBB">
        <w:rPr>
          <w:rFonts w:ascii="Arial" w:hAnsi="Arial" w:cs="Arial"/>
          <w:sz w:val="22"/>
          <w:szCs w:val="22"/>
        </w:rPr>
        <w:t>bps</w:t>
      </w:r>
      <w:r w:rsidR="00AB5C31" w:rsidRPr="00B81BBB">
        <w:rPr>
          <w:rFonts w:ascii="Arial" w:hAnsi="Arial" w:cs="Arial"/>
          <w:sz w:val="22"/>
          <w:szCs w:val="22"/>
        </w:rPr>
        <w:t xml:space="preserve"> over 3-month LIBOR</w:t>
      </w:r>
      <w:r w:rsidR="00510F79" w:rsidRPr="00B81BBB">
        <w:rPr>
          <w:rFonts w:ascii="Arial" w:hAnsi="Arial" w:cs="Arial"/>
          <w:sz w:val="22"/>
          <w:szCs w:val="22"/>
        </w:rPr>
        <w:t>.</w:t>
      </w:r>
    </w:p>
    <w:p w14:paraId="02075B61" w14:textId="0549BE8D" w:rsidR="00822248" w:rsidRPr="00987C15" w:rsidRDefault="00822248" w:rsidP="00822248">
      <w:pPr>
        <w:pStyle w:val="Paragraph"/>
        <w:numPr>
          <w:ilvl w:val="0"/>
          <w:numId w:val="0"/>
        </w:numPr>
        <w:spacing w:before="0"/>
        <w:jc w:val="center"/>
        <w:rPr>
          <w:rFonts w:ascii="Arial" w:hAnsi="Arial" w:cs="Arial"/>
          <w:b/>
          <w:bCs/>
          <w:color w:val="000000"/>
          <w:spacing w:val="-4"/>
          <w:sz w:val="20"/>
        </w:rPr>
      </w:pPr>
      <w:r w:rsidRPr="00987C15">
        <w:rPr>
          <w:rFonts w:ascii="Arial" w:hAnsi="Arial" w:cs="Arial"/>
          <w:b/>
          <w:bCs/>
          <w:color w:val="000000"/>
          <w:spacing w:val="-4"/>
          <w:sz w:val="20"/>
        </w:rPr>
        <w:t xml:space="preserve">Figure </w:t>
      </w:r>
      <w:r w:rsidR="00DE4B9C">
        <w:rPr>
          <w:rFonts w:ascii="Arial" w:hAnsi="Arial" w:cs="Arial"/>
          <w:b/>
          <w:bCs/>
          <w:color w:val="000000"/>
          <w:spacing w:val="-4"/>
          <w:sz w:val="20"/>
        </w:rPr>
        <w:t>1.</w:t>
      </w:r>
      <w:r w:rsidRPr="00987C15">
        <w:rPr>
          <w:rFonts w:ascii="Arial" w:hAnsi="Arial" w:cs="Arial"/>
          <w:b/>
          <w:bCs/>
          <w:color w:val="000000"/>
          <w:spacing w:val="-4"/>
          <w:sz w:val="20"/>
        </w:rPr>
        <w:t xml:space="preserve"> 3-month LIBOR, US$ (%)</w:t>
      </w:r>
    </w:p>
    <w:p w14:paraId="6F495561" w14:textId="77777777" w:rsidR="00822248" w:rsidRDefault="00822248" w:rsidP="00822248">
      <w:pPr>
        <w:pStyle w:val="Paragraph"/>
        <w:numPr>
          <w:ilvl w:val="1"/>
          <w:numId w:val="0"/>
        </w:numPr>
        <w:spacing w:before="0" w:after="0"/>
        <w:jc w:val="center"/>
        <w:rPr>
          <w:noProof/>
        </w:rPr>
      </w:pPr>
      <w:r>
        <w:rPr>
          <w:noProof/>
        </w:rPr>
        <w:drawing>
          <wp:inline distT="0" distB="0" distL="0" distR="0" wp14:anchorId="754B8D74" wp14:editId="05730DD9">
            <wp:extent cx="5697352" cy="2416225"/>
            <wp:effectExtent l="0" t="0" r="0" b="3175"/>
            <wp:docPr id="2" name="Picture 2"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2">
                      <a:extLst>
                        <a:ext uri="{28A0092B-C50C-407E-A947-70E740481C1C}">
                          <a14:useLocalDpi xmlns:a14="http://schemas.microsoft.com/office/drawing/2010/main" val="0"/>
                        </a:ext>
                      </a:extLst>
                    </a:blip>
                    <a:stretch>
                      <a:fillRect/>
                    </a:stretch>
                  </pic:blipFill>
                  <pic:spPr>
                    <a:xfrm>
                      <a:off x="0" y="0"/>
                      <a:ext cx="5697352" cy="2416225"/>
                    </a:xfrm>
                    <a:prstGeom prst="rect">
                      <a:avLst/>
                    </a:prstGeom>
                  </pic:spPr>
                </pic:pic>
              </a:graphicData>
            </a:graphic>
          </wp:inline>
        </w:drawing>
      </w:r>
    </w:p>
    <w:p w14:paraId="6B5D4C78" w14:textId="77777777" w:rsidR="00822248" w:rsidRPr="0039689C" w:rsidRDefault="00822248" w:rsidP="00822248">
      <w:pPr>
        <w:pStyle w:val="Paragraph"/>
        <w:numPr>
          <w:ilvl w:val="0"/>
          <w:numId w:val="0"/>
        </w:numPr>
        <w:spacing w:before="0" w:after="0"/>
        <w:jc w:val="left"/>
        <w:rPr>
          <w:noProof/>
          <w:sz w:val="20"/>
          <w:szCs w:val="16"/>
        </w:rPr>
      </w:pPr>
      <w:r w:rsidRPr="0039689C">
        <w:rPr>
          <w:rFonts w:ascii="Lucida Sans" w:hAnsi="Lucida Sans"/>
          <w:color w:val="333333"/>
          <w:sz w:val="14"/>
          <w:szCs w:val="14"/>
          <w:shd w:val="clear" w:color="auto" w:fill="FFFFFF"/>
        </w:rPr>
        <w:t>Source: ICE Benchmark Administration Limited (IBA), 3-Month London Interbank Offered Rate (LIBOR), based on U.S. Dollar [USD3MTD156N], retrieved from FRED, Federal Reserve Bank of St. Louis</w:t>
      </w:r>
    </w:p>
    <w:p w14:paraId="1CD70536" w14:textId="730B1991" w:rsidR="00B130A0" w:rsidRPr="00B81BBB" w:rsidRDefault="00B130A0" w:rsidP="00B130A0">
      <w:pPr>
        <w:pStyle w:val="Paragraph"/>
        <w:numPr>
          <w:ilvl w:val="0"/>
          <w:numId w:val="0"/>
        </w:numPr>
        <w:spacing w:before="0" w:after="0"/>
        <w:jc w:val="left"/>
        <w:rPr>
          <w:rFonts w:ascii="Arial" w:hAnsi="Arial" w:cs="Arial"/>
          <w:sz w:val="22"/>
          <w:szCs w:val="22"/>
        </w:rPr>
      </w:pPr>
    </w:p>
    <w:tbl>
      <w:tblPr>
        <w:tblW w:w="4107" w:type="dxa"/>
        <w:jc w:val="center"/>
        <w:tblLook w:val="04A0" w:firstRow="1" w:lastRow="0" w:firstColumn="1" w:lastColumn="0" w:noHBand="0" w:noVBand="1"/>
      </w:tblPr>
      <w:tblGrid>
        <w:gridCol w:w="3230"/>
        <w:gridCol w:w="967"/>
      </w:tblGrid>
      <w:tr w:rsidR="00A177B0" w:rsidRPr="00822248" w14:paraId="268073AD" w14:textId="77777777" w:rsidTr="00822248">
        <w:trPr>
          <w:trHeight w:val="330"/>
          <w:jc w:val="center"/>
        </w:trPr>
        <w:tc>
          <w:tcPr>
            <w:tcW w:w="4107" w:type="dxa"/>
            <w:gridSpan w:val="2"/>
            <w:tcBorders>
              <w:top w:val="single" w:sz="8" w:space="0" w:color="auto"/>
              <w:left w:val="single" w:sz="8" w:space="0" w:color="auto"/>
              <w:bottom w:val="single" w:sz="8" w:space="0" w:color="auto"/>
              <w:right w:val="single" w:sz="8" w:space="0" w:color="000000"/>
            </w:tcBorders>
            <w:shd w:val="clear" w:color="000000" w:fill="C6D9F1"/>
            <w:noWrap/>
            <w:vAlign w:val="center"/>
            <w:hideMark/>
          </w:tcPr>
          <w:p w14:paraId="7FEF9DAA" w14:textId="77777777" w:rsidR="00A177B0" w:rsidRPr="00822248" w:rsidRDefault="005D38F4" w:rsidP="00F86017">
            <w:pPr>
              <w:jc w:val="center"/>
              <w:rPr>
                <w:rFonts w:ascii="Arial" w:hAnsi="Arial" w:cs="Arial"/>
                <w:b/>
                <w:bCs/>
                <w:color w:val="000000"/>
                <w:sz w:val="18"/>
                <w:szCs w:val="18"/>
              </w:rPr>
            </w:pPr>
            <w:r w:rsidRPr="00822248">
              <w:rPr>
                <w:rFonts w:ascii="Arial" w:hAnsi="Arial" w:cs="Arial"/>
                <w:b/>
                <w:bCs/>
                <w:color w:val="000000"/>
                <w:sz w:val="18"/>
                <w:szCs w:val="18"/>
              </w:rPr>
              <w:t>LIBOR analysis</w:t>
            </w:r>
          </w:p>
        </w:tc>
      </w:tr>
      <w:tr w:rsidR="00A177B0" w:rsidRPr="00822248" w14:paraId="43387AEE" w14:textId="77777777" w:rsidTr="00822248">
        <w:trPr>
          <w:trHeight w:val="300"/>
          <w:jc w:val="center"/>
        </w:trPr>
        <w:tc>
          <w:tcPr>
            <w:tcW w:w="3230" w:type="dxa"/>
            <w:tcBorders>
              <w:top w:val="nil"/>
              <w:left w:val="single" w:sz="8" w:space="0" w:color="auto"/>
              <w:bottom w:val="nil"/>
              <w:right w:val="nil"/>
            </w:tcBorders>
            <w:shd w:val="clear" w:color="auto" w:fill="auto"/>
            <w:noWrap/>
            <w:vAlign w:val="center"/>
            <w:hideMark/>
          </w:tcPr>
          <w:p w14:paraId="28E28380" w14:textId="77777777" w:rsidR="00A177B0" w:rsidRPr="00822248" w:rsidRDefault="005D38F4" w:rsidP="00F86017">
            <w:pPr>
              <w:rPr>
                <w:rFonts w:ascii="Arial" w:hAnsi="Arial" w:cs="Arial"/>
                <w:b/>
                <w:bCs/>
                <w:color w:val="000000"/>
                <w:sz w:val="18"/>
                <w:szCs w:val="18"/>
              </w:rPr>
            </w:pPr>
            <w:r w:rsidRPr="00822248">
              <w:rPr>
                <w:rFonts w:ascii="Arial" w:hAnsi="Arial" w:cs="Arial"/>
                <w:b/>
                <w:bCs/>
                <w:color w:val="000000"/>
                <w:sz w:val="18"/>
                <w:szCs w:val="18"/>
              </w:rPr>
              <w:t>Minimum</w:t>
            </w:r>
          </w:p>
        </w:tc>
        <w:tc>
          <w:tcPr>
            <w:tcW w:w="877" w:type="dxa"/>
            <w:tcBorders>
              <w:top w:val="nil"/>
              <w:left w:val="nil"/>
              <w:bottom w:val="nil"/>
              <w:right w:val="single" w:sz="8" w:space="0" w:color="auto"/>
            </w:tcBorders>
            <w:shd w:val="clear" w:color="auto" w:fill="auto"/>
            <w:noWrap/>
            <w:vAlign w:val="center"/>
          </w:tcPr>
          <w:p w14:paraId="14DB7C33" w14:textId="4074DD37" w:rsidR="00A177B0" w:rsidRPr="00822248" w:rsidRDefault="00E4613C" w:rsidP="00F86017">
            <w:pPr>
              <w:jc w:val="right"/>
              <w:rPr>
                <w:rFonts w:ascii="Arial" w:hAnsi="Arial" w:cs="Arial"/>
                <w:sz w:val="18"/>
                <w:szCs w:val="18"/>
              </w:rPr>
            </w:pPr>
            <w:r w:rsidRPr="00822248">
              <w:rPr>
                <w:rFonts w:ascii="Arial" w:hAnsi="Arial" w:cs="Arial"/>
                <w:sz w:val="18"/>
                <w:szCs w:val="18"/>
              </w:rPr>
              <w:t>0.20500</w:t>
            </w:r>
          </w:p>
        </w:tc>
      </w:tr>
      <w:tr w:rsidR="00A177B0" w:rsidRPr="00822248" w14:paraId="1E72D5AB" w14:textId="77777777" w:rsidTr="00822248">
        <w:trPr>
          <w:trHeight w:val="300"/>
          <w:jc w:val="center"/>
        </w:trPr>
        <w:tc>
          <w:tcPr>
            <w:tcW w:w="3230" w:type="dxa"/>
            <w:tcBorders>
              <w:top w:val="nil"/>
              <w:left w:val="single" w:sz="8" w:space="0" w:color="auto"/>
              <w:bottom w:val="nil"/>
              <w:right w:val="nil"/>
            </w:tcBorders>
            <w:shd w:val="clear" w:color="auto" w:fill="auto"/>
            <w:noWrap/>
            <w:vAlign w:val="center"/>
            <w:hideMark/>
          </w:tcPr>
          <w:p w14:paraId="68D0E476" w14:textId="77777777" w:rsidR="00A177B0" w:rsidRPr="00822248" w:rsidRDefault="005D38F4" w:rsidP="00F86017">
            <w:pPr>
              <w:rPr>
                <w:rFonts w:ascii="Arial" w:hAnsi="Arial" w:cs="Arial"/>
                <w:b/>
                <w:bCs/>
                <w:color w:val="000000"/>
                <w:sz w:val="18"/>
                <w:szCs w:val="18"/>
              </w:rPr>
            </w:pPr>
            <w:r w:rsidRPr="00822248">
              <w:rPr>
                <w:rFonts w:ascii="Arial" w:hAnsi="Arial" w:cs="Arial"/>
                <w:b/>
                <w:bCs/>
                <w:color w:val="000000"/>
                <w:sz w:val="18"/>
                <w:szCs w:val="18"/>
              </w:rPr>
              <w:t>Maximum</w:t>
            </w:r>
          </w:p>
        </w:tc>
        <w:tc>
          <w:tcPr>
            <w:tcW w:w="877" w:type="dxa"/>
            <w:tcBorders>
              <w:top w:val="nil"/>
              <w:left w:val="nil"/>
              <w:bottom w:val="nil"/>
              <w:right w:val="single" w:sz="8" w:space="0" w:color="auto"/>
            </w:tcBorders>
            <w:shd w:val="clear" w:color="auto" w:fill="auto"/>
            <w:noWrap/>
            <w:vAlign w:val="center"/>
          </w:tcPr>
          <w:p w14:paraId="30D96134" w14:textId="6874784E" w:rsidR="00A177B0" w:rsidRPr="00822248" w:rsidRDefault="00E4613C" w:rsidP="00F86017">
            <w:pPr>
              <w:jc w:val="right"/>
              <w:rPr>
                <w:rFonts w:ascii="Arial" w:hAnsi="Arial" w:cs="Arial"/>
                <w:sz w:val="18"/>
                <w:szCs w:val="18"/>
              </w:rPr>
            </w:pPr>
            <w:r w:rsidRPr="00822248">
              <w:rPr>
                <w:rFonts w:ascii="Arial" w:hAnsi="Arial" w:cs="Arial"/>
                <w:sz w:val="18"/>
                <w:szCs w:val="18"/>
              </w:rPr>
              <w:t>10.62500</w:t>
            </w:r>
          </w:p>
        </w:tc>
      </w:tr>
      <w:tr w:rsidR="00A177B0" w:rsidRPr="00822248" w14:paraId="6CE84B9B" w14:textId="77777777" w:rsidTr="00822248">
        <w:trPr>
          <w:trHeight w:val="300"/>
          <w:jc w:val="center"/>
        </w:trPr>
        <w:tc>
          <w:tcPr>
            <w:tcW w:w="3230" w:type="dxa"/>
            <w:tcBorders>
              <w:top w:val="nil"/>
              <w:left w:val="single" w:sz="8" w:space="0" w:color="auto"/>
              <w:bottom w:val="nil"/>
              <w:right w:val="nil"/>
            </w:tcBorders>
            <w:shd w:val="clear" w:color="auto" w:fill="auto"/>
            <w:noWrap/>
            <w:vAlign w:val="center"/>
            <w:hideMark/>
          </w:tcPr>
          <w:p w14:paraId="367BC96E" w14:textId="77777777" w:rsidR="00A177B0" w:rsidRPr="00822248" w:rsidRDefault="005D38F4" w:rsidP="00F86017">
            <w:pPr>
              <w:rPr>
                <w:rFonts w:ascii="Arial" w:hAnsi="Arial" w:cs="Arial"/>
                <w:b/>
                <w:bCs/>
                <w:color w:val="000000"/>
                <w:sz w:val="18"/>
                <w:szCs w:val="18"/>
              </w:rPr>
            </w:pPr>
            <w:r w:rsidRPr="00822248">
              <w:rPr>
                <w:rFonts w:ascii="Arial" w:hAnsi="Arial" w:cs="Arial"/>
                <w:b/>
                <w:bCs/>
                <w:color w:val="000000"/>
                <w:sz w:val="18"/>
                <w:szCs w:val="18"/>
              </w:rPr>
              <w:t>Mean</w:t>
            </w:r>
          </w:p>
        </w:tc>
        <w:tc>
          <w:tcPr>
            <w:tcW w:w="877" w:type="dxa"/>
            <w:tcBorders>
              <w:top w:val="nil"/>
              <w:left w:val="nil"/>
              <w:bottom w:val="nil"/>
              <w:right w:val="single" w:sz="8" w:space="0" w:color="auto"/>
            </w:tcBorders>
            <w:shd w:val="clear" w:color="auto" w:fill="auto"/>
            <w:noWrap/>
            <w:vAlign w:val="center"/>
          </w:tcPr>
          <w:p w14:paraId="45EB3F4D" w14:textId="1A7F1637" w:rsidR="00A177B0" w:rsidRPr="00822248" w:rsidRDefault="005F0920" w:rsidP="00F86017">
            <w:pPr>
              <w:jc w:val="right"/>
              <w:rPr>
                <w:rFonts w:ascii="Arial" w:hAnsi="Arial" w:cs="Arial"/>
                <w:sz w:val="18"/>
                <w:szCs w:val="18"/>
              </w:rPr>
            </w:pPr>
            <w:r w:rsidRPr="00822248">
              <w:rPr>
                <w:rFonts w:ascii="Arial" w:hAnsi="Arial" w:cs="Arial"/>
                <w:sz w:val="18"/>
                <w:szCs w:val="18"/>
              </w:rPr>
              <w:t>3.65574</w:t>
            </w:r>
          </w:p>
        </w:tc>
      </w:tr>
      <w:tr w:rsidR="00A177B0" w:rsidRPr="00822248" w14:paraId="5E92EA61" w14:textId="77777777" w:rsidTr="00822248">
        <w:trPr>
          <w:trHeight w:val="315"/>
          <w:jc w:val="center"/>
        </w:trPr>
        <w:tc>
          <w:tcPr>
            <w:tcW w:w="3230" w:type="dxa"/>
            <w:tcBorders>
              <w:top w:val="nil"/>
              <w:left w:val="single" w:sz="8" w:space="0" w:color="auto"/>
              <w:bottom w:val="single" w:sz="8" w:space="0" w:color="auto"/>
              <w:right w:val="nil"/>
            </w:tcBorders>
            <w:shd w:val="clear" w:color="auto" w:fill="auto"/>
            <w:noWrap/>
            <w:vAlign w:val="center"/>
            <w:hideMark/>
          </w:tcPr>
          <w:p w14:paraId="26A962F6" w14:textId="77777777" w:rsidR="00A177B0" w:rsidRPr="00822248" w:rsidRDefault="005D38F4" w:rsidP="00F86017">
            <w:pPr>
              <w:rPr>
                <w:rFonts w:ascii="Arial" w:hAnsi="Arial" w:cs="Arial"/>
                <w:b/>
                <w:bCs/>
                <w:color w:val="000000"/>
                <w:sz w:val="18"/>
                <w:szCs w:val="18"/>
              </w:rPr>
            </w:pPr>
            <w:r w:rsidRPr="00822248">
              <w:rPr>
                <w:rFonts w:ascii="Arial" w:hAnsi="Arial" w:cs="Arial"/>
                <w:b/>
                <w:bCs/>
                <w:color w:val="000000"/>
                <w:sz w:val="18"/>
                <w:szCs w:val="18"/>
              </w:rPr>
              <w:t>Median</w:t>
            </w:r>
          </w:p>
        </w:tc>
        <w:tc>
          <w:tcPr>
            <w:tcW w:w="877" w:type="dxa"/>
            <w:tcBorders>
              <w:top w:val="nil"/>
              <w:left w:val="nil"/>
              <w:bottom w:val="single" w:sz="8" w:space="0" w:color="auto"/>
              <w:right w:val="single" w:sz="8" w:space="0" w:color="auto"/>
            </w:tcBorders>
            <w:shd w:val="clear" w:color="auto" w:fill="auto"/>
            <w:noWrap/>
            <w:vAlign w:val="center"/>
          </w:tcPr>
          <w:p w14:paraId="4B462F57" w14:textId="3E7C2AC7" w:rsidR="00A177B0" w:rsidRPr="00822248" w:rsidRDefault="005F0920" w:rsidP="00F86017">
            <w:pPr>
              <w:jc w:val="right"/>
              <w:rPr>
                <w:rFonts w:ascii="Arial" w:hAnsi="Arial" w:cs="Arial"/>
                <w:sz w:val="18"/>
                <w:szCs w:val="18"/>
              </w:rPr>
            </w:pPr>
            <w:r w:rsidRPr="00822248">
              <w:rPr>
                <w:rFonts w:ascii="Arial" w:hAnsi="Arial" w:cs="Arial"/>
                <w:sz w:val="18"/>
                <w:szCs w:val="18"/>
              </w:rPr>
              <w:t>3.37500</w:t>
            </w:r>
          </w:p>
        </w:tc>
      </w:tr>
      <w:tr w:rsidR="00A177B0" w:rsidRPr="00822248" w14:paraId="648CAB2E" w14:textId="77777777" w:rsidTr="00822248">
        <w:trPr>
          <w:trHeight w:val="300"/>
          <w:jc w:val="center"/>
        </w:trPr>
        <w:tc>
          <w:tcPr>
            <w:tcW w:w="3230" w:type="dxa"/>
            <w:tcBorders>
              <w:top w:val="nil"/>
              <w:left w:val="single" w:sz="8" w:space="0" w:color="auto"/>
              <w:bottom w:val="nil"/>
              <w:right w:val="nil"/>
            </w:tcBorders>
            <w:shd w:val="clear" w:color="auto" w:fill="auto"/>
            <w:noWrap/>
            <w:vAlign w:val="center"/>
            <w:hideMark/>
          </w:tcPr>
          <w:p w14:paraId="453679E8" w14:textId="77777777" w:rsidR="00A177B0" w:rsidRPr="00822248" w:rsidRDefault="005D38F4" w:rsidP="00F86017">
            <w:pPr>
              <w:rPr>
                <w:rFonts w:ascii="Arial" w:hAnsi="Arial" w:cs="Arial"/>
                <w:iCs/>
                <w:color w:val="000000"/>
                <w:sz w:val="18"/>
                <w:szCs w:val="18"/>
              </w:rPr>
            </w:pPr>
            <w:r w:rsidRPr="00822248">
              <w:rPr>
                <w:rFonts w:ascii="Arial" w:hAnsi="Arial" w:cs="Arial"/>
                <w:iCs/>
                <w:color w:val="000000"/>
                <w:sz w:val="18"/>
                <w:szCs w:val="18"/>
              </w:rPr>
              <w:t>VOLATILITY</w:t>
            </w:r>
            <w:r w:rsidR="00A177B0" w:rsidRPr="00822248">
              <w:rPr>
                <w:rFonts w:ascii="Arial" w:hAnsi="Arial" w:cs="Arial"/>
                <w:iCs/>
                <w:color w:val="000000"/>
                <w:sz w:val="18"/>
                <w:szCs w:val="18"/>
              </w:rPr>
              <w:t>:</w:t>
            </w:r>
          </w:p>
        </w:tc>
        <w:tc>
          <w:tcPr>
            <w:tcW w:w="877" w:type="dxa"/>
            <w:tcBorders>
              <w:top w:val="nil"/>
              <w:left w:val="nil"/>
              <w:bottom w:val="nil"/>
              <w:right w:val="single" w:sz="8" w:space="0" w:color="auto"/>
            </w:tcBorders>
            <w:shd w:val="clear" w:color="auto" w:fill="auto"/>
            <w:noWrap/>
            <w:vAlign w:val="center"/>
          </w:tcPr>
          <w:p w14:paraId="55EF9DFC" w14:textId="519ABF9F" w:rsidR="00A177B0" w:rsidRPr="00822248" w:rsidRDefault="00A177B0" w:rsidP="00F86017">
            <w:pPr>
              <w:rPr>
                <w:rFonts w:ascii="Arial" w:hAnsi="Arial" w:cs="Arial"/>
                <w:sz w:val="18"/>
                <w:szCs w:val="18"/>
              </w:rPr>
            </w:pPr>
          </w:p>
        </w:tc>
      </w:tr>
      <w:tr w:rsidR="00A177B0" w:rsidRPr="00822248" w14:paraId="4996E083" w14:textId="77777777" w:rsidTr="00822248">
        <w:trPr>
          <w:trHeight w:val="315"/>
          <w:jc w:val="center"/>
        </w:trPr>
        <w:tc>
          <w:tcPr>
            <w:tcW w:w="3230" w:type="dxa"/>
            <w:tcBorders>
              <w:top w:val="nil"/>
              <w:left w:val="single" w:sz="8" w:space="0" w:color="auto"/>
              <w:bottom w:val="single" w:sz="8" w:space="0" w:color="auto"/>
              <w:right w:val="nil"/>
            </w:tcBorders>
            <w:shd w:val="clear" w:color="auto" w:fill="auto"/>
            <w:noWrap/>
            <w:vAlign w:val="center"/>
            <w:hideMark/>
          </w:tcPr>
          <w:p w14:paraId="038FED5D" w14:textId="1A2CAF2D" w:rsidR="00A177B0" w:rsidRPr="00822248" w:rsidRDefault="008C4B74" w:rsidP="00F86017">
            <w:pPr>
              <w:rPr>
                <w:rFonts w:ascii="Arial" w:hAnsi="Arial" w:cs="Arial"/>
                <w:b/>
                <w:bCs/>
                <w:color w:val="000000"/>
                <w:sz w:val="18"/>
                <w:szCs w:val="18"/>
              </w:rPr>
            </w:pPr>
            <w:r w:rsidRPr="00822248">
              <w:rPr>
                <w:rFonts w:ascii="Arial" w:hAnsi="Arial" w:cs="Arial"/>
                <w:b/>
                <w:bCs/>
                <w:color w:val="000000"/>
                <w:sz w:val="18"/>
                <w:szCs w:val="18"/>
              </w:rPr>
              <w:t>Annualized s</w:t>
            </w:r>
            <w:r w:rsidR="005D38F4" w:rsidRPr="00822248">
              <w:rPr>
                <w:rFonts w:ascii="Arial" w:hAnsi="Arial" w:cs="Arial"/>
                <w:b/>
                <w:bCs/>
                <w:color w:val="000000"/>
                <w:sz w:val="18"/>
                <w:szCs w:val="18"/>
              </w:rPr>
              <w:t xml:space="preserve">tandard deviation </w:t>
            </w:r>
            <w:r w:rsidR="00822248">
              <w:rPr>
                <w:rFonts w:ascii="Arial" w:hAnsi="Arial" w:cs="Arial"/>
                <w:b/>
                <w:bCs/>
                <w:color w:val="000000"/>
                <w:sz w:val="18"/>
                <w:szCs w:val="18"/>
              </w:rPr>
              <w:t>(</w:t>
            </w:r>
            <w:r w:rsidRPr="00822248">
              <w:rPr>
                <w:rFonts w:ascii="Arial" w:hAnsi="Arial" w:cs="Arial"/>
                <w:b/>
                <w:bCs/>
                <w:color w:val="000000"/>
                <w:sz w:val="18"/>
                <w:szCs w:val="18"/>
              </w:rPr>
              <w:t>%)</w:t>
            </w:r>
          </w:p>
        </w:tc>
        <w:tc>
          <w:tcPr>
            <w:tcW w:w="877" w:type="dxa"/>
            <w:tcBorders>
              <w:top w:val="nil"/>
              <w:left w:val="nil"/>
              <w:bottom w:val="single" w:sz="8" w:space="0" w:color="auto"/>
              <w:right w:val="single" w:sz="8" w:space="0" w:color="auto"/>
            </w:tcBorders>
            <w:shd w:val="clear" w:color="auto" w:fill="auto"/>
            <w:noWrap/>
            <w:vAlign w:val="center"/>
          </w:tcPr>
          <w:p w14:paraId="4391C09B" w14:textId="6DD33664" w:rsidR="00A177B0" w:rsidRPr="00822248" w:rsidRDefault="00CD7816" w:rsidP="00F86017">
            <w:pPr>
              <w:jc w:val="right"/>
              <w:rPr>
                <w:rFonts w:ascii="Arial" w:hAnsi="Arial" w:cs="Arial"/>
                <w:sz w:val="18"/>
                <w:szCs w:val="18"/>
              </w:rPr>
            </w:pPr>
            <w:r w:rsidRPr="00822248">
              <w:rPr>
                <w:rFonts w:ascii="Arial" w:hAnsi="Arial" w:cs="Arial"/>
                <w:sz w:val="18"/>
                <w:szCs w:val="18"/>
              </w:rPr>
              <w:t>4</w:t>
            </w:r>
            <w:r w:rsidR="002762C8" w:rsidRPr="00822248">
              <w:rPr>
                <w:rFonts w:ascii="Arial" w:hAnsi="Arial" w:cs="Arial"/>
                <w:sz w:val="18"/>
                <w:szCs w:val="18"/>
              </w:rPr>
              <w:t>3</w:t>
            </w:r>
            <w:r w:rsidRPr="00822248">
              <w:rPr>
                <w:rFonts w:ascii="Arial" w:hAnsi="Arial" w:cs="Arial"/>
                <w:sz w:val="18"/>
                <w:szCs w:val="18"/>
              </w:rPr>
              <w:t>.07183</w:t>
            </w:r>
          </w:p>
        </w:tc>
      </w:tr>
    </w:tbl>
    <w:p w14:paraId="6D662EEF" w14:textId="5147B6C3" w:rsidR="00822248" w:rsidRPr="00822248" w:rsidRDefault="00822248" w:rsidP="009300A1">
      <w:pPr>
        <w:pStyle w:val="Paragraph"/>
        <w:tabs>
          <w:tab w:val="clear" w:pos="3600"/>
        </w:tabs>
        <w:ind w:left="720" w:hanging="720"/>
        <w:rPr>
          <w:rFonts w:ascii="Arial" w:hAnsi="Arial" w:cs="Arial"/>
          <w:sz w:val="22"/>
          <w:szCs w:val="22"/>
        </w:rPr>
      </w:pPr>
      <w:r w:rsidRPr="00B81BBB">
        <w:rPr>
          <w:rFonts w:ascii="Arial" w:hAnsi="Arial" w:cs="Arial"/>
          <w:sz w:val="22"/>
          <w:szCs w:val="22"/>
        </w:rPr>
        <w:t>Further analysis would be done if the country prefers the option of floating LIBOR</w:t>
      </w:r>
      <w:r w:rsidR="006D6706">
        <w:rPr>
          <w:rFonts w:ascii="Arial" w:hAnsi="Arial" w:cs="Arial"/>
          <w:sz w:val="22"/>
          <w:szCs w:val="22"/>
        </w:rPr>
        <w:t> </w:t>
      </w:r>
      <w:r w:rsidRPr="00B81BBB">
        <w:rPr>
          <w:rFonts w:ascii="Arial" w:hAnsi="Arial" w:cs="Arial"/>
          <w:sz w:val="22"/>
          <w:szCs w:val="22"/>
        </w:rPr>
        <w:t xml:space="preserve">rate. The expected future volatility of the LIBOR would be estimated through Monte Carlo simulations, which in turn serves as input to define probabilistic scenarios of the ranges of the LIBOR rate for </w:t>
      </w:r>
      <w:r>
        <w:rPr>
          <w:rFonts w:ascii="Arial" w:hAnsi="Arial" w:cs="Arial"/>
          <w:sz w:val="22"/>
          <w:szCs w:val="22"/>
        </w:rPr>
        <w:t>the coverage period</w:t>
      </w:r>
      <w:r w:rsidRPr="00B81BBB">
        <w:rPr>
          <w:rFonts w:ascii="Arial" w:hAnsi="Arial" w:cs="Arial"/>
          <w:sz w:val="22"/>
          <w:szCs w:val="22"/>
        </w:rPr>
        <w:t xml:space="preserve">. Thus, the simulations would provide a good estimation of the probability that the </w:t>
      </w:r>
      <w:r w:rsidRPr="00B81BBB">
        <w:rPr>
          <w:rFonts w:ascii="Arial" w:hAnsi="Arial" w:cs="Arial"/>
          <w:sz w:val="22"/>
          <w:szCs w:val="22"/>
        </w:rPr>
        <w:lastRenderedPageBreak/>
        <w:t>financial cost of the Bank’s loan would increase substantially over the period of</w:t>
      </w:r>
      <w:r>
        <w:rPr>
          <w:rFonts w:ascii="Arial" w:hAnsi="Arial" w:cs="Arial"/>
          <w:sz w:val="22"/>
          <w:szCs w:val="22"/>
        </w:rPr>
        <w:t xml:space="preserve"> analysis.</w:t>
      </w:r>
    </w:p>
    <w:p w14:paraId="5058BD93" w14:textId="33D7806A" w:rsidR="00822248" w:rsidRDefault="00822248" w:rsidP="009300A1">
      <w:pPr>
        <w:pStyle w:val="Paragraph"/>
        <w:tabs>
          <w:tab w:val="clear" w:pos="3600"/>
        </w:tabs>
        <w:ind w:left="720" w:hanging="720"/>
        <w:rPr>
          <w:rFonts w:ascii="Arial" w:hAnsi="Arial" w:cs="Arial"/>
          <w:sz w:val="22"/>
          <w:szCs w:val="22"/>
        </w:rPr>
      </w:pPr>
      <w:r>
        <w:rPr>
          <w:rFonts w:ascii="Arial" w:hAnsi="Arial" w:cs="Arial"/>
          <w:sz w:val="22"/>
        </w:rPr>
        <w:t>Additionally, it is important to compare the net present values of the financing cost of the alternative options available to the country to finance the health emergency. Thus, a</w:t>
      </w:r>
      <w:r w:rsidRPr="005F467B">
        <w:rPr>
          <w:rFonts w:ascii="Arial" w:hAnsi="Arial" w:cs="Arial"/>
          <w:sz w:val="22"/>
        </w:rPr>
        <w:t xml:space="preserve"> cost effectiveness analysis methodology that evaluates a scenario in which the </w:t>
      </w:r>
      <w:r>
        <w:rPr>
          <w:rFonts w:ascii="Arial" w:hAnsi="Arial" w:cs="Arial"/>
          <w:sz w:val="22"/>
        </w:rPr>
        <w:t xml:space="preserve">total coverage of </w:t>
      </w:r>
      <w:r w:rsidRPr="005C0892">
        <w:rPr>
          <w:rFonts w:ascii="Arial" w:hAnsi="Arial" w:cs="Arial"/>
          <w:sz w:val="22"/>
          <w:szCs w:val="18"/>
        </w:rPr>
        <w:t>US$</w:t>
      </w:r>
      <w:r>
        <w:rPr>
          <w:rFonts w:ascii="Arial" w:hAnsi="Arial" w:cs="Arial"/>
          <w:sz w:val="22"/>
          <w:szCs w:val="22"/>
        </w:rPr>
        <w:t>5.5</w:t>
      </w:r>
      <w:r w:rsidRPr="005C0892">
        <w:rPr>
          <w:rFonts w:ascii="Arial" w:hAnsi="Arial" w:cs="Arial"/>
          <w:sz w:val="22"/>
          <w:szCs w:val="18"/>
        </w:rPr>
        <w:t xml:space="preserve"> million</w:t>
      </w:r>
      <w:r w:rsidRPr="005F467B">
        <w:rPr>
          <w:rFonts w:ascii="Arial" w:hAnsi="Arial" w:cs="Arial"/>
          <w:sz w:val="22"/>
        </w:rPr>
        <w:t xml:space="preserve"> is used </w:t>
      </w:r>
      <w:r>
        <w:rPr>
          <w:rFonts w:ascii="Arial" w:hAnsi="Arial" w:cs="Arial"/>
          <w:sz w:val="22"/>
        </w:rPr>
        <w:t xml:space="preserve">for the </w:t>
      </w:r>
      <w:r>
        <w:rPr>
          <w:rFonts w:ascii="Arial" w:hAnsi="Arial" w:cs="Arial"/>
          <w:sz w:val="22"/>
          <w:szCs w:val="22"/>
        </w:rPr>
        <w:t>COVID-19 emergency response</w:t>
      </w:r>
      <w:r w:rsidRPr="005F467B">
        <w:rPr>
          <w:rFonts w:ascii="Arial" w:hAnsi="Arial" w:cs="Arial"/>
          <w:sz w:val="22"/>
        </w:rPr>
        <w:t xml:space="preserve">. The Net Present Value (NPV) of the financing cost of the IDB loan was compared to the NPV of the cost of issuing bonds, under the following assumptions: (i) the </w:t>
      </w:r>
      <w:r>
        <w:rPr>
          <w:rFonts w:ascii="Arial" w:hAnsi="Arial" w:cs="Arial"/>
          <w:sz w:val="22"/>
        </w:rPr>
        <w:t>fixed interest</w:t>
      </w:r>
      <w:r w:rsidRPr="005F467B">
        <w:rPr>
          <w:rFonts w:ascii="Arial" w:hAnsi="Arial" w:cs="Arial"/>
          <w:sz w:val="22"/>
        </w:rPr>
        <w:t xml:space="preserve"> rate set for the IDB loan</w:t>
      </w:r>
      <w:r>
        <w:rPr>
          <w:rFonts w:ascii="Arial" w:hAnsi="Arial" w:cs="Arial"/>
          <w:sz w:val="22"/>
        </w:rPr>
        <w:t xml:space="preserve"> (157 bps)</w:t>
      </w:r>
      <w:r w:rsidRPr="005F467B">
        <w:rPr>
          <w:rFonts w:ascii="Arial" w:hAnsi="Arial" w:cs="Arial"/>
          <w:sz w:val="22"/>
        </w:rPr>
        <w:t xml:space="preserve">; and (ii) the bonds issued have a 10-year maturity and their rate is based on the country’s </w:t>
      </w:r>
      <w:r>
        <w:rPr>
          <w:rFonts w:ascii="Arial" w:hAnsi="Arial" w:cs="Arial"/>
          <w:sz w:val="22"/>
        </w:rPr>
        <w:t>last issuance to</w:t>
      </w:r>
      <w:r w:rsidRPr="005F467B">
        <w:rPr>
          <w:rFonts w:ascii="Arial" w:hAnsi="Arial" w:cs="Arial"/>
          <w:sz w:val="22"/>
        </w:rPr>
        <w:t xml:space="preserve"> the international sovereign debt market</w:t>
      </w:r>
      <w:r>
        <w:rPr>
          <w:rFonts w:ascii="Arial" w:hAnsi="Arial" w:cs="Arial"/>
          <w:sz w:val="22"/>
        </w:rPr>
        <w:t xml:space="preserve"> (925 bps)</w:t>
      </w:r>
      <w:r w:rsidRPr="005F467B">
        <w:rPr>
          <w:rFonts w:ascii="Arial" w:hAnsi="Arial" w:cs="Arial"/>
          <w:sz w:val="22"/>
        </w:rPr>
        <w:t>. Both NPVs were calculated using a discount rate of</w:t>
      </w:r>
      <w:r>
        <w:rPr>
          <w:rFonts w:ascii="Arial" w:hAnsi="Arial" w:cs="Arial"/>
          <w:sz w:val="22"/>
        </w:rPr>
        <w:t xml:space="preserve"> 12%.</w:t>
      </w:r>
    </w:p>
    <w:p w14:paraId="513D9B9B" w14:textId="521C58F2" w:rsidR="005031EB" w:rsidRPr="00B81BBB" w:rsidRDefault="00057CA5" w:rsidP="009300A1">
      <w:pPr>
        <w:pStyle w:val="Paragraph"/>
        <w:tabs>
          <w:tab w:val="clear" w:pos="3600"/>
        </w:tabs>
        <w:ind w:left="720" w:hanging="720"/>
        <w:rPr>
          <w:rFonts w:ascii="Arial" w:hAnsi="Arial" w:cs="Arial"/>
          <w:sz w:val="22"/>
          <w:szCs w:val="22"/>
        </w:rPr>
      </w:pPr>
      <w:r>
        <w:rPr>
          <w:rFonts w:ascii="Arial" w:hAnsi="Arial" w:cs="Arial"/>
          <w:sz w:val="22"/>
          <w:szCs w:val="22"/>
        </w:rPr>
        <w:t>T</w:t>
      </w:r>
      <w:r w:rsidR="005031EB" w:rsidRPr="00B81BBB">
        <w:rPr>
          <w:rFonts w:ascii="Arial" w:hAnsi="Arial" w:cs="Arial"/>
          <w:sz w:val="22"/>
          <w:szCs w:val="22"/>
        </w:rPr>
        <w:t>he NPV of the cost of financing US$</w:t>
      </w:r>
      <w:r w:rsidR="00FB0136">
        <w:rPr>
          <w:rFonts w:ascii="Arial" w:hAnsi="Arial" w:cs="Arial"/>
          <w:sz w:val="22"/>
          <w:szCs w:val="22"/>
        </w:rPr>
        <w:t>5.5</w:t>
      </w:r>
      <w:r w:rsidR="00CD2625" w:rsidRPr="00B81BBB">
        <w:rPr>
          <w:rFonts w:ascii="Arial" w:hAnsi="Arial" w:cs="Arial"/>
          <w:sz w:val="22"/>
          <w:szCs w:val="22"/>
        </w:rPr>
        <w:t xml:space="preserve"> </w:t>
      </w:r>
      <w:r w:rsidR="005031EB" w:rsidRPr="00B81BBB">
        <w:rPr>
          <w:rFonts w:ascii="Arial" w:hAnsi="Arial" w:cs="Arial"/>
          <w:sz w:val="22"/>
          <w:szCs w:val="22"/>
        </w:rPr>
        <w:t xml:space="preserve">million through the Bank’s </w:t>
      </w:r>
      <w:r w:rsidR="00304711" w:rsidRPr="00B81BBB">
        <w:rPr>
          <w:rFonts w:ascii="Arial" w:hAnsi="Arial" w:cs="Arial"/>
          <w:sz w:val="22"/>
          <w:szCs w:val="22"/>
        </w:rPr>
        <w:t>CCF</w:t>
      </w:r>
      <w:r w:rsidR="005031EB" w:rsidRPr="00B81BBB">
        <w:rPr>
          <w:rFonts w:ascii="Arial" w:hAnsi="Arial" w:cs="Arial"/>
          <w:sz w:val="22"/>
          <w:szCs w:val="22"/>
        </w:rPr>
        <w:t xml:space="preserve"> loan, with a discount rate of 12%, would be US$</w:t>
      </w:r>
      <w:r w:rsidR="00FB0136">
        <w:rPr>
          <w:rFonts w:ascii="Arial" w:hAnsi="Arial" w:cs="Arial"/>
          <w:sz w:val="22"/>
          <w:szCs w:val="22"/>
        </w:rPr>
        <w:t>1.7</w:t>
      </w:r>
      <w:r w:rsidR="00304711" w:rsidRPr="00B81BBB">
        <w:rPr>
          <w:rFonts w:ascii="Arial" w:hAnsi="Arial" w:cs="Arial"/>
          <w:b/>
          <w:sz w:val="22"/>
          <w:szCs w:val="22"/>
        </w:rPr>
        <w:t xml:space="preserve"> </w:t>
      </w:r>
      <w:r w:rsidR="005031EB" w:rsidRPr="00B81BBB">
        <w:rPr>
          <w:rFonts w:ascii="Arial" w:hAnsi="Arial" w:cs="Arial"/>
          <w:sz w:val="22"/>
          <w:szCs w:val="22"/>
        </w:rPr>
        <w:t>million. In contrast, using the same discount rate, the NPV of issuing sovereign bonds to raise the same amount would be US$</w:t>
      </w:r>
      <w:r w:rsidR="00FB0136">
        <w:rPr>
          <w:rFonts w:ascii="Arial" w:hAnsi="Arial" w:cs="Arial"/>
          <w:sz w:val="22"/>
          <w:szCs w:val="22"/>
        </w:rPr>
        <w:t>4.6</w:t>
      </w:r>
      <w:r w:rsidR="00304711" w:rsidRPr="00B81BBB">
        <w:rPr>
          <w:rFonts w:ascii="Arial" w:hAnsi="Arial" w:cs="Arial"/>
          <w:b/>
          <w:sz w:val="22"/>
          <w:szCs w:val="22"/>
        </w:rPr>
        <w:t xml:space="preserve"> </w:t>
      </w:r>
      <w:r w:rsidR="005031EB" w:rsidRPr="00B81BBB">
        <w:rPr>
          <w:rFonts w:ascii="Arial" w:hAnsi="Arial" w:cs="Arial"/>
          <w:sz w:val="22"/>
          <w:szCs w:val="22"/>
        </w:rPr>
        <w:t xml:space="preserve">million. Therefore, the </w:t>
      </w:r>
      <w:r w:rsidR="00016C40" w:rsidRPr="00B81BBB">
        <w:rPr>
          <w:rFonts w:ascii="Arial" w:hAnsi="Arial" w:cs="Arial"/>
          <w:sz w:val="22"/>
          <w:szCs w:val="22"/>
        </w:rPr>
        <w:t xml:space="preserve">Bank’s loan is </w:t>
      </w:r>
      <w:r w:rsidR="007F4A0A">
        <w:rPr>
          <w:rFonts w:ascii="Arial" w:hAnsi="Arial" w:cs="Arial"/>
          <w:sz w:val="22"/>
          <w:szCs w:val="22"/>
        </w:rPr>
        <w:t>62.</w:t>
      </w:r>
      <w:r w:rsidR="00073B7F">
        <w:rPr>
          <w:rFonts w:ascii="Arial" w:hAnsi="Arial" w:cs="Arial"/>
          <w:sz w:val="22"/>
          <w:szCs w:val="22"/>
        </w:rPr>
        <w:t>7%</w:t>
      </w:r>
      <w:r w:rsidR="00304711" w:rsidRPr="00B81BBB">
        <w:rPr>
          <w:rFonts w:ascii="Arial" w:hAnsi="Arial" w:cs="Arial"/>
          <w:b/>
          <w:sz w:val="22"/>
          <w:szCs w:val="22"/>
        </w:rPr>
        <w:t xml:space="preserve"> </w:t>
      </w:r>
      <w:bookmarkStart w:id="19" w:name="_Hlk43819760"/>
      <w:r w:rsidR="003B0891" w:rsidRPr="00B81BBB">
        <w:rPr>
          <w:rFonts w:ascii="Arial" w:hAnsi="Arial" w:cs="Arial"/>
          <w:sz w:val="22"/>
          <w:szCs w:val="22"/>
        </w:rPr>
        <w:t>cheaper</w:t>
      </w:r>
      <w:r w:rsidR="00016C40" w:rsidRPr="00B81BBB">
        <w:rPr>
          <w:rFonts w:ascii="Arial" w:hAnsi="Arial" w:cs="Arial"/>
          <w:sz w:val="22"/>
          <w:szCs w:val="22"/>
        </w:rPr>
        <w:t xml:space="preserve"> than the alternative option</w:t>
      </w:r>
      <w:bookmarkEnd w:id="19"/>
      <w:r w:rsidR="00016C40" w:rsidRPr="00B81BBB">
        <w:rPr>
          <w:rFonts w:ascii="Arial" w:hAnsi="Arial" w:cs="Arial"/>
          <w:sz w:val="22"/>
          <w:szCs w:val="22"/>
        </w:rPr>
        <w:t xml:space="preserve">. For more information, </w:t>
      </w:r>
      <w:r w:rsidR="007137DF" w:rsidRPr="00B81BBB">
        <w:rPr>
          <w:rFonts w:ascii="Arial" w:hAnsi="Arial" w:cs="Arial"/>
          <w:sz w:val="22"/>
          <w:szCs w:val="22"/>
        </w:rPr>
        <w:t xml:space="preserve">please refer to the </w:t>
      </w:r>
      <w:hyperlink r:id="rId23" w:history="1">
        <w:r w:rsidR="007137DF" w:rsidRPr="00AA79C1">
          <w:rPr>
            <w:rStyle w:val="Hyperlink"/>
            <w:rFonts w:ascii="Arial" w:hAnsi="Arial" w:cs="Arial"/>
            <w:sz w:val="22"/>
            <w:szCs w:val="22"/>
          </w:rPr>
          <w:t>calculation</w:t>
        </w:r>
        <w:r w:rsidR="00016C40" w:rsidRPr="00AA79C1">
          <w:rPr>
            <w:rStyle w:val="Hyperlink"/>
            <w:rFonts w:ascii="Arial" w:hAnsi="Arial" w:cs="Arial"/>
            <w:sz w:val="22"/>
            <w:szCs w:val="22"/>
          </w:rPr>
          <w:t xml:space="preserve"> spreadsheet</w:t>
        </w:r>
      </w:hyperlink>
      <w:r w:rsidR="00016C40" w:rsidRPr="00FB0136">
        <w:rPr>
          <w:rFonts w:ascii="Arial" w:hAnsi="Arial" w:cs="Arial"/>
          <w:sz w:val="22"/>
          <w:szCs w:val="22"/>
        </w:rPr>
        <w:t>.</w:t>
      </w:r>
    </w:p>
    <w:p w14:paraId="3C0A7971" w14:textId="77777777" w:rsidR="00375CC7" w:rsidRPr="00B81BBB" w:rsidRDefault="00F36415" w:rsidP="00AA7FFD">
      <w:pPr>
        <w:pStyle w:val="Chapter"/>
        <w:tabs>
          <w:tab w:val="clear" w:pos="1440"/>
          <w:tab w:val="clear" w:pos="2952"/>
        </w:tabs>
        <w:ind w:left="0" w:firstLine="0"/>
        <w:rPr>
          <w:rFonts w:ascii="Arial" w:hAnsi="Arial" w:cs="Arial"/>
        </w:rPr>
      </w:pPr>
      <w:bookmarkStart w:id="20" w:name="_Toc510433080"/>
      <w:r w:rsidRPr="00B81BBB">
        <w:rPr>
          <w:rFonts w:ascii="Arial" w:hAnsi="Arial" w:cs="Arial"/>
        </w:rPr>
        <w:t>Conclusions</w:t>
      </w:r>
      <w:bookmarkEnd w:id="20"/>
    </w:p>
    <w:p w14:paraId="78E1C2D5" w14:textId="3F551BC6" w:rsidR="00AA3B41" w:rsidRPr="00B81BBB" w:rsidRDefault="008910AA" w:rsidP="00A50187">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A </w:t>
      </w:r>
      <w:r w:rsidR="00F92E94" w:rsidRPr="00B81BBB">
        <w:rPr>
          <w:rFonts w:ascii="Arial" w:hAnsi="Arial" w:cs="Arial"/>
          <w:sz w:val="22"/>
          <w:szCs w:val="22"/>
        </w:rPr>
        <w:t>cost-effective</w:t>
      </w:r>
      <w:r w:rsidR="00304711" w:rsidRPr="00B81BBB">
        <w:rPr>
          <w:rFonts w:ascii="Arial" w:hAnsi="Arial" w:cs="Arial"/>
          <w:sz w:val="22"/>
          <w:szCs w:val="22"/>
        </w:rPr>
        <w:t xml:space="preserve"> </w:t>
      </w:r>
      <w:r w:rsidR="002D76C0">
        <w:rPr>
          <w:rFonts w:ascii="Arial" w:hAnsi="Arial" w:cs="Arial"/>
          <w:sz w:val="22"/>
          <w:szCs w:val="22"/>
        </w:rPr>
        <w:t>COVID-19 coverage</w:t>
      </w:r>
      <w:r w:rsidR="00F92E94" w:rsidRPr="00B81BBB">
        <w:rPr>
          <w:rFonts w:ascii="Arial" w:hAnsi="Arial" w:cs="Arial"/>
          <w:sz w:val="22"/>
          <w:szCs w:val="22"/>
        </w:rPr>
        <w:t xml:space="preserve"> is necessary </w:t>
      </w:r>
      <w:r w:rsidR="004135A2">
        <w:rPr>
          <w:rFonts w:ascii="Arial" w:hAnsi="Arial" w:cs="Arial"/>
          <w:sz w:val="22"/>
          <w:szCs w:val="22"/>
        </w:rPr>
        <w:t xml:space="preserve">to strengthen </w:t>
      </w:r>
      <w:r w:rsidR="00382EB4">
        <w:rPr>
          <w:rFonts w:ascii="Arial" w:hAnsi="Arial" w:cs="Arial"/>
          <w:sz w:val="22"/>
          <w:szCs w:val="22"/>
        </w:rPr>
        <w:t xml:space="preserve">the </w:t>
      </w:r>
      <w:r w:rsidR="00073B7F">
        <w:rPr>
          <w:rFonts w:ascii="Arial" w:hAnsi="Arial" w:cs="Arial"/>
          <w:sz w:val="22"/>
          <w:szCs w:val="22"/>
        </w:rPr>
        <w:t>Suriname</w:t>
      </w:r>
      <w:r w:rsidR="00382EB4">
        <w:rPr>
          <w:rFonts w:ascii="Arial" w:hAnsi="Arial" w:cs="Arial"/>
          <w:sz w:val="22"/>
          <w:szCs w:val="22"/>
        </w:rPr>
        <w:t xml:space="preserve">’s </w:t>
      </w:r>
      <w:r w:rsidR="00840767" w:rsidRPr="00804CDF">
        <w:rPr>
          <w:rFonts w:ascii="Arial" w:hAnsi="Arial" w:cs="Arial"/>
          <w:sz w:val="22"/>
          <w:szCs w:val="22"/>
        </w:rPr>
        <w:t xml:space="preserve">availability and efficiency of financing to cover extraordinary public expenditures related to the </w:t>
      </w:r>
      <w:r w:rsidR="00840767">
        <w:rPr>
          <w:rFonts w:ascii="Arial" w:hAnsi="Arial" w:cs="Arial"/>
          <w:sz w:val="22"/>
          <w:szCs w:val="22"/>
        </w:rPr>
        <w:t>health</w:t>
      </w:r>
      <w:r w:rsidR="00840767" w:rsidRPr="00804CDF">
        <w:rPr>
          <w:rFonts w:ascii="Arial" w:hAnsi="Arial" w:cs="Arial"/>
          <w:sz w:val="22"/>
          <w:szCs w:val="22"/>
        </w:rPr>
        <w:t xml:space="preserve"> emergenc</w:t>
      </w:r>
      <w:r w:rsidR="00840767">
        <w:rPr>
          <w:rFonts w:ascii="Arial" w:hAnsi="Arial" w:cs="Arial"/>
          <w:sz w:val="22"/>
          <w:szCs w:val="22"/>
        </w:rPr>
        <w:t>y</w:t>
      </w:r>
      <w:r w:rsidR="00F92E94" w:rsidRPr="00B81BBB">
        <w:rPr>
          <w:rFonts w:ascii="Arial" w:hAnsi="Arial" w:cs="Arial"/>
          <w:sz w:val="22"/>
          <w:szCs w:val="22"/>
        </w:rPr>
        <w:t>. The absent of a proper financing</w:t>
      </w:r>
      <w:r w:rsidR="004F518B" w:rsidRPr="00B81BBB">
        <w:rPr>
          <w:rFonts w:ascii="Arial" w:hAnsi="Arial" w:cs="Arial"/>
          <w:sz w:val="22"/>
          <w:szCs w:val="22"/>
        </w:rPr>
        <w:t xml:space="preserve"> solution makes the country’s public finances vulnerable </w:t>
      </w:r>
      <w:r w:rsidR="00304711" w:rsidRPr="00B81BBB">
        <w:rPr>
          <w:rFonts w:ascii="Arial" w:hAnsi="Arial" w:cs="Arial"/>
          <w:sz w:val="22"/>
          <w:szCs w:val="22"/>
        </w:rPr>
        <w:t>and</w:t>
      </w:r>
      <w:r w:rsidR="004F518B" w:rsidRPr="00B81BBB">
        <w:rPr>
          <w:rFonts w:ascii="Arial" w:hAnsi="Arial" w:cs="Arial"/>
          <w:sz w:val="22"/>
          <w:szCs w:val="22"/>
        </w:rPr>
        <w:t xml:space="preserve"> could </w:t>
      </w:r>
      <w:r w:rsidR="007A4865" w:rsidRPr="00B81BBB">
        <w:rPr>
          <w:rFonts w:ascii="Arial" w:hAnsi="Arial" w:cs="Arial"/>
          <w:sz w:val="22"/>
          <w:szCs w:val="22"/>
        </w:rPr>
        <w:t xml:space="preserve">even </w:t>
      </w:r>
      <w:r w:rsidR="004F42B7">
        <w:rPr>
          <w:rFonts w:ascii="Arial" w:hAnsi="Arial" w:cs="Arial"/>
          <w:sz w:val="22"/>
          <w:szCs w:val="22"/>
        </w:rPr>
        <w:t>undermine the</w:t>
      </w:r>
      <w:r w:rsidR="004F518B" w:rsidRPr="00B81BBB">
        <w:rPr>
          <w:rFonts w:ascii="Arial" w:hAnsi="Arial" w:cs="Arial"/>
          <w:sz w:val="22"/>
          <w:szCs w:val="22"/>
        </w:rPr>
        <w:t xml:space="preserve"> economic recovery</w:t>
      </w:r>
      <w:r w:rsidR="00A50187" w:rsidRPr="00B81BBB">
        <w:rPr>
          <w:rFonts w:ascii="Arial" w:hAnsi="Arial" w:cs="Arial"/>
          <w:sz w:val="22"/>
          <w:szCs w:val="22"/>
        </w:rPr>
        <w:t>.</w:t>
      </w:r>
    </w:p>
    <w:p w14:paraId="52ED0F47" w14:textId="26423488" w:rsidR="00623FA7" w:rsidRDefault="007A4865" w:rsidP="00270074">
      <w:pPr>
        <w:pStyle w:val="Paragraph"/>
        <w:tabs>
          <w:tab w:val="clear" w:pos="3600"/>
        </w:tabs>
        <w:ind w:left="720" w:hanging="720"/>
        <w:rPr>
          <w:rFonts w:ascii="Arial" w:hAnsi="Arial" w:cs="Arial"/>
          <w:sz w:val="22"/>
          <w:szCs w:val="22"/>
        </w:rPr>
      </w:pPr>
      <w:r w:rsidRPr="00B81BBB">
        <w:rPr>
          <w:rFonts w:ascii="Arial" w:hAnsi="Arial" w:cs="Arial"/>
          <w:sz w:val="22"/>
          <w:szCs w:val="22"/>
        </w:rPr>
        <w:t xml:space="preserve">The economic analysis shows that the </w:t>
      </w:r>
      <w:r w:rsidR="00304711" w:rsidRPr="00B81BBB">
        <w:rPr>
          <w:rFonts w:ascii="Arial" w:hAnsi="Arial" w:cs="Arial"/>
          <w:sz w:val="22"/>
          <w:szCs w:val="22"/>
        </w:rPr>
        <w:t>CCF</w:t>
      </w:r>
      <w:r w:rsidRPr="00B81BBB">
        <w:rPr>
          <w:rFonts w:ascii="Arial" w:hAnsi="Arial" w:cs="Arial"/>
          <w:sz w:val="22"/>
          <w:szCs w:val="22"/>
        </w:rPr>
        <w:t xml:space="preserve"> loan</w:t>
      </w:r>
      <w:r w:rsidR="004F42B7">
        <w:rPr>
          <w:rFonts w:ascii="Arial" w:hAnsi="Arial" w:cs="Arial"/>
          <w:sz w:val="22"/>
          <w:szCs w:val="22"/>
        </w:rPr>
        <w:t>’s COVID-19 coverage</w:t>
      </w:r>
      <w:r w:rsidRPr="00B81BBB">
        <w:rPr>
          <w:rFonts w:ascii="Arial" w:hAnsi="Arial" w:cs="Arial"/>
          <w:sz w:val="22"/>
          <w:szCs w:val="22"/>
        </w:rPr>
        <w:t xml:space="preserve"> is the most efficient and cost-effective option</w:t>
      </w:r>
      <w:r w:rsidR="008F4139" w:rsidRPr="00B81BBB">
        <w:rPr>
          <w:rFonts w:ascii="Arial" w:hAnsi="Arial" w:cs="Arial"/>
          <w:sz w:val="22"/>
          <w:szCs w:val="22"/>
        </w:rPr>
        <w:t xml:space="preserve"> to cover the extraordinary expenditures in the pandemic outbreak</w:t>
      </w:r>
      <w:r w:rsidRPr="00B81BBB">
        <w:rPr>
          <w:rFonts w:ascii="Arial" w:hAnsi="Arial" w:cs="Arial"/>
          <w:sz w:val="22"/>
          <w:szCs w:val="22"/>
        </w:rPr>
        <w:t xml:space="preserve">, </w:t>
      </w:r>
      <w:r w:rsidR="008F4139" w:rsidRPr="00B81BBB">
        <w:rPr>
          <w:rFonts w:ascii="Arial" w:hAnsi="Arial" w:cs="Arial"/>
          <w:sz w:val="22"/>
          <w:szCs w:val="22"/>
        </w:rPr>
        <w:t xml:space="preserve">when </w:t>
      </w:r>
      <w:r w:rsidR="00D629CB" w:rsidRPr="00B81BBB">
        <w:rPr>
          <w:rFonts w:ascii="Arial" w:hAnsi="Arial" w:cs="Arial"/>
          <w:sz w:val="22"/>
          <w:szCs w:val="22"/>
        </w:rPr>
        <w:t>contrasted</w:t>
      </w:r>
      <w:r w:rsidRPr="00B81BBB">
        <w:rPr>
          <w:rFonts w:ascii="Arial" w:hAnsi="Arial" w:cs="Arial"/>
          <w:sz w:val="22"/>
          <w:szCs w:val="22"/>
        </w:rPr>
        <w:t xml:space="preserve"> </w:t>
      </w:r>
      <w:r w:rsidR="00D629CB" w:rsidRPr="00B81BBB">
        <w:rPr>
          <w:rFonts w:ascii="Arial" w:hAnsi="Arial" w:cs="Arial"/>
          <w:sz w:val="22"/>
          <w:szCs w:val="22"/>
        </w:rPr>
        <w:t xml:space="preserve">with comparable benchmarks for the two efficiency criteria </w:t>
      </w:r>
      <w:r w:rsidR="008F4139" w:rsidRPr="00B81BBB">
        <w:rPr>
          <w:rFonts w:ascii="Arial" w:hAnsi="Arial" w:cs="Arial"/>
          <w:sz w:val="22"/>
          <w:szCs w:val="22"/>
        </w:rPr>
        <w:t>analyzed</w:t>
      </w:r>
      <w:r w:rsidR="00D629CB" w:rsidRPr="00B81BBB">
        <w:rPr>
          <w:rFonts w:ascii="Arial" w:hAnsi="Arial" w:cs="Arial"/>
          <w:sz w:val="22"/>
          <w:szCs w:val="22"/>
        </w:rPr>
        <w:t xml:space="preserve">: i) </w:t>
      </w:r>
      <w:r w:rsidR="008F4139" w:rsidRPr="00B81BBB">
        <w:rPr>
          <w:rFonts w:ascii="Arial" w:hAnsi="Arial" w:cs="Arial"/>
          <w:sz w:val="22"/>
          <w:szCs w:val="22"/>
        </w:rPr>
        <w:t xml:space="preserve">in terms of financial cost, the loan is less expensive than </w:t>
      </w:r>
      <w:r w:rsidRPr="00B81BBB">
        <w:rPr>
          <w:rFonts w:ascii="Arial" w:hAnsi="Arial" w:cs="Arial"/>
          <w:sz w:val="22"/>
          <w:szCs w:val="22"/>
        </w:rPr>
        <w:t>a sovereign bond issue</w:t>
      </w:r>
      <w:r w:rsidR="008F4139" w:rsidRPr="00B81BBB">
        <w:rPr>
          <w:rFonts w:ascii="Arial" w:hAnsi="Arial" w:cs="Arial"/>
          <w:sz w:val="22"/>
          <w:szCs w:val="22"/>
        </w:rPr>
        <w:t>; and ii) in terms of speed of access</w:t>
      </w:r>
      <w:r w:rsidR="00091444" w:rsidRPr="00B81BBB">
        <w:rPr>
          <w:rFonts w:ascii="Arial" w:hAnsi="Arial" w:cs="Arial"/>
          <w:sz w:val="22"/>
          <w:szCs w:val="22"/>
        </w:rPr>
        <w:t xml:space="preserve">, </w:t>
      </w:r>
      <w:r w:rsidR="008F4139" w:rsidRPr="00B81BBB">
        <w:rPr>
          <w:rFonts w:ascii="Arial" w:hAnsi="Arial" w:cs="Arial"/>
          <w:sz w:val="22"/>
          <w:szCs w:val="22"/>
        </w:rPr>
        <w:t>the CCF loan is more</w:t>
      </w:r>
      <w:r w:rsidR="00091444" w:rsidRPr="00B81BBB">
        <w:rPr>
          <w:rFonts w:ascii="Arial" w:hAnsi="Arial" w:cs="Arial"/>
          <w:sz w:val="22"/>
          <w:szCs w:val="22"/>
        </w:rPr>
        <w:t xml:space="preserve"> efficient in terms of how fast the country can access to the proceeds. </w:t>
      </w:r>
    </w:p>
    <w:sectPr w:rsidR="00623FA7" w:rsidSect="0045688F">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8872E" w14:textId="77777777" w:rsidR="00E2614E" w:rsidRDefault="00E2614E">
      <w:r>
        <w:separator/>
      </w:r>
    </w:p>
  </w:endnote>
  <w:endnote w:type="continuationSeparator" w:id="0">
    <w:p w14:paraId="3F4EBBD5" w14:textId="77777777" w:rsidR="00E2614E" w:rsidRDefault="00E2614E">
      <w:r>
        <w:continuationSeparator/>
      </w:r>
    </w:p>
  </w:endnote>
  <w:endnote w:type="continuationNotice" w:id="1">
    <w:p w14:paraId="779C4F5A" w14:textId="77777777" w:rsidR="00E2614E" w:rsidRDefault="00E26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00971E" w14:textId="77777777" w:rsidR="00E2614E" w:rsidRDefault="00E2614E">
      <w:r>
        <w:separator/>
      </w:r>
    </w:p>
  </w:footnote>
  <w:footnote w:type="continuationSeparator" w:id="0">
    <w:p w14:paraId="7F9A5549" w14:textId="77777777" w:rsidR="00E2614E" w:rsidRDefault="00E2614E">
      <w:r>
        <w:continuationSeparator/>
      </w:r>
    </w:p>
  </w:footnote>
  <w:footnote w:type="continuationNotice" w:id="1">
    <w:p w14:paraId="0DE6C6AF" w14:textId="77777777" w:rsidR="00E2614E" w:rsidRDefault="00E2614E"/>
  </w:footnote>
  <w:footnote w:id="2">
    <w:p w14:paraId="26DD2AC7" w14:textId="77777777" w:rsidR="004F6684" w:rsidRPr="00580AB5" w:rsidRDefault="004F6684" w:rsidP="004F6684">
      <w:pPr>
        <w:pStyle w:val="FootnoteText"/>
        <w:spacing w:after="0"/>
        <w:rPr>
          <w:rFonts w:ascii="Arial" w:hAnsi="Arial" w:cs="Arial"/>
          <w:sz w:val="18"/>
          <w:szCs w:val="18"/>
        </w:rPr>
      </w:pPr>
      <w:r w:rsidRPr="00580AB5">
        <w:rPr>
          <w:rStyle w:val="FootnoteReference"/>
          <w:rFonts w:ascii="Arial" w:hAnsi="Arial" w:cs="Arial"/>
          <w:sz w:val="18"/>
          <w:szCs w:val="18"/>
        </w:rPr>
        <w:footnoteRef/>
      </w:r>
      <w:r w:rsidRPr="00580AB5">
        <w:rPr>
          <w:rFonts w:ascii="Arial" w:hAnsi="Arial" w:cs="Arial"/>
          <w:sz w:val="18"/>
          <w:szCs w:val="18"/>
        </w:rPr>
        <w:t xml:space="preserve"> </w:t>
      </w:r>
      <w:r w:rsidRPr="00580AB5">
        <w:rPr>
          <w:rFonts w:ascii="Arial" w:hAnsi="Arial" w:cs="Arial"/>
          <w:sz w:val="18"/>
          <w:szCs w:val="18"/>
        </w:rPr>
        <w:tab/>
        <w:t xml:space="preserve">See </w:t>
      </w:r>
      <w:hyperlink r:id="rId1" w:history="1">
        <w:r>
          <w:rPr>
            <w:rStyle w:val="Hyperlink"/>
            <w:rFonts w:ascii="Arial" w:hAnsi="Arial" w:cs="Arial"/>
            <w:sz w:val="18"/>
            <w:szCs w:val="18"/>
          </w:rPr>
          <w:t>WHO</w:t>
        </w:r>
        <w:r w:rsidRPr="00580AB5">
          <w:rPr>
            <w:rStyle w:val="Hyperlink"/>
            <w:rFonts w:ascii="Arial" w:hAnsi="Arial" w:cs="Arial"/>
            <w:sz w:val="18"/>
            <w:szCs w:val="18"/>
          </w:rPr>
          <w:t xml:space="preserve"> Coronavirus Disease (COVID-19) Dashboard</w:t>
        </w:r>
      </w:hyperlink>
      <w:r w:rsidRPr="00580AB5">
        <w:rPr>
          <w:rFonts w:ascii="Arial" w:hAnsi="Arial" w:cs="Arial"/>
          <w:sz w:val="18"/>
          <w:szCs w:val="18"/>
        </w:rPr>
        <w:t>.</w:t>
      </w:r>
    </w:p>
  </w:footnote>
  <w:footnote w:id="3">
    <w:p w14:paraId="31037D92" w14:textId="0DF814D3" w:rsidR="00AE2C77" w:rsidRPr="00FF4A12" w:rsidRDefault="00AE2C77" w:rsidP="006746E1">
      <w:pPr>
        <w:pStyle w:val="FootnoteText"/>
        <w:spacing w:after="0"/>
        <w:rPr>
          <w:rFonts w:ascii="Arial" w:hAnsi="Arial" w:cs="Arial"/>
        </w:rPr>
      </w:pPr>
      <w:r w:rsidRPr="00FF4A12">
        <w:rPr>
          <w:rStyle w:val="FootnoteReference"/>
          <w:rFonts w:ascii="Arial" w:hAnsi="Arial" w:cs="Arial"/>
          <w:sz w:val="18"/>
          <w:szCs w:val="18"/>
        </w:rPr>
        <w:footnoteRef/>
      </w:r>
      <w:r w:rsidRPr="00FF4A12">
        <w:rPr>
          <w:rFonts w:ascii="Arial" w:hAnsi="Arial" w:cs="Arial"/>
          <w:sz w:val="18"/>
          <w:szCs w:val="18"/>
        </w:rPr>
        <w:t xml:space="preserve"> </w:t>
      </w:r>
      <w:r w:rsidRPr="00FF4A12">
        <w:rPr>
          <w:rFonts w:ascii="Arial" w:hAnsi="Arial" w:cs="Arial"/>
          <w:sz w:val="18"/>
          <w:szCs w:val="18"/>
        </w:rPr>
        <w:tab/>
      </w:r>
      <w:hyperlink r:id="rId2" w:history="1">
        <w:r w:rsidR="00E478ED" w:rsidRPr="00FF4A12">
          <w:rPr>
            <w:rStyle w:val="Hyperlink"/>
            <w:rFonts w:ascii="Arial" w:hAnsi="Arial" w:cs="Arial"/>
            <w:i/>
            <w:iCs/>
            <w:sz w:val="18"/>
            <w:szCs w:val="18"/>
          </w:rPr>
          <w:t xml:space="preserve">Wet </w:t>
        </w:r>
        <w:proofErr w:type="spellStart"/>
        <w:r w:rsidR="00E478ED" w:rsidRPr="00FF4A12">
          <w:rPr>
            <w:rStyle w:val="Hyperlink"/>
            <w:rFonts w:ascii="Arial" w:hAnsi="Arial" w:cs="Arial"/>
            <w:i/>
            <w:iCs/>
            <w:sz w:val="18"/>
            <w:szCs w:val="18"/>
          </w:rPr>
          <w:t>Uitzonderingstoestand</w:t>
        </w:r>
        <w:proofErr w:type="spellEnd"/>
        <w:r w:rsidR="00E478ED" w:rsidRPr="00FF4A12">
          <w:rPr>
            <w:rStyle w:val="Hyperlink"/>
            <w:rFonts w:ascii="Arial" w:hAnsi="Arial" w:cs="Arial"/>
            <w:i/>
            <w:iCs/>
            <w:sz w:val="18"/>
            <w:szCs w:val="18"/>
          </w:rPr>
          <w:t xml:space="preserve"> COVID-19 </w:t>
        </w:r>
        <w:proofErr w:type="spellStart"/>
        <w:r w:rsidR="00E478ED" w:rsidRPr="00FF4A12">
          <w:rPr>
            <w:rStyle w:val="Hyperlink"/>
            <w:rFonts w:ascii="Arial" w:hAnsi="Arial" w:cs="Arial"/>
            <w:i/>
            <w:iCs/>
            <w:sz w:val="18"/>
            <w:szCs w:val="18"/>
          </w:rPr>
          <w:t>verlengd</w:t>
        </w:r>
        <w:proofErr w:type="spellEnd"/>
        <w:r w:rsidR="00E478ED" w:rsidRPr="00FF4A12">
          <w:rPr>
            <w:rStyle w:val="Hyperlink"/>
            <w:rFonts w:ascii="Arial" w:hAnsi="Arial" w:cs="Arial"/>
            <w:i/>
            <w:iCs/>
            <w:sz w:val="18"/>
            <w:szCs w:val="18"/>
          </w:rPr>
          <w:t xml:space="preserve"> met </w:t>
        </w:r>
        <w:proofErr w:type="spellStart"/>
        <w:r w:rsidR="00E478ED" w:rsidRPr="00FF4A12">
          <w:rPr>
            <w:rStyle w:val="Hyperlink"/>
            <w:rFonts w:ascii="Arial" w:hAnsi="Arial" w:cs="Arial"/>
            <w:i/>
            <w:iCs/>
            <w:sz w:val="18"/>
            <w:szCs w:val="18"/>
          </w:rPr>
          <w:t>een</w:t>
        </w:r>
        <w:proofErr w:type="spellEnd"/>
        <w:r w:rsidR="00E478ED" w:rsidRPr="00FF4A12">
          <w:rPr>
            <w:rStyle w:val="Hyperlink"/>
            <w:rFonts w:ascii="Arial" w:hAnsi="Arial" w:cs="Arial"/>
            <w:i/>
            <w:iCs/>
            <w:sz w:val="18"/>
            <w:szCs w:val="18"/>
          </w:rPr>
          <w:t xml:space="preserve"> </w:t>
        </w:r>
        <w:proofErr w:type="spellStart"/>
        <w:r w:rsidR="00E478ED" w:rsidRPr="00FF4A12">
          <w:rPr>
            <w:rStyle w:val="Hyperlink"/>
            <w:rFonts w:ascii="Arial" w:hAnsi="Arial" w:cs="Arial"/>
            <w:i/>
            <w:iCs/>
            <w:sz w:val="18"/>
            <w:szCs w:val="18"/>
          </w:rPr>
          <w:t>jaar</w:t>
        </w:r>
        <w:proofErr w:type="spellEnd"/>
      </w:hyperlink>
      <w:r w:rsidR="00E478ED" w:rsidRPr="00E478ED">
        <w:rPr>
          <w:rStyle w:val="Hyperlink"/>
          <w:rFonts w:ascii="Arial" w:hAnsi="Arial" w:cs="Arial"/>
          <w:color w:val="auto"/>
          <w:sz w:val="18"/>
          <w:szCs w:val="18"/>
          <w:u w:val="none"/>
        </w:rPr>
        <w:t xml:space="preserve"> (National Assembly of </w:t>
      </w:r>
      <w:r w:rsidR="00E478ED" w:rsidRPr="00582EB7">
        <w:rPr>
          <w:rFonts w:ascii="Arial" w:hAnsi="Arial" w:cs="Arial"/>
          <w:sz w:val="18"/>
          <w:szCs w:val="18"/>
        </w:rPr>
        <w:t>Suriname</w:t>
      </w:r>
      <w:r w:rsidR="00E478ED">
        <w:rPr>
          <w:rFonts w:ascii="Arial" w:hAnsi="Arial" w:cs="Arial"/>
          <w:sz w:val="18"/>
          <w:szCs w:val="18"/>
        </w:rPr>
        <w:t>)</w:t>
      </w:r>
      <w:r>
        <w:rPr>
          <w:rFonts w:ascii="Arial" w:hAnsi="Arial" w:cs="Arial"/>
          <w:sz w:val="18"/>
          <w:szCs w:val="18"/>
        </w:rPr>
        <w:t>.</w:t>
      </w:r>
    </w:p>
  </w:footnote>
  <w:footnote w:id="4">
    <w:p w14:paraId="6F23BC48" w14:textId="3CE6DA44" w:rsidR="00DF13E7" w:rsidRPr="00D96B87" w:rsidRDefault="00DF13E7" w:rsidP="00DF13E7">
      <w:pPr>
        <w:pStyle w:val="FootnoteText"/>
        <w:spacing w:after="0"/>
        <w:rPr>
          <w:rFonts w:ascii="Arial" w:hAnsi="Arial" w:cs="Arial"/>
          <w:sz w:val="18"/>
          <w:szCs w:val="18"/>
        </w:rPr>
      </w:pPr>
      <w:r w:rsidRPr="00D96B87">
        <w:rPr>
          <w:rStyle w:val="FootnoteReference"/>
          <w:rFonts w:ascii="Arial" w:hAnsi="Arial" w:cs="Arial"/>
          <w:sz w:val="18"/>
          <w:szCs w:val="18"/>
        </w:rPr>
        <w:footnoteRef/>
      </w:r>
      <w:r w:rsidRPr="00D96B87">
        <w:rPr>
          <w:rFonts w:ascii="Arial" w:hAnsi="Arial" w:cs="Arial"/>
          <w:sz w:val="18"/>
          <w:szCs w:val="18"/>
        </w:rPr>
        <w:t xml:space="preserve"> </w:t>
      </w:r>
      <w:r w:rsidRPr="00D96B87">
        <w:rPr>
          <w:rFonts w:ascii="Arial" w:hAnsi="Arial" w:cs="Arial"/>
          <w:sz w:val="18"/>
          <w:szCs w:val="18"/>
        </w:rPr>
        <w:tab/>
      </w:r>
      <w:hyperlink r:id="rId3" w:history="1">
        <w:r w:rsidR="006746E1">
          <w:rPr>
            <w:rStyle w:val="Hyperlink"/>
            <w:rFonts w:ascii="Arial" w:hAnsi="Arial" w:cs="Arial"/>
            <w:sz w:val="18"/>
            <w:szCs w:val="18"/>
          </w:rPr>
          <w:t>WHO</w:t>
        </w:r>
        <w:r w:rsidRPr="00580AB5">
          <w:rPr>
            <w:rStyle w:val="Hyperlink"/>
            <w:rFonts w:ascii="Arial" w:hAnsi="Arial" w:cs="Arial"/>
            <w:sz w:val="18"/>
            <w:szCs w:val="18"/>
          </w:rPr>
          <w:t xml:space="preserve"> Coronavirus Disease (COVID-19) Dashboard</w:t>
        </w:r>
      </w:hyperlink>
      <w:r w:rsidRPr="00D96B87">
        <w:rPr>
          <w:rFonts w:ascii="Arial" w:hAnsi="Arial" w:cs="Arial"/>
          <w:sz w:val="18"/>
          <w:szCs w:val="18"/>
        </w:rPr>
        <w:t>.</w:t>
      </w:r>
    </w:p>
  </w:footnote>
  <w:footnote w:id="5">
    <w:p w14:paraId="112E5B4C" w14:textId="5EE60386" w:rsidR="00DF13E7" w:rsidRPr="00D96B87" w:rsidRDefault="00DF13E7" w:rsidP="00DF13E7">
      <w:pPr>
        <w:pStyle w:val="FootnoteText"/>
        <w:spacing w:after="0"/>
        <w:rPr>
          <w:rFonts w:ascii="Arial" w:hAnsi="Arial" w:cs="Arial"/>
          <w:sz w:val="18"/>
          <w:szCs w:val="18"/>
        </w:rPr>
      </w:pPr>
      <w:r w:rsidRPr="00D96B87">
        <w:rPr>
          <w:rStyle w:val="FootnoteReference"/>
          <w:rFonts w:ascii="Arial" w:hAnsi="Arial" w:cs="Arial"/>
          <w:sz w:val="18"/>
          <w:szCs w:val="18"/>
        </w:rPr>
        <w:footnoteRef/>
      </w:r>
      <w:r w:rsidRPr="00D96B87">
        <w:rPr>
          <w:rFonts w:ascii="Arial" w:hAnsi="Arial" w:cs="Arial"/>
          <w:sz w:val="18"/>
          <w:szCs w:val="18"/>
        </w:rPr>
        <w:t xml:space="preserve"> </w:t>
      </w:r>
      <w:r w:rsidRPr="00D96B87">
        <w:rPr>
          <w:rFonts w:ascii="Arial" w:hAnsi="Arial" w:cs="Arial"/>
          <w:sz w:val="18"/>
          <w:szCs w:val="18"/>
        </w:rPr>
        <w:tab/>
      </w:r>
      <w:r>
        <w:rPr>
          <w:rFonts w:ascii="Arial" w:hAnsi="Arial" w:cs="Arial"/>
          <w:sz w:val="18"/>
          <w:szCs w:val="18"/>
        </w:rPr>
        <w:t>T</w:t>
      </w:r>
      <w:r w:rsidRPr="00D96B87">
        <w:rPr>
          <w:rFonts w:ascii="Arial" w:hAnsi="Arial" w:cs="Arial"/>
          <w:sz w:val="18"/>
          <w:szCs w:val="18"/>
        </w:rPr>
        <w:t>he SPRP</w:t>
      </w:r>
      <w:r>
        <w:rPr>
          <w:rFonts w:ascii="Arial" w:hAnsi="Arial" w:cs="Arial"/>
          <w:sz w:val="18"/>
          <w:szCs w:val="18"/>
        </w:rPr>
        <w:t xml:space="preserve"> proposes eight pillars of intervention: </w:t>
      </w:r>
      <w:r w:rsidRPr="00F919FB">
        <w:rPr>
          <w:rFonts w:ascii="Arial" w:hAnsi="Arial" w:cs="Arial"/>
          <w:sz w:val="18"/>
          <w:szCs w:val="18"/>
        </w:rPr>
        <w:t>(i) coordination, planning, and monitoring; (ii) risk communication and community engagement; (iii) surveillance, rapid-response teams, and case investigation; (</w:t>
      </w:r>
      <w:r w:rsidRPr="00D67B01">
        <w:rPr>
          <w:rFonts w:ascii="Arial" w:hAnsi="Arial" w:cs="Arial"/>
          <w:sz w:val="18"/>
          <w:szCs w:val="18"/>
        </w:rPr>
        <w:t>iv) points of entry; (v) national laboratories; (vi) infection prevention and control; (vii) case management; (viii)</w:t>
      </w:r>
      <w:r w:rsidR="00F31AC1">
        <w:rPr>
          <w:rFonts w:ascii="Arial" w:hAnsi="Arial" w:cs="Arial"/>
          <w:sz w:val="18"/>
          <w:szCs w:val="18"/>
        </w:rPr>
        <w:t> </w:t>
      </w:r>
      <w:r w:rsidRPr="00D67B01">
        <w:rPr>
          <w:rFonts w:ascii="Arial" w:hAnsi="Arial" w:cs="Arial"/>
          <w:sz w:val="18"/>
          <w:szCs w:val="18"/>
        </w:rPr>
        <w:t>operational support and logistics</w:t>
      </w:r>
      <w:r>
        <w:rPr>
          <w:rFonts w:ascii="Arial" w:hAnsi="Arial" w:cs="Arial"/>
          <w:sz w:val="18"/>
          <w:szCs w:val="18"/>
        </w:rPr>
        <w:t>; and (ix) m</w:t>
      </w:r>
      <w:r w:rsidRPr="009324ED">
        <w:rPr>
          <w:rFonts w:ascii="Arial" w:hAnsi="Arial" w:cs="Arial"/>
          <w:sz w:val="18"/>
          <w:szCs w:val="18"/>
        </w:rPr>
        <w:t>aintaining essential health services during an outbreak</w:t>
      </w:r>
      <w:r w:rsidRPr="00D67B01">
        <w:rPr>
          <w:rFonts w:ascii="Arial" w:hAnsi="Arial" w:cs="Arial"/>
          <w:sz w:val="18"/>
          <w:szCs w:val="18"/>
        </w:rPr>
        <w:t>. There is</w:t>
      </w:r>
      <w:r w:rsidR="00F31AC1">
        <w:rPr>
          <w:rFonts w:ascii="Arial" w:hAnsi="Arial" w:cs="Arial"/>
          <w:sz w:val="18"/>
          <w:szCs w:val="18"/>
        </w:rPr>
        <w:t> </w:t>
      </w:r>
      <w:r w:rsidRPr="00D67B01">
        <w:rPr>
          <w:rFonts w:ascii="Arial" w:hAnsi="Arial" w:cs="Arial"/>
          <w:sz w:val="18"/>
          <w:szCs w:val="18"/>
        </w:rPr>
        <w:t>evidence of the effectiveness of the proposed interventions (</w:t>
      </w:r>
      <w:hyperlink r:id="rId4" w:history="1">
        <w:r w:rsidRPr="00F31AC1">
          <w:rPr>
            <w:rStyle w:val="Hyperlink"/>
            <w:rFonts w:ascii="Arial" w:hAnsi="Arial" w:cs="Arial"/>
            <w:sz w:val="18"/>
            <w:szCs w:val="18"/>
          </w:rPr>
          <w:t>OEL# 6</w:t>
        </w:r>
      </w:hyperlink>
      <w:r w:rsidRPr="00D64422">
        <w:rPr>
          <w:rFonts w:ascii="Arial" w:hAnsi="Arial" w:cs="Arial"/>
          <w:sz w:val="18"/>
          <w:szCs w:val="18"/>
        </w:rPr>
        <w:t>).</w:t>
      </w:r>
    </w:p>
  </w:footnote>
  <w:footnote w:id="6">
    <w:p w14:paraId="35B8BC90" w14:textId="72425647" w:rsidR="00DF13E7" w:rsidRPr="00AE412A" w:rsidRDefault="00DF13E7" w:rsidP="00DF13E7">
      <w:pPr>
        <w:pStyle w:val="FootnoteText"/>
        <w:spacing w:after="0"/>
        <w:rPr>
          <w:rFonts w:ascii="Arial" w:hAnsi="Arial" w:cs="Arial"/>
        </w:rPr>
      </w:pPr>
      <w:r w:rsidRPr="00AE412A">
        <w:rPr>
          <w:rStyle w:val="FootnoteReference"/>
          <w:rFonts w:ascii="Arial" w:hAnsi="Arial" w:cs="Arial"/>
          <w:sz w:val="18"/>
          <w:szCs w:val="18"/>
        </w:rPr>
        <w:footnoteRef/>
      </w:r>
      <w:r w:rsidRPr="00AE412A">
        <w:rPr>
          <w:rFonts w:ascii="Arial" w:hAnsi="Arial" w:cs="Arial"/>
          <w:sz w:val="18"/>
          <w:szCs w:val="18"/>
        </w:rPr>
        <w:t xml:space="preserve"> </w:t>
      </w:r>
      <w:r>
        <w:rPr>
          <w:rFonts w:ascii="Arial" w:hAnsi="Arial" w:cs="Arial"/>
          <w:sz w:val="18"/>
          <w:szCs w:val="18"/>
        </w:rPr>
        <w:tab/>
      </w:r>
      <w:r w:rsidRPr="00AE412A">
        <w:rPr>
          <w:rFonts w:ascii="Arial" w:hAnsi="Arial" w:cs="Arial"/>
          <w:sz w:val="18"/>
          <w:szCs w:val="18"/>
        </w:rPr>
        <w:t>While Parliament approved in August an additional budget for the COVID</w:t>
      </w:r>
      <w:r>
        <w:rPr>
          <w:rFonts w:ascii="Arial" w:hAnsi="Arial" w:cs="Arial"/>
          <w:sz w:val="18"/>
          <w:szCs w:val="18"/>
        </w:rPr>
        <w:t>-19</w:t>
      </w:r>
      <w:r w:rsidRPr="00AE412A">
        <w:rPr>
          <w:rFonts w:ascii="Arial" w:hAnsi="Arial" w:cs="Arial"/>
          <w:sz w:val="18"/>
          <w:szCs w:val="18"/>
        </w:rPr>
        <w:t xml:space="preserve"> Emergency Fund of approximately US$100 million, cognizant of the precarious financial situation of the country, the Ministry of Finance has indicated that it will limit that spending, and to date only US$17 million was requested for bills related to case management and hospitals and quarantine facilities</w:t>
      </w:r>
      <w:r>
        <w:rPr>
          <w:rFonts w:ascii="Arial" w:hAnsi="Arial" w:cs="Arial"/>
          <w:sz w:val="18"/>
          <w:szCs w:val="18"/>
        </w:rPr>
        <w:t xml:space="preserve">. </w:t>
      </w:r>
      <w:r w:rsidR="0029118A" w:rsidRPr="0029118A">
        <w:rPr>
          <w:rFonts w:ascii="Arial" w:hAnsi="Arial" w:cs="Arial"/>
          <w:bCs/>
          <w:sz w:val="18"/>
          <w:szCs w:val="18"/>
        </w:rPr>
        <w:t>Government of Suriname</w:t>
      </w:r>
      <w:r>
        <w:rPr>
          <w:rFonts w:ascii="Arial" w:hAnsi="Arial" w:cs="Arial"/>
          <w:sz w:val="18"/>
          <w:szCs w:val="18"/>
        </w:rPr>
        <w:t>/MOF has indicated that they would make a little over US$4</w:t>
      </w:r>
      <w:r w:rsidR="003559CA">
        <w:rPr>
          <w:rFonts w:ascii="Arial" w:hAnsi="Arial" w:cs="Arial"/>
          <w:sz w:val="18"/>
          <w:szCs w:val="18"/>
        </w:rPr>
        <w:t xml:space="preserve"> million</w:t>
      </w:r>
      <w:r>
        <w:rPr>
          <w:rFonts w:ascii="Arial" w:hAnsi="Arial" w:cs="Arial"/>
          <w:sz w:val="18"/>
          <w:szCs w:val="18"/>
        </w:rPr>
        <w:t xml:space="preserve"> available over 6 months to M</w:t>
      </w:r>
      <w:r w:rsidR="006D6706">
        <w:rPr>
          <w:rFonts w:ascii="Arial" w:hAnsi="Arial" w:cs="Arial"/>
          <w:sz w:val="18"/>
          <w:szCs w:val="18"/>
        </w:rPr>
        <w:t>O</w:t>
      </w:r>
      <w:r>
        <w:rPr>
          <w:rFonts w:ascii="Arial" w:hAnsi="Arial" w:cs="Arial"/>
          <w:sz w:val="18"/>
          <w:szCs w:val="18"/>
        </w:rPr>
        <w:t>H, with an option to increase that amount if the need arises.</w:t>
      </w:r>
    </w:p>
  </w:footnote>
  <w:footnote w:id="7">
    <w:p w14:paraId="4A1A3000" w14:textId="77777777" w:rsidR="00DF13E7" w:rsidRPr="006E4EF0" w:rsidRDefault="00DF13E7" w:rsidP="00DF13E7">
      <w:pPr>
        <w:pStyle w:val="FootnoteText"/>
        <w:spacing w:after="0"/>
        <w:rPr>
          <w:rFonts w:ascii="Arial" w:hAnsi="Arial" w:cs="Arial"/>
          <w:sz w:val="18"/>
          <w:szCs w:val="18"/>
        </w:rPr>
      </w:pPr>
      <w:r w:rsidRPr="006E4EF0">
        <w:rPr>
          <w:rStyle w:val="FootnoteReference"/>
          <w:rFonts w:ascii="Arial" w:hAnsi="Arial" w:cs="Arial"/>
          <w:sz w:val="18"/>
          <w:szCs w:val="18"/>
        </w:rPr>
        <w:footnoteRef/>
      </w:r>
      <w:r w:rsidRPr="006E4EF0">
        <w:rPr>
          <w:rFonts w:ascii="Arial" w:hAnsi="Arial" w:cs="Arial"/>
          <w:sz w:val="18"/>
          <w:szCs w:val="18"/>
        </w:rPr>
        <w:t xml:space="preserve"> </w:t>
      </w:r>
      <w:r w:rsidRPr="006E4EF0">
        <w:rPr>
          <w:rFonts w:ascii="Arial" w:hAnsi="Arial" w:cs="Arial"/>
          <w:sz w:val="18"/>
          <w:szCs w:val="18"/>
        </w:rPr>
        <w:tab/>
        <w:t xml:space="preserve">IDB (2020). </w:t>
      </w:r>
      <w:hyperlink r:id="rId5" w:history="1">
        <w:r w:rsidRPr="006E4EF0">
          <w:rPr>
            <w:rStyle w:val="Hyperlink"/>
            <w:rFonts w:ascii="Arial" w:hAnsi="Arial" w:cs="Arial"/>
            <w:sz w:val="18"/>
            <w:szCs w:val="18"/>
          </w:rPr>
          <w:t>Suriname in Times of COVID-19: Navigating the Labyrinth</w:t>
        </w:r>
      </w:hyperlink>
      <w:r w:rsidRPr="006E4EF0">
        <w:rPr>
          <w:rFonts w:ascii="Arial" w:hAnsi="Arial" w:cs="Arial"/>
          <w:sz w:val="18"/>
          <w:szCs w:val="18"/>
        </w:rPr>
        <w:t>. Technical Note N° IDB-TN-2025.</w:t>
      </w:r>
    </w:p>
  </w:footnote>
  <w:footnote w:id="8">
    <w:p w14:paraId="69B03A07" w14:textId="77777777" w:rsidR="00DF13E7" w:rsidRPr="00A83E2A" w:rsidRDefault="00DF13E7" w:rsidP="00DF13E7">
      <w:pPr>
        <w:pStyle w:val="FootnoteText"/>
        <w:spacing w:after="0"/>
        <w:rPr>
          <w:rFonts w:ascii="Arial" w:hAnsi="Arial" w:cs="Arial"/>
          <w:sz w:val="18"/>
          <w:szCs w:val="18"/>
        </w:rPr>
      </w:pPr>
      <w:r w:rsidRPr="006E4EF0">
        <w:rPr>
          <w:rStyle w:val="FootnoteReference"/>
          <w:rFonts w:ascii="Arial" w:hAnsi="Arial" w:cs="Arial"/>
          <w:sz w:val="18"/>
          <w:szCs w:val="18"/>
        </w:rPr>
        <w:footnoteRef/>
      </w:r>
      <w:r w:rsidRPr="006E4EF0">
        <w:rPr>
          <w:rFonts w:ascii="Arial" w:hAnsi="Arial" w:cs="Arial"/>
          <w:sz w:val="18"/>
          <w:szCs w:val="18"/>
        </w:rPr>
        <w:t xml:space="preserve"> </w:t>
      </w:r>
      <w:r w:rsidRPr="006E4EF0">
        <w:rPr>
          <w:rFonts w:ascii="Arial" w:hAnsi="Arial" w:cs="Arial"/>
          <w:sz w:val="18"/>
          <w:szCs w:val="18"/>
        </w:rPr>
        <w:tab/>
      </w:r>
      <w:hyperlink r:id="rId6" w:history="1">
        <w:r w:rsidRPr="006E4EF0">
          <w:rPr>
            <w:rStyle w:val="Hyperlink"/>
            <w:rFonts w:ascii="Arial" w:hAnsi="Arial" w:cs="Arial"/>
            <w:sz w:val="18"/>
            <w:szCs w:val="18"/>
          </w:rPr>
          <w:t>IMF World Economic Outlook Database October 2020</w:t>
        </w:r>
      </w:hyperlink>
      <w:r w:rsidRPr="006E4EF0">
        <w:rPr>
          <w:rFonts w:ascii="Arial" w:hAnsi="Arial" w:cs="Arial"/>
          <w:sz w:val="18"/>
          <w:szCs w:val="18"/>
        </w:rPr>
        <w:t>.</w:t>
      </w:r>
    </w:p>
  </w:footnote>
  <w:footnote w:id="9">
    <w:p w14:paraId="28AF0A11" w14:textId="47CB67E2" w:rsidR="00DF13E7" w:rsidRPr="0089666E" w:rsidRDefault="00DF13E7" w:rsidP="00DF13E7">
      <w:pPr>
        <w:pStyle w:val="FootnoteText"/>
        <w:spacing w:after="0"/>
        <w:rPr>
          <w:rFonts w:ascii="Arial" w:hAnsi="Arial" w:cs="Arial"/>
          <w:sz w:val="18"/>
          <w:szCs w:val="18"/>
        </w:rPr>
      </w:pPr>
      <w:r w:rsidRPr="0089666E">
        <w:rPr>
          <w:rStyle w:val="FootnoteReference"/>
          <w:rFonts w:ascii="Arial" w:hAnsi="Arial" w:cs="Arial"/>
          <w:sz w:val="18"/>
          <w:szCs w:val="18"/>
        </w:rPr>
        <w:footnoteRef/>
      </w:r>
      <w:r w:rsidRPr="000E051A">
        <w:rPr>
          <w:rFonts w:ascii="Arial" w:hAnsi="Arial" w:cs="Arial"/>
          <w:sz w:val="18"/>
          <w:szCs w:val="18"/>
          <w:lang w:val="fr-FR"/>
        </w:rPr>
        <w:t xml:space="preserve"> </w:t>
      </w:r>
      <w:r w:rsidRPr="000E051A">
        <w:rPr>
          <w:rFonts w:ascii="Arial" w:hAnsi="Arial" w:cs="Arial"/>
          <w:sz w:val="18"/>
          <w:szCs w:val="18"/>
          <w:lang w:val="fr-FR"/>
        </w:rPr>
        <w:tab/>
        <w:t xml:space="preserve">IMF (2019). </w:t>
      </w:r>
      <w:hyperlink r:id="rId7" w:history="1">
        <w:r w:rsidRPr="000E051A">
          <w:rPr>
            <w:rStyle w:val="Hyperlink"/>
            <w:rFonts w:ascii="Arial" w:hAnsi="Arial" w:cs="Arial"/>
            <w:sz w:val="18"/>
            <w:szCs w:val="18"/>
            <w:lang w:val="fr-FR"/>
          </w:rPr>
          <w:t>Suriname 2019 Article IV Consultation</w:t>
        </w:r>
      </w:hyperlink>
      <w:r w:rsidRPr="000E051A">
        <w:rPr>
          <w:rFonts w:ascii="Arial" w:hAnsi="Arial" w:cs="Arial"/>
          <w:sz w:val="18"/>
          <w:szCs w:val="18"/>
          <w:lang w:val="fr-FR"/>
        </w:rPr>
        <w:t xml:space="preserve">. </w:t>
      </w:r>
      <w:r>
        <w:rPr>
          <w:rFonts w:ascii="Arial" w:hAnsi="Arial" w:cs="Arial"/>
          <w:sz w:val="18"/>
          <w:szCs w:val="18"/>
        </w:rPr>
        <w:t xml:space="preserve">Given the challenges related to public debt sustainability, the new government that took office in July 2020 has begun the process of renegotiating debt </w:t>
      </w:r>
      <w:r w:rsidR="006D6706">
        <w:rPr>
          <w:rFonts w:ascii="Arial" w:hAnsi="Arial" w:cs="Arial"/>
          <w:sz w:val="18"/>
          <w:szCs w:val="18"/>
        </w:rPr>
        <w:t>agreements</w:t>
      </w:r>
      <w:r>
        <w:rPr>
          <w:rFonts w:ascii="Arial" w:hAnsi="Arial" w:cs="Arial"/>
          <w:sz w:val="18"/>
          <w:szCs w:val="18"/>
        </w:rPr>
        <w:t xml:space="preserve"> with creditors.</w:t>
      </w:r>
    </w:p>
  </w:footnote>
  <w:footnote w:id="10">
    <w:p w14:paraId="5E21FAC0" w14:textId="0676FA50" w:rsidR="00DF13E7" w:rsidRPr="006B2973" w:rsidRDefault="00DF13E7" w:rsidP="00DF13E7">
      <w:pPr>
        <w:pStyle w:val="FootnoteText"/>
        <w:spacing w:after="0"/>
        <w:rPr>
          <w:rFonts w:ascii="Arial" w:hAnsi="Arial" w:cs="Arial"/>
        </w:rPr>
      </w:pPr>
      <w:r w:rsidRPr="00D96B87">
        <w:rPr>
          <w:rStyle w:val="FootnoteReference"/>
          <w:rFonts w:ascii="Arial" w:hAnsi="Arial" w:cs="Arial"/>
          <w:sz w:val="18"/>
          <w:szCs w:val="18"/>
        </w:rPr>
        <w:footnoteRef/>
      </w:r>
      <w:r w:rsidRPr="00D96B87">
        <w:rPr>
          <w:rFonts w:ascii="Arial" w:hAnsi="Arial" w:cs="Arial"/>
          <w:sz w:val="18"/>
          <w:szCs w:val="18"/>
        </w:rPr>
        <w:t xml:space="preserve"> </w:t>
      </w:r>
      <w:r w:rsidRPr="00D96B87">
        <w:rPr>
          <w:rFonts w:ascii="Arial" w:hAnsi="Arial" w:cs="Arial"/>
          <w:sz w:val="18"/>
          <w:szCs w:val="18"/>
        </w:rPr>
        <w:tab/>
        <w:t>To put into context the unprecedented nature of the COVID-19 pandemic, during the previous 2002</w:t>
      </w:r>
      <w:r w:rsidR="004F1055">
        <w:rPr>
          <w:rFonts w:ascii="Arial" w:hAnsi="Arial" w:cs="Arial"/>
          <w:sz w:val="18"/>
          <w:szCs w:val="18"/>
        </w:rPr>
        <w:noBreakHyphen/>
      </w:r>
      <w:r w:rsidRPr="00D96B87">
        <w:rPr>
          <w:rFonts w:ascii="Arial" w:hAnsi="Arial" w:cs="Arial"/>
          <w:sz w:val="18"/>
          <w:szCs w:val="18"/>
        </w:rPr>
        <w:t>2003</w:t>
      </w:r>
      <w:r w:rsidR="004F1055">
        <w:rPr>
          <w:rFonts w:ascii="Arial" w:hAnsi="Arial" w:cs="Arial"/>
          <w:sz w:val="18"/>
          <w:szCs w:val="18"/>
        </w:rPr>
        <w:t> </w:t>
      </w:r>
      <w:r w:rsidRPr="00D96B87">
        <w:rPr>
          <w:rFonts w:ascii="Arial" w:hAnsi="Arial" w:cs="Arial"/>
          <w:sz w:val="18"/>
          <w:szCs w:val="18"/>
        </w:rPr>
        <w:t xml:space="preserve">SARS pandemic some 8,100 </w:t>
      </w:r>
      <w:r>
        <w:rPr>
          <w:rFonts w:ascii="Arial" w:hAnsi="Arial" w:cs="Arial"/>
          <w:sz w:val="18"/>
          <w:szCs w:val="18"/>
        </w:rPr>
        <w:t xml:space="preserve">were infected, of which </w:t>
      </w:r>
      <w:r w:rsidRPr="00D96B87">
        <w:rPr>
          <w:rFonts w:ascii="Arial" w:hAnsi="Arial" w:cs="Arial"/>
          <w:sz w:val="18"/>
          <w:szCs w:val="18"/>
        </w:rPr>
        <w:t xml:space="preserve">774 died. </w:t>
      </w:r>
      <w:r w:rsidRPr="006B2973">
        <w:rPr>
          <w:rFonts w:ascii="Arial" w:hAnsi="Arial" w:cs="Arial"/>
          <w:sz w:val="18"/>
          <w:szCs w:val="18"/>
        </w:rPr>
        <w:t>See IDB (2020). Op cit.</w:t>
      </w:r>
    </w:p>
  </w:footnote>
  <w:footnote w:id="11">
    <w:p w14:paraId="589D8A04" w14:textId="47F8F4C9" w:rsidR="00DF13E7" w:rsidRPr="00A10040" w:rsidRDefault="00DF13E7" w:rsidP="00DF13E7">
      <w:pPr>
        <w:pStyle w:val="FootnoteText"/>
        <w:spacing w:after="0"/>
        <w:rPr>
          <w:rFonts w:ascii="Arial" w:hAnsi="Arial" w:cs="Arial"/>
          <w:sz w:val="18"/>
          <w:szCs w:val="18"/>
        </w:rPr>
      </w:pPr>
      <w:r w:rsidRPr="00A10040">
        <w:rPr>
          <w:rStyle w:val="FootnoteReference"/>
          <w:rFonts w:ascii="Arial" w:hAnsi="Arial" w:cs="Arial"/>
          <w:sz w:val="18"/>
          <w:szCs w:val="18"/>
        </w:rPr>
        <w:footnoteRef/>
      </w:r>
      <w:r w:rsidRPr="00A10040">
        <w:rPr>
          <w:rFonts w:ascii="Arial" w:hAnsi="Arial" w:cs="Arial"/>
          <w:sz w:val="18"/>
          <w:szCs w:val="18"/>
        </w:rPr>
        <w:t xml:space="preserve"> </w:t>
      </w:r>
      <w:r w:rsidRPr="00A10040">
        <w:rPr>
          <w:rFonts w:ascii="Arial" w:hAnsi="Arial" w:cs="Arial"/>
          <w:sz w:val="18"/>
          <w:szCs w:val="18"/>
        </w:rPr>
        <w:tab/>
      </w:r>
      <w:r>
        <w:rPr>
          <w:rFonts w:ascii="Arial" w:hAnsi="Arial" w:cs="Arial"/>
          <w:sz w:val="18"/>
          <w:szCs w:val="18"/>
        </w:rPr>
        <w:t>In response to the impact of COVID-19, the government established the Emergency Fund of about US$28</w:t>
      </w:r>
      <w:r w:rsidR="007F48EE">
        <w:rPr>
          <w:rFonts w:ascii="Arial" w:hAnsi="Arial" w:cs="Arial"/>
          <w:sz w:val="18"/>
          <w:szCs w:val="18"/>
        </w:rPr>
        <w:t> </w:t>
      </w:r>
      <w:r>
        <w:rPr>
          <w:rFonts w:ascii="Arial" w:hAnsi="Arial" w:cs="Arial"/>
          <w:sz w:val="18"/>
          <w:szCs w:val="18"/>
        </w:rPr>
        <w:t>million in May 2020 to finance social support measures, which was increased by US$106 million in August. The authorities also established the Production Fund of about US$21 million to support small and medium</w:t>
      </w:r>
      <w:r w:rsidR="002A795D">
        <w:rPr>
          <w:rFonts w:ascii="Arial" w:hAnsi="Arial" w:cs="Arial"/>
          <w:sz w:val="18"/>
          <w:szCs w:val="18"/>
        </w:rPr>
        <w:noBreakHyphen/>
      </w:r>
      <w:r>
        <w:rPr>
          <w:rFonts w:ascii="Arial" w:hAnsi="Arial" w:cs="Arial"/>
          <w:sz w:val="18"/>
          <w:szCs w:val="18"/>
        </w:rPr>
        <w:t>sized enterprises. Overall, t</w:t>
      </w:r>
      <w:r w:rsidRPr="00A10040">
        <w:rPr>
          <w:rFonts w:ascii="Arial" w:hAnsi="Arial" w:cs="Arial"/>
          <w:sz w:val="18"/>
          <w:szCs w:val="18"/>
        </w:rPr>
        <w:t xml:space="preserve">he resources announced </w:t>
      </w:r>
      <w:r>
        <w:rPr>
          <w:rFonts w:ascii="Arial" w:hAnsi="Arial" w:cs="Arial"/>
          <w:sz w:val="18"/>
          <w:szCs w:val="18"/>
        </w:rPr>
        <w:t xml:space="preserve">thus far are estimated to be around 6% of GDP. </w:t>
      </w:r>
      <w:r w:rsidRPr="00D866C8">
        <w:rPr>
          <w:rFonts w:ascii="Arial" w:hAnsi="Arial" w:cs="Arial"/>
          <w:sz w:val="18"/>
          <w:szCs w:val="18"/>
        </w:rPr>
        <w:t>See IDB Suriname’s economic bulletin, 3</w:t>
      </w:r>
      <w:r w:rsidRPr="00D866C8">
        <w:rPr>
          <w:rFonts w:ascii="Arial" w:hAnsi="Arial" w:cs="Arial"/>
          <w:sz w:val="18"/>
          <w:szCs w:val="18"/>
          <w:vertAlign w:val="superscript"/>
        </w:rPr>
        <w:t>rd</w:t>
      </w:r>
      <w:r w:rsidRPr="00D866C8">
        <w:rPr>
          <w:rFonts w:ascii="Arial" w:hAnsi="Arial" w:cs="Arial"/>
          <w:sz w:val="18"/>
          <w:szCs w:val="18"/>
        </w:rPr>
        <w:t xml:space="preserve"> quarter 2020.</w:t>
      </w:r>
      <w:r>
        <w:rPr>
          <w:rFonts w:ascii="Arial" w:hAnsi="Arial" w:cs="Arial"/>
          <w:sz w:val="18"/>
          <w:szCs w:val="18"/>
        </w:rPr>
        <w:t xml:space="preserve"> </w:t>
      </w:r>
    </w:p>
  </w:footnote>
  <w:footnote w:id="12">
    <w:p w14:paraId="2EC4955E" w14:textId="77777777" w:rsidR="00DF13E7" w:rsidRPr="001B0EF7" w:rsidRDefault="00DF13E7" w:rsidP="00DF13E7">
      <w:pPr>
        <w:pStyle w:val="FootnoteText"/>
        <w:spacing w:after="0"/>
        <w:rPr>
          <w:rFonts w:ascii="Arial" w:hAnsi="Arial" w:cs="Arial"/>
          <w:sz w:val="18"/>
          <w:szCs w:val="18"/>
        </w:rPr>
      </w:pPr>
      <w:r w:rsidRPr="001B0EF7">
        <w:rPr>
          <w:rStyle w:val="FootnoteReference"/>
          <w:rFonts w:ascii="Arial" w:hAnsi="Arial" w:cs="Arial"/>
          <w:sz w:val="18"/>
          <w:szCs w:val="18"/>
        </w:rPr>
        <w:footnoteRef/>
      </w:r>
      <w:r w:rsidRPr="001B0EF7">
        <w:rPr>
          <w:rFonts w:ascii="Arial" w:hAnsi="Arial" w:cs="Arial"/>
          <w:sz w:val="18"/>
          <w:szCs w:val="18"/>
        </w:rPr>
        <w:t xml:space="preserve"> </w:t>
      </w:r>
      <w:r w:rsidRPr="001B0EF7">
        <w:rPr>
          <w:rFonts w:ascii="Arial" w:hAnsi="Arial" w:cs="Arial"/>
          <w:sz w:val="18"/>
          <w:szCs w:val="18"/>
        </w:rPr>
        <w:tab/>
        <w:t>IMF (2020b). Op cit.</w:t>
      </w:r>
    </w:p>
  </w:footnote>
  <w:footnote w:id="13">
    <w:p w14:paraId="1C5AD61A" w14:textId="77777777" w:rsidR="00DF13E7" w:rsidRPr="006B2973" w:rsidRDefault="00DF13E7" w:rsidP="00DF13E7">
      <w:pPr>
        <w:pStyle w:val="FootnoteText"/>
        <w:spacing w:after="0"/>
        <w:rPr>
          <w:rFonts w:ascii="Arial" w:hAnsi="Arial" w:cs="Arial"/>
        </w:rPr>
      </w:pPr>
      <w:r w:rsidRPr="001B0EF7">
        <w:rPr>
          <w:rStyle w:val="FootnoteReference"/>
          <w:rFonts w:ascii="Arial" w:hAnsi="Arial" w:cs="Arial"/>
          <w:sz w:val="18"/>
          <w:szCs w:val="18"/>
        </w:rPr>
        <w:footnoteRef/>
      </w:r>
      <w:r w:rsidRPr="001B0EF7">
        <w:rPr>
          <w:rFonts w:ascii="Arial" w:hAnsi="Arial" w:cs="Arial"/>
          <w:sz w:val="18"/>
          <w:szCs w:val="18"/>
        </w:rPr>
        <w:t xml:space="preserve"> </w:t>
      </w:r>
      <w:r w:rsidRPr="001B0EF7">
        <w:rPr>
          <w:rFonts w:ascii="Arial" w:hAnsi="Arial" w:cs="Arial"/>
          <w:sz w:val="18"/>
          <w:szCs w:val="18"/>
        </w:rPr>
        <w:tab/>
        <w:t>WHO (2018</w:t>
      </w:r>
      <w:proofErr w:type="gramStart"/>
      <w:r w:rsidRPr="001B0EF7">
        <w:rPr>
          <w:rFonts w:ascii="Arial" w:hAnsi="Arial" w:cs="Arial"/>
          <w:sz w:val="18"/>
          <w:szCs w:val="18"/>
        </w:rPr>
        <w:t>).</w:t>
      </w:r>
      <w:proofErr w:type="gramEnd"/>
      <w:r w:rsidRPr="001B0EF7">
        <w:rPr>
          <w:rFonts w:ascii="Arial" w:hAnsi="Arial" w:cs="Arial"/>
          <w:sz w:val="18"/>
          <w:szCs w:val="18"/>
        </w:rPr>
        <w:t xml:space="preserve"> </w:t>
      </w:r>
      <w:hyperlink r:id="rId8" w:history="1">
        <w:r w:rsidRPr="001B0EF7">
          <w:rPr>
            <w:rStyle w:val="Hyperlink"/>
            <w:rFonts w:ascii="Arial" w:hAnsi="Arial" w:cs="Arial"/>
            <w:sz w:val="18"/>
            <w:szCs w:val="18"/>
          </w:rPr>
          <w:t>Managing Epidemics</w:t>
        </w:r>
      </w:hyperlink>
      <w:r w:rsidRPr="001B0EF7">
        <w:rPr>
          <w:rFonts w:ascii="Arial" w:hAnsi="Arial" w:cs="Arial"/>
          <w:sz w:val="18"/>
          <w:szCs w:val="18"/>
        </w:rPr>
        <w:t>.</w:t>
      </w:r>
    </w:p>
  </w:footnote>
  <w:footnote w:id="14">
    <w:p w14:paraId="04A4DAA9" w14:textId="77777777" w:rsidR="004948A2" w:rsidRPr="00836206" w:rsidRDefault="004948A2" w:rsidP="004948A2">
      <w:pPr>
        <w:pStyle w:val="FootnoteText"/>
        <w:spacing w:after="0"/>
      </w:pPr>
      <w:r w:rsidRPr="00A53B21">
        <w:rPr>
          <w:rStyle w:val="FootnoteReference"/>
          <w:rFonts w:ascii="Arial" w:hAnsi="Arial" w:cs="Arial"/>
          <w:sz w:val="18"/>
          <w:szCs w:val="18"/>
        </w:rPr>
        <w:footnoteRef/>
      </w:r>
      <w:r w:rsidRPr="00A53B21">
        <w:rPr>
          <w:rFonts w:ascii="Arial" w:hAnsi="Arial" w:cs="Arial"/>
          <w:sz w:val="18"/>
          <w:szCs w:val="18"/>
        </w:rPr>
        <w:t xml:space="preserve">  </w:t>
      </w:r>
      <w:r>
        <w:rPr>
          <w:rFonts w:ascii="Arial" w:hAnsi="Arial" w:cs="Arial"/>
          <w:sz w:val="18"/>
          <w:szCs w:val="18"/>
        </w:rPr>
        <w:tab/>
        <w:t>T</w:t>
      </w:r>
      <w:r w:rsidRPr="00A53B21">
        <w:rPr>
          <w:rFonts w:ascii="Arial" w:hAnsi="Arial" w:cs="Arial"/>
          <w:sz w:val="18"/>
          <w:szCs w:val="18"/>
        </w:rPr>
        <w:t xml:space="preserve">he </w:t>
      </w:r>
      <w:r>
        <w:rPr>
          <w:rFonts w:ascii="Arial" w:hAnsi="Arial" w:cs="Arial"/>
          <w:sz w:val="18"/>
          <w:szCs w:val="18"/>
        </w:rPr>
        <w:t xml:space="preserve">country coverage </w:t>
      </w:r>
      <w:r w:rsidRPr="00A53B21">
        <w:rPr>
          <w:rFonts w:ascii="Arial" w:hAnsi="Arial" w:cs="Arial"/>
          <w:sz w:val="18"/>
          <w:szCs w:val="18"/>
        </w:rPr>
        <w:t xml:space="preserve">limit </w:t>
      </w:r>
      <w:r>
        <w:rPr>
          <w:rFonts w:ascii="Arial" w:hAnsi="Arial" w:cs="Arial"/>
          <w:sz w:val="18"/>
          <w:szCs w:val="18"/>
        </w:rPr>
        <w:t>is set at</w:t>
      </w:r>
      <w:r w:rsidRPr="00A53B21">
        <w:rPr>
          <w:rFonts w:ascii="Arial" w:hAnsi="Arial" w:cs="Arial"/>
          <w:sz w:val="18"/>
          <w:szCs w:val="18"/>
        </w:rPr>
        <w:t xml:space="preserve"> US$</w:t>
      </w:r>
      <w:r>
        <w:rPr>
          <w:rFonts w:ascii="Arial" w:hAnsi="Arial" w:cs="Arial"/>
          <w:sz w:val="18"/>
          <w:szCs w:val="18"/>
        </w:rPr>
        <w:t>90</w:t>
      </w:r>
      <w:r w:rsidRPr="00A53B21">
        <w:rPr>
          <w:rFonts w:ascii="Arial" w:hAnsi="Arial" w:cs="Arial"/>
          <w:sz w:val="18"/>
          <w:szCs w:val="18"/>
        </w:rPr>
        <w:t xml:space="preserve"> million</w:t>
      </w:r>
      <w:r>
        <w:rPr>
          <w:rFonts w:ascii="Arial" w:hAnsi="Arial" w:cs="Arial"/>
          <w:sz w:val="18"/>
          <w:szCs w:val="18"/>
        </w:rPr>
        <w:t xml:space="preserve"> or </w:t>
      </w:r>
      <w:r w:rsidRPr="00A53B21">
        <w:rPr>
          <w:rFonts w:ascii="Arial" w:hAnsi="Arial" w:cs="Arial"/>
          <w:sz w:val="18"/>
          <w:szCs w:val="18"/>
        </w:rPr>
        <w:t>0</w:t>
      </w:r>
      <w:r>
        <w:rPr>
          <w:rFonts w:ascii="Arial" w:hAnsi="Arial" w:cs="Arial"/>
          <w:sz w:val="18"/>
          <w:szCs w:val="18"/>
        </w:rPr>
        <w:t>.6</w:t>
      </w:r>
      <w:r w:rsidRPr="00A53B21">
        <w:rPr>
          <w:rFonts w:ascii="Arial" w:hAnsi="Arial" w:cs="Arial"/>
          <w:sz w:val="18"/>
          <w:szCs w:val="18"/>
        </w:rPr>
        <w:t>% of the country’s GDP</w:t>
      </w:r>
      <w:r>
        <w:rPr>
          <w:rFonts w:ascii="Arial" w:hAnsi="Arial" w:cs="Arial"/>
          <w:sz w:val="18"/>
          <w:szCs w:val="18"/>
        </w:rPr>
        <w:t xml:space="preserve">, whichever is less. </w:t>
      </w:r>
      <w:r w:rsidRPr="00CC1D8F">
        <w:rPr>
          <w:rFonts w:ascii="Arial" w:hAnsi="Arial" w:cs="Arial"/>
          <w:sz w:val="18"/>
          <w:szCs w:val="18"/>
        </w:rPr>
        <w:t>For countries with an approved CCF loan, the request will be counted against the already approved amount and up to that amount</w:t>
      </w:r>
      <w:r>
        <w:rPr>
          <w:rFonts w:ascii="Arial" w:hAnsi="Arial" w:cs="Arial"/>
          <w:sz w:val="18"/>
          <w:szCs w:val="18"/>
        </w:rPr>
        <w:t>.</w:t>
      </w:r>
      <w:r w:rsidRPr="00A53B21">
        <w:rPr>
          <w:rFonts w:ascii="Arial" w:hAnsi="Arial" w:cs="Arial"/>
          <w:sz w:val="18"/>
          <w:szCs w:val="18"/>
        </w:rPr>
        <w:t xml:space="preserve"> In </w:t>
      </w:r>
      <w:r>
        <w:rPr>
          <w:rFonts w:ascii="Arial" w:hAnsi="Arial" w:cs="Arial"/>
          <w:sz w:val="18"/>
          <w:szCs w:val="18"/>
        </w:rPr>
        <w:t xml:space="preserve">the </w:t>
      </w:r>
      <w:r w:rsidRPr="00A53B21">
        <w:rPr>
          <w:rFonts w:ascii="Arial" w:hAnsi="Arial" w:cs="Arial"/>
          <w:sz w:val="18"/>
          <w:szCs w:val="18"/>
        </w:rPr>
        <w:t xml:space="preserve">case of </w:t>
      </w:r>
      <w:r>
        <w:rPr>
          <w:rFonts w:ascii="Arial" w:hAnsi="Arial" w:cs="Arial"/>
          <w:sz w:val="18"/>
          <w:szCs w:val="18"/>
        </w:rPr>
        <w:t>Suriname</w:t>
      </w:r>
      <w:r w:rsidRPr="00A53B21">
        <w:rPr>
          <w:rFonts w:ascii="Arial" w:hAnsi="Arial" w:cs="Arial"/>
          <w:sz w:val="18"/>
          <w:szCs w:val="18"/>
        </w:rPr>
        <w:t>,</w:t>
      </w:r>
      <w:r>
        <w:rPr>
          <w:rFonts w:ascii="Arial" w:hAnsi="Arial" w:cs="Arial"/>
          <w:sz w:val="18"/>
          <w:szCs w:val="18"/>
        </w:rPr>
        <w:t xml:space="preserve"> the limit corresponds up to US$22 million.</w:t>
      </w:r>
    </w:p>
  </w:footnote>
  <w:footnote w:id="15">
    <w:p w14:paraId="7C33A1FD" w14:textId="2DADD0B7" w:rsidR="007C5027" w:rsidRDefault="007C5027" w:rsidP="007C5027">
      <w:pPr>
        <w:pStyle w:val="FootnoteText"/>
      </w:pPr>
      <w:r w:rsidRPr="00DF6A81">
        <w:rPr>
          <w:rFonts w:ascii="Arial" w:hAnsi="Arial" w:cs="Arial"/>
          <w:sz w:val="18"/>
          <w:szCs w:val="18"/>
          <w:vertAlign w:val="superscript"/>
        </w:rPr>
        <w:footnoteRef/>
      </w:r>
      <w:r w:rsidRPr="00DF6A81">
        <w:rPr>
          <w:rFonts w:ascii="Arial" w:hAnsi="Arial" w:cs="Arial"/>
          <w:sz w:val="18"/>
          <w:szCs w:val="18"/>
          <w:vertAlign w:val="superscript"/>
        </w:rPr>
        <w:t xml:space="preserve"> </w:t>
      </w:r>
      <w:r>
        <w:rPr>
          <w:rFonts w:ascii="Arial" w:hAnsi="Arial" w:cs="Arial"/>
          <w:sz w:val="18"/>
          <w:szCs w:val="18"/>
        </w:rPr>
        <w:tab/>
      </w:r>
      <w:r w:rsidRPr="00DF6A81">
        <w:rPr>
          <w:rFonts w:ascii="Arial" w:hAnsi="Arial" w:cs="Arial"/>
          <w:sz w:val="18"/>
          <w:szCs w:val="18"/>
        </w:rPr>
        <w:t>Given the nature of CCF loans, the single component of this operation is the provision of a financial coverage</w:t>
      </w:r>
      <w:r w:rsidR="0051086F">
        <w:rPr>
          <w:rFonts w:ascii="Arial" w:hAnsi="Arial" w:cs="Arial"/>
          <w:sz w:val="18"/>
          <w:szCs w:val="18"/>
        </w:rPr>
        <w:t xml:space="preserve"> for the </w:t>
      </w:r>
      <w:r w:rsidR="0051086F" w:rsidRPr="0051086F">
        <w:rPr>
          <w:rFonts w:ascii="Arial" w:hAnsi="Arial" w:cs="Arial"/>
          <w:sz w:val="18"/>
          <w:szCs w:val="18"/>
        </w:rPr>
        <w:t>public health response to the COVID-19 emergency</w:t>
      </w:r>
      <w:r w:rsidR="00D718C4">
        <w:rPr>
          <w:rFonts w:ascii="Arial" w:hAnsi="Arial" w:cs="Arial"/>
          <w:sz w:val="18"/>
          <w:szCs w:val="18"/>
        </w:rPr>
        <w:t>.</w:t>
      </w:r>
      <w:r w:rsidRPr="00DF6A81">
        <w:rPr>
          <w:rFonts w:ascii="Arial" w:hAnsi="Arial" w:cs="Arial"/>
          <w:sz w:val="18"/>
          <w:szCs w:val="18"/>
        </w:rPr>
        <w:t xml:space="preserve"> </w:t>
      </w:r>
      <w:r w:rsidR="00D718C4">
        <w:rPr>
          <w:rFonts w:ascii="Arial" w:hAnsi="Arial" w:cs="Arial"/>
          <w:sz w:val="18"/>
          <w:szCs w:val="18"/>
        </w:rPr>
        <w:t>T</w:t>
      </w:r>
      <w:r w:rsidRPr="00DF6A81">
        <w:rPr>
          <w:rFonts w:ascii="Arial" w:hAnsi="Arial" w:cs="Arial"/>
          <w:sz w:val="18"/>
          <w:szCs w:val="18"/>
        </w:rPr>
        <w:t>herefore</w:t>
      </w:r>
      <w:r w:rsidR="00D718C4">
        <w:rPr>
          <w:rFonts w:ascii="Arial" w:hAnsi="Arial" w:cs="Arial"/>
          <w:sz w:val="18"/>
          <w:szCs w:val="18"/>
        </w:rPr>
        <w:t>,</w:t>
      </w:r>
      <w:r w:rsidRPr="00DF6A81">
        <w:rPr>
          <w:rFonts w:ascii="Arial" w:hAnsi="Arial" w:cs="Arial"/>
          <w:sz w:val="18"/>
          <w:szCs w:val="18"/>
        </w:rPr>
        <w:t xml:space="preserve"> specific use of resources is not yet determined at the time of elaboration of this document.</w:t>
      </w:r>
    </w:p>
  </w:footnote>
  <w:footnote w:id="16">
    <w:p w14:paraId="78738257" w14:textId="614E36D8" w:rsidR="00A116DA" w:rsidRPr="00167836" w:rsidRDefault="00A116DA" w:rsidP="00A116DA">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r>
      <w:r w:rsidR="008D5EAB" w:rsidRPr="008D5EAB">
        <w:rPr>
          <w:rFonts w:ascii="Arial" w:hAnsi="Arial" w:cs="Arial"/>
          <w:sz w:val="18"/>
          <w:szCs w:val="18"/>
        </w:rPr>
        <w:t>Contingent Credit Facility for Natural Disaster Emergencies and Public Health Risks</w:t>
      </w:r>
      <w:r w:rsidRPr="00167836">
        <w:rPr>
          <w:rFonts w:ascii="Arial" w:hAnsi="Arial" w:cs="Arial"/>
          <w:sz w:val="18"/>
          <w:szCs w:val="18"/>
        </w:rPr>
        <w:t>.</w:t>
      </w:r>
      <w:r w:rsidR="008D5EAB">
        <w:rPr>
          <w:rFonts w:ascii="Arial" w:hAnsi="Arial" w:cs="Arial"/>
          <w:sz w:val="18"/>
          <w:szCs w:val="18"/>
        </w:rPr>
        <w:t xml:space="preserve"> </w:t>
      </w:r>
      <w:r w:rsidR="008D5EAB" w:rsidRPr="008D5EAB">
        <w:rPr>
          <w:rFonts w:ascii="Arial" w:hAnsi="Arial" w:cs="Arial"/>
          <w:sz w:val="18"/>
          <w:szCs w:val="18"/>
        </w:rPr>
        <w:t>COVID-19 Coverage. Operational guidelines</w:t>
      </w:r>
      <w:r w:rsidR="008D5EAB">
        <w:rPr>
          <w:rFonts w:ascii="Arial" w:hAnsi="Arial" w:cs="Arial"/>
          <w:sz w:val="18"/>
          <w:szCs w:val="18"/>
        </w:rPr>
        <w:t>. (Document GN-2999-6</w:t>
      </w:r>
      <w:r w:rsidR="00BC375F">
        <w:rPr>
          <w:rFonts w:ascii="Arial" w:hAnsi="Arial" w:cs="Arial"/>
          <w:sz w:val="18"/>
          <w:szCs w:val="18"/>
        </w:rPr>
        <w:t>).</w:t>
      </w:r>
    </w:p>
  </w:footnote>
  <w:footnote w:id="17">
    <w:p w14:paraId="14DBA259" w14:textId="07B7363F" w:rsidR="00BF243A" w:rsidRPr="00161BC0" w:rsidRDefault="00BF243A" w:rsidP="00BF243A">
      <w:pPr>
        <w:pStyle w:val="FootnoteText"/>
        <w:tabs>
          <w:tab w:val="left" w:pos="270"/>
        </w:tabs>
        <w:spacing w:after="0"/>
        <w:ind w:left="270" w:hanging="270"/>
        <w:rPr>
          <w:rFonts w:ascii="Arial" w:hAnsi="Arial" w:cs="Arial"/>
          <w:sz w:val="18"/>
          <w:szCs w:val="18"/>
        </w:rPr>
      </w:pPr>
      <w:r w:rsidRPr="00161BC0">
        <w:rPr>
          <w:rStyle w:val="FootnoteReference"/>
          <w:rFonts w:ascii="Arial" w:hAnsi="Arial" w:cs="Arial"/>
          <w:sz w:val="18"/>
          <w:szCs w:val="18"/>
        </w:rPr>
        <w:footnoteRef/>
      </w:r>
      <w:r w:rsidRPr="00161BC0">
        <w:rPr>
          <w:rFonts w:ascii="Arial" w:hAnsi="Arial" w:cs="Arial"/>
          <w:sz w:val="18"/>
          <w:szCs w:val="18"/>
        </w:rPr>
        <w:t xml:space="preserve"> </w:t>
      </w:r>
      <w:r w:rsidRPr="00161BC0">
        <w:rPr>
          <w:rFonts w:ascii="Arial" w:hAnsi="Arial" w:cs="Arial"/>
          <w:sz w:val="18"/>
          <w:szCs w:val="18"/>
        </w:rPr>
        <w:tab/>
      </w:r>
      <w:r w:rsidR="00161BC0" w:rsidRPr="00161BC0">
        <w:rPr>
          <w:rFonts w:ascii="Arial" w:hAnsi="Arial" w:cs="Arial"/>
          <w:sz w:val="18"/>
          <w:szCs w:val="18"/>
        </w:rPr>
        <w:t>Th</w:t>
      </w:r>
      <w:r w:rsidR="00161BC0">
        <w:rPr>
          <w:rFonts w:ascii="Arial" w:hAnsi="Arial" w:cs="Arial"/>
          <w:sz w:val="18"/>
          <w:szCs w:val="18"/>
        </w:rPr>
        <w:t>is</w:t>
      </w:r>
      <w:r w:rsidR="00161BC0" w:rsidRPr="00161BC0">
        <w:rPr>
          <w:rFonts w:ascii="Arial" w:hAnsi="Arial" w:cs="Arial"/>
          <w:sz w:val="18"/>
          <w:szCs w:val="18"/>
        </w:rPr>
        <w:t xml:space="preserve"> estimate considers only the time reported in the Bank's regular investment loans with the country </w:t>
      </w:r>
      <w:r w:rsidR="007D2A93">
        <w:rPr>
          <w:rFonts w:ascii="Arial" w:hAnsi="Arial" w:cs="Arial"/>
          <w:sz w:val="18"/>
          <w:szCs w:val="18"/>
        </w:rPr>
        <w:t>over</w:t>
      </w:r>
      <w:r w:rsidR="00161BC0" w:rsidRPr="00161BC0">
        <w:rPr>
          <w:rFonts w:ascii="Arial" w:hAnsi="Arial" w:cs="Arial"/>
          <w:sz w:val="18"/>
          <w:szCs w:val="18"/>
        </w:rPr>
        <w:t xml:space="preserve"> the last </w:t>
      </w:r>
      <w:r w:rsidR="0078691B">
        <w:rPr>
          <w:rFonts w:ascii="Arial" w:hAnsi="Arial" w:cs="Arial"/>
          <w:sz w:val="18"/>
          <w:szCs w:val="18"/>
        </w:rPr>
        <w:t>five</w:t>
      </w:r>
      <w:r w:rsidR="00161BC0" w:rsidRPr="00161BC0">
        <w:rPr>
          <w:rFonts w:ascii="Arial" w:hAnsi="Arial" w:cs="Arial"/>
          <w:sz w:val="18"/>
          <w:szCs w:val="18"/>
        </w:rPr>
        <w:t xml:space="preserve"> years</w:t>
      </w:r>
      <w:r w:rsidR="00161BC0">
        <w:rPr>
          <w:rFonts w:ascii="Arial" w:hAnsi="Arial" w:cs="Arial"/>
          <w:sz w:val="18"/>
          <w:szCs w:val="18"/>
        </w:rPr>
        <w:t>.</w:t>
      </w:r>
    </w:p>
  </w:footnote>
  <w:footnote w:id="18">
    <w:p w14:paraId="5E387976" w14:textId="38889BF0" w:rsidR="005031EB" w:rsidRPr="00167836" w:rsidRDefault="005031EB" w:rsidP="00167836">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sidR="004544EA">
        <w:rPr>
          <w:rFonts w:ascii="Arial" w:hAnsi="Arial" w:cs="Arial"/>
          <w:sz w:val="18"/>
          <w:szCs w:val="18"/>
        </w:rPr>
        <w:tab/>
      </w:r>
      <w:r w:rsidRPr="00167836">
        <w:rPr>
          <w:rFonts w:ascii="Arial" w:hAnsi="Arial" w:cs="Arial"/>
          <w:sz w:val="18"/>
          <w:szCs w:val="18"/>
        </w:rPr>
        <w:t>The calculation is based on the la</w:t>
      </w:r>
      <w:r w:rsidR="00357FB8">
        <w:rPr>
          <w:rFonts w:ascii="Arial" w:hAnsi="Arial" w:cs="Arial"/>
          <w:sz w:val="18"/>
          <w:szCs w:val="18"/>
        </w:rPr>
        <w:t>test</w:t>
      </w:r>
      <w:r w:rsidRPr="00167836">
        <w:rPr>
          <w:rFonts w:ascii="Arial" w:hAnsi="Arial" w:cs="Arial"/>
          <w:sz w:val="18"/>
          <w:szCs w:val="18"/>
        </w:rPr>
        <w:t xml:space="preserve"> information on interest rates and loan charges published by the Finance Department (</w:t>
      </w:r>
      <w:r w:rsidR="00BC02AD">
        <w:rPr>
          <w:rFonts w:ascii="Arial" w:hAnsi="Arial" w:cs="Arial"/>
          <w:sz w:val="18"/>
          <w:szCs w:val="18"/>
        </w:rPr>
        <w:t>fourth quarter of 2020</w:t>
      </w:r>
      <w:r w:rsidRPr="00167836">
        <w:rPr>
          <w:rFonts w:ascii="Arial" w:hAnsi="Arial" w:cs="Arial"/>
          <w:sz w:val="18"/>
          <w:szCs w:val="18"/>
        </w:rPr>
        <w:t>).</w:t>
      </w:r>
    </w:p>
  </w:footnote>
  <w:footnote w:id="19">
    <w:p w14:paraId="0688C554" w14:textId="15C51D51" w:rsidR="00D14F06" w:rsidRPr="00167836" w:rsidRDefault="00D14F06" w:rsidP="00D14F06">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r>
      <w:r w:rsidRPr="00167836">
        <w:rPr>
          <w:rFonts w:ascii="Arial" w:hAnsi="Arial" w:cs="Arial"/>
          <w:sz w:val="18"/>
          <w:szCs w:val="18"/>
        </w:rPr>
        <w:t xml:space="preserve">Information provided by </w:t>
      </w:r>
      <w:r w:rsidRPr="007B604E">
        <w:rPr>
          <w:rFonts w:ascii="Arial" w:hAnsi="Arial" w:cs="Arial"/>
          <w:sz w:val="18"/>
          <w:szCs w:val="18"/>
        </w:rPr>
        <w:t>the Finance Department, as of</w:t>
      </w:r>
      <w:r w:rsidR="000D34AF">
        <w:rPr>
          <w:rFonts w:ascii="Arial" w:hAnsi="Arial" w:cs="Arial"/>
          <w:sz w:val="18"/>
          <w:szCs w:val="18"/>
        </w:rPr>
        <w:t xml:space="preserve"> </w:t>
      </w:r>
      <w:r w:rsidR="0008368F">
        <w:rPr>
          <w:rFonts w:ascii="Arial" w:hAnsi="Arial" w:cs="Arial"/>
          <w:sz w:val="18"/>
          <w:szCs w:val="18"/>
        </w:rPr>
        <w:t>November 16, 2020</w:t>
      </w:r>
      <w:r w:rsidRPr="007B604E">
        <w:rPr>
          <w:rFonts w:ascii="Arial" w:hAnsi="Arial" w:cs="Arial"/>
          <w:sz w:val="18"/>
          <w:szCs w:val="18"/>
        </w:rPr>
        <w:t xml:space="preserve">. The </w:t>
      </w:r>
      <w:r w:rsidR="00EA6B27">
        <w:rPr>
          <w:rFonts w:ascii="Arial" w:hAnsi="Arial" w:cs="Arial"/>
          <w:sz w:val="18"/>
          <w:szCs w:val="18"/>
        </w:rPr>
        <w:t>IDB fixed rates</w:t>
      </w:r>
      <w:r w:rsidRPr="007B604E">
        <w:rPr>
          <w:rFonts w:ascii="Arial" w:hAnsi="Arial" w:cs="Arial"/>
          <w:sz w:val="18"/>
          <w:szCs w:val="18"/>
        </w:rPr>
        <w:t xml:space="preserve"> assume a fixed rate conversion by the Bank with the same tenor as the remaining life of outstanding sovereign bonds</w:t>
      </w:r>
      <w:r>
        <w:rPr>
          <w:rFonts w:ascii="Arial" w:hAnsi="Arial" w:cs="Arial"/>
          <w:sz w:val="18"/>
          <w:szCs w:val="18"/>
        </w:rPr>
        <w:t xml:space="preserve"> (approximately </w:t>
      </w:r>
      <w:r w:rsidRPr="007B604E">
        <w:rPr>
          <w:rFonts w:ascii="Arial" w:hAnsi="Arial" w:cs="Arial"/>
          <w:sz w:val="18"/>
          <w:szCs w:val="18"/>
        </w:rPr>
        <w:t>10</w:t>
      </w:r>
      <w:r>
        <w:rPr>
          <w:rFonts w:ascii="Arial" w:hAnsi="Arial" w:cs="Arial"/>
          <w:sz w:val="18"/>
          <w:szCs w:val="18"/>
        </w:rPr>
        <w:t xml:space="preserve"> </w:t>
      </w:r>
      <w:r w:rsidRPr="007B604E">
        <w:rPr>
          <w:rFonts w:ascii="Arial" w:hAnsi="Arial" w:cs="Arial"/>
          <w:sz w:val="18"/>
          <w:szCs w:val="18"/>
        </w:rPr>
        <w:t>year</w:t>
      </w:r>
      <w:r>
        <w:rPr>
          <w:rFonts w:ascii="Arial" w:hAnsi="Arial" w:cs="Arial"/>
          <w:sz w:val="18"/>
          <w:szCs w:val="18"/>
        </w:rPr>
        <w:t>s)</w:t>
      </w:r>
      <w:r w:rsidRPr="007B604E">
        <w:rPr>
          <w:rFonts w:ascii="Arial" w:hAnsi="Arial" w:cs="Arial"/>
          <w:sz w:val="18"/>
          <w:szCs w:val="18"/>
        </w:rPr>
        <w:t xml:space="preserve">, plus </w:t>
      </w:r>
      <w:r w:rsidR="00766505">
        <w:rPr>
          <w:rFonts w:ascii="Arial" w:hAnsi="Arial" w:cs="Arial"/>
          <w:sz w:val="18"/>
          <w:szCs w:val="18"/>
        </w:rPr>
        <w:t>a</w:t>
      </w:r>
      <w:r w:rsidRPr="007B604E">
        <w:rPr>
          <w:rFonts w:ascii="Arial" w:hAnsi="Arial" w:cs="Arial"/>
          <w:sz w:val="18"/>
          <w:szCs w:val="18"/>
        </w:rPr>
        <w:t xml:space="preserve"> lending</w:t>
      </w:r>
      <w:r w:rsidRPr="00167836">
        <w:rPr>
          <w:rFonts w:ascii="Arial" w:hAnsi="Arial" w:cs="Arial"/>
          <w:sz w:val="18"/>
          <w:szCs w:val="18"/>
        </w:rPr>
        <w:t xml:space="preserve"> margin.</w:t>
      </w:r>
      <w:r w:rsidR="006E6530">
        <w:rPr>
          <w:rFonts w:ascii="Arial" w:hAnsi="Arial" w:cs="Arial"/>
          <w:sz w:val="18"/>
          <w:szCs w:val="18"/>
        </w:rPr>
        <w:t xml:space="preserve"> </w:t>
      </w:r>
    </w:p>
  </w:footnote>
  <w:footnote w:id="20">
    <w:p w14:paraId="7481AD79" w14:textId="38162C39" w:rsidR="00DF563F" w:rsidRPr="00167836" w:rsidRDefault="00DF563F" w:rsidP="00D14F06">
      <w:pPr>
        <w:pStyle w:val="FootnoteText"/>
        <w:tabs>
          <w:tab w:val="left" w:pos="270"/>
        </w:tabs>
        <w:spacing w:after="0"/>
        <w:ind w:left="270" w:hanging="270"/>
        <w:rPr>
          <w:rFonts w:ascii="Arial" w:hAnsi="Arial" w:cs="Arial"/>
          <w:sz w:val="18"/>
          <w:szCs w:val="18"/>
        </w:rPr>
      </w:pPr>
      <w:r w:rsidRPr="00167836">
        <w:rPr>
          <w:rStyle w:val="FootnoteReference"/>
          <w:rFonts w:ascii="Arial" w:hAnsi="Arial" w:cs="Arial"/>
          <w:sz w:val="18"/>
          <w:szCs w:val="18"/>
        </w:rPr>
        <w:footnoteRef/>
      </w:r>
      <w:r w:rsidRPr="00167836">
        <w:rPr>
          <w:rFonts w:ascii="Arial" w:hAnsi="Arial" w:cs="Arial"/>
          <w:sz w:val="18"/>
          <w:szCs w:val="18"/>
        </w:rPr>
        <w:t xml:space="preserve"> </w:t>
      </w:r>
      <w:r>
        <w:rPr>
          <w:rFonts w:ascii="Arial" w:hAnsi="Arial" w:cs="Arial"/>
          <w:sz w:val="18"/>
          <w:szCs w:val="18"/>
        </w:rPr>
        <w:tab/>
      </w:r>
      <w:r w:rsidR="00F576A7">
        <w:rPr>
          <w:rFonts w:ascii="Arial" w:hAnsi="Arial" w:cs="Arial"/>
          <w:sz w:val="18"/>
          <w:szCs w:val="18"/>
        </w:rPr>
        <w:t xml:space="preserve">Right after taking office in July </w:t>
      </w:r>
      <w:r w:rsidR="003E1252">
        <w:rPr>
          <w:rFonts w:ascii="Arial" w:hAnsi="Arial" w:cs="Arial"/>
          <w:sz w:val="18"/>
          <w:szCs w:val="18"/>
        </w:rPr>
        <w:t>2020, t</w:t>
      </w:r>
      <w:r w:rsidR="00640F3C">
        <w:rPr>
          <w:rFonts w:ascii="Arial" w:hAnsi="Arial" w:cs="Arial"/>
          <w:sz w:val="18"/>
          <w:szCs w:val="18"/>
        </w:rPr>
        <w:t>he government</w:t>
      </w:r>
      <w:r w:rsidR="009F49C2">
        <w:rPr>
          <w:rFonts w:ascii="Arial" w:hAnsi="Arial" w:cs="Arial"/>
          <w:sz w:val="18"/>
          <w:szCs w:val="18"/>
        </w:rPr>
        <w:t xml:space="preserve"> began renegotiating the terms of US$125 million in debt due in 2023 to </w:t>
      </w:r>
      <w:r w:rsidR="004024DE">
        <w:rPr>
          <w:rFonts w:ascii="Arial" w:hAnsi="Arial" w:cs="Arial"/>
          <w:sz w:val="18"/>
          <w:szCs w:val="18"/>
        </w:rPr>
        <w:t xml:space="preserve">extend the repayment period. A similar restructuring </w:t>
      </w:r>
      <w:r w:rsidR="008B5E6A">
        <w:rPr>
          <w:rFonts w:ascii="Arial" w:hAnsi="Arial" w:cs="Arial"/>
          <w:sz w:val="18"/>
          <w:szCs w:val="18"/>
        </w:rPr>
        <w:t xml:space="preserve">is expected </w:t>
      </w:r>
      <w:r w:rsidR="004024DE">
        <w:rPr>
          <w:rFonts w:ascii="Arial" w:hAnsi="Arial" w:cs="Arial"/>
          <w:sz w:val="18"/>
          <w:szCs w:val="18"/>
        </w:rPr>
        <w:t>on the 2026 bonds</w:t>
      </w:r>
      <w:r w:rsidR="008B5E6A">
        <w:rPr>
          <w:rFonts w:ascii="Arial" w:hAnsi="Arial" w:cs="Arial"/>
          <w:sz w:val="18"/>
          <w:szCs w:val="18"/>
        </w:rPr>
        <w:t xml:space="preserve"> and other obligations.</w:t>
      </w:r>
      <w:r w:rsidR="004024DE">
        <w:rPr>
          <w:rFonts w:ascii="Arial" w:hAnsi="Arial" w:cs="Arial"/>
          <w:sz w:val="18"/>
          <w:szCs w:val="18"/>
        </w:rPr>
        <w:t xml:space="preserve"> </w:t>
      </w:r>
      <w:r w:rsidR="00640F3C">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364EF" w14:textId="77777777" w:rsidR="005031EB" w:rsidRDefault="005031EB">
    <w:pPr>
      <w:pStyle w:val="Header"/>
      <w:ind w:right="36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0CF56" w14:textId="1519C812" w:rsidR="00D97685" w:rsidRPr="00D97685" w:rsidRDefault="00E478ED" w:rsidP="00D97685">
    <w:pPr>
      <w:pStyle w:val="Header"/>
      <w:tabs>
        <w:tab w:val="clear" w:pos="4320"/>
      </w:tabs>
      <w:jc w:val="center"/>
      <w:rPr>
        <w:rFonts w:ascii="Arial" w:eastAsiaTheme="majorEastAsia" w:hAnsi="Arial" w:cs="Arial"/>
        <w:sz w:val="18"/>
        <w:szCs w:val="18"/>
      </w:rPr>
    </w:pPr>
    <w:sdt>
      <w:sdtPr>
        <w:rPr>
          <w:rFonts w:asciiTheme="majorHAnsi" w:eastAsiaTheme="majorEastAsia" w:hAnsiTheme="majorHAnsi" w:cstheme="majorBidi"/>
          <w:sz w:val="28"/>
          <w:szCs w:val="28"/>
        </w:rPr>
        <w:id w:val="1930002271"/>
        <w:docPartObj>
          <w:docPartGallery w:val="Page Numbers (Top of Page)"/>
          <w:docPartUnique/>
        </w:docPartObj>
      </w:sdtPr>
      <w:sdtEndPr>
        <w:rPr>
          <w:rFonts w:ascii="Arial" w:hAnsi="Arial" w:cs="Arial"/>
          <w:sz w:val="18"/>
          <w:szCs w:val="18"/>
        </w:rPr>
      </w:sdtEndPr>
      <w:sdtContent>
        <w:r w:rsidR="00D97685">
          <w:rPr>
            <w:rFonts w:ascii="Arial" w:eastAsiaTheme="majorEastAsia" w:hAnsi="Arial" w:cs="Arial"/>
            <w:sz w:val="18"/>
            <w:szCs w:val="18"/>
          </w:rPr>
          <w:t>-</w:t>
        </w:r>
        <w:r w:rsidR="00D97685" w:rsidRPr="00D97685">
          <w:rPr>
            <w:rFonts w:ascii="Arial" w:eastAsiaTheme="majorEastAsia" w:hAnsi="Arial" w:cs="Arial"/>
            <w:sz w:val="18"/>
            <w:szCs w:val="18"/>
          </w:rPr>
          <w:t xml:space="preserve"> </w:t>
        </w:r>
        <w:r w:rsidR="00D97685" w:rsidRPr="00D97685">
          <w:rPr>
            <w:rFonts w:ascii="Arial" w:eastAsiaTheme="minorEastAsia" w:hAnsi="Arial" w:cs="Arial"/>
            <w:sz w:val="18"/>
            <w:szCs w:val="18"/>
          </w:rPr>
          <w:fldChar w:fldCharType="begin"/>
        </w:r>
        <w:r w:rsidR="00D97685" w:rsidRPr="00D97685">
          <w:rPr>
            <w:rFonts w:ascii="Arial" w:hAnsi="Arial" w:cs="Arial"/>
            <w:sz w:val="18"/>
            <w:szCs w:val="18"/>
          </w:rPr>
          <w:instrText xml:space="preserve"> PAGE    \* MERGEFORMAT </w:instrText>
        </w:r>
        <w:r w:rsidR="00D97685" w:rsidRPr="00D97685">
          <w:rPr>
            <w:rFonts w:ascii="Arial" w:eastAsiaTheme="minorEastAsia" w:hAnsi="Arial" w:cs="Arial"/>
            <w:sz w:val="18"/>
            <w:szCs w:val="18"/>
          </w:rPr>
          <w:fldChar w:fldCharType="separate"/>
        </w:r>
        <w:r w:rsidR="00D97685">
          <w:rPr>
            <w:rFonts w:ascii="Arial" w:hAnsi="Arial" w:cs="Arial"/>
            <w:sz w:val="18"/>
            <w:szCs w:val="18"/>
          </w:rPr>
          <w:t>2</w:t>
        </w:r>
        <w:r w:rsidR="00D97685" w:rsidRPr="00D97685">
          <w:rPr>
            <w:rFonts w:ascii="Arial" w:eastAsiaTheme="majorEastAsia" w:hAnsi="Arial" w:cs="Arial"/>
            <w:noProof/>
            <w:sz w:val="18"/>
            <w:szCs w:val="18"/>
          </w:rPr>
          <w:fldChar w:fldCharType="end"/>
        </w:r>
        <w:r w:rsidR="00D97685" w:rsidRPr="00D97685">
          <w:rPr>
            <w:rFonts w:ascii="Arial" w:eastAsiaTheme="majorEastAsia" w:hAnsi="Arial" w:cs="Arial"/>
            <w:sz w:val="18"/>
            <w:szCs w:val="18"/>
          </w:rPr>
          <w:t xml:space="preserve"> </w:t>
        </w:r>
        <w:r w:rsidR="00D97685">
          <w:rPr>
            <w:rFonts w:ascii="Arial" w:eastAsiaTheme="majorEastAsia" w:hAnsi="Arial" w:cs="Arial"/>
            <w:sz w:val="18"/>
            <w:szCs w:val="18"/>
          </w:rPr>
          <w: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393D4" w14:textId="4D15CC8D" w:rsidR="004544EA" w:rsidRPr="00D97685" w:rsidRDefault="004544EA">
    <w:pPr>
      <w:pStyle w:val="Header"/>
      <w:jc w:val="center"/>
      <w:rPr>
        <w:rFonts w:ascii="Arial" w:eastAsiaTheme="majorEastAsia" w:hAnsi="Arial" w:cs="Arial"/>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43223" w14:textId="3D618DCB" w:rsidR="00D97685" w:rsidRPr="00D97685" w:rsidRDefault="00D97685">
    <w:pPr>
      <w:pStyle w:val="Header"/>
      <w:jc w:val="center"/>
      <w:rPr>
        <w:rFonts w:ascii="Arial" w:eastAsiaTheme="majorEastAsia"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A2B35"/>
    <w:multiLevelType w:val="multilevel"/>
    <w:tmpl w:val="D914897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bCs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0DAB7FC9"/>
    <w:multiLevelType w:val="multilevel"/>
    <w:tmpl w:val="8DEC35A0"/>
    <w:lvl w:ilvl="0">
      <w:start w:val="1"/>
      <w:numFmt w:val="upperRoman"/>
      <w:lvlText w:val="%1."/>
      <w:lvlJc w:val="center"/>
      <w:pPr>
        <w:tabs>
          <w:tab w:val="num" w:pos="3780"/>
        </w:tabs>
        <w:ind w:left="3132" w:firstLine="288"/>
      </w:pPr>
      <w:rPr>
        <w:rFonts w:hint="default"/>
        <w:b/>
        <w:i w:val="0"/>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152"/>
        </w:tabs>
        <w:ind w:left="1152" w:hanging="432"/>
      </w:pPr>
      <w:rPr>
        <w:rFonts w:hint="default"/>
        <w:b/>
        <w:i w:val="0"/>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1D79533A"/>
    <w:multiLevelType w:val="multilevel"/>
    <w:tmpl w:val="D24C2D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1D9C24A7"/>
    <w:multiLevelType w:val="hybridMultilevel"/>
    <w:tmpl w:val="0FF6BE22"/>
    <w:lvl w:ilvl="0" w:tplc="CBAC18BE">
      <w:start w:val="1"/>
      <w:numFmt w:val="decimal"/>
      <w:lvlText w:val="%1."/>
      <w:lvlJc w:val="left"/>
      <w:pPr>
        <w:ind w:left="720" w:hanging="360"/>
      </w:pPr>
      <w:rPr>
        <w:rFonts w:ascii="Arial" w:hAnsi="Arial" w:cs="Arial" w:hint="default"/>
        <w:b/>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608460A"/>
    <w:multiLevelType w:val="hybridMultilevel"/>
    <w:tmpl w:val="D29E8550"/>
    <w:lvl w:ilvl="0" w:tplc="C2C4833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AE37978"/>
    <w:multiLevelType w:val="multilevel"/>
    <w:tmpl w:val="9E8E1BA0"/>
    <w:lvl w:ilvl="0">
      <w:start w:val="1"/>
      <w:numFmt w:val="upperRoman"/>
      <w:lvlRestart w:val="0"/>
      <w:pStyle w:val="Chapter"/>
      <w:lvlText w:val="%1."/>
      <w:lvlJc w:val="center"/>
      <w:pPr>
        <w:tabs>
          <w:tab w:val="num" w:pos="2952"/>
        </w:tabs>
        <w:ind w:left="2304" w:firstLine="288"/>
      </w:pPr>
      <w:rPr>
        <w:b/>
        <w:i w:val="0"/>
      </w:rPr>
    </w:lvl>
    <w:lvl w:ilvl="1">
      <w:start w:val="1"/>
      <w:numFmt w:val="decimal"/>
      <w:pStyle w:val="Paragraph"/>
      <w:isLgl/>
      <w:lvlText w:val="%1.%2"/>
      <w:lvlJc w:val="left"/>
      <w:pPr>
        <w:tabs>
          <w:tab w:val="num" w:pos="3600"/>
        </w:tabs>
        <w:ind w:left="3600" w:hanging="1296"/>
      </w:pPr>
      <w:rPr>
        <w:rFonts w:ascii="Arial" w:hAnsi="Arial" w:cs="Arial" w:hint="default"/>
        <w:b w:val="0"/>
        <w:bCs/>
        <w:sz w:val="22"/>
        <w:szCs w:val="18"/>
      </w:rPr>
    </w:lvl>
    <w:lvl w:ilvl="2">
      <w:start w:val="1"/>
      <w:numFmt w:val="lowerLetter"/>
      <w:pStyle w:val="subpar"/>
      <w:lvlText w:val="%3."/>
      <w:lvlJc w:val="left"/>
      <w:pPr>
        <w:tabs>
          <w:tab w:val="num" w:pos="3456"/>
        </w:tabs>
        <w:ind w:left="3456" w:hanging="432"/>
      </w:pPr>
    </w:lvl>
    <w:lvl w:ilvl="3">
      <w:start w:val="1"/>
      <w:numFmt w:val="lowerRoman"/>
      <w:pStyle w:val="SubSubPar"/>
      <w:lvlText w:val="%4."/>
      <w:lvlJc w:val="right"/>
      <w:pPr>
        <w:tabs>
          <w:tab w:val="num" w:pos="3888"/>
        </w:tabs>
        <w:ind w:left="3888" w:hanging="288"/>
      </w:pPr>
    </w:lvl>
    <w:lvl w:ilvl="4">
      <w:start w:val="1"/>
      <w:numFmt w:val="decimal"/>
      <w:lvlText w:val="%1.%2.%3.%4.%5"/>
      <w:lvlJc w:val="left"/>
      <w:pPr>
        <w:ind w:left="3312" w:hanging="1008"/>
      </w:pPr>
    </w:lvl>
    <w:lvl w:ilvl="5">
      <w:start w:val="1"/>
      <w:numFmt w:val="decimal"/>
      <w:lvlText w:val="%1.%2.%3.%4.%5.%6"/>
      <w:lvlJc w:val="left"/>
      <w:pPr>
        <w:ind w:left="3456" w:hanging="1152"/>
      </w:pPr>
    </w:lvl>
    <w:lvl w:ilvl="6">
      <w:start w:val="1"/>
      <w:numFmt w:val="decimal"/>
      <w:lvlText w:val="%1.%2.%3.%4.%5.%6.%7"/>
      <w:lvlJc w:val="left"/>
      <w:pPr>
        <w:ind w:left="3600" w:hanging="1296"/>
      </w:pPr>
    </w:lvl>
    <w:lvl w:ilvl="7">
      <w:start w:val="1"/>
      <w:numFmt w:val="decimal"/>
      <w:lvlText w:val="%1.%2.%3.%4.%5.%6.%7.%8"/>
      <w:lvlJc w:val="left"/>
      <w:pPr>
        <w:ind w:left="3744" w:hanging="1440"/>
      </w:pPr>
    </w:lvl>
    <w:lvl w:ilvl="8">
      <w:start w:val="1"/>
      <w:numFmt w:val="decimal"/>
      <w:lvlText w:val="%1.%2.%3.%4.%5.%6.%7.%8.%9"/>
      <w:lvlJc w:val="left"/>
      <w:pPr>
        <w:ind w:left="3888" w:hanging="1584"/>
      </w:pPr>
    </w:lvl>
  </w:abstractNum>
  <w:abstractNum w:abstractNumId="7" w15:restartNumberingAfterBreak="0">
    <w:nsid w:val="739031CB"/>
    <w:multiLevelType w:val="hybridMultilevel"/>
    <w:tmpl w:val="09D68FD4"/>
    <w:lvl w:ilvl="0" w:tplc="F3CA3E4E">
      <w:start w:val="1"/>
      <w:numFmt w:val="upperRoman"/>
      <w:lvlText w:val="%1."/>
      <w:lvlJc w:val="left"/>
      <w:pPr>
        <w:ind w:left="1080" w:hanging="720"/>
      </w:pPr>
      <w:rPr>
        <w:rFonts w:hint="default"/>
      </w:rPr>
    </w:lvl>
    <w:lvl w:ilvl="1" w:tplc="935EE7FE" w:tentative="1">
      <w:start w:val="1"/>
      <w:numFmt w:val="lowerLetter"/>
      <w:lvlText w:val="%2."/>
      <w:lvlJc w:val="left"/>
      <w:pPr>
        <w:ind w:left="1440" w:hanging="360"/>
      </w:pPr>
    </w:lvl>
    <w:lvl w:ilvl="2" w:tplc="A7A4CB98" w:tentative="1">
      <w:start w:val="1"/>
      <w:numFmt w:val="lowerRoman"/>
      <w:lvlText w:val="%3."/>
      <w:lvlJc w:val="right"/>
      <w:pPr>
        <w:ind w:left="2160" w:hanging="180"/>
      </w:pPr>
    </w:lvl>
    <w:lvl w:ilvl="3" w:tplc="0C2C3330" w:tentative="1">
      <w:start w:val="1"/>
      <w:numFmt w:val="decimal"/>
      <w:lvlText w:val="%4."/>
      <w:lvlJc w:val="left"/>
      <w:pPr>
        <w:ind w:left="2880" w:hanging="360"/>
      </w:pPr>
    </w:lvl>
    <w:lvl w:ilvl="4" w:tplc="1F40355E" w:tentative="1">
      <w:start w:val="1"/>
      <w:numFmt w:val="lowerLetter"/>
      <w:lvlText w:val="%5."/>
      <w:lvlJc w:val="left"/>
      <w:pPr>
        <w:ind w:left="3600" w:hanging="360"/>
      </w:pPr>
    </w:lvl>
    <w:lvl w:ilvl="5" w:tplc="B94E8374" w:tentative="1">
      <w:start w:val="1"/>
      <w:numFmt w:val="lowerRoman"/>
      <w:lvlText w:val="%6."/>
      <w:lvlJc w:val="right"/>
      <w:pPr>
        <w:ind w:left="4320" w:hanging="180"/>
      </w:pPr>
    </w:lvl>
    <w:lvl w:ilvl="6" w:tplc="A31ABA7A" w:tentative="1">
      <w:start w:val="1"/>
      <w:numFmt w:val="decimal"/>
      <w:lvlText w:val="%7."/>
      <w:lvlJc w:val="left"/>
      <w:pPr>
        <w:ind w:left="5040" w:hanging="360"/>
      </w:pPr>
    </w:lvl>
    <w:lvl w:ilvl="7" w:tplc="8E2EF368" w:tentative="1">
      <w:start w:val="1"/>
      <w:numFmt w:val="lowerLetter"/>
      <w:lvlText w:val="%8."/>
      <w:lvlJc w:val="left"/>
      <w:pPr>
        <w:ind w:left="5760" w:hanging="360"/>
      </w:pPr>
    </w:lvl>
    <w:lvl w:ilvl="8" w:tplc="7DC2DDA6" w:tentative="1">
      <w:start w:val="1"/>
      <w:numFmt w:val="lowerRoman"/>
      <w:lvlText w:val="%9."/>
      <w:lvlJc w:val="right"/>
      <w:pPr>
        <w:ind w:left="6480" w:hanging="180"/>
      </w:pPr>
    </w:lvl>
  </w:abstractNum>
  <w:abstractNum w:abstractNumId="8" w15:restartNumberingAfterBreak="0">
    <w:nsid w:val="74C74592"/>
    <w:multiLevelType w:val="hybridMultilevel"/>
    <w:tmpl w:val="9908391E"/>
    <w:lvl w:ilvl="0" w:tplc="895022CE">
      <w:start w:val="1"/>
      <w:numFmt w:val="upperRoman"/>
      <w:pStyle w:val="Heading1"/>
      <w:lvlText w:val="%1."/>
      <w:lvlJc w:val="left"/>
      <w:pPr>
        <w:tabs>
          <w:tab w:val="num" w:pos="360"/>
        </w:tabs>
        <w:ind w:left="0" w:firstLine="0"/>
      </w:pPr>
    </w:lvl>
    <w:lvl w:ilvl="1" w:tplc="B5D2EECC">
      <w:start w:val="1"/>
      <w:numFmt w:val="upperLetter"/>
      <w:pStyle w:val="Heading2"/>
      <w:lvlText w:val="%2."/>
      <w:lvlJc w:val="left"/>
      <w:pPr>
        <w:tabs>
          <w:tab w:val="num" w:pos="1080"/>
        </w:tabs>
        <w:ind w:left="720" w:firstLine="0"/>
      </w:pPr>
    </w:lvl>
    <w:lvl w:ilvl="2" w:tplc="8E167108">
      <w:start w:val="1"/>
      <w:numFmt w:val="decimal"/>
      <w:pStyle w:val="Heading3"/>
      <w:lvlText w:val="%3."/>
      <w:lvlJc w:val="left"/>
      <w:pPr>
        <w:tabs>
          <w:tab w:val="num" w:pos="1800"/>
        </w:tabs>
        <w:ind w:left="1440" w:firstLine="0"/>
      </w:pPr>
    </w:lvl>
    <w:lvl w:ilvl="3" w:tplc="C5806FE0">
      <w:start w:val="1"/>
      <w:numFmt w:val="lowerLetter"/>
      <w:pStyle w:val="Heading4"/>
      <w:lvlText w:val="%4)"/>
      <w:lvlJc w:val="left"/>
      <w:pPr>
        <w:tabs>
          <w:tab w:val="num" w:pos="2520"/>
        </w:tabs>
        <w:ind w:left="2160" w:firstLine="0"/>
      </w:pPr>
    </w:lvl>
    <w:lvl w:ilvl="4" w:tplc="6608A5D6">
      <w:start w:val="1"/>
      <w:numFmt w:val="decimal"/>
      <w:lvlText w:val="(%5)"/>
      <w:lvlJc w:val="left"/>
      <w:pPr>
        <w:tabs>
          <w:tab w:val="num" w:pos="3240"/>
        </w:tabs>
        <w:ind w:left="2880" w:firstLine="0"/>
      </w:pPr>
    </w:lvl>
    <w:lvl w:ilvl="5" w:tplc="9F282CFA">
      <w:start w:val="1"/>
      <w:numFmt w:val="lowerLetter"/>
      <w:lvlText w:val="(%6)"/>
      <w:lvlJc w:val="left"/>
      <w:pPr>
        <w:tabs>
          <w:tab w:val="num" w:pos="3960"/>
        </w:tabs>
        <w:ind w:left="3600" w:firstLine="0"/>
      </w:pPr>
    </w:lvl>
    <w:lvl w:ilvl="6" w:tplc="C7D8581A">
      <w:start w:val="1"/>
      <w:numFmt w:val="lowerRoman"/>
      <w:lvlText w:val="(%7)"/>
      <w:lvlJc w:val="left"/>
      <w:pPr>
        <w:tabs>
          <w:tab w:val="num" w:pos="4680"/>
        </w:tabs>
        <w:ind w:left="4320" w:firstLine="0"/>
      </w:pPr>
    </w:lvl>
    <w:lvl w:ilvl="7" w:tplc="4FEA4E6C">
      <w:start w:val="1"/>
      <w:numFmt w:val="lowerLetter"/>
      <w:lvlText w:val="(%8)"/>
      <w:lvlJc w:val="left"/>
      <w:pPr>
        <w:tabs>
          <w:tab w:val="num" w:pos="5400"/>
        </w:tabs>
        <w:ind w:left="5040" w:firstLine="0"/>
      </w:pPr>
    </w:lvl>
    <w:lvl w:ilvl="8" w:tplc="0DD605DE">
      <w:start w:val="1"/>
      <w:numFmt w:val="lowerRoman"/>
      <w:lvlText w:val="(%9)"/>
      <w:lvlJc w:val="left"/>
      <w:pPr>
        <w:tabs>
          <w:tab w:val="num" w:pos="6120"/>
        </w:tabs>
        <w:ind w:left="5760" w:firstLine="0"/>
      </w:pPr>
    </w:lvl>
  </w:abstractNum>
  <w:abstractNum w:abstractNumId="9" w15:restartNumberingAfterBreak="0">
    <w:nsid w:val="79E63B93"/>
    <w:multiLevelType w:val="multilevel"/>
    <w:tmpl w:val="B05066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8"/>
  </w:num>
  <w:num w:numId="2">
    <w:abstractNumId w:val="8"/>
  </w:num>
  <w:num w:numId="3">
    <w:abstractNumId w:val="8"/>
  </w:num>
  <w:num w:numId="4">
    <w:abstractNumId w:val="8"/>
  </w:num>
  <w:num w:numId="5">
    <w:abstractNumId w:val="1"/>
  </w:num>
  <w:num w:numId="6">
    <w:abstractNumId w:val="2"/>
  </w:num>
  <w:num w:numId="7">
    <w:abstractNumId w:val="7"/>
  </w:num>
  <w:num w:numId="8">
    <w:abstractNumId w:val="5"/>
  </w:num>
  <w:num w:numId="9">
    <w:abstractNumId w:val="6"/>
  </w:num>
  <w:num w:numId="10">
    <w:abstractNumId w:val="6"/>
  </w:num>
  <w:num w:numId="11">
    <w:abstractNumId w:val="6"/>
  </w:num>
  <w:num w:numId="12">
    <w:abstractNumId w:val="4"/>
  </w:num>
  <w:num w:numId="13">
    <w:abstractNumId w:val="0"/>
  </w:num>
  <w:num w:numId="14">
    <w:abstractNumId w:val="9"/>
  </w:num>
  <w:num w:numId="1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n-U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419" w:vendorID="64" w:dllVersion="0" w:nlCheck="1" w:checkStyle="0"/>
  <w:activeWritingStyle w:appName="MSWord" w:lang="es-MX" w:vendorID="64" w:dllVersion="0" w:nlCheck="1" w:checkStyle="0"/>
  <w:activeWritingStyle w:appName="MSWord" w:lang="es-ES" w:vendorID="64" w:dllVersion="0" w:nlCheck="1" w:checkStyle="0"/>
  <w:activeWritingStyle w:appName="MSWord" w:lang="en-029" w:vendorID="64" w:dllVersion="0" w:nlCheck="1" w:checkStyle="0"/>
  <w:activeWritingStyle w:appName="MSWord" w:lang="fr-FR" w:vendorID="64" w:dllVersion="0"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TYPE" w:val="PR"/>
    <w:docVar w:name="TotalAbbr" w:val="0"/>
  </w:docVars>
  <w:rsids>
    <w:rsidRoot w:val="00E12118"/>
    <w:rsid w:val="00001C03"/>
    <w:rsid w:val="0000272D"/>
    <w:rsid w:val="0001084E"/>
    <w:rsid w:val="00010AF0"/>
    <w:rsid w:val="00013EC8"/>
    <w:rsid w:val="000149DF"/>
    <w:rsid w:val="00014DFB"/>
    <w:rsid w:val="000155D2"/>
    <w:rsid w:val="00016837"/>
    <w:rsid w:val="00016C40"/>
    <w:rsid w:val="000179C7"/>
    <w:rsid w:val="00020283"/>
    <w:rsid w:val="00020CB6"/>
    <w:rsid w:val="00020DAE"/>
    <w:rsid w:val="00021104"/>
    <w:rsid w:val="000236DB"/>
    <w:rsid w:val="000250F5"/>
    <w:rsid w:val="00026019"/>
    <w:rsid w:val="00026720"/>
    <w:rsid w:val="0002688B"/>
    <w:rsid w:val="00031418"/>
    <w:rsid w:val="00032B73"/>
    <w:rsid w:val="00033A4E"/>
    <w:rsid w:val="0003587B"/>
    <w:rsid w:val="0003767E"/>
    <w:rsid w:val="00037B83"/>
    <w:rsid w:val="00040111"/>
    <w:rsid w:val="0004143C"/>
    <w:rsid w:val="00042256"/>
    <w:rsid w:val="000433CD"/>
    <w:rsid w:val="000457C7"/>
    <w:rsid w:val="0005033F"/>
    <w:rsid w:val="0005181C"/>
    <w:rsid w:val="0005227F"/>
    <w:rsid w:val="0005326D"/>
    <w:rsid w:val="00053A4F"/>
    <w:rsid w:val="00053C33"/>
    <w:rsid w:val="00053D30"/>
    <w:rsid w:val="00056328"/>
    <w:rsid w:val="000576B5"/>
    <w:rsid w:val="00057CA5"/>
    <w:rsid w:val="00060466"/>
    <w:rsid w:val="00060572"/>
    <w:rsid w:val="0006117B"/>
    <w:rsid w:val="000624A8"/>
    <w:rsid w:val="000624C4"/>
    <w:rsid w:val="00063BBF"/>
    <w:rsid w:val="00064BA2"/>
    <w:rsid w:val="0006551F"/>
    <w:rsid w:val="00065D35"/>
    <w:rsid w:val="00066E41"/>
    <w:rsid w:val="00067038"/>
    <w:rsid w:val="000670E9"/>
    <w:rsid w:val="0006748A"/>
    <w:rsid w:val="0007069C"/>
    <w:rsid w:val="000709C5"/>
    <w:rsid w:val="0007177F"/>
    <w:rsid w:val="00072020"/>
    <w:rsid w:val="00072486"/>
    <w:rsid w:val="0007257B"/>
    <w:rsid w:val="00073B7F"/>
    <w:rsid w:val="00073BA0"/>
    <w:rsid w:val="0007445D"/>
    <w:rsid w:val="000747F6"/>
    <w:rsid w:val="0008015F"/>
    <w:rsid w:val="00080A27"/>
    <w:rsid w:val="00081371"/>
    <w:rsid w:val="00082C75"/>
    <w:rsid w:val="0008368F"/>
    <w:rsid w:val="00084C22"/>
    <w:rsid w:val="000851E7"/>
    <w:rsid w:val="0008533A"/>
    <w:rsid w:val="00087242"/>
    <w:rsid w:val="00090C14"/>
    <w:rsid w:val="00091444"/>
    <w:rsid w:val="00092572"/>
    <w:rsid w:val="00092EEA"/>
    <w:rsid w:val="000930A4"/>
    <w:rsid w:val="000938DB"/>
    <w:rsid w:val="0009392C"/>
    <w:rsid w:val="00094D52"/>
    <w:rsid w:val="00094F7A"/>
    <w:rsid w:val="0009520A"/>
    <w:rsid w:val="000955A2"/>
    <w:rsid w:val="00097B8F"/>
    <w:rsid w:val="000A1AA0"/>
    <w:rsid w:val="000A4829"/>
    <w:rsid w:val="000A4E4C"/>
    <w:rsid w:val="000A57EC"/>
    <w:rsid w:val="000A6738"/>
    <w:rsid w:val="000B1FB1"/>
    <w:rsid w:val="000B24A9"/>
    <w:rsid w:val="000B25B8"/>
    <w:rsid w:val="000B2F6F"/>
    <w:rsid w:val="000B32BC"/>
    <w:rsid w:val="000B3BD5"/>
    <w:rsid w:val="000B41BB"/>
    <w:rsid w:val="000B4DCC"/>
    <w:rsid w:val="000B66A8"/>
    <w:rsid w:val="000B72FC"/>
    <w:rsid w:val="000B79F8"/>
    <w:rsid w:val="000B7B90"/>
    <w:rsid w:val="000C010B"/>
    <w:rsid w:val="000C3762"/>
    <w:rsid w:val="000C41CC"/>
    <w:rsid w:val="000C42BA"/>
    <w:rsid w:val="000C6158"/>
    <w:rsid w:val="000C6195"/>
    <w:rsid w:val="000D0B75"/>
    <w:rsid w:val="000D34AF"/>
    <w:rsid w:val="000D3822"/>
    <w:rsid w:val="000D5A21"/>
    <w:rsid w:val="000E0506"/>
    <w:rsid w:val="000E0BF0"/>
    <w:rsid w:val="000E2BFF"/>
    <w:rsid w:val="000E4899"/>
    <w:rsid w:val="000E4BB5"/>
    <w:rsid w:val="000E5DFC"/>
    <w:rsid w:val="000F24BB"/>
    <w:rsid w:val="000F30BE"/>
    <w:rsid w:val="000F4193"/>
    <w:rsid w:val="000F5399"/>
    <w:rsid w:val="000F59CA"/>
    <w:rsid w:val="000F63BE"/>
    <w:rsid w:val="000F6431"/>
    <w:rsid w:val="000F6E39"/>
    <w:rsid w:val="001012DF"/>
    <w:rsid w:val="001014FA"/>
    <w:rsid w:val="001019B2"/>
    <w:rsid w:val="00102FDE"/>
    <w:rsid w:val="0010316C"/>
    <w:rsid w:val="00103744"/>
    <w:rsid w:val="0010646D"/>
    <w:rsid w:val="00107EAC"/>
    <w:rsid w:val="001107BE"/>
    <w:rsid w:val="0011224C"/>
    <w:rsid w:val="001123A5"/>
    <w:rsid w:val="00112FF9"/>
    <w:rsid w:val="00113829"/>
    <w:rsid w:val="00114ED7"/>
    <w:rsid w:val="00114F7D"/>
    <w:rsid w:val="001160A2"/>
    <w:rsid w:val="001164F0"/>
    <w:rsid w:val="00117DDA"/>
    <w:rsid w:val="00121C06"/>
    <w:rsid w:val="00122EDF"/>
    <w:rsid w:val="00123D65"/>
    <w:rsid w:val="00126571"/>
    <w:rsid w:val="00127BFC"/>
    <w:rsid w:val="001303CC"/>
    <w:rsid w:val="00130F75"/>
    <w:rsid w:val="001348D5"/>
    <w:rsid w:val="00135492"/>
    <w:rsid w:val="0013649B"/>
    <w:rsid w:val="00140F80"/>
    <w:rsid w:val="00141174"/>
    <w:rsid w:val="00141606"/>
    <w:rsid w:val="00141A56"/>
    <w:rsid w:val="00142ABD"/>
    <w:rsid w:val="00142CDE"/>
    <w:rsid w:val="0014405E"/>
    <w:rsid w:val="00144B10"/>
    <w:rsid w:val="00144C00"/>
    <w:rsid w:val="00146F2A"/>
    <w:rsid w:val="001471FA"/>
    <w:rsid w:val="00147292"/>
    <w:rsid w:val="001513C7"/>
    <w:rsid w:val="00153822"/>
    <w:rsid w:val="00154EAD"/>
    <w:rsid w:val="001552AA"/>
    <w:rsid w:val="001552EB"/>
    <w:rsid w:val="00155F40"/>
    <w:rsid w:val="00156AB7"/>
    <w:rsid w:val="00156B23"/>
    <w:rsid w:val="00156E2D"/>
    <w:rsid w:val="001600D9"/>
    <w:rsid w:val="00161BC0"/>
    <w:rsid w:val="00162F22"/>
    <w:rsid w:val="00162F28"/>
    <w:rsid w:val="0016331E"/>
    <w:rsid w:val="00163C20"/>
    <w:rsid w:val="001642A9"/>
    <w:rsid w:val="00164F9A"/>
    <w:rsid w:val="00165916"/>
    <w:rsid w:val="0016712A"/>
    <w:rsid w:val="00167697"/>
    <w:rsid w:val="00167836"/>
    <w:rsid w:val="00167B4F"/>
    <w:rsid w:val="001702B3"/>
    <w:rsid w:val="001716A9"/>
    <w:rsid w:val="001720CB"/>
    <w:rsid w:val="00172382"/>
    <w:rsid w:val="00172C66"/>
    <w:rsid w:val="00173107"/>
    <w:rsid w:val="0017428F"/>
    <w:rsid w:val="00175146"/>
    <w:rsid w:val="0017796D"/>
    <w:rsid w:val="00177DE8"/>
    <w:rsid w:val="00177FDE"/>
    <w:rsid w:val="00180EC9"/>
    <w:rsid w:val="00180FBB"/>
    <w:rsid w:val="00181A7F"/>
    <w:rsid w:val="00181CD8"/>
    <w:rsid w:val="0018215B"/>
    <w:rsid w:val="00182E84"/>
    <w:rsid w:val="0018315D"/>
    <w:rsid w:val="00191F38"/>
    <w:rsid w:val="00191FDB"/>
    <w:rsid w:val="00192576"/>
    <w:rsid w:val="00192E9E"/>
    <w:rsid w:val="001938E0"/>
    <w:rsid w:val="001942E3"/>
    <w:rsid w:val="001942FB"/>
    <w:rsid w:val="00194616"/>
    <w:rsid w:val="001A0256"/>
    <w:rsid w:val="001A0E2B"/>
    <w:rsid w:val="001A1A9C"/>
    <w:rsid w:val="001A236A"/>
    <w:rsid w:val="001A32CA"/>
    <w:rsid w:val="001A33A5"/>
    <w:rsid w:val="001A42BD"/>
    <w:rsid w:val="001A4F42"/>
    <w:rsid w:val="001A59DF"/>
    <w:rsid w:val="001A7DE9"/>
    <w:rsid w:val="001B16BB"/>
    <w:rsid w:val="001B3D69"/>
    <w:rsid w:val="001B5E18"/>
    <w:rsid w:val="001B5F39"/>
    <w:rsid w:val="001B6342"/>
    <w:rsid w:val="001B718E"/>
    <w:rsid w:val="001C357E"/>
    <w:rsid w:val="001C4655"/>
    <w:rsid w:val="001C546E"/>
    <w:rsid w:val="001C5A17"/>
    <w:rsid w:val="001C5E0F"/>
    <w:rsid w:val="001C61E2"/>
    <w:rsid w:val="001C6E9B"/>
    <w:rsid w:val="001D1C2F"/>
    <w:rsid w:val="001D2083"/>
    <w:rsid w:val="001D22E0"/>
    <w:rsid w:val="001D2516"/>
    <w:rsid w:val="001D3190"/>
    <w:rsid w:val="001D4EA3"/>
    <w:rsid w:val="001D5D4D"/>
    <w:rsid w:val="001E008D"/>
    <w:rsid w:val="001E040E"/>
    <w:rsid w:val="001E1103"/>
    <w:rsid w:val="001E12A1"/>
    <w:rsid w:val="001E1369"/>
    <w:rsid w:val="001E3B3E"/>
    <w:rsid w:val="001E4151"/>
    <w:rsid w:val="001E4D5F"/>
    <w:rsid w:val="001E5F8B"/>
    <w:rsid w:val="001E6498"/>
    <w:rsid w:val="001E7997"/>
    <w:rsid w:val="001F0BAB"/>
    <w:rsid w:val="001F154B"/>
    <w:rsid w:val="001F284D"/>
    <w:rsid w:val="001F29F7"/>
    <w:rsid w:val="001F48A4"/>
    <w:rsid w:val="001F739F"/>
    <w:rsid w:val="001F76DF"/>
    <w:rsid w:val="002014C3"/>
    <w:rsid w:val="0020184F"/>
    <w:rsid w:val="00203185"/>
    <w:rsid w:val="00203CA7"/>
    <w:rsid w:val="00205481"/>
    <w:rsid w:val="00205B6A"/>
    <w:rsid w:val="00210CC1"/>
    <w:rsid w:val="00210D0D"/>
    <w:rsid w:val="00210F56"/>
    <w:rsid w:val="00213B01"/>
    <w:rsid w:val="0021514D"/>
    <w:rsid w:val="00215C08"/>
    <w:rsid w:val="00215CF1"/>
    <w:rsid w:val="00215E24"/>
    <w:rsid w:val="002164BE"/>
    <w:rsid w:val="00217037"/>
    <w:rsid w:val="00217641"/>
    <w:rsid w:val="00217E41"/>
    <w:rsid w:val="00221613"/>
    <w:rsid w:val="002223A1"/>
    <w:rsid w:val="00223ADC"/>
    <w:rsid w:val="00223F77"/>
    <w:rsid w:val="002244E7"/>
    <w:rsid w:val="00225316"/>
    <w:rsid w:val="00225796"/>
    <w:rsid w:val="00225BB7"/>
    <w:rsid w:val="0022691B"/>
    <w:rsid w:val="00231525"/>
    <w:rsid w:val="00233389"/>
    <w:rsid w:val="00235003"/>
    <w:rsid w:val="00235B0D"/>
    <w:rsid w:val="00236D49"/>
    <w:rsid w:val="00236E6D"/>
    <w:rsid w:val="0023703C"/>
    <w:rsid w:val="0023717F"/>
    <w:rsid w:val="00237210"/>
    <w:rsid w:val="0024017A"/>
    <w:rsid w:val="002412A3"/>
    <w:rsid w:val="002414F1"/>
    <w:rsid w:val="00242565"/>
    <w:rsid w:val="00243105"/>
    <w:rsid w:val="0024320A"/>
    <w:rsid w:val="0024474D"/>
    <w:rsid w:val="0024524D"/>
    <w:rsid w:val="00246340"/>
    <w:rsid w:val="00246FB4"/>
    <w:rsid w:val="00247F77"/>
    <w:rsid w:val="00252036"/>
    <w:rsid w:val="002520DF"/>
    <w:rsid w:val="00253F74"/>
    <w:rsid w:val="002566CF"/>
    <w:rsid w:val="0025763D"/>
    <w:rsid w:val="00261A5F"/>
    <w:rsid w:val="002642AD"/>
    <w:rsid w:val="00265B8A"/>
    <w:rsid w:val="00265C8A"/>
    <w:rsid w:val="00266180"/>
    <w:rsid w:val="00270074"/>
    <w:rsid w:val="0027102F"/>
    <w:rsid w:val="002720AC"/>
    <w:rsid w:val="00273D81"/>
    <w:rsid w:val="002746D7"/>
    <w:rsid w:val="00275112"/>
    <w:rsid w:val="00275E77"/>
    <w:rsid w:val="002762C8"/>
    <w:rsid w:val="00277C1A"/>
    <w:rsid w:val="00277DDE"/>
    <w:rsid w:val="00280096"/>
    <w:rsid w:val="00281A11"/>
    <w:rsid w:val="00281A51"/>
    <w:rsid w:val="00281B95"/>
    <w:rsid w:val="00281C52"/>
    <w:rsid w:val="002821BF"/>
    <w:rsid w:val="00283788"/>
    <w:rsid w:val="00284C7C"/>
    <w:rsid w:val="0028648B"/>
    <w:rsid w:val="002910BB"/>
    <w:rsid w:val="0029118A"/>
    <w:rsid w:val="0029377A"/>
    <w:rsid w:val="002947C1"/>
    <w:rsid w:val="00296727"/>
    <w:rsid w:val="002967D4"/>
    <w:rsid w:val="00297757"/>
    <w:rsid w:val="002A314E"/>
    <w:rsid w:val="002A3332"/>
    <w:rsid w:val="002A3386"/>
    <w:rsid w:val="002A5172"/>
    <w:rsid w:val="002A56E8"/>
    <w:rsid w:val="002A5BCC"/>
    <w:rsid w:val="002A74F9"/>
    <w:rsid w:val="002A795D"/>
    <w:rsid w:val="002B0A8D"/>
    <w:rsid w:val="002B1704"/>
    <w:rsid w:val="002B2592"/>
    <w:rsid w:val="002B3256"/>
    <w:rsid w:val="002B3F30"/>
    <w:rsid w:val="002B489E"/>
    <w:rsid w:val="002B50EC"/>
    <w:rsid w:val="002B5B4E"/>
    <w:rsid w:val="002B5F6A"/>
    <w:rsid w:val="002B64E1"/>
    <w:rsid w:val="002B6DA6"/>
    <w:rsid w:val="002B7458"/>
    <w:rsid w:val="002C3441"/>
    <w:rsid w:val="002C3694"/>
    <w:rsid w:val="002C3902"/>
    <w:rsid w:val="002C39A2"/>
    <w:rsid w:val="002C487B"/>
    <w:rsid w:val="002C5F61"/>
    <w:rsid w:val="002C6F9E"/>
    <w:rsid w:val="002C78F9"/>
    <w:rsid w:val="002C7F8B"/>
    <w:rsid w:val="002D23EF"/>
    <w:rsid w:val="002D38E5"/>
    <w:rsid w:val="002D3C31"/>
    <w:rsid w:val="002D4815"/>
    <w:rsid w:val="002D7030"/>
    <w:rsid w:val="002D7574"/>
    <w:rsid w:val="002D76C0"/>
    <w:rsid w:val="002D7E32"/>
    <w:rsid w:val="002E0904"/>
    <w:rsid w:val="002E1643"/>
    <w:rsid w:val="002E18C2"/>
    <w:rsid w:val="002E409B"/>
    <w:rsid w:val="002E4605"/>
    <w:rsid w:val="002E540E"/>
    <w:rsid w:val="002F0244"/>
    <w:rsid w:val="002F1293"/>
    <w:rsid w:val="002F2F82"/>
    <w:rsid w:val="002F3035"/>
    <w:rsid w:val="002F4A4D"/>
    <w:rsid w:val="002F4CB9"/>
    <w:rsid w:val="002F564A"/>
    <w:rsid w:val="002F6476"/>
    <w:rsid w:val="002F6688"/>
    <w:rsid w:val="002F684A"/>
    <w:rsid w:val="002F72F5"/>
    <w:rsid w:val="00300C01"/>
    <w:rsid w:val="00303592"/>
    <w:rsid w:val="003037B4"/>
    <w:rsid w:val="00304711"/>
    <w:rsid w:val="00306037"/>
    <w:rsid w:val="00306B0D"/>
    <w:rsid w:val="00310526"/>
    <w:rsid w:val="0031072F"/>
    <w:rsid w:val="00314116"/>
    <w:rsid w:val="0031495D"/>
    <w:rsid w:val="00314E0A"/>
    <w:rsid w:val="00316E99"/>
    <w:rsid w:val="00320457"/>
    <w:rsid w:val="003207F1"/>
    <w:rsid w:val="0032138D"/>
    <w:rsid w:val="003219DB"/>
    <w:rsid w:val="003229F1"/>
    <w:rsid w:val="00322A22"/>
    <w:rsid w:val="00323342"/>
    <w:rsid w:val="00324C02"/>
    <w:rsid w:val="003268D3"/>
    <w:rsid w:val="00326E78"/>
    <w:rsid w:val="003305FC"/>
    <w:rsid w:val="00330BF9"/>
    <w:rsid w:val="00330F3A"/>
    <w:rsid w:val="00331D7F"/>
    <w:rsid w:val="00333038"/>
    <w:rsid w:val="003337B0"/>
    <w:rsid w:val="0033437E"/>
    <w:rsid w:val="00335240"/>
    <w:rsid w:val="00336398"/>
    <w:rsid w:val="003367CC"/>
    <w:rsid w:val="003372D9"/>
    <w:rsid w:val="003410A1"/>
    <w:rsid w:val="00341538"/>
    <w:rsid w:val="00343584"/>
    <w:rsid w:val="003435D4"/>
    <w:rsid w:val="0034484C"/>
    <w:rsid w:val="00345652"/>
    <w:rsid w:val="00345A36"/>
    <w:rsid w:val="00345EF0"/>
    <w:rsid w:val="00346ABD"/>
    <w:rsid w:val="003476E8"/>
    <w:rsid w:val="00347ACC"/>
    <w:rsid w:val="00350DFA"/>
    <w:rsid w:val="0035114C"/>
    <w:rsid w:val="00351DC9"/>
    <w:rsid w:val="00352CFD"/>
    <w:rsid w:val="00353735"/>
    <w:rsid w:val="00353ED2"/>
    <w:rsid w:val="00354D5F"/>
    <w:rsid w:val="003559CA"/>
    <w:rsid w:val="00357E37"/>
    <w:rsid w:val="00357FB8"/>
    <w:rsid w:val="00360FF7"/>
    <w:rsid w:val="0036257A"/>
    <w:rsid w:val="0036361E"/>
    <w:rsid w:val="00363D7A"/>
    <w:rsid w:val="00363E93"/>
    <w:rsid w:val="00365534"/>
    <w:rsid w:val="003655FC"/>
    <w:rsid w:val="00370BC6"/>
    <w:rsid w:val="0037248A"/>
    <w:rsid w:val="003726BD"/>
    <w:rsid w:val="00372EA7"/>
    <w:rsid w:val="00374ED9"/>
    <w:rsid w:val="003751AD"/>
    <w:rsid w:val="00375CC7"/>
    <w:rsid w:val="00375F9E"/>
    <w:rsid w:val="00376DB4"/>
    <w:rsid w:val="003779EA"/>
    <w:rsid w:val="00380288"/>
    <w:rsid w:val="003809EA"/>
    <w:rsid w:val="00380B8B"/>
    <w:rsid w:val="00380F0B"/>
    <w:rsid w:val="00380FB1"/>
    <w:rsid w:val="00381971"/>
    <w:rsid w:val="00382B8C"/>
    <w:rsid w:val="00382EB4"/>
    <w:rsid w:val="00382FCF"/>
    <w:rsid w:val="0038326B"/>
    <w:rsid w:val="003832B0"/>
    <w:rsid w:val="00385DF9"/>
    <w:rsid w:val="003869CA"/>
    <w:rsid w:val="0038742A"/>
    <w:rsid w:val="00387F86"/>
    <w:rsid w:val="00391856"/>
    <w:rsid w:val="003924FD"/>
    <w:rsid w:val="003958E7"/>
    <w:rsid w:val="00395F3F"/>
    <w:rsid w:val="00396834"/>
    <w:rsid w:val="003976D4"/>
    <w:rsid w:val="003A02CA"/>
    <w:rsid w:val="003A0563"/>
    <w:rsid w:val="003A0759"/>
    <w:rsid w:val="003A0DFF"/>
    <w:rsid w:val="003A2D06"/>
    <w:rsid w:val="003A3585"/>
    <w:rsid w:val="003A371A"/>
    <w:rsid w:val="003A3A20"/>
    <w:rsid w:val="003A3F65"/>
    <w:rsid w:val="003A4570"/>
    <w:rsid w:val="003A6422"/>
    <w:rsid w:val="003A6640"/>
    <w:rsid w:val="003A7890"/>
    <w:rsid w:val="003A793C"/>
    <w:rsid w:val="003B0602"/>
    <w:rsid w:val="003B0891"/>
    <w:rsid w:val="003B2235"/>
    <w:rsid w:val="003B2663"/>
    <w:rsid w:val="003B2DE1"/>
    <w:rsid w:val="003B60E5"/>
    <w:rsid w:val="003B6D11"/>
    <w:rsid w:val="003B71D7"/>
    <w:rsid w:val="003C07E2"/>
    <w:rsid w:val="003C17D7"/>
    <w:rsid w:val="003C3A3F"/>
    <w:rsid w:val="003C3C6A"/>
    <w:rsid w:val="003C3F95"/>
    <w:rsid w:val="003C4661"/>
    <w:rsid w:val="003C57FA"/>
    <w:rsid w:val="003C712C"/>
    <w:rsid w:val="003C7273"/>
    <w:rsid w:val="003C75CF"/>
    <w:rsid w:val="003C7BDA"/>
    <w:rsid w:val="003D0598"/>
    <w:rsid w:val="003D25D2"/>
    <w:rsid w:val="003D552B"/>
    <w:rsid w:val="003D5D1E"/>
    <w:rsid w:val="003D7309"/>
    <w:rsid w:val="003D779E"/>
    <w:rsid w:val="003E1252"/>
    <w:rsid w:val="003E3109"/>
    <w:rsid w:val="003E3835"/>
    <w:rsid w:val="003E55D7"/>
    <w:rsid w:val="003E6BEC"/>
    <w:rsid w:val="003E7251"/>
    <w:rsid w:val="003F06C8"/>
    <w:rsid w:val="003F0FC0"/>
    <w:rsid w:val="003F27D7"/>
    <w:rsid w:val="003F3016"/>
    <w:rsid w:val="003F309E"/>
    <w:rsid w:val="003F45DD"/>
    <w:rsid w:val="003F5774"/>
    <w:rsid w:val="003F7F42"/>
    <w:rsid w:val="004000F8"/>
    <w:rsid w:val="004008B8"/>
    <w:rsid w:val="00401062"/>
    <w:rsid w:val="004022F3"/>
    <w:rsid w:val="0040241E"/>
    <w:rsid w:val="004024DE"/>
    <w:rsid w:val="00402763"/>
    <w:rsid w:val="0040315C"/>
    <w:rsid w:val="00403418"/>
    <w:rsid w:val="004038A7"/>
    <w:rsid w:val="00403F48"/>
    <w:rsid w:val="00404898"/>
    <w:rsid w:val="004054D4"/>
    <w:rsid w:val="00406889"/>
    <w:rsid w:val="00406939"/>
    <w:rsid w:val="00410322"/>
    <w:rsid w:val="004135A2"/>
    <w:rsid w:val="00413847"/>
    <w:rsid w:val="0041531D"/>
    <w:rsid w:val="00415549"/>
    <w:rsid w:val="0041610E"/>
    <w:rsid w:val="004200E1"/>
    <w:rsid w:val="004220B6"/>
    <w:rsid w:val="00425DBA"/>
    <w:rsid w:val="004269DB"/>
    <w:rsid w:val="00427A9E"/>
    <w:rsid w:val="004301F8"/>
    <w:rsid w:val="0043256E"/>
    <w:rsid w:val="00433290"/>
    <w:rsid w:val="00433791"/>
    <w:rsid w:val="004341BA"/>
    <w:rsid w:val="00434F98"/>
    <w:rsid w:val="0043525E"/>
    <w:rsid w:val="00437546"/>
    <w:rsid w:val="00437E00"/>
    <w:rsid w:val="00443165"/>
    <w:rsid w:val="0044599E"/>
    <w:rsid w:val="00445D68"/>
    <w:rsid w:val="00446AA8"/>
    <w:rsid w:val="00450757"/>
    <w:rsid w:val="0045248B"/>
    <w:rsid w:val="00453B85"/>
    <w:rsid w:val="00453E76"/>
    <w:rsid w:val="004544EA"/>
    <w:rsid w:val="004561C6"/>
    <w:rsid w:val="0045688F"/>
    <w:rsid w:val="00456A35"/>
    <w:rsid w:val="00466286"/>
    <w:rsid w:val="004707BC"/>
    <w:rsid w:val="00470DEE"/>
    <w:rsid w:val="00471A3B"/>
    <w:rsid w:val="004731A7"/>
    <w:rsid w:val="00473D7B"/>
    <w:rsid w:val="00476B1E"/>
    <w:rsid w:val="00476CE3"/>
    <w:rsid w:val="00477DFA"/>
    <w:rsid w:val="0048007D"/>
    <w:rsid w:val="004814B0"/>
    <w:rsid w:val="0048189D"/>
    <w:rsid w:val="00482A45"/>
    <w:rsid w:val="004842D6"/>
    <w:rsid w:val="00484363"/>
    <w:rsid w:val="004844BD"/>
    <w:rsid w:val="004846A8"/>
    <w:rsid w:val="004846FF"/>
    <w:rsid w:val="00484DA7"/>
    <w:rsid w:val="0048564E"/>
    <w:rsid w:val="004862F0"/>
    <w:rsid w:val="004876A2"/>
    <w:rsid w:val="00491265"/>
    <w:rsid w:val="004914E3"/>
    <w:rsid w:val="00492349"/>
    <w:rsid w:val="004946D9"/>
    <w:rsid w:val="004948A2"/>
    <w:rsid w:val="0049634F"/>
    <w:rsid w:val="004971D5"/>
    <w:rsid w:val="004A01B2"/>
    <w:rsid w:val="004A0320"/>
    <w:rsid w:val="004A051C"/>
    <w:rsid w:val="004A061B"/>
    <w:rsid w:val="004A0CF5"/>
    <w:rsid w:val="004A12A5"/>
    <w:rsid w:val="004A26B3"/>
    <w:rsid w:val="004A3BBA"/>
    <w:rsid w:val="004A41FC"/>
    <w:rsid w:val="004A456B"/>
    <w:rsid w:val="004A584E"/>
    <w:rsid w:val="004A5A36"/>
    <w:rsid w:val="004A639E"/>
    <w:rsid w:val="004A6921"/>
    <w:rsid w:val="004A7091"/>
    <w:rsid w:val="004A748A"/>
    <w:rsid w:val="004A7529"/>
    <w:rsid w:val="004A7A73"/>
    <w:rsid w:val="004B0B22"/>
    <w:rsid w:val="004B0C95"/>
    <w:rsid w:val="004B2470"/>
    <w:rsid w:val="004B26C7"/>
    <w:rsid w:val="004B5DC9"/>
    <w:rsid w:val="004B6404"/>
    <w:rsid w:val="004B657E"/>
    <w:rsid w:val="004C0367"/>
    <w:rsid w:val="004C0BCB"/>
    <w:rsid w:val="004C0ECA"/>
    <w:rsid w:val="004C5D27"/>
    <w:rsid w:val="004C613F"/>
    <w:rsid w:val="004C72A6"/>
    <w:rsid w:val="004C7AA4"/>
    <w:rsid w:val="004C7FC8"/>
    <w:rsid w:val="004D1A96"/>
    <w:rsid w:val="004D1B0E"/>
    <w:rsid w:val="004D2E16"/>
    <w:rsid w:val="004D4A53"/>
    <w:rsid w:val="004D56F6"/>
    <w:rsid w:val="004D5B1E"/>
    <w:rsid w:val="004D76F1"/>
    <w:rsid w:val="004D7FA2"/>
    <w:rsid w:val="004E0EDC"/>
    <w:rsid w:val="004E12D9"/>
    <w:rsid w:val="004E1B7A"/>
    <w:rsid w:val="004E3816"/>
    <w:rsid w:val="004E3927"/>
    <w:rsid w:val="004E47A3"/>
    <w:rsid w:val="004E6AC2"/>
    <w:rsid w:val="004F0422"/>
    <w:rsid w:val="004F086E"/>
    <w:rsid w:val="004F1055"/>
    <w:rsid w:val="004F1171"/>
    <w:rsid w:val="004F139A"/>
    <w:rsid w:val="004F307F"/>
    <w:rsid w:val="004F4198"/>
    <w:rsid w:val="004F42B7"/>
    <w:rsid w:val="004F518B"/>
    <w:rsid w:val="004F6684"/>
    <w:rsid w:val="004F6D47"/>
    <w:rsid w:val="004F7695"/>
    <w:rsid w:val="00502A14"/>
    <w:rsid w:val="005031EB"/>
    <w:rsid w:val="00505E4B"/>
    <w:rsid w:val="00507A2E"/>
    <w:rsid w:val="0051086F"/>
    <w:rsid w:val="00510F79"/>
    <w:rsid w:val="0051148C"/>
    <w:rsid w:val="00513C16"/>
    <w:rsid w:val="00513CF4"/>
    <w:rsid w:val="0051513D"/>
    <w:rsid w:val="00516D8C"/>
    <w:rsid w:val="0051708C"/>
    <w:rsid w:val="00517632"/>
    <w:rsid w:val="00520D90"/>
    <w:rsid w:val="00520DBB"/>
    <w:rsid w:val="00520DF2"/>
    <w:rsid w:val="00522EC9"/>
    <w:rsid w:val="005244AC"/>
    <w:rsid w:val="005244FD"/>
    <w:rsid w:val="0052506E"/>
    <w:rsid w:val="00525D16"/>
    <w:rsid w:val="00525D9D"/>
    <w:rsid w:val="0052677C"/>
    <w:rsid w:val="00526B41"/>
    <w:rsid w:val="00530144"/>
    <w:rsid w:val="00530312"/>
    <w:rsid w:val="0053071B"/>
    <w:rsid w:val="0053402E"/>
    <w:rsid w:val="00534BA3"/>
    <w:rsid w:val="005375BD"/>
    <w:rsid w:val="00540023"/>
    <w:rsid w:val="00540511"/>
    <w:rsid w:val="00540C5D"/>
    <w:rsid w:val="00542144"/>
    <w:rsid w:val="00542A9D"/>
    <w:rsid w:val="00543670"/>
    <w:rsid w:val="00545485"/>
    <w:rsid w:val="00545E25"/>
    <w:rsid w:val="005512BB"/>
    <w:rsid w:val="00556E65"/>
    <w:rsid w:val="005606FB"/>
    <w:rsid w:val="00560F6F"/>
    <w:rsid w:val="005610DF"/>
    <w:rsid w:val="0056205A"/>
    <w:rsid w:val="00564016"/>
    <w:rsid w:val="0056462F"/>
    <w:rsid w:val="00566DD1"/>
    <w:rsid w:val="005673D0"/>
    <w:rsid w:val="005678BF"/>
    <w:rsid w:val="0057122A"/>
    <w:rsid w:val="00571CE3"/>
    <w:rsid w:val="0057258A"/>
    <w:rsid w:val="0057363A"/>
    <w:rsid w:val="005743CD"/>
    <w:rsid w:val="00574441"/>
    <w:rsid w:val="0057475C"/>
    <w:rsid w:val="005749C8"/>
    <w:rsid w:val="0057531D"/>
    <w:rsid w:val="005777AE"/>
    <w:rsid w:val="0058122C"/>
    <w:rsid w:val="00583B51"/>
    <w:rsid w:val="00583ED0"/>
    <w:rsid w:val="005849CF"/>
    <w:rsid w:val="0058525C"/>
    <w:rsid w:val="00585B1C"/>
    <w:rsid w:val="00590220"/>
    <w:rsid w:val="005904FC"/>
    <w:rsid w:val="005912FA"/>
    <w:rsid w:val="00591407"/>
    <w:rsid w:val="00593F82"/>
    <w:rsid w:val="0059521B"/>
    <w:rsid w:val="00595295"/>
    <w:rsid w:val="00597811"/>
    <w:rsid w:val="005A0734"/>
    <w:rsid w:val="005A127A"/>
    <w:rsid w:val="005A24BB"/>
    <w:rsid w:val="005A2531"/>
    <w:rsid w:val="005A337F"/>
    <w:rsid w:val="005A4EED"/>
    <w:rsid w:val="005A5523"/>
    <w:rsid w:val="005A612A"/>
    <w:rsid w:val="005A65F1"/>
    <w:rsid w:val="005A6D07"/>
    <w:rsid w:val="005A6D46"/>
    <w:rsid w:val="005A73EA"/>
    <w:rsid w:val="005A7A8C"/>
    <w:rsid w:val="005B1260"/>
    <w:rsid w:val="005B2039"/>
    <w:rsid w:val="005B24C9"/>
    <w:rsid w:val="005B2C97"/>
    <w:rsid w:val="005B429C"/>
    <w:rsid w:val="005B4D32"/>
    <w:rsid w:val="005B4DFE"/>
    <w:rsid w:val="005B5DC1"/>
    <w:rsid w:val="005C115B"/>
    <w:rsid w:val="005C2319"/>
    <w:rsid w:val="005C35CB"/>
    <w:rsid w:val="005C3BF5"/>
    <w:rsid w:val="005C3EE5"/>
    <w:rsid w:val="005C5796"/>
    <w:rsid w:val="005C5FC3"/>
    <w:rsid w:val="005D1F70"/>
    <w:rsid w:val="005D20DB"/>
    <w:rsid w:val="005D29FA"/>
    <w:rsid w:val="005D3133"/>
    <w:rsid w:val="005D38F4"/>
    <w:rsid w:val="005D53E8"/>
    <w:rsid w:val="005D559A"/>
    <w:rsid w:val="005D6C53"/>
    <w:rsid w:val="005E1DCA"/>
    <w:rsid w:val="005E4372"/>
    <w:rsid w:val="005E4B21"/>
    <w:rsid w:val="005E5067"/>
    <w:rsid w:val="005E5968"/>
    <w:rsid w:val="005E5A7B"/>
    <w:rsid w:val="005E691C"/>
    <w:rsid w:val="005E7DFD"/>
    <w:rsid w:val="005F02CB"/>
    <w:rsid w:val="005F05C8"/>
    <w:rsid w:val="005F0920"/>
    <w:rsid w:val="005F171B"/>
    <w:rsid w:val="005F1A4C"/>
    <w:rsid w:val="005F2D29"/>
    <w:rsid w:val="005F3CD4"/>
    <w:rsid w:val="005F5734"/>
    <w:rsid w:val="005F7A7D"/>
    <w:rsid w:val="005F7D3D"/>
    <w:rsid w:val="006008DD"/>
    <w:rsid w:val="0060167A"/>
    <w:rsid w:val="006033EC"/>
    <w:rsid w:val="006052B5"/>
    <w:rsid w:val="0060535B"/>
    <w:rsid w:val="006069C6"/>
    <w:rsid w:val="0060746C"/>
    <w:rsid w:val="00607575"/>
    <w:rsid w:val="00610461"/>
    <w:rsid w:val="0061096E"/>
    <w:rsid w:val="006111D8"/>
    <w:rsid w:val="00613857"/>
    <w:rsid w:val="00614938"/>
    <w:rsid w:val="00614F29"/>
    <w:rsid w:val="006154DE"/>
    <w:rsid w:val="00616D67"/>
    <w:rsid w:val="00617868"/>
    <w:rsid w:val="00622EDC"/>
    <w:rsid w:val="00623FA7"/>
    <w:rsid w:val="0062519F"/>
    <w:rsid w:val="00630B6B"/>
    <w:rsid w:val="00630F61"/>
    <w:rsid w:val="00631B4F"/>
    <w:rsid w:val="0063297D"/>
    <w:rsid w:val="00632A5E"/>
    <w:rsid w:val="00633836"/>
    <w:rsid w:val="00633871"/>
    <w:rsid w:val="00634339"/>
    <w:rsid w:val="00635812"/>
    <w:rsid w:val="006360A7"/>
    <w:rsid w:val="0063789F"/>
    <w:rsid w:val="00637C50"/>
    <w:rsid w:val="00640F3C"/>
    <w:rsid w:val="00641746"/>
    <w:rsid w:val="00641D57"/>
    <w:rsid w:val="0064307D"/>
    <w:rsid w:val="0064542B"/>
    <w:rsid w:val="00647A42"/>
    <w:rsid w:val="006514A5"/>
    <w:rsid w:val="00651C96"/>
    <w:rsid w:val="00651E3B"/>
    <w:rsid w:val="0065234E"/>
    <w:rsid w:val="0065282F"/>
    <w:rsid w:val="00653572"/>
    <w:rsid w:val="0065426D"/>
    <w:rsid w:val="00654904"/>
    <w:rsid w:val="00654A6B"/>
    <w:rsid w:val="006557AA"/>
    <w:rsid w:val="00655B95"/>
    <w:rsid w:val="00655BA4"/>
    <w:rsid w:val="00655D47"/>
    <w:rsid w:val="00661AA6"/>
    <w:rsid w:val="00662E28"/>
    <w:rsid w:val="00662EF5"/>
    <w:rsid w:val="006656F5"/>
    <w:rsid w:val="00665DD8"/>
    <w:rsid w:val="00666682"/>
    <w:rsid w:val="00666863"/>
    <w:rsid w:val="00666A6B"/>
    <w:rsid w:val="006675F7"/>
    <w:rsid w:val="006677A3"/>
    <w:rsid w:val="00667BD6"/>
    <w:rsid w:val="00667FD0"/>
    <w:rsid w:val="00670ACA"/>
    <w:rsid w:val="00670F13"/>
    <w:rsid w:val="00671528"/>
    <w:rsid w:val="00671B41"/>
    <w:rsid w:val="006746E1"/>
    <w:rsid w:val="0067674A"/>
    <w:rsid w:val="006770D2"/>
    <w:rsid w:val="00677958"/>
    <w:rsid w:val="006804B0"/>
    <w:rsid w:val="00680797"/>
    <w:rsid w:val="00680D6D"/>
    <w:rsid w:val="00681369"/>
    <w:rsid w:val="00682036"/>
    <w:rsid w:val="00682460"/>
    <w:rsid w:val="006824C5"/>
    <w:rsid w:val="00683491"/>
    <w:rsid w:val="00683D25"/>
    <w:rsid w:val="0068469E"/>
    <w:rsid w:val="00686022"/>
    <w:rsid w:val="006861CB"/>
    <w:rsid w:val="00686F97"/>
    <w:rsid w:val="0068765F"/>
    <w:rsid w:val="00691DCC"/>
    <w:rsid w:val="00692B36"/>
    <w:rsid w:val="006930EC"/>
    <w:rsid w:val="00693EAF"/>
    <w:rsid w:val="00694293"/>
    <w:rsid w:val="00694D1F"/>
    <w:rsid w:val="00696847"/>
    <w:rsid w:val="00696BCD"/>
    <w:rsid w:val="00697A63"/>
    <w:rsid w:val="006A0954"/>
    <w:rsid w:val="006A10A8"/>
    <w:rsid w:val="006A1933"/>
    <w:rsid w:val="006A2958"/>
    <w:rsid w:val="006A297F"/>
    <w:rsid w:val="006A4F1A"/>
    <w:rsid w:val="006A59C1"/>
    <w:rsid w:val="006A60E1"/>
    <w:rsid w:val="006A623F"/>
    <w:rsid w:val="006A624D"/>
    <w:rsid w:val="006A6915"/>
    <w:rsid w:val="006A6DE4"/>
    <w:rsid w:val="006A7A0B"/>
    <w:rsid w:val="006A7CDD"/>
    <w:rsid w:val="006B1297"/>
    <w:rsid w:val="006B1399"/>
    <w:rsid w:val="006B2D6E"/>
    <w:rsid w:val="006B2ED2"/>
    <w:rsid w:val="006B3ECD"/>
    <w:rsid w:val="006B6BB8"/>
    <w:rsid w:val="006C2AA9"/>
    <w:rsid w:val="006C30A6"/>
    <w:rsid w:val="006C354A"/>
    <w:rsid w:val="006C54B3"/>
    <w:rsid w:val="006C6FF7"/>
    <w:rsid w:val="006D0109"/>
    <w:rsid w:val="006D1CC0"/>
    <w:rsid w:val="006D24C3"/>
    <w:rsid w:val="006D329E"/>
    <w:rsid w:val="006D6706"/>
    <w:rsid w:val="006D722F"/>
    <w:rsid w:val="006D75AA"/>
    <w:rsid w:val="006E0170"/>
    <w:rsid w:val="006E12FF"/>
    <w:rsid w:val="006E1EFD"/>
    <w:rsid w:val="006E2849"/>
    <w:rsid w:val="006E361D"/>
    <w:rsid w:val="006E4711"/>
    <w:rsid w:val="006E5876"/>
    <w:rsid w:val="006E5C3A"/>
    <w:rsid w:val="006E6530"/>
    <w:rsid w:val="006E79E7"/>
    <w:rsid w:val="006F0FBF"/>
    <w:rsid w:val="006F15F6"/>
    <w:rsid w:val="006F2B09"/>
    <w:rsid w:val="006F3ACC"/>
    <w:rsid w:val="006F3EEA"/>
    <w:rsid w:val="006F45DA"/>
    <w:rsid w:val="006F5917"/>
    <w:rsid w:val="006F6339"/>
    <w:rsid w:val="006F649B"/>
    <w:rsid w:val="006F664C"/>
    <w:rsid w:val="006F7CD0"/>
    <w:rsid w:val="007011A2"/>
    <w:rsid w:val="00701C8D"/>
    <w:rsid w:val="00701E8E"/>
    <w:rsid w:val="00703D4B"/>
    <w:rsid w:val="00704624"/>
    <w:rsid w:val="00704AD7"/>
    <w:rsid w:val="00705240"/>
    <w:rsid w:val="00705DD5"/>
    <w:rsid w:val="00711518"/>
    <w:rsid w:val="0071299D"/>
    <w:rsid w:val="0071320B"/>
    <w:rsid w:val="007137DF"/>
    <w:rsid w:val="00716E84"/>
    <w:rsid w:val="00717FD1"/>
    <w:rsid w:val="0072095F"/>
    <w:rsid w:val="00723328"/>
    <w:rsid w:val="007246A2"/>
    <w:rsid w:val="00724CE2"/>
    <w:rsid w:val="0072517E"/>
    <w:rsid w:val="007269FC"/>
    <w:rsid w:val="00726AF4"/>
    <w:rsid w:val="00726BAC"/>
    <w:rsid w:val="007272D2"/>
    <w:rsid w:val="00731883"/>
    <w:rsid w:val="00732AF6"/>
    <w:rsid w:val="00737B9B"/>
    <w:rsid w:val="00737F3B"/>
    <w:rsid w:val="00740F9D"/>
    <w:rsid w:val="007422C5"/>
    <w:rsid w:val="0074238F"/>
    <w:rsid w:val="007426B5"/>
    <w:rsid w:val="00743CA8"/>
    <w:rsid w:val="007442D6"/>
    <w:rsid w:val="0074443A"/>
    <w:rsid w:val="00744843"/>
    <w:rsid w:val="00744C7F"/>
    <w:rsid w:val="0074637A"/>
    <w:rsid w:val="00746DA6"/>
    <w:rsid w:val="0075064C"/>
    <w:rsid w:val="00750930"/>
    <w:rsid w:val="0075218F"/>
    <w:rsid w:val="007532B2"/>
    <w:rsid w:val="00753B47"/>
    <w:rsid w:val="00754CFD"/>
    <w:rsid w:val="0075508C"/>
    <w:rsid w:val="007608DF"/>
    <w:rsid w:val="0076094B"/>
    <w:rsid w:val="00760CD7"/>
    <w:rsid w:val="00762229"/>
    <w:rsid w:val="007642D2"/>
    <w:rsid w:val="00764513"/>
    <w:rsid w:val="0076498C"/>
    <w:rsid w:val="007649D0"/>
    <w:rsid w:val="00765C15"/>
    <w:rsid w:val="00766505"/>
    <w:rsid w:val="007676AE"/>
    <w:rsid w:val="00771BFB"/>
    <w:rsid w:val="007734E2"/>
    <w:rsid w:val="00776CA7"/>
    <w:rsid w:val="00777354"/>
    <w:rsid w:val="007778A1"/>
    <w:rsid w:val="00780DC1"/>
    <w:rsid w:val="00782C6A"/>
    <w:rsid w:val="00782FE9"/>
    <w:rsid w:val="00784123"/>
    <w:rsid w:val="00785CE1"/>
    <w:rsid w:val="00785EE9"/>
    <w:rsid w:val="0078691B"/>
    <w:rsid w:val="007870EB"/>
    <w:rsid w:val="007878C6"/>
    <w:rsid w:val="00790A32"/>
    <w:rsid w:val="0079302C"/>
    <w:rsid w:val="00793E2F"/>
    <w:rsid w:val="0079409D"/>
    <w:rsid w:val="00795511"/>
    <w:rsid w:val="00796200"/>
    <w:rsid w:val="00797337"/>
    <w:rsid w:val="007A190B"/>
    <w:rsid w:val="007A1EA7"/>
    <w:rsid w:val="007A2F74"/>
    <w:rsid w:val="007A3C1E"/>
    <w:rsid w:val="007A4865"/>
    <w:rsid w:val="007A4917"/>
    <w:rsid w:val="007A559C"/>
    <w:rsid w:val="007A764C"/>
    <w:rsid w:val="007B0472"/>
    <w:rsid w:val="007B17DE"/>
    <w:rsid w:val="007B33DD"/>
    <w:rsid w:val="007B3EC8"/>
    <w:rsid w:val="007B3F68"/>
    <w:rsid w:val="007B4C57"/>
    <w:rsid w:val="007B5DF9"/>
    <w:rsid w:val="007B604E"/>
    <w:rsid w:val="007C003A"/>
    <w:rsid w:val="007C01FE"/>
    <w:rsid w:val="007C3F86"/>
    <w:rsid w:val="007C4D4A"/>
    <w:rsid w:val="007C5027"/>
    <w:rsid w:val="007C5102"/>
    <w:rsid w:val="007C5BF2"/>
    <w:rsid w:val="007C6A59"/>
    <w:rsid w:val="007C6DD1"/>
    <w:rsid w:val="007D1E03"/>
    <w:rsid w:val="007D2803"/>
    <w:rsid w:val="007D2A93"/>
    <w:rsid w:val="007D3834"/>
    <w:rsid w:val="007D724F"/>
    <w:rsid w:val="007D72E5"/>
    <w:rsid w:val="007E03AE"/>
    <w:rsid w:val="007E06FC"/>
    <w:rsid w:val="007E291B"/>
    <w:rsid w:val="007E3B7F"/>
    <w:rsid w:val="007E6874"/>
    <w:rsid w:val="007F02A3"/>
    <w:rsid w:val="007F16F8"/>
    <w:rsid w:val="007F17C0"/>
    <w:rsid w:val="007F1BCB"/>
    <w:rsid w:val="007F3EE0"/>
    <w:rsid w:val="007F48EE"/>
    <w:rsid w:val="007F4A0A"/>
    <w:rsid w:val="007F4C04"/>
    <w:rsid w:val="007F5EB8"/>
    <w:rsid w:val="007F6B67"/>
    <w:rsid w:val="007F75CF"/>
    <w:rsid w:val="00800A45"/>
    <w:rsid w:val="00802C9A"/>
    <w:rsid w:val="00804D7A"/>
    <w:rsid w:val="00805CA7"/>
    <w:rsid w:val="008068F3"/>
    <w:rsid w:val="00806E4B"/>
    <w:rsid w:val="00810A51"/>
    <w:rsid w:val="00810A75"/>
    <w:rsid w:val="00810B27"/>
    <w:rsid w:val="00812B5B"/>
    <w:rsid w:val="00813465"/>
    <w:rsid w:val="00813F62"/>
    <w:rsid w:val="00814C9E"/>
    <w:rsid w:val="008178CF"/>
    <w:rsid w:val="0082015B"/>
    <w:rsid w:val="00820858"/>
    <w:rsid w:val="00822068"/>
    <w:rsid w:val="00822248"/>
    <w:rsid w:val="0082429D"/>
    <w:rsid w:val="00825C66"/>
    <w:rsid w:val="00825E6E"/>
    <w:rsid w:val="00825E81"/>
    <w:rsid w:val="00826100"/>
    <w:rsid w:val="00827A69"/>
    <w:rsid w:val="00831002"/>
    <w:rsid w:val="00832DC1"/>
    <w:rsid w:val="008344EA"/>
    <w:rsid w:val="00834BBA"/>
    <w:rsid w:val="00835250"/>
    <w:rsid w:val="008355FC"/>
    <w:rsid w:val="00837A89"/>
    <w:rsid w:val="0084075D"/>
    <w:rsid w:val="00840767"/>
    <w:rsid w:val="00842787"/>
    <w:rsid w:val="0084365C"/>
    <w:rsid w:val="0084433A"/>
    <w:rsid w:val="00845A68"/>
    <w:rsid w:val="00851D5E"/>
    <w:rsid w:val="00852B03"/>
    <w:rsid w:val="00852F58"/>
    <w:rsid w:val="0085570A"/>
    <w:rsid w:val="00855869"/>
    <w:rsid w:val="00855A17"/>
    <w:rsid w:val="00855DE8"/>
    <w:rsid w:val="00857C46"/>
    <w:rsid w:val="008601F0"/>
    <w:rsid w:val="00861F24"/>
    <w:rsid w:val="00864DF2"/>
    <w:rsid w:val="008656DA"/>
    <w:rsid w:val="008657BF"/>
    <w:rsid w:val="00865A87"/>
    <w:rsid w:val="008662DB"/>
    <w:rsid w:val="0086751A"/>
    <w:rsid w:val="0086784A"/>
    <w:rsid w:val="008700E1"/>
    <w:rsid w:val="00872267"/>
    <w:rsid w:val="00873058"/>
    <w:rsid w:val="00873FD9"/>
    <w:rsid w:val="008740BD"/>
    <w:rsid w:val="008741B8"/>
    <w:rsid w:val="00874A76"/>
    <w:rsid w:val="00875201"/>
    <w:rsid w:val="00876309"/>
    <w:rsid w:val="00876382"/>
    <w:rsid w:val="00876B58"/>
    <w:rsid w:val="00876CF7"/>
    <w:rsid w:val="008779B7"/>
    <w:rsid w:val="00881979"/>
    <w:rsid w:val="00883DAD"/>
    <w:rsid w:val="00884A69"/>
    <w:rsid w:val="0088533C"/>
    <w:rsid w:val="0088551C"/>
    <w:rsid w:val="00886F27"/>
    <w:rsid w:val="00887615"/>
    <w:rsid w:val="008876D8"/>
    <w:rsid w:val="008903FE"/>
    <w:rsid w:val="00890BEA"/>
    <w:rsid w:val="00890FBC"/>
    <w:rsid w:val="008910AA"/>
    <w:rsid w:val="00891C9D"/>
    <w:rsid w:val="0089350D"/>
    <w:rsid w:val="00893E57"/>
    <w:rsid w:val="0089540A"/>
    <w:rsid w:val="0089663E"/>
    <w:rsid w:val="008967EF"/>
    <w:rsid w:val="00896A90"/>
    <w:rsid w:val="0089799E"/>
    <w:rsid w:val="008A0D1C"/>
    <w:rsid w:val="008A0D26"/>
    <w:rsid w:val="008A1145"/>
    <w:rsid w:val="008A155F"/>
    <w:rsid w:val="008A2C7C"/>
    <w:rsid w:val="008A39C4"/>
    <w:rsid w:val="008A3F08"/>
    <w:rsid w:val="008A41D1"/>
    <w:rsid w:val="008A438D"/>
    <w:rsid w:val="008A44A4"/>
    <w:rsid w:val="008A581C"/>
    <w:rsid w:val="008A731B"/>
    <w:rsid w:val="008B11E0"/>
    <w:rsid w:val="008B3A99"/>
    <w:rsid w:val="008B428F"/>
    <w:rsid w:val="008B44B6"/>
    <w:rsid w:val="008B52A4"/>
    <w:rsid w:val="008B5E6A"/>
    <w:rsid w:val="008B69AA"/>
    <w:rsid w:val="008B74AA"/>
    <w:rsid w:val="008C0D1B"/>
    <w:rsid w:val="008C0F6E"/>
    <w:rsid w:val="008C1729"/>
    <w:rsid w:val="008C1D55"/>
    <w:rsid w:val="008C266A"/>
    <w:rsid w:val="008C2BC6"/>
    <w:rsid w:val="008C3747"/>
    <w:rsid w:val="008C3A81"/>
    <w:rsid w:val="008C3BA1"/>
    <w:rsid w:val="008C3E9C"/>
    <w:rsid w:val="008C3F30"/>
    <w:rsid w:val="008C4B74"/>
    <w:rsid w:val="008C4B8B"/>
    <w:rsid w:val="008C4BA0"/>
    <w:rsid w:val="008C5C11"/>
    <w:rsid w:val="008C5F35"/>
    <w:rsid w:val="008C6A77"/>
    <w:rsid w:val="008C721E"/>
    <w:rsid w:val="008C7706"/>
    <w:rsid w:val="008D0B99"/>
    <w:rsid w:val="008D21B9"/>
    <w:rsid w:val="008D29C9"/>
    <w:rsid w:val="008D2C95"/>
    <w:rsid w:val="008D3F40"/>
    <w:rsid w:val="008D5670"/>
    <w:rsid w:val="008D5EAB"/>
    <w:rsid w:val="008D7323"/>
    <w:rsid w:val="008D7579"/>
    <w:rsid w:val="008D7927"/>
    <w:rsid w:val="008E0577"/>
    <w:rsid w:val="008E3549"/>
    <w:rsid w:val="008E4027"/>
    <w:rsid w:val="008E42EC"/>
    <w:rsid w:val="008E629C"/>
    <w:rsid w:val="008E6412"/>
    <w:rsid w:val="008E64E8"/>
    <w:rsid w:val="008F2074"/>
    <w:rsid w:val="008F30B8"/>
    <w:rsid w:val="008F3A77"/>
    <w:rsid w:val="008F4139"/>
    <w:rsid w:val="008F4C33"/>
    <w:rsid w:val="008F5A02"/>
    <w:rsid w:val="008F75A7"/>
    <w:rsid w:val="00900605"/>
    <w:rsid w:val="00902540"/>
    <w:rsid w:val="00906B3A"/>
    <w:rsid w:val="00906DB3"/>
    <w:rsid w:val="00907535"/>
    <w:rsid w:val="00907FF7"/>
    <w:rsid w:val="00910B3A"/>
    <w:rsid w:val="00911FAC"/>
    <w:rsid w:val="00912D5C"/>
    <w:rsid w:val="009148CC"/>
    <w:rsid w:val="00914B28"/>
    <w:rsid w:val="00914C4D"/>
    <w:rsid w:val="00916B32"/>
    <w:rsid w:val="0092028F"/>
    <w:rsid w:val="0092040B"/>
    <w:rsid w:val="00920FE2"/>
    <w:rsid w:val="00921EFF"/>
    <w:rsid w:val="00922CC7"/>
    <w:rsid w:val="00923424"/>
    <w:rsid w:val="0092418A"/>
    <w:rsid w:val="009300A1"/>
    <w:rsid w:val="00930F33"/>
    <w:rsid w:val="0093119D"/>
    <w:rsid w:val="009323A8"/>
    <w:rsid w:val="009323ED"/>
    <w:rsid w:val="009331CF"/>
    <w:rsid w:val="009335D2"/>
    <w:rsid w:val="00933646"/>
    <w:rsid w:val="0093369D"/>
    <w:rsid w:val="00933F42"/>
    <w:rsid w:val="00937047"/>
    <w:rsid w:val="009379B8"/>
    <w:rsid w:val="0094060A"/>
    <w:rsid w:val="00942678"/>
    <w:rsid w:val="0094460C"/>
    <w:rsid w:val="00945C10"/>
    <w:rsid w:val="00945DEC"/>
    <w:rsid w:val="0094653E"/>
    <w:rsid w:val="00947E1B"/>
    <w:rsid w:val="009523F3"/>
    <w:rsid w:val="009523F8"/>
    <w:rsid w:val="00952400"/>
    <w:rsid w:val="00952EE0"/>
    <w:rsid w:val="00953272"/>
    <w:rsid w:val="00953670"/>
    <w:rsid w:val="00953740"/>
    <w:rsid w:val="00953DC6"/>
    <w:rsid w:val="00954076"/>
    <w:rsid w:val="00954909"/>
    <w:rsid w:val="00955C11"/>
    <w:rsid w:val="00956921"/>
    <w:rsid w:val="00957720"/>
    <w:rsid w:val="00957E4E"/>
    <w:rsid w:val="00960A91"/>
    <w:rsid w:val="00960CE7"/>
    <w:rsid w:val="009612C8"/>
    <w:rsid w:val="00961DD3"/>
    <w:rsid w:val="00962058"/>
    <w:rsid w:val="00962798"/>
    <w:rsid w:val="00963306"/>
    <w:rsid w:val="0096493E"/>
    <w:rsid w:val="0096496B"/>
    <w:rsid w:val="009650C0"/>
    <w:rsid w:val="00966D43"/>
    <w:rsid w:val="00967A0D"/>
    <w:rsid w:val="00971102"/>
    <w:rsid w:val="00971300"/>
    <w:rsid w:val="00972131"/>
    <w:rsid w:val="00972DA2"/>
    <w:rsid w:val="00973118"/>
    <w:rsid w:val="00973F46"/>
    <w:rsid w:val="0097444D"/>
    <w:rsid w:val="00974563"/>
    <w:rsid w:val="00974D84"/>
    <w:rsid w:val="00974DA9"/>
    <w:rsid w:val="00974E2A"/>
    <w:rsid w:val="00975A4F"/>
    <w:rsid w:val="0097609D"/>
    <w:rsid w:val="009762E4"/>
    <w:rsid w:val="00976867"/>
    <w:rsid w:val="00976B07"/>
    <w:rsid w:val="00976F7E"/>
    <w:rsid w:val="009805CB"/>
    <w:rsid w:val="0098064E"/>
    <w:rsid w:val="009823C3"/>
    <w:rsid w:val="009829BF"/>
    <w:rsid w:val="00982FAA"/>
    <w:rsid w:val="009830E7"/>
    <w:rsid w:val="0098684F"/>
    <w:rsid w:val="00987185"/>
    <w:rsid w:val="00987573"/>
    <w:rsid w:val="00987E76"/>
    <w:rsid w:val="0099255D"/>
    <w:rsid w:val="009932EC"/>
    <w:rsid w:val="00995678"/>
    <w:rsid w:val="00996055"/>
    <w:rsid w:val="00996672"/>
    <w:rsid w:val="00996B05"/>
    <w:rsid w:val="00996D33"/>
    <w:rsid w:val="009A02C8"/>
    <w:rsid w:val="009A117D"/>
    <w:rsid w:val="009A2B82"/>
    <w:rsid w:val="009A31F3"/>
    <w:rsid w:val="009A496D"/>
    <w:rsid w:val="009A5A62"/>
    <w:rsid w:val="009A5BBA"/>
    <w:rsid w:val="009B04CB"/>
    <w:rsid w:val="009B198B"/>
    <w:rsid w:val="009B20E2"/>
    <w:rsid w:val="009B2501"/>
    <w:rsid w:val="009B2E84"/>
    <w:rsid w:val="009B2F28"/>
    <w:rsid w:val="009B3AD6"/>
    <w:rsid w:val="009B5706"/>
    <w:rsid w:val="009B714E"/>
    <w:rsid w:val="009B7374"/>
    <w:rsid w:val="009C10B2"/>
    <w:rsid w:val="009C2946"/>
    <w:rsid w:val="009C4A7D"/>
    <w:rsid w:val="009C59D1"/>
    <w:rsid w:val="009C5C8C"/>
    <w:rsid w:val="009C702C"/>
    <w:rsid w:val="009D0647"/>
    <w:rsid w:val="009D1EE1"/>
    <w:rsid w:val="009D3D2F"/>
    <w:rsid w:val="009D41C3"/>
    <w:rsid w:val="009D423D"/>
    <w:rsid w:val="009D68B9"/>
    <w:rsid w:val="009E0C08"/>
    <w:rsid w:val="009E1394"/>
    <w:rsid w:val="009E378C"/>
    <w:rsid w:val="009E3BD7"/>
    <w:rsid w:val="009E5CB7"/>
    <w:rsid w:val="009E72E9"/>
    <w:rsid w:val="009E7541"/>
    <w:rsid w:val="009F28DC"/>
    <w:rsid w:val="009F325C"/>
    <w:rsid w:val="009F3C08"/>
    <w:rsid w:val="009F4231"/>
    <w:rsid w:val="009F453A"/>
    <w:rsid w:val="009F4889"/>
    <w:rsid w:val="009F49C2"/>
    <w:rsid w:val="009F636B"/>
    <w:rsid w:val="00A01F13"/>
    <w:rsid w:val="00A02550"/>
    <w:rsid w:val="00A02BA7"/>
    <w:rsid w:val="00A05612"/>
    <w:rsid w:val="00A0621B"/>
    <w:rsid w:val="00A07396"/>
    <w:rsid w:val="00A10305"/>
    <w:rsid w:val="00A10E73"/>
    <w:rsid w:val="00A11258"/>
    <w:rsid w:val="00A116DA"/>
    <w:rsid w:val="00A12539"/>
    <w:rsid w:val="00A13465"/>
    <w:rsid w:val="00A14DB0"/>
    <w:rsid w:val="00A150FC"/>
    <w:rsid w:val="00A15928"/>
    <w:rsid w:val="00A15F19"/>
    <w:rsid w:val="00A177B0"/>
    <w:rsid w:val="00A2074F"/>
    <w:rsid w:val="00A20835"/>
    <w:rsid w:val="00A22676"/>
    <w:rsid w:val="00A22D82"/>
    <w:rsid w:val="00A2443E"/>
    <w:rsid w:val="00A249AA"/>
    <w:rsid w:val="00A25305"/>
    <w:rsid w:val="00A254F0"/>
    <w:rsid w:val="00A257BE"/>
    <w:rsid w:val="00A26D19"/>
    <w:rsid w:val="00A274DC"/>
    <w:rsid w:val="00A27776"/>
    <w:rsid w:val="00A27A4B"/>
    <w:rsid w:val="00A301C4"/>
    <w:rsid w:val="00A30271"/>
    <w:rsid w:val="00A30623"/>
    <w:rsid w:val="00A30AD1"/>
    <w:rsid w:val="00A3140C"/>
    <w:rsid w:val="00A3449A"/>
    <w:rsid w:val="00A344A9"/>
    <w:rsid w:val="00A35630"/>
    <w:rsid w:val="00A368EF"/>
    <w:rsid w:val="00A36D22"/>
    <w:rsid w:val="00A37CE1"/>
    <w:rsid w:val="00A40F96"/>
    <w:rsid w:val="00A4141A"/>
    <w:rsid w:val="00A41BE1"/>
    <w:rsid w:val="00A4223D"/>
    <w:rsid w:val="00A42586"/>
    <w:rsid w:val="00A430B2"/>
    <w:rsid w:val="00A43766"/>
    <w:rsid w:val="00A443D2"/>
    <w:rsid w:val="00A4526E"/>
    <w:rsid w:val="00A454AA"/>
    <w:rsid w:val="00A4609A"/>
    <w:rsid w:val="00A50187"/>
    <w:rsid w:val="00A50A05"/>
    <w:rsid w:val="00A5261B"/>
    <w:rsid w:val="00A526FB"/>
    <w:rsid w:val="00A541CF"/>
    <w:rsid w:val="00A542E5"/>
    <w:rsid w:val="00A546E3"/>
    <w:rsid w:val="00A572C0"/>
    <w:rsid w:val="00A6061A"/>
    <w:rsid w:val="00A6093B"/>
    <w:rsid w:val="00A60CE6"/>
    <w:rsid w:val="00A6156B"/>
    <w:rsid w:val="00A62483"/>
    <w:rsid w:val="00A66400"/>
    <w:rsid w:val="00A670B5"/>
    <w:rsid w:val="00A670DC"/>
    <w:rsid w:val="00A67368"/>
    <w:rsid w:val="00A70923"/>
    <w:rsid w:val="00A70C3B"/>
    <w:rsid w:val="00A71A67"/>
    <w:rsid w:val="00A72182"/>
    <w:rsid w:val="00A72CEB"/>
    <w:rsid w:val="00A74125"/>
    <w:rsid w:val="00A74267"/>
    <w:rsid w:val="00A75EF4"/>
    <w:rsid w:val="00A7626E"/>
    <w:rsid w:val="00A802DF"/>
    <w:rsid w:val="00A815EB"/>
    <w:rsid w:val="00A82157"/>
    <w:rsid w:val="00A825AA"/>
    <w:rsid w:val="00A826D3"/>
    <w:rsid w:val="00A827D2"/>
    <w:rsid w:val="00A8342E"/>
    <w:rsid w:val="00A85CB8"/>
    <w:rsid w:val="00A861B5"/>
    <w:rsid w:val="00A90321"/>
    <w:rsid w:val="00A90B14"/>
    <w:rsid w:val="00A90D10"/>
    <w:rsid w:val="00A924E5"/>
    <w:rsid w:val="00A949FF"/>
    <w:rsid w:val="00A958A7"/>
    <w:rsid w:val="00A95AD3"/>
    <w:rsid w:val="00A95CC1"/>
    <w:rsid w:val="00A969B7"/>
    <w:rsid w:val="00AA10AB"/>
    <w:rsid w:val="00AA2BE0"/>
    <w:rsid w:val="00AA35E7"/>
    <w:rsid w:val="00AA36C3"/>
    <w:rsid w:val="00AA3B41"/>
    <w:rsid w:val="00AA42CF"/>
    <w:rsid w:val="00AA54BB"/>
    <w:rsid w:val="00AA79C1"/>
    <w:rsid w:val="00AA7FFD"/>
    <w:rsid w:val="00AB1E9C"/>
    <w:rsid w:val="00AB25AF"/>
    <w:rsid w:val="00AB5BB7"/>
    <w:rsid w:val="00AB5C31"/>
    <w:rsid w:val="00AB62CF"/>
    <w:rsid w:val="00AC0E33"/>
    <w:rsid w:val="00AC12FC"/>
    <w:rsid w:val="00AC1388"/>
    <w:rsid w:val="00AC2AF7"/>
    <w:rsid w:val="00AC527A"/>
    <w:rsid w:val="00AC5976"/>
    <w:rsid w:val="00AC6077"/>
    <w:rsid w:val="00AC6882"/>
    <w:rsid w:val="00AC7368"/>
    <w:rsid w:val="00AC7461"/>
    <w:rsid w:val="00AC77B3"/>
    <w:rsid w:val="00AD0A4D"/>
    <w:rsid w:val="00AD0C24"/>
    <w:rsid w:val="00AD1671"/>
    <w:rsid w:val="00AD1733"/>
    <w:rsid w:val="00AD25EA"/>
    <w:rsid w:val="00AD34ED"/>
    <w:rsid w:val="00AD4E50"/>
    <w:rsid w:val="00AD7F72"/>
    <w:rsid w:val="00AE03C6"/>
    <w:rsid w:val="00AE080C"/>
    <w:rsid w:val="00AE0D17"/>
    <w:rsid w:val="00AE1037"/>
    <w:rsid w:val="00AE1208"/>
    <w:rsid w:val="00AE1961"/>
    <w:rsid w:val="00AE2C77"/>
    <w:rsid w:val="00AE53F1"/>
    <w:rsid w:val="00AE5561"/>
    <w:rsid w:val="00AE697A"/>
    <w:rsid w:val="00AE71F7"/>
    <w:rsid w:val="00AE72BA"/>
    <w:rsid w:val="00AF3810"/>
    <w:rsid w:val="00AF396C"/>
    <w:rsid w:val="00AF5838"/>
    <w:rsid w:val="00AF65F3"/>
    <w:rsid w:val="00AF7960"/>
    <w:rsid w:val="00B00559"/>
    <w:rsid w:val="00B01D78"/>
    <w:rsid w:val="00B01E97"/>
    <w:rsid w:val="00B0278B"/>
    <w:rsid w:val="00B02807"/>
    <w:rsid w:val="00B0355A"/>
    <w:rsid w:val="00B03CD1"/>
    <w:rsid w:val="00B04E7C"/>
    <w:rsid w:val="00B06804"/>
    <w:rsid w:val="00B07842"/>
    <w:rsid w:val="00B10414"/>
    <w:rsid w:val="00B1137D"/>
    <w:rsid w:val="00B130A0"/>
    <w:rsid w:val="00B1386D"/>
    <w:rsid w:val="00B14E78"/>
    <w:rsid w:val="00B160B2"/>
    <w:rsid w:val="00B16E81"/>
    <w:rsid w:val="00B16EFF"/>
    <w:rsid w:val="00B178E2"/>
    <w:rsid w:val="00B17E10"/>
    <w:rsid w:val="00B2072E"/>
    <w:rsid w:val="00B20FF0"/>
    <w:rsid w:val="00B24CDD"/>
    <w:rsid w:val="00B25DC4"/>
    <w:rsid w:val="00B304A2"/>
    <w:rsid w:val="00B309E7"/>
    <w:rsid w:val="00B346AB"/>
    <w:rsid w:val="00B34F47"/>
    <w:rsid w:val="00B35379"/>
    <w:rsid w:val="00B3587D"/>
    <w:rsid w:val="00B36897"/>
    <w:rsid w:val="00B36E75"/>
    <w:rsid w:val="00B36F1F"/>
    <w:rsid w:val="00B370A8"/>
    <w:rsid w:val="00B37BD3"/>
    <w:rsid w:val="00B417A5"/>
    <w:rsid w:val="00B42166"/>
    <w:rsid w:val="00B42573"/>
    <w:rsid w:val="00B44186"/>
    <w:rsid w:val="00B4506A"/>
    <w:rsid w:val="00B4522B"/>
    <w:rsid w:val="00B45D91"/>
    <w:rsid w:val="00B462AB"/>
    <w:rsid w:val="00B46AD6"/>
    <w:rsid w:val="00B470DE"/>
    <w:rsid w:val="00B478C5"/>
    <w:rsid w:val="00B5122A"/>
    <w:rsid w:val="00B5304B"/>
    <w:rsid w:val="00B531CF"/>
    <w:rsid w:val="00B54114"/>
    <w:rsid w:val="00B544DB"/>
    <w:rsid w:val="00B549D2"/>
    <w:rsid w:val="00B5620C"/>
    <w:rsid w:val="00B56688"/>
    <w:rsid w:val="00B626D6"/>
    <w:rsid w:val="00B62915"/>
    <w:rsid w:val="00B62F45"/>
    <w:rsid w:val="00B63B91"/>
    <w:rsid w:val="00B64747"/>
    <w:rsid w:val="00B65D0A"/>
    <w:rsid w:val="00B661F4"/>
    <w:rsid w:val="00B66479"/>
    <w:rsid w:val="00B706EB"/>
    <w:rsid w:val="00B7072D"/>
    <w:rsid w:val="00B70B9A"/>
    <w:rsid w:val="00B71227"/>
    <w:rsid w:val="00B7157E"/>
    <w:rsid w:val="00B71C06"/>
    <w:rsid w:val="00B720A7"/>
    <w:rsid w:val="00B727F3"/>
    <w:rsid w:val="00B73218"/>
    <w:rsid w:val="00B73DE0"/>
    <w:rsid w:val="00B73F42"/>
    <w:rsid w:val="00B74503"/>
    <w:rsid w:val="00B749CB"/>
    <w:rsid w:val="00B74F88"/>
    <w:rsid w:val="00B805B0"/>
    <w:rsid w:val="00B815A9"/>
    <w:rsid w:val="00B81BBB"/>
    <w:rsid w:val="00B82978"/>
    <w:rsid w:val="00B83051"/>
    <w:rsid w:val="00B843D4"/>
    <w:rsid w:val="00B859D8"/>
    <w:rsid w:val="00B86087"/>
    <w:rsid w:val="00B86547"/>
    <w:rsid w:val="00B92C59"/>
    <w:rsid w:val="00B92FDC"/>
    <w:rsid w:val="00B933F4"/>
    <w:rsid w:val="00B93567"/>
    <w:rsid w:val="00B94001"/>
    <w:rsid w:val="00B94A76"/>
    <w:rsid w:val="00B97F00"/>
    <w:rsid w:val="00BA0097"/>
    <w:rsid w:val="00BA0A74"/>
    <w:rsid w:val="00BA0B0D"/>
    <w:rsid w:val="00BA2AFE"/>
    <w:rsid w:val="00BA2EF9"/>
    <w:rsid w:val="00BA3FD3"/>
    <w:rsid w:val="00BA456D"/>
    <w:rsid w:val="00BA5109"/>
    <w:rsid w:val="00BA5947"/>
    <w:rsid w:val="00BA5D96"/>
    <w:rsid w:val="00BA687E"/>
    <w:rsid w:val="00BA794D"/>
    <w:rsid w:val="00BA7B3C"/>
    <w:rsid w:val="00BB17A8"/>
    <w:rsid w:val="00BB6AF9"/>
    <w:rsid w:val="00BB6BEE"/>
    <w:rsid w:val="00BB739E"/>
    <w:rsid w:val="00BB79AF"/>
    <w:rsid w:val="00BC02AD"/>
    <w:rsid w:val="00BC065A"/>
    <w:rsid w:val="00BC12E1"/>
    <w:rsid w:val="00BC1407"/>
    <w:rsid w:val="00BC20ED"/>
    <w:rsid w:val="00BC26CF"/>
    <w:rsid w:val="00BC2DCD"/>
    <w:rsid w:val="00BC346C"/>
    <w:rsid w:val="00BC375F"/>
    <w:rsid w:val="00BC47F5"/>
    <w:rsid w:val="00BC4856"/>
    <w:rsid w:val="00BC56AD"/>
    <w:rsid w:val="00BC692F"/>
    <w:rsid w:val="00BC69C0"/>
    <w:rsid w:val="00BD1BE7"/>
    <w:rsid w:val="00BD24A1"/>
    <w:rsid w:val="00BD3298"/>
    <w:rsid w:val="00BD32B4"/>
    <w:rsid w:val="00BD596C"/>
    <w:rsid w:val="00BD656B"/>
    <w:rsid w:val="00BD7362"/>
    <w:rsid w:val="00BE272C"/>
    <w:rsid w:val="00BE2C17"/>
    <w:rsid w:val="00BE2E6E"/>
    <w:rsid w:val="00BE37B5"/>
    <w:rsid w:val="00BE3AE6"/>
    <w:rsid w:val="00BE724B"/>
    <w:rsid w:val="00BE742F"/>
    <w:rsid w:val="00BF0B92"/>
    <w:rsid w:val="00BF1615"/>
    <w:rsid w:val="00BF23F9"/>
    <w:rsid w:val="00BF243A"/>
    <w:rsid w:val="00BF2445"/>
    <w:rsid w:val="00BF55EF"/>
    <w:rsid w:val="00BF58DA"/>
    <w:rsid w:val="00BF5F1C"/>
    <w:rsid w:val="00C026B2"/>
    <w:rsid w:val="00C02EF6"/>
    <w:rsid w:val="00C0371B"/>
    <w:rsid w:val="00C03BB3"/>
    <w:rsid w:val="00C05FD2"/>
    <w:rsid w:val="00C0676F"/>
    <w:rsid w:val="00C06D8A"/>
    <w:rsid w:val="00C07689"/>
    <w:rsid w:val="00C10B36"/>
    <w:rsid w:val="00C10C75"/>
    <w:rsid w:val="00C11231"/>
    <w:rsid w:val="00C11CB5"/>
    <w:rsid w:val="00C1341D"/>
    <w:rsid w:val="00C14C92"/>
    <w:rsid w:val="00C16EBD"/>
    <w:rsid w:val="00C173AE"/>
    <w:rsid w:val="00C179EB"/>
    <w:rsid w:val="00C203F8"/>
    <w:rsid w:val="00C23756"/>
    <w:rsid w:val="00C24758"/>
    <w:rsid w:val="00C24F47"/>
    <w:rsid w:val="00C253D5"/>
    <w:rsid w:val="00C2580A"/>
    <w:rsid w:val="00C259BE"/>
    <w:rsid w:val="00C26042"/>
    <w:rsid w:val="00C26AAA"/>
    <w:rsid w:val="00C272E2"/>
    <w:rsid w:val="00C306E1"/>
    <w:rsid w:val="00C30BEF"/>
    <w:rsid w:val="00C313D2"/>
    <w:rsid w:val="00C31455"/>
    <w:rsid w:val="00C317DC"/>
    <w:rsid w:val="00C32767"/>
    <w:rsid w:val="00C32D5F"/>
    <w:rsid w:val="00C332EF"/>
    <w:rsid w:val="00C34A2B"/>
    <w:rsid w:val="00C34D9D"/>
    <w:rsid w:val="00C351FB"/>
    <w:rsid w:val="00C35782"/>
    <w:rsid w:val="00C35E35"/>
    <w:rsid w:val="00C361D1"/>
    <w:rsid w:val="00C370D2"/>
    <w:rsid w:val="00C40A1B"/>
    <w:rsid w:val="00C40EE9"/>
    <w:rsid w:val="00C43F11"/>
    <w:rsid w:val="00C44266"/>
    <w:rsid w:val="00C44885"/>
    <w:rsid w:val="00C44B9C"/>
    <w:rsid w:val="00C4560D"/>
    <w:rsid w:val="00C460D3"/>
    <w:rsid w:val="00C468E1"/>
    <w:rsid w:val="00C46958"/>
    <w:rsid w:val="00C46FCB"/>
    <w:rsid w:val="00C4759E"/>
    <w:rsid w:val="00C476AA"/>
    <w:rsid w:val="00C50E95"/>
    <w:rsid w:val="00C50F55"/>
    <w:rsid w:val="00C51179"/>
    <w:rsid w:val="00C52028"/>
    <w:rsid w:val="00C531F6"/>
    <w:rsid w:val="00C5409B"/>
    <w:rsid w:val="00C547DC"/>
    <w:rsid w:val="00C616C1"/>
    <w:rsid w:val="00C624EF"/>
    <w:rsid w:val="00C63408"/>
    <w:rsid w:val="00C63827"/>
    <w:rsid w:val="00C641CC"/>
    <w:rsid w:val="00C644D3"/>
    <w:rsid w:val="00C6496C"/>
    <w:rsid w:val="00C656C4"/>
    <w:rsid w:val="00C658B5"/>
    <w:rsid w:val="00C65EA0"/>
    <w:rsid w:val="00C666CB"/>
    <w:rsid w:val="00C66F70"/>
    <w:rsid w:val="00C6767F"/>
    <w:rsid w:val="00C714BC"/>
    <w:rsid w:val="00C7280D"/>
    <w:rsid w:val="00C73032"/>
    <w:rsid w:val="00C736AD"/>
    <w:rsid w:val="00C74137"/>
    <w:rsid w:val="00C756A6"/>
    <w:rsid w:val="00C75B71"/>
    <w:rsid w:val="00C761E7"/>
    <w:rsid w:val="00C765E7"/>
    <w:rsid w:val="00C77ED7"/>
    <w:rsid w:val="00C80B71"/>
    <w:rsid w:val="00C816CB"/>
    <w:rsid w:val="00C82FD7"/>
    <w:rsid w:val="00C832DB"/>
    <w:rsid w:val="00C83636"/>
    <w:rsid w:val="00C847E6"/>
    <w:rsid w:val="00C84C90"/>
    <w:rsid w:val="00C854ED"/>
    <w:rsid w:val="00C8677B"/>
    <w:rsid w:val="00C86996"/>
    <w:rsid w:val="00C86DCC"/>
    <w:rsid w:val="00C875EC"/>
    <w:rsid w:val="00C879E1"/>
    <w:rsid w:val="00C87DC4"/>
    <w:rsid w:val="00C91D60"/>
    <w:rsid w:val="00C920B3"/>
    <w:rsid w:val="00C924E0"/>
    <w:rsid w:val="00C92E91"/>
    <w:rsid w:val="00C942EE"/>
    <w:rsid w:val="00C946CF"/>
    <w:rsid w:val="00C958D0"/>
    <w:rsid w:val="00C95930"/>
    <w:rsid w:val="00C9613B"/>
    <w:rsid w:val="00C97C4B"/>
    <w:rsid w:val="00CA07DF"/>
    <w:rsid w:val="00CA11FD"/>
    <w:rsid w:val="00CA2415"/>
    <w:rsid w:val="00CA289A"/>
    <w:rsid w:val="00CA46DB"/>
    <w:rsid w:val="00CA4AC9"/>
    <w:rsid w:val="00CA6184"/>
    <w:rsid w:val="00CA62CE"/>
    <w:rsid w:val="00CA644A"/>
    <w:rsid w:val="00CA6CA8"/>
    <w:rsid w:val="00CA73D3"/>
    <w:rsid w:val="00CB55FB"/>
    <w:rsid w:val="00CB7368"/>
    <w:rsid w:val="00CB7EFB"/>
    <w:rsid w:val="00CB7F82"/>
    <w:rsid w:val="00CC00B8"/>
    <w:rsid w:val="00CC1682"/>
    <w:rsid w:val="00CC5766"/>
    <w:rsid w:val="00CC635F"/>
    <w:rsid w:val="00CC7DB7"/>
    <w:rsid w:val="00CD0231"/>
    <w:rsid w:val="00CD0238"/>
    <w:rsid w:val="00CD0AF5"/>
    <w:rsid w:val="00CD2625"/>
    <w:rsid w:val="00CD3245"/>
    <w:rsid w:val="00CD3C7E"/>
    <w:rsid w:val="00CD509A"/>
    <w:rsid w:val="00CD526D"/>
    <w:rsid w:val="00CD7816"/>
    <w:rsid w:val="00CD7D9C"/>
    <w:rsid w:val="00CE0C42"/>
    <w:rsid w:val="00CE29A5"/>
    <w:rsid w:val="00CE3692"/>
    <w:rsid w:val="00CE3E19"/>
    <w:rsid w:val="00CE5BA9"/>
    <w:rsid w:val="00CE6EDA"/>
    <w:rsid w:val="00CE7FF5"/>
    <w:rsid w:val="00CF016D"/>
    <w:rsid w:val="00CF0773"/>
    <w:rsid w:val="00CF0AF7"/>
    <w:rsid w:val="00CF0BD1"/>
    <w:rsid w:val="00CF11EB"/>
    <w:rsid w:val="00CF17A3"/>
    <w:rsid w:val="00CF2001"/>
    <w:rsid w:val="00CF4671"/>
    <w:rsid w:val="00CF6CC1"/>
    <w:rsid w:val="00CF6D4B"/>
    <w:rsid w:val="00CF7927"/>
    <w:rsid w:val="00D001A0"/>
    <w:rsid w:val="00D01210"/>
    <w:rsid w:val="00D012F8"/>
    <w:rsid w:val="00D02AB6"/>
    <w:rsid w:val="00D02E84"/>
    <w:rsid w:val="00D03184"/>
    <w:rsid w:val="00D038AB"/>
    <w:rsid w:val="00D04D82"/>
    <w:rsid w:val="00D05522"/>
    <w:rsid w:val="00D06E0D"/>
    <w:rsid w:val="00D12195"/>
    <w:rsid w:val="00D12D00"/>
    <w:rsid w:val="00D12EDB"/>
    <w:rsid w:val="00D13130"/>
    <w:rsid w:val="00D131C3"/>
    <w:rsid w:val="00D13779"/>
    <w:rsid w:val="00D13C5A"/>
    <w:rsid w:val="00D1436C"/>
    <w:rsid w:val="00D14812"/>
    <w:rsid w:val="00D14F06"/>
    <w:rsid w:val="00D16954"/>
    <w:rsid w:val="00D2068D"/>
    <w:rsid w:val="00D21325"/>
    <w:rsid w:val="00D21C57"/>
    <w:rsid w:val="00D22C86"/>
    <w:rsid w:val="00D24163"/>
    <w:rsid w:val="00D242FF"/>
    <w:rsid w:val="00D25FBA"/>
    <w:rsid w:val="00D271AD"/>
    <w:rsid w:val="00D313AD"/>
    <w:rsid w:val="00D3375D"/>
    <w:rsid w:val="00D34A60"/>
    <w:rsid w:val="00D34EB4"/>
    <w:rsid w:val="00D37846"/>
    <w:rsid w:val="00D4083C"/>
    <w:rsid w:val="00D41431"/>
    <w:rsid w:val="00D4145C"/>
    <w:rsid w:val="00D418B6"/>
    <w:rsid w:val="00D41B69"/>
    <w:rsid w:val="00D430D4"/>
    <w:rsid w:val="00D45610"/>
    <w:rsid w:val="00D459DE"/>
    <w:rsid w:val="00D45A82"/>
    <w:rsid w:val="00D46A14"/>
    <w:rsid w:val="00D46BB1"/>
    <w:rsid w:val="00D46CB3"/>
    <w:rsid w:val="00D47DDE"/>
    <w:rsid w:val="00D5011E"/>
    <w:rsid w:val="00D51922"/>
    <w:rsid w:val="00D51C77"/>
    <w:rsid w:val="00D52A80"/>
    <w:rsid w:val="00D53BC7"/>
    <w:rsid w:val="00D55573"/>
    <w:rsid w:val="00D55860"/>
    <w:rsid w:val="00D55998"/>
    <w:rsid w:val="00D5654F"/>
    <w:rsid w:val="00D57045"/>
    <w:rsid w:val="00D571C9"/>
    <w:rsid w:val="00D60DDB"/>
    <w:rsid w:val="00D61127"/>
    <w:rsid w:val="00D62435"/>
    <w:rsid w:val="00D629CB"/>
    <w:rsid w:val="00D6549A"/>
    <w:rsid w:val="00D67FEE"/>
    <w:rsid w:val="00D718C4"/>
    <w:rsid w:val="00D71909"/>
    <w:rsid w:val="00D72CA8"/>
    <w:rsid w:val="00D73AC5"/>
    <w:rsid w:val="00D7416F"/>
    <w:rsid w:val="00D75703"/>
    <w:rsid w:val="00D75F33"/>
    <w:rsid w:val="00D76BCD"/>
    <w:rsid w:val="00D77494"/>
    <w:rsid w:val="00D77705"/>
    <w:rsid w:val="00D80450"/>
    <w:rsid w:val="00D80C41"/>
    <w:rsid w:val="00D84189"/>
    <w:rsid w:val="00D87332"/>
    <w:rsid w:val="00D8772A"/>
    <w:rsid w:val="00D90848"/>
    <w:rsid w:val="00D91169"/>
    <w:rsid w:val="00D91AC9"/>
    <w:rsid w:val="00D93089"/>
    <w:rsid w:val="00D93CB0"/>
    <w:rsid w:val="00D97685"/>
    <w:rsid w:val="00DA02AD"/>
    <w:rsid w:val="00DA0520"/>
    <w:rsid w:val="00DA09FE"/>
    <w:rsid w:val="00DA0A95"/>
    <w:rsid w:val="00DA20A6"/>
    <w:rsid w:val="00DA2FFD"/>
    <w:rsid w:val="00DA3757"/>
    <w:rsid w:val="00DA5E8F"/>
    <w:rsid w:val="00DA604E"/>
    <w:rsid w:val="00DB0973"/>
    <w:rsid w:val="00DB2434"/>
    <w:rsid w:val="00DB31EF"/>
    <w:rsid w:val="00DB362D"/>
    <w:rsid w:val="00DB372E"/>
    <w:rsid w:val="00DB3EB8"/>
    <w:rsid w:val="00DB3F7A"/>
    <w:rsid w:val="00DB76D6"/>
    <w:rsid w:val="00DC2DE4"/>
    <w:rsid w:val="00DC3521"/>
    <w:rsid w:val="00DC4AFC"/>
    <w:rsid w:val="00DC59DA"/>
    <w:rsid w:val="00DC7F7F"/>
    <w:rsid w:val="00DD025A"/>
    <w:rsid w:val="00DD0CA0"/>
    <w:rsid w:val="00DD1622"/>
    <w:rsid w:val="00DD22BB"/>
    <w:rsid w:val="00DD337E"/>
    <w:rsid w:val="00DD3F4B"/>
    <w:rsid w:val="00DD41CD"/>
    <w:rsid w:val="00DD4975"/>
    <w:rsid w:val="00DD6C7D"/>
    <w:rsid w:val="00DD6E2C"/>
    <w:rsid w:val="00DE0125"/>
    <w:rsid w:val="00DE2244"/>
    <w:rsid w:val="00DE2D47"/>
    <w:rsid w:val="00DE3460"/>
    <w:rsid w:val="00DE35FF"/>
    <w:rsid w:val="00DE48A3"/>
    <w:rsid w:val="00DE4B9C"/>
    <w:rsid w:val="00DE5133"/>
    <w:rsid w:val="00DE5432"/>
    <w:rsid w:val="00DE6149"/>
    <w:rsid w:val="00DE67D1"/>
    <w:rsid w:val="00DF13E7"/>
    <w:rsid w:val="00DF2563"/>
    <w:rsid w:val="00DF42DA"/>
    <w:rsid w:val="00DF4396"/>
    <w:rsid w:val="00DF503E"/>
    <w:rsid w:val="00DF510F"/>
    <w:rsid w:val="00DF5210"/>
    <w:rsid w:val="00DF5395"/>
    <w:rsid w:val="00DF563F"/>
    <w:rsid w:val="00DF65AD"/>
    <w:rsid w:val="00DF6A81"/>
    <w:rsid w:val="00DF7395"/>
    <w:rsid w:val="00DF7719"/>
    <w:rsid w:val="00E0146D"/>
    <w:rsid w:val="00E01C8D"/>
    <w:rsid w:val="00E02409"/>
    <w:rsid w:val="00E02E71"/>
    <w:rsid w:val="00E02F07"/>
    <w:rsid w:val="00E03DF1"/>
    <w:rsid w:val="00E04F36"/>
    <w:rsid w:val="00E05BFC"/>
    <w:rsid w:val="00E05F84"/>
    <w:rsid w:val="00E067A8"/>
    <w:rsid w:val="00E1142C"/>
    <w:rsid w:val="00E12118"/>
    <w:rsid w:val="00E129C4"/>
    <w:rsid w:val="00E12BCA"/>
    <w:rsid w:val="00E12FAC"/>
    <w:rsid w:val="00E13791"/>
    <w:rsid w:val="00E15631"/>
    <w:rsid w:val="00E1587B"/>
    <w:rsid w:val="00E17844"/>
    <w:rsid w:val="00E21423"/>
    <w:rsid w:val="00E22655"/>
    <w:rsid w:val="00E233EB"/>
    <w:rsid w:val="00E23CA7"/>
    <w:rsid w:val="00E24EA4"/>
    <w:rsid w:val="00E252D9"/>
    <w:rsid w:val="00E25CC6"/>
    <w:rsid w:val="00E2614E"/>
    <w:rsid w:val="00E26D09"/>
    <w:rsid w:val="00E308C8"/>
    <w:rsid w:val="00E30CDC"/>
    <w:rsid w:val="00E31347"/>
    <w:rsid w:val="00E31C39"/>
    <w:rsid w:val="00E31EC4"/>
    <w:rsid w:val="00E322F8"/>
    <w:rsid w:val="00E33397"/>
    <w:rsid w:val="00E34DB9"/>
    <w:rsid w:val="00E3690C"/>
    <w:rsid w:val="00E36AA8"/>
    <w:rsid w:val="00E37954"/>
    <w:rsid w:val="00E41432"/>
    <w:rsid w:val="00E41F69"/>
    <w:rsid w:val="00E42F86"/>
    <w:rsid w:val="00E433A3"/>
    <w:rsid w:val="00E444B6"/>
    <w:rsid w:val="00E4613C"/>
    <w:rsid w:val="00E478ED"/>
    <w:rsid w:val="00E5045D"/>
    <w:rsid w:val="00E5058D"/>
    <w:rsid w:val="00E50E66"/>
    <w:rsid w:val="00E51D69"/>
    <w:rsid w:val="00E52A7D"/>
    <w:rsid w:val="00E55EF7"/>
    <w:rsid w:val="00E56418"/>
    <w:rsid w:val="00E5778E"/>
    <w:rsid w:val="00E60F40"/>
    <w:rsid w:val="00E61703"/>
    <w:rsid w:val="00E62DC6"/>
    <w:rsid w:val="00E63EB1"/>
    <w:rsid w:val="00E646A3"/>
    <w:rsid w:val="00E65C46"/>
    <w:rsid w:val="00E73296"/>
    <w:rsid w:val="00E73B0C"/>
    <w:rsid w:val="00E75D3D"/>
    <w:rsid w:val="00E75E60"/>
    <w:rsid w:val="00E761A1"/>
    <w:rsid w:val="00E80675"/>
    <w:rsid w:val="00E812F4"/>
    <w:rsid w:val="00E828C3"/>
    <w:rsid w:val="00E831DD"/>
    <w:rsid w:val="00E835A3"/>
    <w:rsid w:val="00E83E4A"/>
    <w:rsid w:val="00E8427D"/>
    <w:rsid w:val="00E85C49"/>
    <w:rsid w:val="00E86060"/>
    <w:rsid w:val="00E86811"/>
    <w:rsid w:val="00E86CEA"/>
    <w:rsid w:val="00E86FA0"/>
    <w:rsid w:val="00E91433"/>
    <w:rsid w:val="00E923DB"/>
    <w:rsid w:val="00E93311"/>
    <w:rsid w:val="00E9502D"/>
    <w:rsid w:val="00E95511"/>
    <w:rsid w:val="00E9618F"/>
    <w:rsid w:val="00E9725B"/>
    <w:rsid w:val="00EA0D9A"/>
    <w:rsid w:val="00EA1943"/>
    <w:rsid w:val="00EA1F93"/>
    <w:rsid w:val="00EA3FA8"/>
    <w:rsid w:val="00EA44FA"/>
    <w:rsid w:val="00EA4A1E"/>
    <w:rsid w:val="00EA521C"/>
    <w:rsid w:val="00EA5799"/>
    <w:rsid w:val="00EA5965"/>
    <w:rsid w:val="00EA5FF5"/>
    <w:rsid w:val="00EA6882"/>
    <w:rsid w:val="00EA6B27"/>
    <w:rsid w:val="00EA7131"/>
    <w:rsid w:val="00EA745C"/>
    <w:rsid w:val="00EA79BB"/>
    <w:rsid w:val="00EB045E"/>
    <w:rsid w:val="00EB35F8"/>
    <w:rsid w:val="00EB4019"/>
    <w:rsid w:val="00EB5FC5"/>
    <w:rsid w:val="00EB67CF"/>
    <w:rsid w:val="00EB7B52"/>
    <w:rsid w:val="00EB7BD1"/>
    <w:rsid w:val="00EB7C71"/>
    <w:rsid w:val="00EC02DE"/>
    <w:rsid w:val="00EC15D5"/>
    <w:rsid w:val="00EC39E2"/>
    <w:rsid w:val="00EC3ACF"/>
    <w:rsid w:val="00EC4354"/>
    <w:rsid w:val="00EC4900"/>
    <w:rsid w:val="00EC6F50"/>
    <w:rsid w:val="00ED1461"/>
    <w:rsid w:val="00ED205A"/>
    <w:rsid w:val="00ED20D3"/>
    <w:rsid w:val="00ED3115"/>
    <w:rsid w:val="00ED3C75"/>
    <w:rsid w:val="00ED3F68"/>
    <w:rsid w:val="00ED4B41"/>
    <w:rsid w:val="00ED6405"/>
    <w:rsid w:val="00ED73E9"/>
    <w:rsid w:val="00ED748E"/>
    <w:rsid w:val="00EE08B1"/>
    <w:rsid w:val="00EE0F0F"/>
    <w:rsid w:val="00EE22E2"/>
    <w:rsid w:val="00EE2691"/>
    <w:rsid w:val="00EE49C5"/>
    <w:rsid w:val="00EE4B34"/>
    <w:rsid w:val="00EE65FD"/>
    <w:rsid w:val="00EE6E1B"/>
    <w:rsid w:val="00EF0985"/>
    <w:rsid w:val="00EF0A25"/>
    <w:rsid w:val="00EF0A6E"/>
    <w:rsid w:val="00EF0A7C"/>
    <w:rsid w:val="00EF0C13"/>
    <w:rsid w:val="00EF1ACA"/>
    <w:rsid w:val="00EF2CEA"/>
    <w:rsid w:val="00EF3B16"/>
    <w:rsid w:val="00EF4EB5"/>
    <w:rsid w:val="00EF4F54"/>
    <w:rsid w:val="00EF671F"/>
    <w:rsid w:val="00EF6EC8"/>
    <w:rsid w:val="00EF7381"/>
    <w:rsid w:val="00F03210"/>
    <w:rsid w:val="00F03EC9"/>
    <w:rsid w:val="00F049EF"/>
    <w:rsid w:val="00F04CCF"/>
    <w:rsid w:val="00F052E5"/>
    <w:rsid w:val="00F05518"/>
    <w:rsid w:val="00F07119"/>
    <w:rsid w:val="00F1034A"/>
    <w:rsid w:val="00F111DF"/>
    <w:rsid w:val="00F12AAA"/>
    <w:rsid w:val="00F12EC3"/>
    <w:rsid w:val="00F132B4"/>
    <w:rsid w:val="00F14005"/>
    <w:rsid w:val="00F1491C"/>
    <w:rsid w:val="00F14BE8"/>
    <w:rsid w:val="00F15E90"/>
    <w:rsid w:val="00F2013C"/>
    <w:rsid w:val="00F20A78"/>
    <w:rsid w:val="00F23490"/>
    <w:rsid w:val="00F23CED"/>
    <w:rsid w:val="00F248BC"/>
    <w:rsid w:val="00F24A60"/>
    <w:rsid w:val="00F25182"/>
    <w:rsid w:val="00F25C12"/>
    <w:rsid w:val="00F25F8F"/>
    <w:rsid w:val="00F2603B"/>
    <w:rsid w:val="00F274A4"/>
    <w:rsid w:val="00F30DEE"/>
    <w:rsid w:val="00F3166E"/>
    <w:rsid w:val="00F31745"/>
    <w:rsid w:val="00F31AC1"/>
    <w:rsid w:val="00F325F9"/>
    <w:rsid w:val="00F326B9"/>
    <w:rsid w:val="00F36415"/>
    <w:rsid w:val="00F37125"/>
    <w:rsid w:val="00F40266"/>
    <w:rsid w:val="00F4094F"/>
    <w:rsid w:val="00F420D1"/>
    <w:rsid w:val="00F42F23"/>
    <w:rsid w:val="00F46449"/>
    <w:rsid w:val="00F47D4D"/>
    <w:rsid w:val="00F5233B"/>
    <w:rsid w:val="00F52D13"/>
    <w:rsid w:val="00F5414A"/>
    <w:rsid w:val="00F55FFB"/>
    <w:rsid w:val="00F56070"/>
    <w:rsid w:val="00F570F5"/>
    <w:rsid w:val="00F576A7"/>
    <w:rsid w:val="00F6004D"/>
    <w:rsid w:val="00F614B7"/>
    <w:rsid w:val="00F649CB"/>
    <w:rsid w:val="00F64B54"/>
    <w:rsid w:val="00F650DA"/>
    <w:rsid w:val="00F66336"/>
    <w:rsid w:val="00F67441"/>
    <w:rsid w:val="00F67993"/>
    <w:rsid w:val="00F70BFE"/>
    <w:rsid w:val="00F72621"/>
    <w:rsid w:val="00F7516D"/>
    <w:rsid w:val="00F7537D"/>
    <w:rsid w:val="00F75641"/>
    <w:rsid w:val="00F76936"/>
    <w:rsid w:val="00F76F13"/>
    <w:rsid w:val="00F77693"/>
    <w:rsid w:val="00F7780E"/>
    <w:rsid w:val="00F77E69"/>
    <w:rsid w:val="00F80395"/>
    <w:rsid w:val="00F813E0"/>
    <w:rsid w:val="00F81AEC"/>
    <w:rsid w:val="00F83539"/>
    <w:rsid w:val="00F83678"/>
    <w:rsid w:val="00F8399A"/>
    <w:rsid w:val="00F83F7E"/>
    <w:rsid w:val="00F8415E"/>
    <w:rsid w:val="00F86017"/>
    <w:rsid w:val="00F90733"/>
    <w:rsid w:val="00F92E94"/>
    <w:rsid w:val="00F92F00"/>
    <w:rsid w:val="00F956BA"/>
    <w:rsid w:val="00F95FFF"/>
    <w:rsid w:val="00F96010"/>
    <w:rsid w:val="00F974D8"/>
    <w:rsid w:val="00F97502"/>
    <w:rsid w:val="00FA07E2"/>
    <w:rsid w:val="00FA0929"/>
    <w:rsid w:val="00FA0C95"/>
    <w:rsid w:val="00FA1773"/>
    <w:rsid w:val="00FA3F52"/>
    <w:rsid w:val="00FA59A0"/>
    <w:rsid w:val="00FA7254"/>
    <w:rsid w:val="00FA7796"/>
    <w:rsid w:val="00FB0136"/>
    <w:rsid w:val="00FB054D"/>
    <w:rsid w:val="00FB1407"/>
    <w:rsid w:val="00FB3C70"/>
    <w:rsid w:val="00FB68CC"/>
    <w:rsid w:val="00FB7F81"/>
    <w:rsid w:val="00FC0037"/>
    <w:rsid w:val="00FC186F"/>
    <w:rsid w:val="00FC4839"/>
    <w:rsid w:val="00FC4A09"/>
    <w:rsid w:val="00FC757A"/>
    <w:rsid w:val="00FC787E"/>
    <w:rsid w:val="00FC7B83"/>
    <w:rsid w:val="00FD01CA"/>
    <w:rsid w:val="00FD0AB5"/>
    <w:rsid w:val="00FD1160"/>
    <w:rsid w:val="00FD40F9"/>
    <w:rsid w:val="00FD4785"/>
    <w:rsid w:val="00FD4A1A"/>
    <w:rsid w:val="00FD6BC2"/>
    <w:rsid w:val="00FD7704"/>
    <w:rsid w:val="00FD7E7A"/>
    <w:rsid w:val="00FE072B"/>
    <w:rsid w:val="00FE08F7"/>
    <w:rsid w:val="00FE0D2F"/>
    <w:rsid w:val="00FE116D"/>
    <w:rsid w:val="00FE13A8"/>
    <w:rsid w:val="00FE234D"/>
    <w:rsid w:val="00FE27E0"/>
    <w:rsid w:val="00FE3953"/>
    <w:rsid w:val="00FE575E"/>
    <w:rsid w:val="00FE5971"/>
    <w:rsid w:val="00FE5D91"/>
    <w:rsid w:val="00FE6BC7"/>
    <w:rsid w:val="00FE6DD4"/>
    <w:rsid w:val="00FE75F5"/>
    <w:rsid w:val="00FF06EC"/>
    <w:rsid w:val="00FF35BE"/>
    <w:rsid w:val="00FF41AA"/>
    <w:rsid w:val="00FF424F"/>
    <w:rsid w:val="00FF452A"/>
    <w:rsid w:val="00FF51CA"/>
    <w:rsid w:val="00FF5244"/>
    <w:rsid w:val="00FF5C34"/>
    <w:rsid w:val="00FF78FF"/>
    <w:rsid w:val="11BC087F"/>
    <w:rsid w:val="129E9F6D"/>
    <w:rsid w:val="31ACB685"/>
    <w:rsid w:val="3BA9C8DC"/>
    <w:rsid w:val="4269BE72"/>
    <w:rsid w:val="45AF89A2"/>
    <w:rsid w:val="4A6F3695"/>
    <w:rsid w:val="564E2912"/>
    <w:rsid w:val="57EA85F3"/>
    <w:rsid w:val="63726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A2AAC6"/>
  <w15:docId w15:val="{09247681-DC50-4B9A-8C61-8DA7F4A0D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15D5"/>
    <w:rPr>
      <w:sz w:val="24"/>
    </w:rPr>
  </w:style>
  <w:style w:type="paragraph" w:styleId="Heading1">
    <w:name w:val="heading 1"/>
    <w:basedOn w:val="Normal"/>
    <w:next w:val="Normal"/>
    <w:qFormat/>
    <w:rsid w:val="00EC15D5"/>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EC15D5"/>
    <w:pPr>
      <w:keepNext/>
      <w:numPr>
        <w:ilvl w:val="1"/>
        <w:numId w:val="1"/>
      </w:numPr>
      <w:spacing w:before="240" w:after="60"/>
      <w:outlineLvl w:val="1"/>
    </w:pPr>
    <w:rPr>
      <w:rFonts w:ascii="Arial" w:hAnsi="Arial"/>
      <w:b/>
      <w:i/>
    </w:rPr>
  </w:style>
  <w:style w:type="paragraph" w:styleId="Heading3">
    <w:name w:val="heading 3"/>
    <w:basedOn w:val="Normal"/>
    <w:next w:val="Normal"/>
    <w:qFormat/>
    <w:rsid w:val="00EC15D5"/>
    <w:pPr>
      <w:keepNext/>
      <w:numPr>
        <w:ilvl w:val="2"/>
        <w:numId w:val="1"/>
      </w:numPr>
      <w:spacing w:before="240" w:after="60"/>
      <w:outlineLvl w:val="2"/>
    </w:pPr>
    <w:rPr>
      <w:rFonts w:ascii="Arial" w:hAnsi="Arial"/>
    </w:rPr>
  </w:style>
  <w:style w:type="paragraph" w:styleId="Heading4">
    <w:name w:val="heading 4"/>
    <w:basedOn w:val="Normal"/>
    <w:next w:val="Normal"/>
    <w:qFormat/>
    <w:rsid w:val="00EC15D5"/>
    <w:pPr>
      <w:keepNext/>
      <w:numPr>
        <w:ilvl w:val="3"/>
        <w:numId w:val="1"/>
      </w:numPr>
      <w:spacing w:before="240" w:after="60"/>
      <w:outlineLvl w:val="3"/>
    </w:pPr>
    <w:rPr>
      <w:rFonts w:ascii="Arial" w:hAnsi="Arial"/>
      <w:b/>
    </w:rPr>
  </w:style>
  <w:style w:type="paragraph" w:styleId="Heading5">
    <w:name w:val="heading 5"/>
    <w:basedOn w:val="Normal"/>
    <w:next w:val="Normal"/>
    <w:qFormat/>
    <w:rsid w:val="00CD3245"/>
    <w:pPr>
      <w:numPr>
        <w:ilvl w:val="4"/>
        <w:numId w:val="6"/>
      </w:numPr>
      <w:spacing w:before="240" w:after="60"/>
      <w:outlineLvl w:val="4"/>
    </w:pPr>
    <w:rPr>
      <w:sz w:val="22"/>
    </w:rPr>
  </w:style>
  <w:style w:type="paragraph" w:styleId="Heading6">
    <w:name w:val="heading 6"/>
    <w:basedOn w:val="Normal"/>
    <w:next w:val="Normal"/>
    <w:qFormat/>
    <w:rsid w:val="00CD3245"/>
    <w:pPr>
      <w:numPr>
        <w:ilvl w:val="5"/>
        <w:numId w:val="6"/>
      </w:numPr>
      <w:spacing w:before="240" w:after="60"/>
      <w:outlineLvl w:val="5"/>
    </w:pPr>
    <w:rPr>
      <w:i/>
      <w:sz w:val="22"/>
    </w:rPr>
  </w:style>
  <w:style w:type="paragraph" w:styleId="Heading7">
    <w:name w:val="heading 7"/>
    <w:basedOn w:val="Normal"/>
    <w:next w:val="Normal"/>
    <w:qFormat/>
    <w:rsid w:val="00CD3245"/>
    <w:pPr>
      <w:numPr>
        <w:ilvl w:val="6"/>
        <w:numId w:val="6"/>
      </w:numPr>
      <w:spacing w:before="240" w:after="60"/>
      <w:outlineLvl w:val="6"/>
    </w:pPr>
    <w:rPr>
      <w:rFonts w:ascii="Arial" w:hAnsi="Arial"/>
    </w:rPr>
  </w:style>
  <w:style w:type="paragraph" w:styleId="Heading8">
    <w:name w:val="heading 8"/>
    <w:basedOn w:val="Normal"/>
    <w:next w:val="Normal"/>
    <w:qFormat/>
    <w:rsid w:val="00CD3245"/>
    <w:pPr>
      <w:numPr>
        <w:ilvl w:val="7"/>
        <w:numId w:val="6"/>
      </w:numPr>
      <w:spacing w:before="240" w:after="60"/>
      <w:outlineLvl w:val="7"/>
    </w:pPr>
    <w:rPr>
      <w:rFonts w:ascii="Arial" w:hAnsi="Arial"/>
      <w:i/>
    </w:rPr>
  </w:style>
  <w:style w:type="paragraph" w:styleId="Heading9">
    <w:name w:val="heading 9"/>
    <w:basedOn w:val="Normal"/>
    <w:next w:val="Normal"/>
    <w:qFormat/>
    <w:rsid w:val="00CD3245"/>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C15D5"/>
    <w:rPr>
      <w:caps/>
    </w:rPr>
  </w:style>
  <w:style w:type="paragraph" w:customStyle="1" w:styleId="ABBR">
    <w:name w:val="ABBR"/>
    <w:basedOn w:val="Annex"/>
    <w:rsid w:val="00EC15D5"/>
  </w:style>
  <w:style w:type="paragraph" w:customStyle="1" w:styleId="AbbrDesc">
    <w:name w:val="AbbrDesc"/>
    <w:basedOn w:val="Normal"/>
    <w:rsid w:val="00EC15D5"/>
    <w:pPr>
      <w:tabs>
        <w:tab w:val="left" w:pos="3060"/>
      </w:tabs>
      <w:jc w:val="both"/>
    </w:pPr>
  </w:style>
  <w:style w:type="paragraph" w:styleId="BodyText">
    <w:name w:val="Body Text"/>
    <w:basedOn w:val="Normal"/>
    <w:rsid w:val="00EC15D5"/>
    <w:pPr>
      <w:tabs>
        <w:tab w:val="left" w:pos="3060"/>
      </w:tabs>
      <w:jc w:val="center"/>
    </w:pPr>
  </w:style>
  <w:style w:type="paragraph" w:styleId="BodyTextIndent">
    <w:name w:val="Body Text Indent"/>
    <w:basedOn w:val="Normal"/>
    <w:rsid w:val="00EC15D5"/>
    <w:pPr>
      <w:spacing w:after="120"/>
      <w:ind w:left="360"/>
    </w:pPr>
  </w:style>
  <w:style w:type="paragraph" w:styleId="BodyTextIndent3">
    <w:name w:val="Body Text Indent 3"/>
    <w:basedOn w:val="Normal"/>
    <w:rsid w:val="00EC15D5"/>
    <w:pPr>
      <w:spacing w:after="120"/>
      <w:ind w:left="360"/>
    </w:pPr>
  </w:style>
  <w:style w:type="paragraph" w:customStyle="1" w:styleId="Chapter">
    <w:name w:val="Chapter"/>
    <w:basedOn w:val="Normal"/>
    <w:next w:val="Normal"/>
    <w:qFormat/>
    <w:rsid w:val="00CD3245"/>
    <w:pPr>
      <w:keepNext/>
      <w:numPr>
        <w:numId w:val="9"/>
      </w:numPr>
      <w:tabs>
        <w:tab w:val="left" w:pos="1440"/>
      </w:tabs>
      <w:spacing w:before="240" w:after="240"/>
      <w:jc w:val="center"/>
    </w:pPr>
    <w:rPr>
      <w:b/>
      <w:smallCaps/>
    </w:rPr>
  </w:style>
  <w:style w:type="paragraph" w:styleId="DocumentMap">
    <w:name w:val="Document Map"/>
    <w:basedOn w:val="Normal"/>
    <w:semiHidden/>
    <w:rsid w:val="00EC15D5"/>
    <w:pPr>
      <w:shd w:val="clear" w:color="auto" w:fill="000080"/>
    </w:pPr>
    <w:rPr>
      <w:rFonts w:ascii="Tahoma" w:hAnsi="Tahoma"/>
    </w:rPr>
  </w:style>
  <w:style w:type="paragraph" w:customStyle="1" w:styleId="FirstHeading">
    <w:name w:val="FirstHeading"/>
    <w:basedOn w:val="Normal"/>
    <w:next w:val="Normal"/>
    <w:rsid w:val="00CD3245"/>
    <w:pPr>
      <w:keepNext/>
      <w:numPr>
        <w:numId w:val="6"/>
      </w:numPr>
      <w:tabs>
        <w:tab w:val="left" w:pos="0"/>
        <w:tab w:val="left" w:pos="86"/>
      </w:tabs>
      <w:spacing w:before="120" w:after="120"/>
      <w:ind w:left="720"/>
    </w:pPr>
    <w:rPr>
      <w:b/>
    </w:rPr>
  </w:style>
  <w:style w:type="paragraph" w:styleId="Footer">
    <w:name w:val="footer"/>
    <w:basedOn w:val="Normal"/>
    <w:link w:val="FooterChar"/>
    <w:uiPriority w:val="99"/>
    <w:rsid w:val="00EC15D5"/>
    <w:pPr>
      <w:tabs>
        <w:tab w:val="center" w:pos="4320"/>
        <w:tab w:val="right" w:pos="8640"/>
      </w:tabs>
    </w:pPr>
  </w:style>
  <w:style w:type="paragraph" w:styleId="FootnoteText">
    <w:name w:val="footnote text"/>
    <w:aliases w:val="fn,Texto nota pie IIRSA,foottextfra,footnote,F,Car,ft,Texto,nota,pie,Ref.,al,F1,texto de nota al pie,NOTA AL PIE TESIS PUCP,footnote text,Geneva 9,Font: Geneva 9,Boston 10,f,Fußnotentextr,Texto nota pie Car Car,single space,Fußn,nota_rodap"/>
    <w:basedOn w:val="Normal"/>
    <w:link w:val="FootnoteTextChar"/>
    <w:uiPriority w:val="99"/>
    <w:qFormat/>
    <w:rsid w:val="00EC15D5"/>
    <w:pPr>
      <w:keepNext/>
      <w:keepLines/>
      <w:spacing w:after="120"/>
      <w:ind w:left="288" w:hanging="288"/>
      <w:jc w:val="both"/>
    </w:pPr>
    <w:rPr>
      <w:spacing w:val="-3"/>
      <w:sz w:val="20"/>
    </w:rPr>
  </w:style>
  <w:style w:type="paragraph" w:styleId="Header">
    <w:name w:val="header"/>
    <w:basedOn w:val="Normal"/>
    <w:link w:val="HeaderChar"/>
    <w:uiPriority w:val="99"/>
    <w:rsid w:val="00EC15D5"/>
    <w:pPr>
      <w:tabs>
        <w:tab w:val="center" w:pos="4320"/>
        <w:tab w:val="right" w:pos="8640"/>
      </w:tabs>
    </w:pPr>
  </w:style>
  <w:style w:type="character" w:styleId="LineNumber">
    <w:name w:val="line number"/>
    <w:basedOn w:val="DefaultParagraphFont"/>
    <w:rsid w:val="00EC15D5"/>
  </w:style>
  <w:style w:type="paragraph" w:customStyle="1" w:styleId="MasterSourceText">
    <w:name w:val="Master_SourceText"/>
    <w:basedOn w:val="Normal"/>
    <w:rsid w:val="00EC15D5"/>
    <w:pPr>
      <w:tabs>
        <w:tab w:val="left" w:pos="1440"/>
      </w:tabs>
      <w:ind w:left="1440" w:hanging="720"/>
      <w:jc w:val="both"/>
    </w:pPr>
    <w:rPr>
      <w:sz w:val="20"/>
    </w:rPr>
  </w:style>
  <w:style w:type="paragraph" w:customStyle="1" w:styleId="Newpage">
    <w:name w:val="Newpage"/>
    <w:basedOn w:val="Chapter"/>
    <w:rsid w:val="00EC15D5"/>
    <w:pPr>
      <w:numPr>
        <w:numId w:val="0"/>
      </w:numPr>
      <w:tabs>
        <w:tab w:val="left" w:pos="3060"/>
      </w:tabs>
      <w:spacing w:after="0"/>
    </w:pPr>
  </w:style>
  <w:style w:type="character" w:styleId="PageNumber">
    <w:name w:val="page number"/>
    <w:basedOn w:val="DefaultParagraphFont"/>
    <w:rsid w:val="00EC15D5"/>
  </w:style>
  <w:style w:type="paragraph" w:customStyle="1" w:styleId="Paragraph">
    <w:name w:val="Paragraph"/>
    <w:aliases w:val="paragraph,p,PARAGRAPH,PG,pa,at,paragraph+1"/>
    <w:basedOn w:val="BodyTextIndent"/>
    <w:link w:val="ParagraphChar"/>
    <w:qFormat/>
    <w:rsid w:val="00CD3245"/>
    <w:pPr>
      <w:numPr>
        <w:ilvl w:val="1"/>
        <w:numId w:val="9"/>
      </w:numPr>
      <w:spacing w:before="120"/>
      <w:jc w:val="both"/>
      <w:outlineLvl w:val="1"/>
    </w:pPr>
  </w:style>
  <w:style w:type="paragraph" w:customStyle="1" w:styleId="RegheadTab">
    <w:name w:val="RegheadTab"/>
    <w:basedOn w:val="FirstHeading"/>
    <w:rsid w:val="00EC15D5"/>
    <w:pPr>
      <w:numPr>
        <w:numId w:val="0"/>
      </w:numPr>
      <w:tabs>
        <w:tab w:val="num" w:pos="504"/>
      </w:tabs>
      <w:spacing w:after="0"/>
      <w:ind w:left="504" w:hanging="504"/>
      <w:jc w:val="center"/>
    </w:pPr>
  </w:style>
  <w:style w:type="paragraph" w:customStyle="1" w:styleId="SecHeading">
    <w:name w:val="SecHeading"/>
    <w:basedOn w:val="Normal"/>
    <w:next w:val="Paragraph"/>
    <w:rsid w:val="00CD3245"/>
    <w:pPr>
      <w:keepNext/>
      <w:numPr>
        <w:ilvl w:val="1"/>
        <w:numId w:val="6"/>
      </w:numPr>
      <w:tabs>
        <w:tab w:val="clear" w:pos="5400"/>
        <w:tab w:val="num" w:pos="1296"/>
      </w:tabs>
      <w:spacing w:before="120" w:after="120"/>
      <w:ind w:left="1296"/>
    </w:pPr>
    <w:rPr>
      <w:b/>
    </w:rPr>
  </w:style>
  <w:style w:type="paragraph" w:customStyle="1" w:styleId="SubHeading1">
    <w:name w:val="SubHeading1"/>
    <w:basedOn w:val="SecHeading"/>
    <w:rsid w:val="00CD3245"/>
    <w:pPr>
      <w:numPr>
        <w:ilvl w:val="2"/>
      </w:numPr>
      <w:tabs>
        <w:tab w:val="clear" w:pos="5976"/>
        <w:tab w:val="num" w:pos="1872"/>
      </w:tabs>
      <w:ind w:left="1872"/>
    </w:pPr>
  </w:style>
  <w:style w:type="paragraph" w:customStyle="1" w:styleId="Subheading2">
    <w:name w:val="Subheading2"/>
    <w:basedOn w:val="SecHeading"/>
    <w:rsid w:val="00CD3245"/>
    <w:pPr>
      <w:numPr>
        <w:ilvl w:val="3"/>
      </w:numPr>
      <w:tabs>
        <w:tab w:val="clear" w:pos="6480"/>
        <w:tab w:val="num" w:pos="2376"/>
      </w:tabs>
      <w:ind w:left="2376"/>
    </w:pPr>
  </w:style>
  <w:style w:type="paragraph" w:customStyle="1" w:styleId="subpar">
    <w:name w:val="subpar"/>
    <w:basedOn w:val="BodyTextIndent3"/>
    <w:rsid w:val="00CD3245"/>
    <w:pPr>
      <w:numPr>
        <w:ilvl w:val="2"/>
        <w:numId w:val="9"/>
      </w:numPr>
      <w:tabs>
        <w:tab w:val="clear" w:pos="3456"/>
        <w:tab w:val="num" w:pos="1152"/>
      </w:tabs>
      <w:spacing w:before="120"/>
      <w:ind w:left="1152"/>
      <w:jc w:val="both"/>
      <w:outlineLvl w:val="2"/>
    </w:pPr>
  </w:style>
  <w:style w:type="paragraph" w:customStyle="1" w:styleId="SubSubPar">
    <w:name w:val="SubSubPar"/>
    <w:basedOn w:val="subpar"/>
    <w:rsid w:val="00CD3245"/>
    <w:pPr>
      <w:numPr>
        <w:ilvl w:val="3"/>
      </w:numPr>
      <w:tabs>
        <w:tab w:val="clear" w:pos="3888"/>
        <w:tab w:val="left" w:pos="0"/>
        <w:tab w:val="num" w:pos="1296"/>
      </w:tabs>
      <w:ind w:left="1296"/>
    </w:pPr>
  </w:style>
  <w:style w:type="paragraph" w:styleId="Title">
    <w:name w:val="Title"/>
    <w:basedOn w:val="Normal"/>
    <w:qFormat/>
    <w:rsid w:val="00EC15D5"/>
    <w:pPr>
      <w:tabs>
        <w:tab w:val="left" w:pos="1440"/>
        <w:tab w:val="left" w:pos="3060"/>
      </w:tabs>
      <w:jc w:val="center"/>
      <w:outlineLvl w:val="0"/>
    </w:pPr>
  </w:style>
  <w:style w:type="paragraph" w:styleId="TOC1">
    <w:name w:val="toc 1"/>
    <w:basedOn w:val="Normal"/>
    <w:next w:val="Normal"/>
    <w:autoRedefine/>
    <w:uiPriority w:val="39"/>
    <w:rsid w:val="0045688F"/>
    <w:pPr>
      <w:tabs>
        <w:tab w:val="left" w:pos="540"/>
        <w:tab w:val="right" w:leader="dot" w:pos="8640"/>
      </w:tabs>
      <w:spacing w:before="240" w:after="240"/>
      <w:ind w:left="547" w:hanging="547"/>
    </w:pPr>
    <w:rPr>
      <w:rFonts w:ascii="Arial" w:hAnsi="Arial" w:cs="Arial"/>
      <w:smallCaps/>
      <w:noProof/>
      <w:sz w:val="22"/>
    </w:rPr>
  </w:style>
  <w:style w:type="paragraph" w:styleId="TOC2">
    <w:name w:val="toc 2"/>
    <w:basedOn w:val="Normal"/>
    <w:next w:val="Normal"/>
    <w:autoRedefine/>
    <w:semiHidden/>
    <w:rsid w:val="00EC15D5"/>
    <w:pPr>
      <w:tabs>
        <w:tab w:val="left" w:pos="540"/>
        <w:tab w:val="left" w:pos="600"/>
        <w:tab w:val="left" w:pos="1166"/>
        <w:tab w:val="right" w:leader="dot" w:pos="8640"/>
        <w:tab w:val="right" w:leader="dot" w:pos="8741"/>
      </w:tabs>
      <w:ind w:left="1166" w:hanging="605"/>
    </w:pPr>
    <w:rPr>
      <w:rFonts w:ascii="Arial" w:hAnsi="Arial" w:cs="Arial"/>
      <w:noProof/>
      <w:sz w:val="22"/>
      <w:szCs w:val="24"/>
    </w:rPr>
  </w:style>
  <w:style w:type="paragraph" w:styleId="TOC3">
    <w:name w:val="toc 3"/>
    <w:basedOn w:val="Normal"/>
    <w:next w:val="Normal"/>
    <w:autoRedefine/>
    <w:semiHidden/>
    <w:rsid w:val="00EC15D5"/>
    <w:pPr>
      <w:tabs>
        <w:tab w:val="left" w:pos="1728"/>
        <w:tab w:val="right" w:leader="dot" w:pos="8640"/>
      </w:tabs>
      <w:ind w:left="1714" w:hanging="562"/>
    </w:pPr>
    <w:rPr>
      <w:rFonts w:ascii="Arial" w:hAnsi="Arial" w:cs="Arial"/>
      <w:noProof/>
      <w:sz w:val="22"/>
    </w:rPr>
  </w:style>
  <w:style w:type="paragraph" w:styleId="TOC4">
    <w:name w:val="toc 4"/>
    <w:basedOn w:val="Normal"/>
    <w:next w:val="Normal"/>
    <w:autoRedefine/>
    <w:semiHidden/>
    <w:rsid w:val="00EC15D5"/>
    <w:pPr>
      <w:ind w:left="400"/>
    </w:pPr>
  </w:style>
  <w:style w:type="paragraph" w:styleId="TOC5">
    <w:name w:val="toc 5"/>
    <w:basedOn w:val="Normal"/>
    <w:next w:val="Normal"/>
    <w:autoRedefine/>
    <w:semiHidden/>
    <w:rsid w:val="00EC15D5"/>
    <w:pPr>
      <w:ind w:left="600"/>
    </w:pPr>
  </w:style>
  <w:style w:type="paragraph" w:styleId="TOC6">
    <w:name w:val="toc 6"/>
    <w:basedOn w:val="Normal"/>
    <w:next w:val="Normal"/>
    <w:autoRedefine/>
    <w:semiHidden/>
    <w:rsid w:val="00EC15D5"/>
    <w:pPr>
      <w:ind w:left="800"/>
    </w:pPr>
  </w:style>
  <w:style w:type="paragraph" w:styleId="TOC7">
    <w:name w:val="toc 7"/>
    <w:basedOn w:val="Normal"/>
    <w:next w:val="Normal"/>
    <w:autoRedefine/>
    <w:semiHidden/>
    <w:rsid w:val="00EC15D5"/>
    <w:pPr>
      <w:ind w:left="1000"/>
    </w:pPr>
  </w:style>
  <w:style w:type="paragraph" w:styleId="TOC8">
    <w:name w:val="toc 8"/>
    <w:basedOn w:val="Normal"/>
    <w:next w:val="Normal"/>
    <w:autoRedefine/>
    <w:semiHidden/>
    <w:rsid w:val="00EC15D5"/>
    <w:pPr>
      <w:ind w:left="1200"/>
    </w:pPr>
  </w:style>
  <w:style w:type="paragraph" w:styleId="TOC9">
    <w:name w:val="toc 9"/>
    <w:basedOn w:val="Normal"/>
    <w:next w:val="Normal"/>
    <w:autoRedefine/>
    <w:semiHidden/>
    <w:rsid w:val="00EC15D5"/>
    <w:pPr>
      <w:ind w:left="1400"/>
    </w:pPr>
  </w:style>
  <w:style w:type="character" w:styleId="Hyperlink">
    <w:name w:val="Hyperlink"/>
    <w:basedOn w:val="DefaultParagraphFont"/>
    <w:rsid w:val="00EC15D5"/>
    <w:rPr>
      <w:color w:val="0000FF"/>
      <w:u w:val="single"/>
    </w:rPr>
  </w:style>
  <w:style w:type="character" w:styleId="FollowedHyperlink">
    <w:name w:val="FollowedHyperlink"/>
    <w:basedOn w:val="DefaultParagraphFont"/>
    <w:rsid w:val="00EC15D5"/>
    <w:rPr>
      <w:color w:val="800080"/>
      <w:u w:val="single"/>
    </w:rPr>
  </w:style>
  <w:style w:type="paragraph" w:styleId="BodyText3">
    <w:name w:val="Body Text 3"/>
    <w:basedOn w:val="Normal"/>
    <w:rsid w:val="00EC15D5"/>
    <w:rPr>
      <w:rFonts w:ascii="Palatino Linotype" w:hAnsi="Palatino Linotype"/>
      <w:sz w:val="22"/>
    </w:rPr>
  </w:style>
  <w:style w:type="character" w:styleId="FootnoteReference">
    <w:name w:val="footnote reference"/>
    <w:aliases w:val="Fußnotenzeichen DISS,16 Point,Superscript 6 Point,ftref,Footnote Reference Number,Footnote,BVI fnr,Ref,de nota al pie,Normal + Font:9 Point,Superscript 3 Point Times,FC,SUPERS,EN Footnote Reference,number, BVI fnr,Знак сноски 1"/>
    <w:basedOn w:val="DefaultParagraphFont"/>
    <w:link w:val="CarattereCarattereCharCharCharCharCharCharZchn"/>
    <w:uiPriority w:val="99"/>
    <w:qFormat/>
    <w:rsid w:val="00EC15D5"/>
    <w:rPr>
      <w:vertAlign w:val="superscript"/>
    </w:rPr>
  </w:style>
  <w:style w:type="paragraph" w:styleId="Subtitle">
    <w:name w:val="Subtitle"/>
    <w:basedOn w:val="Normal"/>
    <w:qFormat/>
    <w:rsid w:val="00EC15D5"/>
    <w:pPr>
      <w:jc w:val="center"/>
    </w:pPr>
    <w:rPr>
      <w:b/>
      <w:bCs/>
      <w:sz w:val="28"/>
      <w:szCs w:val="24"/>
    </w:rPr>
  </w:style>
  <w:style w:type="paragraph" w:customStyle="1" w:styleId="xl29">
    <w:name w:val="xl29"/>
    <w:basedOn w:val="Normal"/>
    <w:rsid w:val="00EC15D5"/>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Textodebalo">
    <w:name w:val="Texto de balão"/>
    <w:basedOn w:val="Normal"/>
    <w:semiHidden/>
    <w:rsid w:val="00EC15D5"/>
    <w:rPr>
      <w:rFonts w:ascii="Tahoma" w:hAnsi="Tahoma" w:cs="Tahoma"/>
      <w:sz w:val="16"/>
      <w:szCs w:val="16"/>
    </w:rPr>
  </w:style>
  <w:style w:type="paragraph" w:styleId="BalloonText">
    <w:name w:val="Balloon Text"/>
    <w:basedOn w:val="Normal"/>
    <w:semiHidden/>
    <w:rsid w:val="00D4145C"/>
    <w:rPr>
      <w:rFonts w:ascii="Tahoma" w:hAnsi="Tahoma" w:cs="Tahoma"/>
      <w:sz w:val="16"/>
      <w:szCs w:val="16"/>
    </w:rPr>
  </w:style>
  <w:style w:type="character" w:customStyle="1" w:styleId="ParagraphChar">
    <w:name w:val="Paragraph Char"/>
    <w:aliases w:val="paragraph Char,p Char,PARAGRAPH Char,PG Char,pa Char,at Char"/>
    <w:basedOn w:val="DefaultParagraphFont"/>
    <w:link w:val="Paragraph"/>
    <w:rsid w:val="00CD3245"/>
    <w:rPr>
      <w:sz w:val="24"/>
    </w:rPr>
  </w:style>
  <w:style w:type="character" w:styleId="Emphasis">
    <w:name w:val="Emphasis"/>
    <w:basedOn w:val="DefaultParagraphFont"/>
    <w:qFormat/>
    <w:rsid w:val="003F27D7"/>
    <w:rPr>
      <w:i/>
      <w:iCs/>
    </w:rPr>
  </w:style>
  <w:style w:type="paragraph" w:styleId="ListParagraph">
    <w:name w:val="List Paragraph"/>
    <w:basedOn w:val="Normal"/>
    <w:uiPriority w:val="34"/>
    <w:qFormat/>
    <w:rsid w:val="001F48A4"/>
    <w:pPr>
      <w:ind w:left="720"/>
      <w:contextualSpacing/>
    </w:pPr>
    <w:rPr>
      <w:rFonts w:ascii="Arial" w:hAnsi="Arial"/>
      <w:sz w:val="20"/>
    </w:rPr>
  </w:style>
  <w:style w:type="table" w:styleId="TableGrid">
    <w:name w:val="Table Grid"/>
    <w:basedOn w:val="TableNormal"/>
    <w:rsid w:val="00383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74D84"/>
    <w:rPr>
      <w:sz w:val="24"/>
    </w:rPr>
  </w:style>
  <w:style w:type="paragraph" w:styleId="NormalWeb">
    <w:name w:val="Normal (Web)"/>
    <w:basedOn w:val="Normal"/>
    <w:uiPriority w:val="99"/>
    <w:unhideWhenUsed/>
    <w:rsid w:val="00D37846"/>
    <w:rPr>
      <w:rFonts w:eastAsia="Calibri"/>
      <w:szCs w:val="24"/>
    </w:rPr>
  </w:style>
  <w:style w:type="character" w:styleId="CommentReference">
    <w:name w:val="annotation reference"/>
    <w:basedOn w:val="DefaultParagraphFont"/>
    <w:rsid w:val="00E322F8"/>
    <w:rPr>
      <w:sz w:val="16"/>
      <w:szCs w:val="16"/>
    </w:rPr>
  </w:style>
  <w:style w:type="paragraph" w:styleId="CommentText">
    <w:name w:val="annotation text"/>
    <w:basedOn w:val="Normal"/>
    <w:link w:val="CommentTextChar"/>
    <w:rsid w:val="00E322F8"/>
    <w:rPr>
      <w:sz w:val="20"/>
    </w:rPr>
  </w:style>
  <w:style w:type="character" w:customStyle="1" w:styleId="CommentTextChar">
    <w:name w:val="Comment Text Char"/>
    <w:basedOn w:val="DefaultParagraphFont"/>
    <w:link w:val="CommentText"/>
    <w:rsid w:val="00E322F8"/>
  </w:style>
  <w:style w:type="paragraph" w:styleId="CommentSubject">
    <w:name w:val="annotation subject"/>
    <w:basedOn w:val="CommentText"/>
    <w:next w:val="CommentText"/>
    <w:link w:val="CommentSubjectChar"/>
    <w:rsid w:val="00E322F8"/>
    <w:rPr>
      <w:b/>
      <w:bCs/>
    </w:rPr>
  </w:style>
  <w:style w:type="character" w:customStyle="1" w:styleId="CommentSubjectChar">
    <w:name w:val="Comment Subject Char"/>
    <w:basedOn w:val="CommentTextChar"/>
    <w:link w:val="CommentSubject"/>
    <w:rsid w:val="00E322F8"/>
    <w:rPr>
      <w:b/>
      <w:bCs/>
    </w:rPr>
  </w:style>
  <w:style w:type="character" w:customStyle="1" w:styleId="FootnoteTextChar">
    <w:name w:val="Footnote Text Char"/>
    <w:aliases w:val="fn Char,Texto nota pie IIRSA Char,foottextfra Char,footnote Char,F Char,Car Char,ft Char,Texto Char,nota Char,pie Char,Ref. Char,al Char,F1 Char,texto de nota al pie Char,NOTA AL PIE TESIS PUCP Char,footnote text Char,Geneva 9 Char"/>
    <w:basedOn w:val="DefaultParagraphFont"/>
    <w:link w:val="FootnoteText"/>
    <w:uiPriority w:val="99"/>
    <w:locked/>
    <w:rsid w:val="00CE29A5"/>
    <w:rPr>
      <w:spacing w:val="-3"/>
    </w:rPr>
  </w:style>
  <w:style w:type="paragraph" w:styleId="Revision">
    <w:name w:val="Revision"/>
    <w:hidden/>
    <w:uiPriority w:val="99"/>
    <w:semiHidden/>
    <w:rsid w:val="008E0577"/>
    <w:rPr>
      <w:sz w:val="24"/>
    </w:rPr>
  </w:style>
  <w:style w:type="character" w:customStyle="1" w:styleId="FootnoteTextChar1">
    <w:name w:val="Footnote Text Char1"/>
    <w:aliases w:val="fn Char1,Texto nota pie IIRSA Char1,foottextfra Char1,footnote Char1,F Char1"/>
    <w:basedOn w:val="DefaultParagraphFont"/>
    <w:uiPriority w:val="99"/>
    <w:semiHidden/>
    <w:locked/>
    <w:rsid w:val="0074637A"/>
    <w:rPr>
      <w:rFonts w:cs="Times New Roman"/>
      <w:spacing w:val="-3"/>
      <w:lang w:val="en-US" w:eastAsia="en-US" w:bidi="ar-SA"/>
    </w:rPr>
  </w:style>
  <w:style w:type="character" w:customStyle="1" w:styleId="apple-style-span">
    <w:name w:val="apple-style-span"/>
    <w:basedOn w:val="DefaultParagraphFont"/>
    <w:rsid w:val="005673D0"/>
  </w:style>
  <w:style w:type="character" w:customStyle="1" w:styleId="apple-converted-space">
    <w:name w:val="apple-converted-space"/>
    <w:basedOn w:val="DefaultParagraphFont"/>
    <w:rsid w:val="005673D0"/>
  </w:style>
  <w:style w:type="paragraph" w:customStyle="1" w:styleId="Regtable">
    <w:name w:val="Regtable"/>
    <w:basedOn w:val="Normal"/>
    <w:link w:val="RegtableChar"/>
    <w:rsid w:val="00CD3245"/>
    <w:pPr>
      <w:keepLines/>
      <w:framePr w:wrap="around" w:vAnchor="text" w:hAnchor="text" w:y="1"/>
      <w:spacing w:before="20" w:after="20"/>
    </w:pPr>
    <w:rPr>
      <w:sz w:val="20"/>
      <w:lang w:val="es-ES_tradnl"/>
    </w:rPr>
  </w:style>
  <w:style w:type="character" w:customStyle="1" w:styleId="RegtableChar">
    <w:name w:val="Regtable Char"/>
    <w:basedOn w:val="DefaultParagraphFont"/>
    <w:link w:val="Regtable"/>
    <w:rsid w:val="00CD3245"/>
    <w:rPr>
      <w:lang w:val="es-ES_tradnl"/>
    </w:rPr>
  </w:style>
  <w:style w:type="paragraph" w:customStyle="1" w:styleId="TableTitle">
    <w:name w:val="TableTitle"/>
    <w:basedOn w:val="Normal"/>
    <w:link w:val="TableTitleChar"/>
    <w:rsid w:val="00CD3245"/>
    <w:pPr>
      <w:keepNext/>
      <w:framePr w:wrap="around" w:vAnchor="text" w:hAnchor="text" w:y="1"/>
      <w:spacing w:before="20" w:after="20"/>
      <w:jc w:val="center"/>
    </w:pPr>
    <w:rPr>
      <w:rFonts w:ascii="Times New Roman Bold" w:hAnsi="Times New Roman Bold"/>
      <w:b/>
      <w:spacing w:val="-3"/>
      <w:sz w:val="20"/>
      <w:lang w:val="es-ES_tradnl"/>
    </w:rPr>
  </w:style>
  <w:style w:type="character" w:customStyle="1" w:styleId="TableTitleChar">
    <w:name w:val="TableTitle Char"/>
    <w:basedOn w:val="DefaultParagraphFont"/>
    <w:link w:val="TableTitle"/>
    <w:rsid w:val="00CD3245"/>
    <w:rPr>
      <w:rFonts w:ascii="Times New Roman Bold" w:hAnsi="Times New Roman Bold"/>
      <w:b/>
      <w:spacing w:val="-3"/>
      <w:lang w:val="es-ES_tradnl"/>
    </w:rPr>
  </w:style>
  <w:style w:type="character" w:styleId="UnresolvedMention">
    <w:name w:val="Unresolved Mention"/>
    <w:basedOn w:val="DefaultParagraphFont"/>
    <w:uiPriority w:val="99"/>
    <w:semiHidden/>
    <w:unhideWhenUsed/>
    <w:rsid w:val="00014DFB"/>
    <w:rPr>
      <w:color w:val="808080"/>
      <w:shd w:val="clear" w:color="auto" w:fill="E6E6E6"/>
    </w:rPr>
  </w:style>
  <w:style w:type="character" w:customStyle="1" w:styleId="HeaderChar">
    <w:name w:val="Header Char"/>
    <w:basedOn w:val="DefaultParagraphFont"/>
    <w:link w:val="Header"/>
    <w:uiPriority w:val="99"/>
    <w:rsid w:val="004544EA"/>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617868"/>
    <w:pPr>
      <w:spacing w:after="160" w:line="240" w:lineRule="exact"/>
    </w:pPr>
    <w:rPr>
      <w:sz w:val="20"/>
      <w:vertAlign w:val="superscript"/>
    </w:rPr>
  </w:style>
  <w:style w:type="character" w:customStyle="1" w:styleId="normaltextrun">
    <w:name w:val="normaltextrun"/>
    <w:basedOn w:val="DefaultParagraphFont"/>
    <w:rsid w:val="00D60DDB"/>
  </w:style>
  <w:style w:type="character" w:customStyle="1" w:styleId="eop">
    <w:name w:val="eop"/>
    <w:basedOn w:val="DefaultParagraphFont"/>
    <w:rsid w:val="00D60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7649">
      <w:bodyDiv w:val="1"/>
      <w:marLeft w:val="0"/>
      <w:marRight w:val="0"/>
      <w:marTop w:val="0"/>
      <w:marBottom w:val="0"/>
      <w:divBdr>
        <w:top w:val="none" w:sz="0" w:space="0" w:color="auto"/>
        <w:left w:val="none" w:sz="0" w:space="0" w:color="auto"/>
        <w:bottom w:val="none" w:sz="0" w:space="0" w:color="auto"/>
        <w:right w:val="none" w:sz="0" w:space="0" w:color="auto"/>
      </w:divBdr>
    </w:div>
    <w:div w:id="119348329">
      <w:bodyDiv w:val="1"/>
      <w:marLeft w:val="0"/>
      <w:marRight w:val="0"/>
      <w:marTop w:val="0"/>
      <w:marBottom w:val="0"/>
      <w:divBdr>
        <w:top w:val="none" w:sz="0" w:space="0" w:color="auto"/>
        <w:left w:val="none" w:sz="0" w:space="0" w:color="auto"/>
        <w:bottom w:val="none" w:sz="0" w:space="0" w:color="auto"/>
        <w:right w:val="none" w:sz="0" w:space="0" w:color="auto"/>
      </w:divBdr>
    </w:div>
    <w:div w:id="478226342">
      <w:bodyDiv w:val="1"/>
      <w:marLeft w:val="0"/>
      <w:marRight w:val="0"/>
      <w:marTop w:val="0"/>
      <w:marBottom w:val="0"/>
      <w:divBdr>
        <w:top w:val="none" w:sz="0" w:space="0" w:color="auto"/>
        <w:left w:val="none" w:sz="0" w:space="0" w:color="auto"/>
        <w:bottom w:val="none" w:sz="0" w:space="0" w:color="auto"/>
        <w:right w:val="none" w:sz="0" w:space="0" w:color="auto"/>
      </w:divBdr>
    </w:div>
    <w:div w:id="789670678">
      <w:bodyDiv w:val="1"/>
      <w:marLeft w:val="0"/>
      <w:marRight w:val="0"/>
      <w:marTop w:val="0"/>
      <w:marBottom w:val="0"/>
      <w:divBdr>
        <w:top w:val="none" w:sz="0" w:space="0" w:color="auto"/>
        <w:left w:val="none" w:sz="0" w:space="0" w:color="auto"/>
        <w:bottom w:val="none" w:sz="0" w:space="0" w:color="auto"/>
        <w:right w:val="none" w:sz="0" w:space="0" w:color="auto"/>
      </w:divBdr>
    </w:div>
    <w:div w:id="1245458336">
      <w:bodyDiv w:val="1"/>
      <w:marLeft w:val="0"/>
      <w:marRight w:val="0"/>
      <w:marTop w:val="0"/>
      <w:marBottom w:val="0"/>
      <w:divBdr>
        <w:top w:val="none" w:sz="0" w:space="0" w:color="auto"/>
        <w:left w:val="none" w:sz="0" w:space="0" w:color="auto"/>
        <w:bottom w:val="none" w:sz="0" w:space="0" w:color="auto"/>
        <w:right w:val="none" w:sz="0" w:space="0" w:color="auto"/>
      </w:divBdr>
    </w:div>
    <w:div w:id="1342122783">
      <w:bodyDiv w:val="1"/>
      <w:marLeft w:val="0"/>
      <w:marRight w:val="0"/>
      <w:marTop w:val="0"/>
      <w:marBottom w:val="0"/>
      <w:divBdr>
        <w:top w:val="none" w:sz="0" w:space="0" w:color="auto"/>
        <w:left w:val="none" w:sz="0" w:space="0" w:color="auto"/>
        <w:bottom w:val="none" w:sz="0" w:space="0" w:color="auto"/>
        <w:right w:val="none" w:sz="0" w:space="0" w:color="auto"/>
      </w:divBdr>
    </w:div>
    <w:div w:id="1483691349">
      <w:bodyDiv w:val="1"/>
      <w:marLeft w:val="0"/>
      <w:marRight w:val="0"/>
      <w:marTop w:val="0"/>
      <w:marBottom w:val="0"/>
      <w:divBdr>
        <w:top w:val="none" w:sz="0" w:space="0" w:color="auto"/>
        <w:left w:val="none" w:sz="0" w:space="0" w:color="auto"/>
        <w:bottom w:val="none" w:sz="0" w:space="0" w:color="auto"/>
        <w:right w:val="none" w:sz="0" w:space="0" w:color="auto"/>
      </w:divBdr>
    </w:div>
    <w:div w:id="1491869973">
      <w:bodyDiv w:val="1"/>
      <w:marLeft w:val="0"/>
      <w:marRight w:val="0"/>
      <w:marTop w:val="0"/>
      <w:marBottom w:val="0"/>
      <w:divBdr>
        <w:top w:val="none" w:sz="0" w:space="0" w:color="auto"/>
        <w:left w:val="none" w:sz="0" w:space="0" w:color="auto"/>
        <w:bottom w:val="none" w:sz="0" w:space="0" w:color="auto"/>
        <w:right w:val="none" w:sz="0" w:space="0" w:color="auto"/>
      </w:divBdr>
    </w:div>
    <w:div w:id="1668702120">
      <w:bodyDiv w:val="1"/>
      <w:marLeft w:val="0"/>
      <w:marRight w:val="0"/>
      <w:marTop w:val="0"/>
      <w:marBottom w:val="0"/>
      <w:divBdr>
        <w:top w:val="none" w:sz="0" w:space="0" w:color="auto"/>
        <w:left w:val="none" w:sz="0" w:space="0" w:color="auto"/>
        <w:bottom w:val="none" w:sz="0" w:space="0" w:color="auto"/>
        <w:right w:val="none" w:sz="0" w:space="0" w:color="auto"/>
      </w:divBdr>
    </w:div>
    <w:div w:id="1812670026">
      <w:bodyDiv w:val="1"/>
      <w:marLeft w:val="0"/>
      <w:marRight w:val="0"/>
      <w:marTop w:val="0"/>
      <w:marBottom w:val="0"/>
      <w:divBdr>
        <w:top w:val="none" w:sz="0" w:space="0" w:color="auto"/>
        <w:left w:val="none" w:sz="0" w:space="0" w:color="auto"/>
        <w:bottom w:val="none" w:sz="0" w:space="0" w:color="auto"/>
        <w:right w:val="none" w:sz="0" w:space="0" w:color="auto"/>
      </w:divBdr>
    </w:div>
    <w:div w:id="1835102459">
      <w:bodyDiv w:val="1"/>
      <w:marLeft w:val="0"/>
      <w:marRight w:val="0"/>
      <w:marTop w:val="0"/>
      <w:marBottom w:val="0"/>
      <w:divBdr>
        <w:top w:val="none" w:sz="0" w:space="0" w:color="auto"/>
        <w:left w:val="none" w:sz="0" w:space="0" w:color="auto"/>
        <w:bottom w:val="none" w:sz="0" w:space="0" w:color="auto"/>
        <w:right w:val="none" w:sz="0" w:space="0" w:color="auto"/>
      </w:divBdr>
    </w:div>
    <w:div w:id="1838302210">
      <w:bodyDiv w:val="1"/>
      <w:marLeft w:val="0"/>
      <w:marRight w:val="0"/>
      <w:marTop w:val="0"/>
      <w:marBottom w:val="0"/>
      <w:divBdr>
        <w:top w:val="none" w:sz="0" w:space="0" w:color="auto"/>
        <w:left w:val="none" w:sz="0" w:space="0" w:color="auto"/>
        <w:bottom w:val="none" w:sz="0" w:space="0" w:color="auto"/>
        <w:right w:val="none" w:sz="0" w:space="0" w:color="auto"/>
      </w:divBdr>
    </w:div>
    <w:div w:id="1858080875">
      <w:bodyDiv w:val="1"/>
      <w:marLeft w:val="0"/>
      <w:marRight w:val="0"/>
      <w:marTop w:val="0"/>
      <w:marBottom w:val="0"/>
      <w:divBdr>
        <w:top w:val="none" w:sz="0" w:space="0" w:color="auto"/>
        <w:left w:val="none" w:sz="0" w:space="0" w:color="auto"/>
        <w:bottom w:val="none" w:sz="0" w:space="0" w:color="auto"/>
        <w:right w:val="none" w:sz="0" w:space="0" w:color="auto"/>
      </w:divBdr>
      <w:divsChild>
        <w:div w:id="278074416">
          <w:marLeft w:val="547"/>
          <w:marRight w:val="0"/>
          <w:marTop w:val="77"/>
          <w:marBottom w:val="0"/>
          <w:divBdr>
            <w:top w:val="none" w:sz="0" w:space="0" w:color="auto"/>
            <w:left w:val="none" w:sz="0" w:space="0" w:color="auto"/>
            <w:bottom w:val="none" w:sz="0" w:space="0" w:color="auto"/>
            <w:right w:val="none" w:sz="0" w:space="0" w:color="auto"/>
          </w:divBdr>
        </w:div>
        <w:div w:id="373427808">
          <w:marLeft w:val="547"/>
          <w:marRight w:val="0"/>
          <w:marTop w:val="77"/>
          <w:marBottom w:val="0"/>
          <w:divBdr>
            <w:top w:val="none" w:sz="0" w:space="0" w:color="auto"/>
            <w:left w:val="none" w:sz="0" w:space="0" w:color="auto"/>
            <w:bottom w:val="none" w:sz="0" w:space="0" w:color="auto"/>
            <w:right w:val="none" w:sz="0" w:space="0" w:color="auto"/>
          </w:divBdr>
        </w:div>
        <w:div w:id="483006385">
          <w:marLeft w:val="547"/>
          <w:marRight w:val="0"/>
          <w:marTop w:val="77"/>
          <w:marBottom w:val="0"/>
          <w:divBdr>
            <w:top w:val="none" w:sz="0" w:space="0" w:color="auto"/>
            <w:left w:val="none" w:sz="0" w:space="0" w:color="auto"/>
            <w:bottom w:val="none" w:sz="0" w:space="0" w:color="auto"/>
            <w:right w:val="none" w:sz="0" w:space="0" w:color="auto"/>
          </w:divBdr>
        </w:div>
        <w:div w:id="1994410989">
          <w:marLeft w:val="547"/>
          <w:marRight w:val="0"/>
          <w:marTop w:val="77"/>
          <w:marBottom w:val="0"/>
          <w:divBdr>
            <w:top w:val="none" w:sz="0" w:space="0" w:color="auto"/>
            <w:left w:val="none" w:sz="0" w:space="0" w:color="auto"/>
            <w:bottom w:val="none" w:sz="0" w:space="0" w:color="auto"/>
            <w:right w:val="none" w:sz="0" w:space="0" w:color="auto"/>
          </w:divBdr>
        </w:div>
        <w:div w:id="2092775542">
          <w:marLeft w:val="547"/>
          <w:marRight w:val="0"/>
          <w:marTop w:val="77"/>
          <w:marBottom w:val="0"/>
          <w:divBdr>
            <w:top w:val="none" w:sz="0" w:space="0" w:color="auto"/>
            <w:left w:val="none" w:sz="0" w:space="0" w:color="auto"/>
            <w:bottom w:val="none" w:sz="0" w:space="0" w:color="auto"/>
            <w:right w:val="none" w:sz="0" w:space="0" w:color="auto"/>
          </w:divBdr>
        </w:div>
        <w:div w:id="2100372486">
          <w:marLeft w:val="547"/>
          <w:marRight w:val="0"/>
          <w:marTop w:val="77"/>
          <w:marBottom w:val="0"/>
          <w:divBdr>
            <w:top w:val="none" w:sz="0" w:space="0" w:color="auto"/>
            <w:left w:val="none" w:sz="0" w:space="0" w:color="auto"/>
            <w:bottom w:val="none" w:sz="0" w:space="0" w:color="auto"/>
            <w:right w:val="none" w:sz="0" w:space="0" w:color="auto"/>
          </w:divBdr>
        </w:div>
        <w:div w:id="2104181682">
          <w:marLeft w:val="547"/>
          <w:marRight w:val="0"/>
          <w:marTop w:val="77"/>
          <w:marBottom w:val="0"/>
          <w:divBdr>
            <w:top w:val="none" w:sz="0" w:space="0" w:color="auto"/>
            <w:left w:val="none" w:sz="0" w:space="0" w:color="auto"/>
            <w:bottom w:val="none" w:sz="0" w:space="0" w:color="auto"/>
            <w:right w:val="none" w:sz="0" w:space="0" w:color="auto"/>
          </w:divBdr>
        </w:div>
        <w:div w:id="2111507089">
          <w:marLeft w:val="547"/>
          <w:marRight w:val="0"/>
          <w:marTop w:val="77"/>
          <w:marBottom w:val="0"/>
          <w:divBdr>
            <w:top w:val="none" w:sz="0" w:space="0" w:color="auto"/>
            <w:left w:val="none" w:sz="0" w:space="0" w:color="auto"/>
            <w:bottom w:val="none" w:sz="0" w:space="0" w:color="auto"/>
            <w:right w:val="none" w:sz="0" w:space="0" w:color="auto"/>
          </w:divBdr>
        </w:div>
      </w:divsChild>
    </w:div>
    <w:div w:id="201098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1900412865-39" TargetMode="External"/><Relationship Id="rId3" Type="http://schemas.openxmlformats.org/officeDocument/2006/relationships/customXml" Target="../customXml/item3.xml"/><Relationship Id="rId21" Type="http://schemas.openxmlformats.org/officeDocument/2006/relationships/hyperlink" Target="http://idbdocs.iadb.org/wsdocs/getDocument.aspx?DOCNUM=EZSHARE-1900412865-39"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idbdocs.iadb.org/wsdocs/getDocument.aspx?DOCNUM=EZSHARE-1900412865-3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idbdocs.iadb.org/wsdocs/getDocument.aspx?DOCNUM=EZSHARE-1900412865-40" TargetMode="External"/><Relationship Id="rId10" Type="http://schemas.openxmlformats.org/officeDocument/2006/relationships/settings" Target="settings.xml"/><Relationship Id="rId19" Type="http://schemas.openxmlformats.org/officeDocument/2006/relationships/hyperlink" Target="http://idbdocs.iadb.org/wsdocs/getDocument.aspx?DOCNUM=EZSHARE-1900412865-42"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www.who.int/emergencies/diseases/managing-epidemics/en/" TargetMode="External"/><Relationship Id="rId3" Type="http://schemas.openxmlformats.org/officeDocument/2006/relationships/hyperlink" Target="https://covid19.who.int/" TargetMode="External"/><Relationship Id="rId7" Type="http://schemas.openxmlformats.org/officeDocument/2006/relationships/hyperlink" Target="https://www.imf.org/en/Publications/CR/Issues/2019/12/23/Suriname-2019-Article-IV-Consultation-Press-Release-Staff-Report-Informational-Annex-and-48916" TargetMode="External"/><Relationship Id="rId2" Type="http://schemas.openxmlformats.org/officeDocument/2006/relationships/hyperlink" Target="https://nam02.safelinks.protection.outlook.com/?url=https%3A%2F%2Fwww.dna.sr%2Fnieuws%2Fwet-uitzonderingstoestand-covid-19-verlengd-met-een-jaar%2F&amp;data=04%7C01%7CIANH%40iadb.org%7Cf27a7938444e40b21aca08d8e8985178%7C9dfb1a055f1d449a896062abcb479e7d%7C0%7C0%7C637515088190770897%7CUnknown%7CTWFpbGZsb3d8eyJWIjoiMC4wLjAwMDAiLCJQIjoiV2luMzIiLCJBTiI6Ik1haWwiLCJXVCI6Mn0%3D%7C1000&amp;sdata=npTWVCyTvklIRDZjr1%2BYl7LyUXkIJzh2xImb%2BxZP3R8%3D&amp;reserved=0" TargetMode="External"/><Relationship Id="rId1" Type="http://schemas.openxmlformats.org/officeDocument/2006/relationships/hyperlink" Target="https://covid19.who.int/" TargetMode="External"/><Relationship Id="rId6" Type="http://schemas.openxmlformats.org/officeDocument/2006/relationships/hyperlink" Target="https://www.imf.org/en/Publications/WEO/weo-database/2020/October" TargetMode="External"/><Relationship Id="rId5" Type="http://schemas.openxmlformats.org/officeDocument/2006/relationships/hyperlink" Target="https://publications.iadb.org/en/suriname-times-covid-19-navigating-labyrinth" TargetMode="External"/><Relationship Id="rId4" Type="http://schemas.openxmlformats.org/officeDocument/2006/relationships/hyperlink" Target="http://idbdocs.iadb.org/wsdocs/getDocument.aspx?DOCNUM=EZSHARE-1900412865-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e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R0002166885</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Gaggero, Annabella</Document_x0020_Author>
    <_dlc_DocId xmlns="cdc7663a-08f0-4737-9e8c-148ce897a09c">EZSHARE-1900412865-41</_dlc_DocId>
    <Operation_x0020_Type xmlns="cdc7663a-08f0-4737-9e8c-148ce897a09c">Container</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TaxCatchAll xmlns="cdc7663a-08f0-4737-9e8c-148ce897a09c">
      <Value>6</Value>
      <Value>13</Value>
      <Value>11</Value>
      <Value>15</Value>
      <Value>14</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SU-O0005</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Document_x0020_Language_x0020_IDB xmlns="cdc7663a-08f0-4737-9e8c-148ce897a09c">English</Document_x0020_Language_x0020_IDB>
    <_dlc_DocIdUrl xmlns="cdc7663a-08f0-4737-9e8c-148ce897a09c">
      <Url>https://idbg.sharepoint.com/teams/EZ-SU-CON/SU-O0005/_layouts/15/DocIdRedir.aspx?ID=EZSHARE-1900412865-41</Url>
      <Description>EZSHARE-1900412865-41</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Extracted_x0020_Keywords xmlns="cdc7663a-08f0-4737-9e8c-148ce897a09c"/>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5AE795C067CDA44A3C6A576520E1B77" ma:contentTypeVersion="33" ma:contentTypeDescription="A content type to manage public (operations) IDB documents" ma:contentTypeScope="" ma:versionID="ba68f0572d035733e68249f5989d1066">
  <xsd:schema xmlns:xsd="http://www.w3.org/2001/XMLSchema" xmlns:xs="http://www.w3.org/2001/XMLSchema" xmlns:p="http://schemas.microsoft.com/office/2006/metadata/properties" xmlns:ns2="cdc7663a-08f0-4737-9e8c-148ce897a09c" targetNamespace="http://schemas.microsoft.com/office/2006/metadata/properties" ma:root="true" ma:fieldsID="be42edc84edb4517e55a371b507894e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O000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Container"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CDA7C4-25C0-4CD6-853D-83F4F671EC6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48328393-53C1-4760-B1FC-398E6B73D0C4}">
  <ds:schemaRefs>
    <ds:schemaRef ds:uri="http://schemas.microsoft.com/sharepoint/events"/>
  </ds:schemaRefs>
</ds:datastoreItem>
</file>

<file path=customXml/itemProps3.xml><?xml version="1.0" encoding="utf-8"?>
<ds:datastoreItem xmlns:ds="http://schemas.openxmlformats.org/officeDocument/2006/customXml" ds:itemID="{D2406D40-54E5-4ED9-9E46-695FEE73D14E}">
  <ds:schemaRefs>
    <ds:schemaRef ds:uri="http://schemas.microsoft.com/sharepoint/v3/contenttype/forms"/>
  </ds:schemaRefs>
</ds:datastoreItem>
</file>

<file path=customXml/itemProps4.xml><?xml version="1.0" encoding="utf-8"?>
<ds:datastoreItem xmlns:ds="http://schemas.openxmlformats.org/officeDocument/2006/customXml" ds:itemID="{6B0112EF-62E0-4CE7-BC0A-E323C1361514}">
  <ds:schemaRefs>
    <ds:schemaRef ds:uri="Microsoft.SharePoint.Taxonomy.ContentTypeSync"/>
  </ds:schemaRefs>
</ds:datastoreItem>
</file>

<file path=customXml/itemProps5.xml><?xml version="1.0" encoding="utf-8"?>
<ds:datastoreItem xmlns:ds="http://schemas.openxmlformats.org/officeDocument/2006/customXml" ds:itemID="{56A99576-E0C4-4680-88A7-00D1DB9F648D}">
  <ds:schemaRefs>
    <ds:schemaRef ds:uri="http://schemas.openxmlformats.org/officeDocument/2006/bibliography"/>
  </ds:schemaRefs>
</ds:datastoreItem>
</file>

<file path=customXml/itemProps6.xml><?xml version="1.0" encoding="utf-8"?>
<ds:datastoreItem xmlns:ds="http://schemas.openxmlformats.org/officeDocument/2006/customXml" ds:itemID="{200887EE-CC84-4215-9FCC-527EA99CB6C1}">
  <ds:schemaRefs>
    <ds:schemaRef ds:uri="http://schemas.microsoft.com/sharepoint/v3/contenttype/forms/url"/>
  </ds:schemaRefs>
</ds:datastoreItem>
</file>

<file path=customXml/itemProps7.xml><?xml version="1.0" encoding="utf-8"?>
<ds:datastoreItem xmlns:ds="http://schemas.openxmlformats.org/officeDocument/2006/customXml" ds:itemID="{E911F3E9-E917-432C-AAE7-A377BBB08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INVeng</Template>
  <TotalTime>3164</TotalTime>
  <Pages>11</Pages>
  <Words>3676</Words>
  <Characters>20857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MARTINC</dc:creator>
  <cp:keywords/>
  <cp:lastModifiedBy>Porras Herrera, Fanny Eliana</cp:lastModifiedBy>
  <cp:revision>402</cp:revision>
  <cp:lastPrinted>2018-03-23T18:45:00Z</cp:lastPrinted>
  <dcterms:created xsi:type="dcterms:W3CDTF">2020-06-23T19:31:00Z</dcterms:created>
  <dcterms:modified xsi:type="dcterms:W3CDTF">2021-03-17T21:03:00Z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15;#RISK FINANCING|c5c38d86-fff1-494c-a3d8-b52714531aea</vt:lpwstr>
  </property>
  <property fmtid="{D5CDD505-2E9C-101B-9397-08002B2CF9AE}" pid="6" name="Country">
    <vt:lpwstr>11;#Suriname|78f391d2-6a9c-4a90-96e5-b3c0fdf8e7da</vt:lpwstr>
  </property>
  <property fmtid="{D5CDD505-2E9C-101B-9397-08002B2CF9AE}" pid="7" name="Fund IDB">
    <vt:lpwstr>14;#ORC|c028a4b2-ad8b-4cf4-9cac-a2ae6a778e23</vt:lpwstr>
  </property>
  <property fmtid="{D5CDD505-2E9C-101B-9397-08002B2CF9AE}" pid="8" name="_dlc_DocIdItemGuid">
    <vt:lpwstr>857afcb6-976c-4107-8a30-3901c2fe9174</vt:lpwstr>
  </property>
  <property fmtid="{D5CDD505-2E9C-101B-9397-08002B2CF9AE}" pid="9" name="Sector IDB">
    <vt:lpwstr>13;#FINANCIAL MARKETS|75500f29-2419-473a-bcd8-84901ddc2aa7</vt:lpwstr>
  </property>
  <property fmtid="{D5CDD505-2E9C-101B-9397-08002B2CF9AE}" pid="10" name="Function Operations IDB">
    <vt:lpwstr>6;#Monitoring and Reporting|df3c2aa1-d63e-41aa-b1f5-bb15dee691ca</vt:lpwstr>
  </property>
  <property fmtid="{D5CDD505-2E9C-101B-9397-08002B2CF9AE}" pid="11" name="RecordPoint_ActiveItemMoved">
    <vt:lpwstr>/teams/EZ-BH-CON/BH-O0003/15 LifeCycle Milestones/Draft Area/BH-O0003. Economic Analysis (clean).docx</vt:lpwstr>
  </property>
  <property fmtid="{D5CDD505-2E9C-101B-9397-08002B2CF9AE}" pid="12" name="RecordStorageActiveId">
    <vt:lpwstr>cadb9629-6753-4134-aa27-e93edcdfaa56</vt:lpwstr>
  </property>
  <property fmtid="{D5CDD505-2E9C-101B-9397-08002B2CF9AE}" pid="13" name="AuthorIds_UIVersion_514">
    <vt:lpwstr>73</vt:lpwstr>
  </property>
  <property fmtid="{D5CDD505-2E9C-101B-9397-08002B2CF9AE}" pid="14" name="AuthorIds_UIVersion_515">
    <vt:lpwstr>73</vt:lpwstr>
  </property>
  <property fmtid="{D5CDD505-2E9C-101B-9397-08002B2CF9AE}" pid="15" name="AuthorIds_UIVersion_516">
    <vt:lpwstr>73</vt:lpwstr>
  </property>
  <property fmtid="{D5CDD505-2E9C-101B-9397-08002B2CF9AE}" pid="16" name="AuthorIds_UIVersion_517">
    <vt:lpwstr>73</vt:lpwstr>
  </property>
  <property fmtid="{D5CDD505-2E9C-101B-9397-08002B2CF9AE}" pid="17" name="Disclosure Activity">
    <vt:lpwstr>Loan Proposal</vt:lpwstr>
  </property>
  <property fmtid="{D5CDD505-2E9C-101B-9397-08002B2CF9AE}" pid="18" name="ContentTypeId">
    <vt:lpwstr>0x0101001A458A224826124E8B45B1D613300CFC0075AE795C067CDA44A3C6A576520E1B77</vt:lpwstr>
  </property>
</Properties>
</file>