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83" w:rsidRDefault="007E0583" w:rsidP="00B87D8B">
      <w:pPr>
        <w:jc w:val="center"/>
        <w:rPr>
          <w:b/>
          <w:lang w:val="es-ES_tradnl"/>
        </w:rPr>
      </w:pPr>
      <w:r>
        <w:rPr>
          <w:b/>
          <w:lang w:val="es-ES_tradnl"/>
        </w:rPr>
        <w:t>APOYO AL CAMBIO DE LA M</w:t>
      </w:r>
      <w:r w:rsidR="007313DA">
        <w:rPr>
          <w:b/>
          <w:lang w:val="es-ES_tradnl"/>
        </w:rPr>
        <w:t>A</w:t>
      </w:r>
      <w:r>
        <w:rPr>
          <w:b/>
          <w:lang w:val="es-ES_tradnl"/>
        </w:rPr>
        <w:t>TRIZ ENERGETICA DEL ECUADOR</w:t>
      </w:r>
    </w:p>
    <w:p w:rsidR="007E0583" w:rsidRDefault="007E0583" w:rsidP="00B87D8B">
      <w:pPr>
        <w:jc w:val="center"/>
        <w:rPr>
          <w:b/>
          <w:lang w:val="es-ES_tradnl"/>
        </w:rPr>
      </w:pPr>
      <w:r w:rsidRPr="007E0583">
        <w:rPr>
          <w:b/>
          <w:lang w:val="es-ES_tradnl"/>
        </w:rPr>
        <w:t xml:space="preserve"> EC-L1140</w:t>
      </w:r>
    </w:p>
    <w:p w:rsidR="007E0583" w:rsidRDefault="007E0583" w:rsidP="00B87D8B">
      <w:pPr>
        <w:jc w:val="center"/>
        <w:rPr>
          <w:b/>
          <w:lang w:val="es-ES_tradnl"/>
        </w:rPr>
      </w:pPr>
    </w:p>
    <w:p w:rsidR="005749E9" w:rsidRDefault="005749E9" w:rsidP="00B87D8B">
      <w:pPr>
        <w:jc w:val="center"/>
        <w:rPr>
          <w:b/>
        </w:rPr>
      </w:pPr>
      <w:r w:rsidRPr="0028055C">
        <w:rPr>
          <w:b/>
        </w:rPr>
        <w:t>MATRIZ DE RESULTADOS</w:t>
      </w:r>
    </w:p>
    <w:p w:rsidR="000072AB" w:rsidRPr="00C83697" w:rsidRDefault="000072AB" w:rsidP="00B87D8B">
      <w:pPr>
        <w:jc w:val="center"/>
        <w:rPr>
          <w:b/>
          <w:lang w:val="es-CO"/>
        </w:rPr>
      </w:pPr>
    </w:p>
    <w:p w:rsidR="000072AB" w:rsidRPr="000072AB" w:rsidRDefault="000072AB" w:rsidP="00B87D8B">
      <w:pPr>
        <w:jc w:val="center"/>
        <w:rPr>
          <w:b/>
          <w:lang w:val="es-ES_tradnl"/>
        </w:rPr>
      </w:pPr>
    </w:p>
    <w:tbl>
      <w:tblPr>
        <w:tblW w:w="137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2"/>
        <w:gridCol w:w="3094"/>
        <w:gridCol w:w="3094"/>
        <w:gridCol w:w="1170"/>
        <w:gridCol w:w="1350"/>
        <w:gridCol w:w="2250"/>
      </w:tblGrid>
      <w:tr w:rsidR="003E01E5" w:rsidRPr="00CF4837" w:rsidTr="003E01E5">
        <w:trPr>
          <w:trHeight w:val="142"/>
          <w:tblHeader/>
        </w:trPr>
        <w:tc>
          <w:tcPr>
            <w:tcW w:w="2812" w:type="dxa"/>
            <w:shd w:val="pct25" w:color="auto" w:fill="auto"/>
            <w:vAlign w:val="center"/>
          </w:tcPr>
          <w:p w:rsidR="000072AB" w:rsidRPr="00CF4837" w:rsidRDefault="000072AB" w:rsidP="000072AB">
            <w:pPr>
              <w:jc w:val="center"/>
              <w:rPr>
                <w:b/>
                <w:sz w:val="18"/>
                <w:szCs w:val="18"/>
              </w:rPr>
            </w:pPr>
            <w:r w:rsidRPr="003164C2">
              <w:rPr>
                <w:b/>
                <w:sz w:val="18"/>
                <w:szCs w:val="18"/>
                <w:lang w:val="es-ES_tradnl"/>
              </w:rPr>
              <w:t>Objetivos</w:t>
            </w:r>
          </w:p>
        </w:tc>
        <w:tc>
          <w:tcPr>
            <w:tcW w:w="3094" w:type="dxa"/>
            <w:shd w:val="pct25" w:color="auto" w:fill="auto"/>
            <w:vAlign w:val="center"/>
          </w:tcPr>
          <w:p w:rsidR="000072AB" w:rsidRPr="00CF4837" w:rsidRDefault="000072AB" w:rsidP="000072A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F4837">
              <w:rPr>
                <w:b/>
                <w:sz w:val="18"/>
                <w:szCs w:val="18"/>
              </w:rPr>
              <w:t>Resultados</w:t>
            </w:r>
            <w:proofErr w:type="spellEnd"/>
          </w:p>
        </w:tc>
        <w:tc>
          <w:tcPr>
            <w:tcW w:w="3094" w:type="dxa"/>
            <w:shd w:val="pct25" w:color="auto" w:fill="auto"/>
            <w:vAlign w:val="center"/>
          </w:tcPr>
          <w:p w:rsidR="000072AB" w:rsidRPr="00CF4837" w:rsidRDefault="000072AB" w:rsidP="000072AB">
            <w:pPr>
              <w:jc w:val="center"/>
              <w:rPr>
                <w:b/>
                <w:sz w:val="18"/>
                <w:szCs w:val="18"/>
              </w:rPr>
            </w:pPr>
            <w:r w:rsidRPr="003164C2">
              <w:rPr>
                <w:b/>
                <w:sz w:val="18"/>
                <w:szCs w:val="18"/>
                <w:lang w:val="es-ES"/>
              </w:rPr>
              <w:t>Indicador</w:t>
            </w:r>
          </w:p>
        </w:tc>
        <w:tc>
          <w:tcPr>
            <w:tcW w:w="1170" w:type="dxa"/>
            <w:shd w:val="pct25" w:color="auto" w:fill="auto"/>
            <w:vAlign w:val="center"/>
          </w:tcPr>
          <w:p w:rsidR="000072AB" w:rsidRPr="00CF4837" w:rsidRDefault="000072AB" w:rsidP="000072AB">
            <w:pPr>
              <w:jc w:val="center"/>
              <w:rPr>
                <w:b/>
                <w:sz w:val="18"/>
                <w:szCs w:val="18"/>
              </w:rPr>
            </w:pPr>
            <w:r w:rsidRPr="003164C2">
              <w:rPr>
                <w:b/>
                <w:sz w:val="18"/>
                <w:szCs w:val="18"/>
                <w:lang w:val="es-ES"/>
              </w:rPr>
              <w:t>Línea</w:t>
            </w:r>
            <w:r>
              <w:rPr>
                <w:b/>
                <w:sz w:val="18"/>
                <w:szCs w:val="18"/>
              </w:rPr>
              <w:t xml:space="preserve"> base</w:t>
            </w:r>
            <w:r w:rsidR="006C134C">
              <w:rPr>
                <w:b/>
                <w:sz w:val="18"/>
                <w:szCs w:val="18"/>
              </w:rPr>
              <w:t xml:space="preserve"> (2013)</w:t>
            </w:r>
          </w:p>
        </w:tc>
        <w:tc>
          <w:tcPr>
            <w:tcW w:w="1350" w:type="dxa"/>
            <w:shd w:val="pct25" w:color="auto" w:fill="auto"/>
            <w:vAlign w:val="center"/>
          </w:tcPr>
          <w:p w:rsidR="000072AB" w:rsidRDefault="000072AB" w:rsidP="000072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Meta</w:t>
            </w:r>
          </w:p>
          <w:p w:rsidR="00D31944" w:rsidRPr="00CF4837" w:rsidRDefault="00D31944" w:rsidP="009754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 w:rsidR="00975436">
              <w:rPr>
                <w:b/>
                <w:sz w:val="18"/>
                <w:szCs w:val="18"/>
              </w:rPr>
              <w:t>2018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250" w:type="dxa"/>
            <w:shd w:val="pct25" w:color="auto" w:fill="auto"/>
            <w:vAlign w:val="center"/>
          </w:tcPr>
          <w:p w:rsidR="000072AB" w:rsidRDefault="000072AB" w:rsidP="000072AB">
            <w:pPr>
              <w:jc w:val="center"/>
              <w:rPr>
                <w:b/>
                <w:sz w:val="18"/>
                <w:szCs w:val="18"/>
              </w:rPr>
            </w:pPr>
            <w:r w:rsidRPr="000072AB">
              <w:rPr>
                <w:b/>
                <w:sz w:val="18"/>
                <w:szCs w:val="18"/>
                <w:lang w:val="es-ES"/>
              </w:rPr>
              <w:t>Medios</w:t>
            </w:r>
            <w:r>
              <w:rPr>
                <w:b/>
                <w:sz w:val="18"/>
                <w:szCs w:val="18"/>
              </w:rPr>
              <w:t xml:space="preserve"> de </w:t>
            </w:r>
            <w:r w:rsidRPr="000072AB">
              <w:rPr>
                <w:b/>
                <w:sz w:val="18"/>
                <w:szCs w:val="18"/>
                <w:lang w:val="es-ES_tradnl"/>
              </w:rPr>
              <w:t>verificación</w:t>
            </w:r>
            <w:r w:rsidR="003E01E5">
              <w:rPr>
                <w:b/>
                <w:sz w:val="18"/>
                <w:szCs w:val="18"/>
                <w:lang w:val="es-ES_tradnl"/>
              </w:rPr>
              <w:t>/Responsable</w:t>
            </w:r>
          </w:p>
        </w:tc>
      </w:tr>
      <w:tr w:rsidR="00C54D53" w:rsidRPr="009A3419" w:rsidTr="0034218C">
        <w:trPr>
          <w:trHeight w:val="142"/>
        </w:trPr>
        <w:tc>
          <w:tcPr>
            <w:tcW w:w="13770" w:type="dxa"/>
            <w:gridSpan w:val="6"/>
            <w:vAlign w:val="center"/>
          </w:tcPr>
          <w:p w:rsidR="00C54D53" w:rsidRPr="00CF4837" w:rsidRDefault="00C54D53" w:rsidP="000072AB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CF4837">
              <w:rPr>
                <w:b/>
                <w:color w:val="000000"/>
                <w:sz w:val="18"/>
                <w:szCs w:val="18"/>
                <w:lang w:val="es-ES_tradnl"/>
              </w:rPr>
              <w:t>I. Marco General de Políticos Macroeconómicas</w:t>
            </w:r>
          </w:p>
        </w:tc>
      </w:tr>
      <w:tr w:rsidR="00C54D53" w:rsidRPr="00E40255" w:rsidTr="0034218C">
        <w:trPr>
          <w:trHeight w:val="142"/>
        </w:trPr>
        <w:tc>
          <w:tcPr>
            <w:tcW w:w="2812" w:type="dxa"/>
            <w:vAlign w:val="center"/>
          </w:tcPr>
          <w:p w:rsidR="000072AB" w:rsidRPr="007E0583" w:rsidRDefault="000072AB" w:rsidP="000072AB">
            <w:pPr>
              <w:rPr>
                <w:sz w:val="18"/>
                <w:szCs w:val="18"/>
                <w:lang w:val="es-CO"/>
              </w:rPr>
            </w:pPr>
            <w:r w:rsidRPr="00CF4837">
              <w:rPr>
                <w:color w:val="000000"/>
                <w:sz w:val="18"/>
                <w:szCs w:val="18"/>
                <w:lang w:val="es-ES_tradnl"/>
              </w:rPr>
              <w:t>Marco General de Políticas Macroeconómicas estable.</w:t>
            </w:r>
          </w:p>
        </w:tc>
        <w:tc>
          <w:tcPr>
            <w:tcW w:w="3094" w:type="dxa"/>
            <w:vAlign w:val="center"/>
          </w:tcPr>
          <w:p w:rsidR="000072AB" w:rsidRPr="00CF4837" w:rsidRDefault="000072AB" w:rsidP="000072AB">
            <w:pPr>
              <w:rPr>
                <w:sz w:val="18"/>
                <w:szCs w:val="18"/>
                <w:lang w:val="es-ES_tradnl"/>
              </w:rPr>
            </w:pPr>
            <w:r w:rsidRPr="00CF4837">
              <w:rPr>
                <w:color w:val="000000"/>
                <w:sz w:val="18"/>
                <w:szCs w:val="18"/>
                <w:lang w:val="es-ES_tradnl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0072AB" w:rsidRPr="00CF4837" w:rsidRDefault="00CC10B9" w:rsidP="000072AB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Opinión técnica FMI</w:t>
            </w:r>
            <w:r w:rsidR="00F243CB">
              <w:rPr>
                <w:color w:val="000000"/>
                <w:sz w:val="18"/>
                <w:szCs w:val="18"/>
                <w:lang w:val="es-ES_tradnl"/>
              </w:rPr>
              <w:t xml:space="preserve"> - Marco macroeconómico estable</w:t>
            </w:r>
            <w:r w:rsidR="00551CA1">
              <w:rPr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072AB" w:rsidRPr="00CF4837" w:rsidRDefault="00F243CB" w:rsidP="00F243CB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072AB" w:rsidRPr="00CF4837" w:rsidRDefault="00F243CB" w:rsidP="00F243CB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0072AB" w:rsidRPr="00CF4837" w:rsidRDefault="00F77B62" w:rsidP="0034218C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 xml:space="preserve">Consulta </w:t>
            </w:r>
            <w:r w:rsidR="00CC10B9">
              <w:rPr>
                <w:color w:val="000000"/>
                <w:sz w:val="18"/>
                <w:szCs w:val="18"/>
                <w:lang w:val="es-ES_tradnl"/>
              </w:rPr>
              <w:t>Artículo IV del FMI</w:t>
            </w:r>
          </w:p>
        </w:tc>
      </w:tr>
      <w:tr w:rsidR="00C54D53" w:rsidRPr="007E0583" w:rsidTr="0034218C">
        <w:trPr>
          <w:trHeight w:val="142"/>
        </w:trPr>
        <w:tc>
          <w:tcPr>
            <w:tcW w:w="13770" w:type="dxa"/>
            <w:gridSpan w:val="6"/>
            <w:vAlign w:val="center"/>
          </w:tcPr>
          <w:p w:rsidR="00C54D53" w:rsidRDefault="00C54D53" w:rsidP="000072AB">
            <w:pPr>
              <w:rPr>
                <w:sz w:val="18"/>
                <w:szCs w:val="18"/>
                <w:lang w:val="es-ES_tradnl"/>
              </w:rPr>
            </w:pPr>
            <w:r w:rsidRPr="00CF4837">
              <w:rPr>
                <w:b/>
                <w:color w:val="000000"/>
                <w:sz w:val="18"/>
                <w:szCs w:val="18"/>
                <w:lang w:val="es-ES_tradnl"/>
              </w:rPr>
              <w:t xml:space="preserve">II. </w:t>
            </w:r>
            <w:r w:rsidR="007313DA" w:rsidRPr="007313DA">
              <w:rPr>
                <w:b/>
                <w:color w:val="000000"/>
                <w:sz w:val="18"/>
                <w:szCs w:val="18"/>
                <w:lang w:val="es-ES_tradnl"/>
              </w:rPr>
              <w:t>Sector energético sostenible</w:t>
            </w:r>
          </w:p>
        </w:tc>
      </w:tr>
      <w:tr w:rsidR="00551CA1" w:rsidRPr="00E40255" w:rsidTr="0034218C">
        <w:trPr>
          <w:trHeight w:val="481"/>
        </w:trPr>
        <w:tc>
          <w:tcPr>
            <w:tcW w:w="2812" w:type="dxa"/>
            <w:vMerge w:val="restart"/>
            <w:vAlign w:val="center"/>
          </w:tcPr>
          <w:p w:rsidR="00551CA1" w:rsidRPr="007313DA" w:rsidRDefault="00551CA1">
            <w:pPr>
              <w:autoSpaceDE w:val="0"/>
              <w:autoSpaceDN w:val="0"/>
              <w:adjustRightInd w:val="0"/>
              <w:rPr>
                <w:sz w:val="18"/>
                <w:szCs w:val="18"/>
                <w:lang w:val="es-ES_tradnl"/>
              </w:rPr>
            </w:pPr>
            <w:r w:rsidRPr="002A2D18">
              <w:rPr>
                <w:bCs/>
                <w:color w:val="000000"/>
                <w:sz w:val="18"/>
                <w:lang w:val="es-MX"/>
              </w:rPr>
              <w:t>Definición de una estrategia</w:t>
            </w:r>
            <w:r>
              <w:rPr>
                <w:bCs/>
                <w:color w:val="000000"/>
                <w:sz w:val="18"/>
                <w:lang w:val="es-MX"/>
              </w:rPr>
              <w:t xml:space="preserve"> e implementación de acciones</w:t>
            </w:r>
            <w:r w:rsidRPr="002A2D18">
              <w:rPr>
                <w:bCs/>
                <w:color w:val="000000"/>
                <w:sz w:val="18"/>
                <w:lang w:val="es-MX"/>
              </w:rPr>
              <w:t xml:space="preserve"> encaminada</w:t>
            </w:r>
            <w:r>
              <w:rPr>
                <w:bCs/>
                <w:color w:val="000000"/>
                <w:sz w:val="18"/>
                <w:lang w:val="es-MX"/>
              </w:rPr>
              <w:t>s</w:t>
            </w:r>
            <w:r w:rsidRPr="002A2D18">
              <w:rPr>
                <w:bCs/>
                <w:color w:val="000000"/>
                <w:sz w:val="18"/>
                <w:lang w:val="es-MX"/>
              </w:rPr>
              <w:t xml:space="preserve"> a la reducción del consumo y </w:t>
            </w:r>
            <w:r>
              <w:rPr>
                <w:bCs/>
                <w:color w:val="000000"/>
                <w:sz w:val="18"/>
                <w:lang w:val="es-MX"/>
              </w:rPr>
              <w:t xml:space="preserve">sustitución de </w:t>
            </w:r>
            <w:r w:rsidRPr="002A2D18">
              <w:rPr>
                <w:bCs/>
                <w:color w:val="000000"/>
                <w:sz w:val="18"/>
                <w:lang w:val="es-MX"/>
              </w:rPr>
              <w:t>subsidios asociados a combustibles fósiles</w:t>
            </w:r>
            <w:r>
              <w:rPr>
                <w:bCs/>
                <w:color w:val="000000"/>
                <w:sz w:val="18"/>
                <w:lang w:val="es-MX"/>
              </w:rPr>
              <w:t xml:space="preserve"> en el sector residencial y en la generación eléctrica.</w:t>
            </w:r>
          </w:p>
        </w:tc>
        <w:tc>
          <w:tcPr>
            <w:tcW w:w="3094" w:type="dxa"/>
            <w:vAlign w:val="center"/>
          </w:tcPr>
          <w:p w:rsidR="00551CA1" w:rsidRPr="00CF4837" w:rsidRDefault="00551CA1" w:rsidP="00BE102B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Reducción de las importaciones de derivados de petróleo. </w:t>
            </w:r>
          </w:p>
        </w:tc>
        <w:tc>
          <w:tcPr>
            <w:tcW w:w="3094" w:type="dxa"/>
            <w:vAlign w:val="center"/>
          </w:tcPr>
          <w:p w:rsidR="00551CA1" w:rsidRPr="0074099D" w:rsidRDefault="00551CA1" w:rsidP="00AC4EEE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AR"/>
              </w:rPr>
              <w:t xml:space="preserve">Barriles Equivalentes de Petróleo (BEP) de combustibles derivados del petróleo </w:t>
            </w:r>
            <w:r w:rsidR="007F579E">
              <w:rPr>
                <w:sz w:val="18"/>
                <w:szCs w:val="18"/>
                <w:lang w:val="es-AR"/>
              </w:rPr>
              <w:t>importado</w:t>
            </w:r>
            <w:r>
              <w:rPr>
                <w:sz w:val="18"/>
                <w:szCs w:val="18"/>
                <w:lang w:val="es-AR"/>
              </w:rPr>
              <w:t xml:space="preserve"> anualmente (Millones BEP). </w:t>
            </w:r>
          </w:p>
        </w:tc>
        <w:tc>
          <w:tcPr>
            <w:tcW w:w="1170" w:type="dxa"/>
            <w:vAlign w:val="center"/>
          </w:tcPr>
          <w:p w:rsidR="00551CA1" w:rsidRPr="00CF4837" w:rsidRDefault="00551CA1" w:rsidP="007977C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36,8</w:t>
            </w:r>
          </w:p>
        </w:tc>
        <w:tc>
          <w:tcPr>
            <w:tcW w:w="1350" w:type="dxa"/>
            <w:vAlign w:val="center"/>
          </w:tcPr>
          <w:p w:rsidR="00551CA1" w:rsidRPr="00CF4837" w:rsidRDefault="00551CA1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551CA1" w:rsidRDefault="00551CA1" w:rsidP="0034218C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Estadísticas Banco Central del Ecuador</w:t>
            </w:r>
          </w:p>
        </w:tc>
      </w:tr>
      <w:tr w:rsidR="00551CA1" w:rsidRPr="002F7376" w:rsidTr="0034218C">
        <w:trPr>
          <w:trHeight w:val="481"/>
        </w:trPr>
        <w:tc>
          <w:tcPr>
            <w:tcW w:w="2812" w:type="dxa"/>
            <w:vMerge/>
            <w:vAlign w:val="center"/>
          </w:tcPr>
          <w:p w:rsidR="00551CA1" w:rsidRPr="002A2D18" w:rsidRDefault="00551CA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3094" w:type="dxa"/>
            <w:vAlign w:val="center"/>
          </w:tcPr>
          <w:p w:rsidR="00551CA1" w:rsidRPr="007F579E" w:rsidRDefault="00780FD8" w:rsidP="00720BC9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Reducción </w:t>
            </w:r>
            <w:r w:rsidR="00551CA1" w:rsidRPr="007F579E">
              <w:rPr>
                <w:sz w:val="18"/>
                <w:szCs w:val="18"/>
                <w:lang w:val="es-ES_tradnl"/>
              </w:rPr>
              <w:t xml:space="preserve"> de CO</w:t>
            </w:r>
            <w:r w:rsidR="00551CA1" w:rsidRPr="007F579E">
              <w:rPr>
                <w:sz w:val="18"/>
                <w:szCs w:val="18"/>
                <w:vertAlign w:val="subscript"/>
                <w:lang w:val="es-ES_tradnl"/>
              </w:rPr>
              <w:t>2.</w:t>
            </w:r>
          </w:p>
        </w:tc>
        <w:tc>
          <w:tcPr>
            <w:tcW w:w="3094" w:type="dxa"/>
            <w:vAlign w:val="center"/>
          </w:tcPr>
          <w:p w:rsidR="00551CA1" w:rsidRPr="007F579E" w:rsidRDefault="00551CA1" w:rsidP="00AC4EEE">
            <w:pPr>
              <w:rPr>
                <w:sz w:val="18"/>
                <w:szCs w:val="18"/>
                <w:lang w:val="es-AR"/>
              </w:rPr>
            </w:pPr>
            <w:r w:rsidRPr="007F579E">
              <w:rPr>
                <w:sz w:val="18"/>
                <w:szCs w:val="18"/>
                <w:lang w:val="es-AR"/>
              </w:rPr>
              <w:t>Emisiones de CO</w:t>
            </w:r>
            <w:r w:rsidRPr="007F579E">
              <w:rPr>
                <w:sz w:val="18"/>
                <w:szCs w:val="18"/>
                <w:vertAlign w:val="subscript"/>
                <w:lang w:val="es-AR"/>
              </w:rPr>
              <w:t>2</w:t>
            </w:r>
            <w:r w:rsidRPr="007F579E">
              <w:rPr>
                <w:sz w:val="18"/>
                <w:szCs w:val="18"/>
                <w:lang w:val="es-AR"/>
              </w:rPr>
              <w:t xml:space="preserve"> anuales (Ton</w:t>
            </w:r>
            <w:r w:rsidR="002F7376">
              <w:rPr>
                <w:sz w:val="18"/>
                <w:szCs w:val="18"/>
                <w:lang w:val="es-AR"/>
              </w:rPr>
              <w:t xml:space="preserve"> </w:t>
            </w:r>
            <w:proofErr w:type="spellStart"/>
            <w:r w:rsidR="002F7376">
              <w:rPr>
                <w:sz w:val="18"/>
                <w:szCs w:val="18"/>
                <w:lang w:val="es-AR"/>
              </w:rPr>
              <w:t>eq</w:t>
            </w:r>
            <w:proofErr w:type="spellEnd"/>
            <w:r w:rsidR="002F7376">
              <w:rPr>
                <w:sz w:val="18"/>
                <w:szCs w:val="18"/>
                <w:lang w:val="es-AR"/>
              </w:rPr>
              <w:t>.</w:t>
            </w:r>
            <w:r w:rsidRPr="007F579E">
              <w:rPr>
                <w:sz w:val="18"/>
                <w:szCs w:val="18"/>
                <w:lang w:val="es-AR"/>
              </w:rPr>
              <w:t xml:space="preserve"> CO</w:t>
            </w:r>
            <w:r w:rsidRPr="007F579E">
              <w:rPr>
                <w:sz w:val="18"/>
                <w:szCs w:val="18"/>
                <w:vertAlign w:val="subscript"/>
                <w:lang w:val="es-AR"/>
              </w:rPr>
              <w:t>2</w:t>
            </w:r>
            <w:r w:rsidRPr="007F579E">
              <w:rPr>
                <w:sz w:val="18"/>
                <w:szCs w:val="18"/>
                <w:lang w:val="es-AR"/>
              </w:rPr>
              <w:t>).</w:t>
            </w:r>
          </w:p>
        </w:tc>
        <w:tc>
          <w:tcPr>
            <w:tcW w:w="1170" w:type="dxa"/>
            <w:vAlign w:val="center"/>
          </w:tcPr>
          <w:p w:rsidR="00551CA1" w:rsidRPr="007F579E" w:rsidRDefault="00551CA1" w:rsidP="007977C1">
            <w:pPr>
              <w:jc w:val="center"/>
              <w:rPr>
                <w:sz w:val="18"/>
                <w:szCs w:val="18"/>
                <w:lang w:val="es-ES_tradnl"/>
              </w:rPr>
            </w:pPr>
            <w:r w:rsidRPr="007F579E">
              <w:rPr>
                <w:sz w:val="18"/>
                <w:szCs w:val="18"/>
                <w:lang w:val="es-AR"/>
              </w:rPr>
              <w:t xml:space="preserve">3,7 </w:t>
            </w:r>
          </w:p>
        </w:tc>
        <w:tc>
          <w:tcPr>
            <w:tcW w:w="1350" w:type="dxa"/>
            <w:vAlign w:val="center"/>
          </w:tcPr>
          <w:p w:rsidR="00551CA1" w:rsidRPr="007F579E" w:rsidRDefault="00551CA1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 w:rsidRPr="007F579E">
              <w:rPr>
                <w:sz w:val="18"/>
                <w:szCs w:val="18"/>
                <w:lang w:val="es-AR"/>
              </w:rPr>
              <w:t>2,0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551CA1" w:rsidRDefault="00551CA1" w:rsidP="0034218C">
            <w:pPr>
              <w:jc w:val="center"/>
              <w:rPr>
                <w:sz w:val="18"/>
                <w:szCs w:val="18"/>
                <w:lang w:val="es-ES_tradnl"/>
              </w:rPr>
            </w:pPr>
            <w:r w:rsidRPr="00D446EA">
              <w:rPr>
                <w:sz w:val="18"/>
                <w:szCs w:val="18"/>
                <w:lang w:val="es-ES_tradnl"/>
              </w:rPr>
              <w:t>Ba</w:t>
            </w:r>
            <w:r>
              <w:rPr>
                <w:sz w:val="18"/>
                <w:szCs w:val="18"/>
                <w:lang w:val="es-ES_tradnl"/>
              </w:rPr>
              <w:t>lance Energético Nacional</w:t>
            </w:r>
            <w:r w:rsidR="00151670">
              <w:rPr>
                <w:sz w:val="18"/>
                <w:szCs w:val="18"/>
                <w:lang w:val="es-ES_tradnl"/>
              </w:rPr>
              <w:t xml:space="preserve"> </w:t>
            </w:r>
            <w:r w:rsidR="00AF3B77">
              <w:rPr>
                <w:sz w:val="18"/>
                <w:szCs w:val="18"/>
                <w:lang w:val="es-ES_tradnl"/>
              </w:rPr>
              <w:t>-</w:t>
            </w:r>
            <w:r w:rsidR="00151670">
              <w:rPr>
                <w:sz w:val="18"/>
                <w:szCs w:val="18"/>
                <w:lang w:val="es-ES_tradnl"/>
              </w:rPr>
              <w:t xml:space="preserve"> MI</w:t>
            </w:r>
            <w:r w:rsidR="001D6111">
              <w:rPr>
                <w:sz w:val="18"/>
                <w:szCs w:val="18"/>
                <w:lang w:val="es-ES_tradnl"/>
              </w:rPr>
              <w:t>C</w:t>
            </w:r>
            <w:r w:rsidR="00FA7660">
              <w:rPr>
                <w:sz w:val="18"/>
                <w:szCs w:val="18"/>
                <w:lang w:val="es-ES_tradnl"/>
              </w:rPr>
              <w:t>S</w:t>
            </w:r>
            <w:r w:rsidR="00151670">
              <w:rPr>
                <w:sz w:val="18"/>
                <w:szCs w:val="18"/>
                <w:lang w:val="es-ES_tradnl"/>
              </w:rPr>
              <w:t>E</w:t>
            </w:r>
          </w:p>
        </w:tc>
      </w:tr>
      <w:tr w:rsidR="00551CA1" w:rsidRPr="00E40255" w:rsidTr="0034218C">
        <w:trPr>
          <w:trHeight w:val="481"/>
        </w:trPr>
        <w:tc>
          <w:tcPr>
            <w:tcW w:w="2812" w:type="dxa"/>
            <w:vMerge/>
            <w:vAlign w:val="center"/>
          </w:tcPr>
          <w:p w:rsidR="00551CA1" w:rsidRPr="002A2D18" w:rsidRDefault="00551CA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3094" w:type="dxa"/>
            <w:vAlign w:val="center"/>
          </w:tcPr>
          <w:p w:rsidR="00551CA1" w:rsidRPr="007F579E" w:rsidRDefault="00551CA1">
            <w:pPr>
              <w:rPr>
                <w:sz w:val="18"/>
                <w:szCs w:val="18"/>
                <w:lang w:val="es-ES_tradnl"/>
              </w:rPr>
            </w:pPr>
            <w:r w:rsidRPr="007F579E">
              <w:rPr>
                <w:sz w:val="18"/>
                <w:szCs w:val="18"/>
                <w:lang w:val="es-ES_tradnl"/>
              </w:rPr>
              <w:t>Reducción de</w:t>
            </w:r>
            <w:r w:rsidR="006B09A7" w:rsidRPr="007F579E">
              <w:rPr>
                <w:sz w:val="18"/>
                <w:szCs w:val="18"/>
                <w:lang w:val="es-ES_tradnl"/>
              </w:rPr>
              <w:t xml:space="preserve"> los subsid</w:t>
            </w:r>
            <w:r w:rsidR="007F579E">
              <w:rPr>
                <w:sz w:val="18"/>
                <w:szCs w:val="18"/>
                <w:lang w:val="es-ES_tradnl"/>
              </w:rPr>
              <w:t>i</w:t>
            </w:r>
            <w:r w:rsidR="006B09A7" w:rsidRPr="007F579E">
              <w:rPr>
                <w:sz w:val="18"/>
                <w:szCs w:val="18"/>
                <w:lang w:val="es-ES_tradnl"/>
              </w:rPr>
              <w:t>os asociados al consumo de GLP</w:t>
            </w:r>
            <w:r w:rsidRPr="007F579E">
              <w:rPr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094" w:type="dxa"/>
            <w:vAlign w:val="center"/>
          </w:tcPr>
          <w:p w:rsidR="00551CA1" w:rsidRPr="007F579E" w:rsidRDefault="006B07AC" w:rsidP="002F7376">
            <w:pPr>
              <w:rPr>
                <w:sz w:val="18"/>
                <w:szCs w:val="18"/>
                <w:lang w:val="es-AR"/>
              </w:rPr>
            </w:pPr>
            <w:r>
              <w:rPr>
                <w:sz w:val="18"/>
                <w:szCs w:val="18"/>
                <w:lang w:val="es-AR"/>
              </w:rPr>
              <w:t xml:space="preserve">Subsidio anual asociado al consumo de GLP en el país (US$ millones) </w:t>
            </w:r>
          </w:p>
        </w:tc>
        <w:tc>
          <w:tcPr>
            <w:tcW w:w="1170" w:type="dxa"/>
            <w:vAlign w:val="center"/>
          </w:tcPr>
          <w:p w:rsidR="00551CA1" w:rsidRPr="007F579E" w:rsidRDefault="006B07AC" w:rsidP="007977C1">
            <w:pPr>
              <w:jc w:val="center"/>
              <w:rPr>
                <w:sz w:val="18"/>
                <w:szCs w:val="18"/>
                <w:lang w:val="es-AR"/>
              </w:rPr>
            </w:pPr>
            <w:r>
              <w:rPr>
                <w:sz w:val="18"/>
                <w:szCs w:val="18"/>
                <w:lang w:val="es-MX"/>
              </w:rPr>
              <w:t>676,807</w:t>
            </w:r>
          </w:p>
        </w:tc>
        <w:tc>
          <w:tcPr>
            <w:tcW w:w="1350" w:type="dxa"/>
            <w:vAlign w:val="center"/>
          </w:tcPr>
          <w:p w:rsidR="00551CA1" w:rsidRPr="007F579E" w:rsidRDefault="006B07AC" w:rsidP="00F243CB">
            <w:pPr>
              <w:jc w:val="center"/>
              <w:rPr>
                <w:sz w:val="18"/>
                <w:szCs w:val="18"/>
                <w:lang w:val="es-AR"/>
              </w:rPr>
            </w:pPr>
            <w:r>
              <w:rPr>
                <w:sz w:val="18"/>
                <w:szCs w:val="18"/>
                <w:lang w:val="es-AR"/>
              </w:rPr>
              <w:t>406.084</w:t>
            </w:r>
            <w:r>
              <w:rPr>
                <w:rStyle w:val="FootnoteReference"/>
                <w:sz w:val="18"/>
                <w:szCs w:val="18"/>
                <w:lang w:val="es-AR"/>
              </w:rPr>
              <w:footnoteReference w:id="1"/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551CA1" w:rsidRPr="004E34AE" w:rsidRDefault="00CD0BE2" w:rsidP="0034218C">
            <w:pPr>
              <w:jc w:val="center"/>
              <w:rPr>
                <w:sz w:val="18"/>
                <w:szCs w:val="18"/>
                <w:highlight w:val="yellow"/>
                <w:lang w:val="es-ES_tradnl"/>
              </w:rPr>
            </w:pPr>
            <w:r w:rsidRPr="00CD0BE2">
              <w:rPr>
                <w:sz w:val="18"/>
                <w:szCs w:val="18"/>
                <w:lang w:val="es-ES_tradnl"/>
              </w:rPr>
              <w:t>Estadísticas Banco Central del Ecuador</w:t>
            </w:r>
          </w:p>
        </w:tc>
      </w:tr>
      <w:tr w:rsidR="00AC4EEE" w:rsidRPr="00E40255" w:rsidTr="0034218C">
        <w:trPr>
          <w:trHeight w:val="142"/>
        </w:trPr>
        <w:tc>
          <w:tcPr>
            <w:tcW w:w="13770" w:type="dxa"/>
            <w:gridSpan w:val="6"/>
            <w:vAlign w:val="center"/>
          </w:tcPr>
          <w:p w:rsidR="00AC4EEE" w:rsidRPr="009D4610" w:rsidRDefault="00AC4EEE" w:rsidP="00E82474">
            <w:pPr>
              <w:rPr>
                <w:sz w:val="18"/>
                <w:szCs w:val="18"/>
                <w:lang w:val="es-ES_tradnl"/>
              </w:rPr>
            </w:pPr>
            <w:r w:rsidRPr="009D4610">
              <w:rPr>
                <w:b/>
                <w:color w:val="000000"/>
                <w:sz w:val="18"/>
                <w:szCs w:val="18"/>
                <w:lang w:val="es-ES_tradnl"/>
              </w:rPr>
              <w:t>III. Fortalecimiento del subsector eléctrico</w:t>
            </w:r>
          </w:p>
        </w:tc>
      </w:tr>
      <w:tr w:rsidR="00AC4EEE" w:rsidRPr="008431CB" w:rsidTr="0034218C">
        <w:trPr>
          <w:trHeight w:val="142"/>
        </w:trPr>
        <w:tc>
          <w:tcPr>
            <w:tcW w:w="2812" w:type="dxa"/>
            <w:vMerge w:val="restart"/>
            <w:vAlign w:val="center"/>
          </w:tcPr>
          <w:p w:rsidR="00AC4EEE" w:rsidRPr="00CF4837" w:rsidRDefault="00AC4EE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ES"/>
              </w:rPr>
              <w:t>Reducción del consumo de combustibles líquidos para la generación y expansión de la capacidad de generación con fuentes renovables y gas natural.</w:t>
            </w:r>
          </w:p>
        </w:tc>
        <w:tc>
          <w:tcPr>
            <w:tcW w:w="3094" w:type="dxa"/>
            <w:vAlign w:val="center"/>
          </w:tcPr>
          <w:p w:rsidR="00AC4EEE" w:rsidRPr="001A530C" w:rsidRDefault="00AC4EEE" w:rsidP="00AC4EEE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Reducción del consumo de hidrocarburos líquidos en la generación eléctrica. </w:t>
            </w:r>
          </w:p>
        </w:tc>
        <w:tc>
          <w:tcPr>
            <w:tcW w:w="3094" w:type="dxa"/>
            <w:vAlign w:val="center"/>
          </w:tcPr>
          <w:p w:rsidR="00AC4EEE" w:rsidRPr="003C3C7C" w:rsidRDefault="00AC4EEE" w:rsidP="00CE5A84">
            <w:pPr>
              <w:rPr>
                <w:b/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Volumen </w:t>
            </w:r>
            <w:r w:rsidR="00CE5A84">
              <w:rPr>
                <w:bCs/>
                <w:color w:val="000000"/>
                <w:sz w:val="18"/>
                <w:lang w:val="es-MX"/>
              </w:rPr>
              <w:t xml:space="preserve">anual </w:t>
            </w:r>
            <w:r>
              <w:rPr>
                <w:bCs/>
                <w:color w:val="000000"/>
                <w:sz w:val="18"/>
                <w:lang w:val="es-MX"/>
              </w:rPr>
              <w:t>de combustibles líquidos utilizados en la generación eléctrica (Millones BEP)</w:t>
            </w:r>
            <w:r w:rsidR="00551CA1">
              <w:rPr>
                <w:bCs/>
                <w:color w:val="000000"/>
                <w:sz w:val="18"/>
                <w:lang w:val="es-MX"/>
              </w:rPr>
              <w:t>.</w:t>
            </w:r>
          </w:p>
        </w:tc>
        <w:tc>
          <w:tcPr>
            <w:tcW w:w="1170" w:type="dxa"/>
            <w:vAlign w:val="center"/>
          </w:tcPr>
          <w:p w:rsidR="00AC4EEE" w:rsidRPr="00F243CB" w:rsidRDefault="00AC4EEE" w:rsidP="007977C1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37</w:t>
            </w:r>
          </w:p>
        </w:tc>
        <w:tc>
          <w:tcPr>
            <w:tcW w:w="1350" w:type="dxa"/>
            <w:vAlign w:val="center"/>
          </w:tcPr>
          <w:p w:rsidR="00AC4EEE" w:rsidRPr="009D4610" w:rsidRDefault="00AC4EEE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22</w:t>
            </w:r>
            <w:r>
              <w:rPr>
                <w:rStyle w:val="FootnoteReference"/>
                <w:sz w:val="18"/>
                <w:szCs w:val="18"/>
                <w:lang w:val="es-ES_tradnl"/>
              </w:rPr>
              <w:footnoteReference w:id="2"/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C4EEE" w:rsidRPr="00CF4837" w:rsidRDefault="00AC4EEE" w:rsidP="001C0273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Informe  </w:t>
            </w:r>
            <w:r>
              <w:rPr>
                <w:color w:val="000000"/>
                <w:sz w:val="18"/>
                <w:szCs w:val="18"/>
                <w:lang w:val="es-MX"/>
              </w:rPr>
              <w:t>CENACE</w:t>
            </w:r>
          </w:p>
        </w:tc>
      </w:tr>
      <w:tr w:rsidR="00AC4EEE" w:rsidRPr="00E40255" w:rsidTr="0034218C">
        <w:trPr>
          <w:trHeight w:val="142"/>
        </w:trPr>
        <w:tc>
          <w:tcPr>
            <w:tcW w:w="2812" w:type="dxa"/>
            <w:vMerge/>
            <w:vAlign w:val="center"/>
          </w:tcPr>
          <w:p w:rsidR="00AC4EEE" w:rsidRPr="001C0273" w:rsidRDefault="00AC4EEE">
            <w:pPr>
              <w:autoSpaceDE w:val="0"/>
              <w:autoSpaceDN w:val="0"/>
              <w:adjustRightInd w:val="0"/>
              <w:rPr>
                <w:sz w:val="18"/>
                <w:szCs w:val="18"/>
                <w:lang w:val="es-MX"/>
              </w:rPr>
            </w:pPr>
          </w:p>
        </w:tc>
        <w:tc>
          <w:tcPr>
            <w:tcW w:w="3094" w:type="dxa"/>
            <w:vMerge w:val="restart"/>
            <w:vAlign w:val="center"/>
          </w:tcPr>
          <w:p w:rsidR="00AC4EEE" w:rsidRDefault="00AC4EEE" w:rsidP="00D22FFD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Matriz de generación eléctrica diversificada y con mayor participación de energías renovables. </w:t>
            </w:r>
          </w:p>
        </w:tc>
        <w:tc>
          <w:tcPr>
            <w:tcW w:w="3094" w:type="dxa"/>
            <w:vAlign w:val="center"/>
          </w:tcPr>
          <w:p w:rsidR="00AC4EEE" w:rsidRDefault="00AC4EEE" w:rsidP="008431CB">
            <w:pPr>
              <w:rPr>
                <w:bCs/>
                <w:color w:val="000000"/>
                <w:sz w:val="18"/>
                <w:lang w:val="es-MX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% de energía eléctrica generada a partir de fuentes renovables</w:t>
            </w:r>
            <w:r>
              <w:rPr>
                <w:rStyle w:val="FootnoteReference"/>
                <w:color w:val="000000"/>
                <w:sz w:val="18"/>
                <w:szCs w:val="18"/>
                <w:lang w:val="es-ES_tradnl"/>
              </w:rPr>
              <w:footnoteReference w:id="3"/>
            </w:r>
            <w:r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551CA1">
              <w:rPr>
                <w:color w:val="00000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170" w:type="dxa"/>
            <w:vAlign w:val="center"/>
          </w:tcPr>
          <w:p w:rsidR="00AC4EEE" w:rsidRDefault="00AC4EEE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62</w:t>
            </w:r>
          </w:p>
        </w:tc>
        <w:tc>
          <w:tcPr>
            <w:tcW w:w="1350" w:type="dxa"/>
            <w:vAlign w:val="center"/>
          </w:tcPr>
          <w:p w:rsidR="00AC4EEE" w:rsidRDefault="00AC4EEE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C4EEE" w:rsidRDefault="00AC4EEE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Plan Maestro de Electrificación vigente</w:t>
            </w:r>
            <w:r w:rsidR="00151670">
              <w:rPr>
                <w:sz w:val="18"/>
                <w:szCs w:val="18"/>
                <w:lang w:val="es-ES_tradnl"/>
              </w:rPr>
              <w:t xml:space="preserve"> – CONEL</w:t>
            </w:r>
            <w:r w:rsidR="003E01E5">
              <w:rPr>
                <w:sz w:val="18"/>
                <w:szCs w:val="18"/>
                <w:lang w:val="es-ES_tradnl"/>
              </w:rPr>
              <w:t>E</w:t>
            </w:r>
            <w:r w:rsidR="00151670">
              <w:rPr>
                <w:sz w:val="18"/>
                <w:szCs w:val="18"/>
                <w:lang w:val="es-ES_tradnl"/>
              </w:rPr>
              <w:t>C</w:t>
            </w:r>
          </w:p>
        </w:tc>
      </w:tr>
      <w:tr w:rsidR="00AC4EEE" w:rsidRPr="00E40255" w:rsidTr="0034218C">
        <w:trPr>
          <w:trHeight w:val="142"/>
        </w:trPr>
        <w:tc>
          <w:tcPr>
            <w:tcW w:w="2812" w:type="dxa"/>
            <w:vMerge/>
            <w:vAlign w:val="center"/>
          </w:tcPr>
          <w:p w:rsidR="00AC4EEE" w:rsidRPr="001C0273" w:rsidRDefault="00AC4EEE">
            <w:pPr>
              <w:autoSpaceDE w:val="0"/>
              <w:autoSpaceDN w:val="0"/>
              <w:adjustRightInd w:val="0"/>
              <w:rPr>
                <w:sz w:val="18"/>
                <w:szCs w:val="18"/>
                <w:lang w:val="es-MX"/>
              </w:rPr>
            </w:pPr>
          </w:p>
        </w:tc>
        <w:tc>
          <w:tcPr>
            <w:tcW w:w="3094" w:type="dxa"/>
            <w:vMerge/>
            <w:vAlign w:val="center"/>
          </w:tcPr>
          <w:p w:rsidR="00AC4EEE" w:rsidRDefault="00AC4EEE">
            <w:pPr>
              <w:rPr>
                <w:sz w:val="18"/>
                <w:szCs w:val="18"/>
                <w:lang w:val="es-ES_tradnl"/>
              </w:rPr>
            </w:pPr>
          </w:p>
        </w:tc>
        <w:tc>
          <w:tcPr>
            <w:tcW w:w="3094" w:type="dxa"/>
            <w:vAlign w:val="center"/>
          </w:tcPr>
          <w:p w:rsidR="00AC4EEE" w:rsidRDefault="00AC4EEE" w:rsidP="008431CB">
            <w:pPr>
              <w:rPr>
                <w:bCs/>
                <w:color w:val="000000"/>
                <w:sz w:val="18"/>
                <w:lang w:val="es-MX"/>
              </w:rPr>
            </w:pPr>
            <w:r w:rsidRPr="00A15F7D">
              <w:rPr>
                <w:color w:val="000000"/>
                <w:sz w:val="18"/>
                <w:szCs w:val="18"/>
                <w:lang w:val="es-ES_tradnl"/>
              </w:rPr>
              <w:t xml:space="preserve">% de energía eléctrica generada a partir de </w:t>
            </w:r>
            <w:r w:rsidRPr="001C0273">
              <w:rPr>
                <w:color w:val="000000"/>
                <w:sz w:val="18"/>
                <w:szCs w:val="18"/>
                <w:lang w:val="es-ES_tradnl"/>
              </w:rPr>
              <w:t>gas natural</w:t>
            </w:r>
            <w:r w:rsidR="00551CA1">
              <w:rPr>
                <w:color w:val="000000"/>
                <w:sz w:val="18"/>
                <w:szCs w:val="18"/>
                <w:lang w:val="es-ES_tradnl"/>
              </w:rPr>
              <w:t>.</w:t>
            </w:r>
            <w:r w:rsidRPr="001C0273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AC4EEE" w:rsidRDefault="00AC4EEE">
            <w:pPr>
              <w:jc w:val="center"/>
              <w:rPr>
                <w:sz w:val="18"/>
                <w:szCs w:val="18"/>
                <w:lang w:val="es-ES_tradnl"/>
              </w:rPr>
            </w:pPr>
            <w:r w:rsidRPr="001C0273">
              <w:rPr>
                <w:sz w:val="18"/>
                <w:szCs w:val="18"/>
                <w:lang w:val="es-ES_tradnl"/>
              </w:rPr>
              <w:t>9.9</w:t>
            </w:r>
          </w:p>
        </w:tc>
        <w:tc>
          <w:tcPr>
            <w:tcW w:w="1350" w:type="dxa"/>
            <w:vAlign w:val="center"/>
          </w:tcPr>
          <w:p w:rsidR="00AC4EEE" w:rsidRDefault="00AC4EEE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C4EEE" w:rsidRDefault="00AC4EEE" w:rsidP="001C0273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Plan Maestro de Electrificación vigente</w:t>
            </w:r>
            <w:r w:rsidR="00AF3B77">
              <w:rPr>
                <w:sz w:val="18"/>
                <w:szCs w:val="18"/>
                <w:lang w:val="es-ES_tradnl"/>
              </w:rPr>
              <w:t xml:space="preserve"> – CONEL</w:t>
            </w:r>
            <w:r w:rsidR="003E01E5">
              <w:rPr>
                <w:sz w:val="18"/>
                <w:szCs w:val="18"/>
                <w:lang w:val="es-ES_tradnl"/>
              </w:rPr>
              <w:t>E</w:t>
            </w:r>
            <w:r w:rsidR="00AF3B77">
              <w:rPr>
                <w:sz w:val="18"/>
                <w:szCs w:val="18"/>
                <w:lang w:val="es-ES_tradnl"/>
              </w:rPr>
              <w:t>C</w:t>
            </w:r>
          </w:p>
        </w:tc>
      </w:tr>
      <w:tr w:rsidR="002F7376" w:rsidRPr="003F35B4" w:rsidTr="0034218C">
        <w:trPr>
          <w:trHeight w:val="864"/>
        </w:trPr>
        <w:tc>
          <w:tcPr>
            <w:tcW w:w="2812" w:type="dxa"/>
            <w:vMerge w:val="restart"/>
            <w:vAlign w:val="center"/>
          </w:tcPr>
          <w:p w:rsidR="002F7376" w:rsidRDefault="002F7376" w:rsidP="00E36E52">
            <w:pPr>
              <w:jc w:val="center"/>
              <w:rPr>
                <w:bCs/>
                <w:color w:val="000000"/>
                <w:sz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lastRenderedPageBreak/>
              <w:t>Modernización del subsector eléctrico para mejorar su sostenibilidad, confiabilidad y facilitar la incorporación de nuevas cargas que resultan del cambio de la matriz energética.</w:t>
            </w:r>
          </w:p>
          <w:p w:rsidR="002F7376" w:rsidRDefault="002F7376" w:rsidP="00BB2EA4">
            <w:pPr>
              <w:rPr>
                <w:bCs/>
                <w:color w:val="000000"/>
                <w:sz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 </w:t>
            </w:r>
          </w:p>
        </w:tc>
        <w:tc>
          <w:tcPr>
            <w:tcW w:w="3094" w:type="dxa"/>
            <w:vAlign w:val="center"/>
          </w:tcPr>
          <w:p w:rsidR="002F7376" w:rsidRDefault="002F7376" w:rsidP="002F737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Reducir las pérdidas de energía eléctricas en el Sistema Nacional de Distribución Eléctrica </w:t>
            </w:r>
          </w:p>
        </w:tc>
        <w:tc>
          <w:tcPr>
            <w:tcW w:w="3094" w:type="dxa"/>
            <w:vAlign w:val="center"/>
          </w:tcPr>
          <w:p w:rsidR="002F7376" w:rsidRDefault="002F7376" w:rsidP="002F737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Índice  de pérdidas totales de energía  eléctricas  (%).  </w:t>
            </w:r>
          </w:p>
        </w:tc>
        <w:tc>
          <w:tcPr>
            <w:tcW w:w="1170" w:type="dxa"/>
            <w:vAlign w:val="center"/>
          </w:tcPr>
          <w:p w:rsidR="002F7376" w:rsidDel="00861D39" w:rsidRDefault="002F7376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12.7</w:t>
            </w:r>
          </w:p>
        </w:tc>
        <w:tc>
          <w:tcPr>
            <w:tcW w:w="1350" w:type="dxa"/>
            <w:vAlign w:val="center"/>
          </w:tcPr>
          <w:p w:rsidR="002F7376" w:rsidRPr="001C0273" w:rsidDel="00861D39" w:rsidRDefault="002F7376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12.1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F7376" w:rsidRDefault="002F7376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Informe </w:t>
            </w:r>
            <w:r>
              <w:rPr>
                <w:color w:val="000000"/>
                <w:sz w:val="18"/>
                <w:szCs w:val="18"/>
                <w:lang w:val="es-MX"/>
              </w:rPr>
              <w:t>MEER</w:t>
            </w:r>
          </w:p>
        </w:tc>
      </w:tr>
      <w:tr w:rsidR="002F7376" w:rsidRPr="0067228F" w:rsidTr="0034218C">
        <w:trPr>
          <w:trHeight w:val="864"/>
        </w:trPr>
        <w:tc>
          <w:tcPr>
            <w:tcW w:w="2812" w:type="dxa"/>
            <w:vMerge/>
            <w:vAlign w:val="center"/>
          </w:tcPr>
          <w:p w:rsidR="002F7376" w:rsidRDefault="002F7376" w:rsidP="00E36E52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3094" w:type="dxa"/>
            <w:vAlign w:val="center"/>
          </w:tcPr>
          <w:p w:rsidR="002F7376" w:rsidRDefault="002F7376" w:rsidP="007977C1">
            <w:pPr>
              <w:rPr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Aumentar la sostenibilidad del servicio eléctrico</w:t>
            </w:r>
          </w:p>
        </w:tc>
        <w:tc>
          <w:tcPr>
            <w:tcW w:w="3094" w:type="dxa"/>
            <w:vAlign w:val="center"/>
          </w:tcPr>
          <w:p w:rsidR="002F7376" w:rsidRDefault="002F7376" w:rsidP="00AC4EEE">
            <w:pPr>
              <w:rPr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Índice nacional de recuperación de efectivo (CRI)</w:t>
            </w:r>
            <w:r>
              <w:rPr>
                <w:rStyle w:val="FootnoteReference"/>
                <w:color w:val="000000"/>
                <w:sz w:val="18"/>
                <w:szCs w:val="18"/>
                <w:lang w:val="es-ES_tradnl"/>
              </w:rPr>
              <w:footnoteReference w:id="4"/>
            </w:r>
          </w:p>
        </w:tc>
        <w:tc>
          <w:tcPr>
            <w:tcW w:w="1170" w:type="dxa"/>
            <w:vAlign w:val="center"/>
          </w:tcPr>
          <w:p w:rsidR="002F7376" w:rsidRDefault="002F7376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78</w:t>
            </w:r>
          </w:p>
        </w:tc>
        <w:tc>
          <w:tcPr>
            <w:tcW w:w="1350" w:type="dxa"/>
            <w:vAlign w:val="center"/>
          </w:tcPr>
          <w:p w:rsidR="002F7376" w:rsidRDefault="002F7376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80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F7376" w:rsidRDefault="002F7376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Informe MEER</w:t>
            </w:r>
          </w:p>
        </w:tc>
      </w:tr>
      <w:tr w:rsidR="002F7376" w:rsidRPr="00FB6A23" w:rsidTr="0034218C">
        <w:trPr>
          <w:trHeight w:val="864"/>
        </w:trPr>
        <w:tc>
          <w:tcPr>
            <w:tcW w:w="2812" w:type="dxa"/>
            <w:vMerge/>
            <w:vAlign w:val="center"/>
          </w:tcPr>
          <w:p w:rsidR="002F7376" w:rsidRDefault="002F7376" w:rsidP="00E36E52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3094" w:type="dxa"/>
            <w:vAlign w:val="center"/>
          </w:tcPr>
          <w:p w:rsidR="002F7376" w:rsidRDefault="002F7376" w:rsidP="007977C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Aumentar el acceso a la energía eléctrica en zonas rurales</w:t>
            </w:r>
          </w:p>
        </w:tc>
        <w:tc>
          <w:tcPr>
            <w:tcW w:w="3094" w:type="dxa"/>
            <w:vAlign w:val="center"/>
          </w:tcPr>
          <w:p w:rsidR="002F7376" w:rsidRDefault="00FB6A23" w:rsidP="009A3419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Número de nuevas familias beneficiadas</w:t>
            </w:r>
            <w:r w:rsidR="009A3419">
              <w:rPr>
                <w:color w:val="000000"/>
                <w:sz w:val="18"/>
                <w:szCs w:val="18"/>
                <w:lang w:val="es-ES_tradnl"/>
              </w:rPr>
              <w:t xml:space="preserve"> con acceso o mejoras</w:t>
            </w:r>
            <w:r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9A3419">
              <w:rPr>
                <w:color w:val="000000"/>
                <w:sz w:val="18"/>
                <w:szCs w:val="18"/>
                <w:lang w:val="es-ES_tradnl"/>
              </w:rPr>
              <w:t>del</w:t>
            </w:r>
            <w:r>
              <w:rPr>
                <w:color w:val="000000"/>
                <w:sz w:val="18"/>
                <w:szCs w:val="18"/>
                <w:lang w:val="es-ES_tradnl"/>
              </w:rPr>
              <w:t xml:space="preserve">  servicio eléctrico en </w:t>
            </w:r>
            <w:proofErr w:type="gramStart"/>
            <w:r>
              <w:rPr>
                <w:color w:val="000000"/>
                <w:sz w:val="18"/>
                <w:szCs w:val="18"/>
                <w:lang w:val="es-ES_tradnl"/>
              </w:rPr>
              <w:t>zonas rurales</w:t>
            </w:r>
            <w:r w:rsidR="00A235C8">
              <w:rPr>
                <w:color w:val="000000"/>
                <w:sz w:val="18"/>
                <w:szCs w:val="18"/>
                <w:lang w:val="es-ES_tradnl"/>
              </w:rPr>
              <w:t xml:space="preserve"> y urbano marginales</w:t>
            </w:r>
            <w:proofErr w:type="gramEnd"/>
            <w:r>
              <w:rPr>
                <w:color w:val="000000"/>
                <w:sz w:val="18"/>
                <w:szCs w:val="18"/>
                <w:lang w:val="es-ES_tradnl"/>
              </w:rPr>
              <w:t xml:space="preserve">.  </w:t>
            </w:r>
          </w:p>
        </w:tc>
        <w:tc>
          <w:tcPr>
            <w:tcW w:w="1170" w:type="dxa"/>
            <w:vAlign w:val="center"/>
          </w:tcPr>
          <w:p w:rsidR="002F7376" w:rsidRDefault="00FB6A23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0,0</w:t>
            </w:r>
          </w:p>
        </w:tc>
        <w:tc>
          <w:tcPr>
            <w:tcW w:w="1350" w:type="dxa"/>
            <w:vAlign w:val="center"/>
          </w:tcPr>
          <w:p w:rsidR="002F7376" w:rsidRDefault="00A235C8" w:rsidP="00A235C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89,314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F7376" w:rsidRDefault="002F7376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Informe MEER</w:t>
            </w:r>
          </w:p>
        </w:tc>
      </w:tr>
      <w:tr w:rsidR="00BB2EA4" w:rsidRPr="00BB2EA4" w:rsidTr="0034218C">
        <w:trPr>
          <w:trHeight w:val="864"/>
        </w:trPr>
        <w:tc>
          <w:tcPr>
            <w:tcW w:w="2812" w:type="dxa"/>
            <w:vMerge/>
            <w:vAlign w:val="center"/>
          </w:tcPr>
          <w:p w:rsidR="00BB2EA4" w:rsidRDefault="00BB2EA4" w:rsidP="00E36E52">
            <w:pPr>
              <w:jc w:val="center"/>
              <w:rPr>
                <w:bCs/>
                <w:color w:val="000000"/>
                <w:sz w:val="18"/>
                <w:lang w:val="es-MX"/>
              </w:rPr>
            </w:pPr>
          </w:p>
        </w:tc>
        <w:tc>
          <w:tcPr>
            <w:tcW w:w="3094" w:type="dxa"/>
            <w:vAlign w:val="center"/>
          </w:tcPr>
          <w:p w:rsidR="00BB2EA4" w:rsidRDefault="00BB2EA4" w:rsidP="007977C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Aumentar la confiabilidad del Sistema Nacional de Distribución Eléctrica (SND)</w:t>
            </w:r>
          </w:p>
        </w:tc>
        <w:tc>
          <w:tcPr>
            <w:tcW w:w="3094" w:type="dxa"/>
            <w:vAlign w:val="center"/>
          </w:tcPr>
          <w:p w:rsidR="00BB2EA4" w:rsidRDefault="00BB2EA4" w:rsidP="00BB2EA4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BB2EA4">
              <w:rPr>
                <w:color w:val="000000"/>
                <w:sz w:val="18"/>
                <w:szCs w:val="18"/>
                <w:lang w:val="es-ES_tradnl"/>
              </w:rPr>
              <w:t>Frecuencia Media de Interrupciones</w:t>
            </w:r>
            <w:r>
              <w:rPr>
                <w:color w:val="000000"/>
                <w:sz w:val="18"/>
                <w:szCs w:val="18"/>
                <w:lang w:val="es-ES_tradnl"/>
              </w:rPr>
              <w:t xml:space="preserve"> (</w:t>
            </w:r>
            <w:proofErr w:type="spellStart"/>
            <w:r>
              <w:rPr>
                <w:color w:val="000000"/>
                <w:sz w:val="18"/>
                <w:szCs w:val="18"/>
                <w:lang w:val="es-ES_tradnl"/>
              </w:rPr>
              <w:t>FMIk</w:t>
            </w:r>
            <w:proofErr w:type="spellEnd"/>
            <w:r>
              <w:rPr>
                <w:color w:val="000000"/>
                <w:sz w:val="18"/>
                <w:szCs w:val="18"/>
                <w:lang w:val="es-ES_tradnl"/>
              </w:rPr>
              <w:t>)</w:t>
            </w:r>
            <w:r w:rsidRPr="00BB2EA4">
              <w:rPr>
                <w:color w:val="000000"/>
                <w:sz w:val="18"/>
                <w:szCs w:val="18"/>
                <w:lang w:val="es-ES_tradnl"/>
              </w:rPr>
              <w:t xml:space="preserve"> del SND (</w:t>
            </w:r>
            <w:r w:rsidRPr="00326588">
              <w:rPr>
                <w:i/>
                <w:color w:val="000000"/>
                <w:sz w:val="18"/>
                <w:szCs w:val="18"/>
                <w:lang w:val="es-ES_tradnl"/>
              </w:rPr>
              <w:t xml:space="preserve">Número de fallas por </w:t>
            </w:r>
            <w:proofErr w:type="spellStart"/>
            <w:r w:rsidRPr="00326588">
              <w:rPr>
                <w:i/>
                <w:color w:val="000000"/>
                <w:sz w:val="18"/>
                <w:szCs w:val="18"/>
                <w:lang w:val="es-ES_tradnl"/>
              </w:rPr>
              <w:t>kVA</w:t>
            </w:r>
            <w:proofErr w:type="spellEnd"/>
            <w:r w:rsidRPr="00BB2EA4">
              <w:rPr>
                <w:color w:val="000000"/>
                <w:sz w:val="18"/>
                <w:szCs w:val="18"/>
                <w:lang w:val="es-ES_tradnl"/>
              </w:rPr>
              <w:t>).</w:t>
            </w:r>
          </w:p>
        </w:tc>
        <w:tc>
          <w:tcPr>
            <w:tcW w:w="1170" w:type="dxa"/>
            <w:vAlign w:val="center"/>
          </w:tcPr>
          <w:p w:rsidR="00BB2EA4" w:rsidRDefault="00BB2EA4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13,72</w:t>
            </w:r>
          </w:p>
        </w:tc>
        <w:tc>
          <w:tcPr>
            <w:tcW w:w="1350" w:type="dxa"/>
            <w:vAlign w:val="center"/>
          </w:tcPr>
          <w:p w:rsidR="00BB2EA4" w:rsidRDefault="00BB2EA4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9,6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BB2EA4" w:rsidRDefault="00BB2EA4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Informe MEER</w:t>
            </w:r>
          </w:p>
        </w:tc>
      </w:tr>
      <w:tr w:rsidR="00BB2EA4" w:rsidRPr="00E40255" w:rsidTr="0034218C">
        <w:trPr>
          <w:trHeight w:val="347"/>
        </w:trPr>
        <w:tc>
          <w:tcPr>
            <w:tcW w:w="13770" w:type="dxa"/>
            <w:gridSpan w:val="6"/>
            <w:vAlign w:val="center"/>
          </w:tcPr>
          <w:p w:rsidR="00BB2EA4" w:rsidRPr="009D4610" w:rsidRDefault="00BB2EA4" w:rsidP="00216D43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9D4610">
              <w:rPr>
                <w:b/>
                <w:color w:val="000000"/>
                <w:sz w:val="18"/>
                <w:szCs w:val="18"/>
                <w:lang w:val="es-ES_tradnl"/>
              </w:rPr>
              <w:t>IV. Apoyo a la integración eléctrica regional</w:t>
            </w:r>
          </w:p>
        </w:tc>
      </w:tr>
      <w:tr w:rsidR="00BB2EA4" w:rsidRPr="008431CB" w:rsidTr="0034218C">
        <w:trPr>
          <w:trHeight w:val="730"/>
        </w:trPr>
        <w:tc>
          <w:tcPr>
            <w:tcW w:w="2812" w:type="dxa"/>
            <w:vAlign w:val="center"/>
          </w:tcPr>
          <w:p w:rsidR="00BB2EA4" w:rsidRPr="00A204F6" w:rsidRDefault="00BB2EA4" w:rsidP="005F54E1">
            <w:pPr>
              <w:rPr>
                <w:bCs/>
                <w:color w:val="000000"/>
                <w:sz w:val="18"/>
                <w:lang w:val="es-MX"/>
              </w:rPr>
            </w:pPr>
            <w:r w:rsidRPr="00233AB8">
              <w:rPr>
                <w:sz w:val="18"/>
                <w:szCs w:val="18"/>
                <w:lang w:val="es-ES_tradnl"/>
              </w:rPr>
              <w:t>Desarrollo del marco regulatorio que facilite las transacciones comerciales en la región</w:t>
            </w:r>
            <w:r>
              <w:rPr>
                <w:bCs/>
                <w:color w:val="000000"/>
                <w:sz w:val="18"/>
                <w:lang w:val="es-MX"/>
              </w:rPr>
              <w:t>.</w:t>
            </w:r>
          </w:p>
        </w:tc>
        <w:tc>
          <w:tcPr>
            <w:tcW w:w="3094" w:type="dxa"/>
            <w:vAlign w:val="center"/>
          </w:tcPr>
          <w:p w:rsidR="00BB2EA4" w:rsidRPr="00B13796" w:rsidRDefault="00BB2EA4" w:rsidP="007977C1">
            <w:pPr>
              <w:rPr>
                <w:sz w:val="18"/>
                <w:szCs w:val="18"/>
                <w:lang w:val="es-MX"/>
              </w:rPr>
            </w:pPr>
            <w:r w:rsidRPr="000E001A">
              <w:rPr>
                <w:bCs/>
                <w:color w:val="000000"/>
                <w:sz w:val="18"/>
                <w:lang w:val="es-MX"/>
              </w:rPr>
              <w:t xml:space="preserve">Incremento de las exportaciones de electricidad Ecuador a Perú </w:t>
            </w:r>
          </w:p>
        </w:tc>
        <w:tc>
          <w:tcPr>
            <w:tcW w:w="3094" w:type="dxa"/>
            <w:vAlign w:val="center"/>
          </w:tcPr>
          <w:p w:rsidR="00BB2EA4" w:rsidRDefault="00BB2EA4" w:rsidP="002F7376">
            <w:pPr>
              <w:rPr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>Electricidad exportada  anualmente de Ecuador a Perú (</w:t>
            </w:r>
            <w:proofErr w:type="spellStart"/>
            <w:r w:rsidRPr="000E001A">
              <w:rPr>
                <w:bCs/>
                <w:color w:val="000000"/>
                <w:sz w:val="18"/>
                <w:lang w:val="es-MX"/>
              </w:rPr>
              <w:t>GWh</w:t>
            </w:r>
            <w:proofErr w:type="spellEnd"/>
            <w:r>
              <w:rPr>
                <w:bCs/>
                <w:color w:val="000000"/>
                <w:sz w:val="18"/>
                <w:lang w:val="es-MX"/>
              </w:rPr>
              <w:t>)</w:t>
            </w:r>
          </w:p>
        </w:tc>
        <w:tc>
          <w:tcPr>
            <w:tcW w:w="1170" w:type="dxa"/>
            <w:vAlign w:val="center"/>
          </w:tcPr>
          <w:p w:rsidR="00BB2EA4" w:rsidRDefault="00BB2EA4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0.5</w:t>
            </w:r>
          </w:p>
        </w:tc>
        <w:tc>
          <w:tcPr>
            <w:tcW w:w="1350" w:type="dxa"/>
            <w:vAlign w:val="center"/>
          </w:tcPr>
          <w:p w:rsidR="00BB2EA4" w:rsidRPr="001C0273" w:rsidRDefault="00BB2EA4" w:rsidP="00F243CB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2.0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BB2EA4" w:rsidRPr="00CF4837" w:rsidRDefault="00BB2EA4" w:rsidP="0034218C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Informe CONELEC</w:t>
            </w:r>
          </w:p>
        </w:tc>
      </w:tr>
    </w:tbl>
    <w:p w:rsidR="005749E9" w:rsidRDefault="005749E9" w:rsidP="005F54E1">
      <w:pPr>
        <w:rPr>
          <w:sz w:val="18"/>
          <w:szCs w:val="18"/>
          <w:lang w:val="es-ES_tradnl"/>
        </w:rPr>
      </w:pPr>
    </w:p>
    <w:p w:rsidR="00EE7BE2" w:rsidRDefault="00EE7BE2" w:rsidP="005F54E1">
      <w:pPr>
        <w:rPr>
          <w:sz w:val="18"/>
          <w:szCs w:val="18"/>
          <w:lang w:val="es-ES_tradnl"/>
        </w:rPr>
      </w:pPr>
    </w:p>
    <w:p w:rsidR="00ED6628" w:rsidRPr="007E138D" w:rsidRDefault="00ED6628" w:rsidP="005F54E1">
      <w:pPr>
        <w:rPr>
          <w:color w:val="000000"/>
          <w:sz w:val="18"/>
          <w:szCs w:val="18"/>
          <w:lang w:val="es-MX"/>
        </w:rPr>
      </w:pPr>
    </w:p>
    <w:tbl>
      <w:tblPr>
        <w:tblW w:w="4878" w:type="pct"/>
        <w:tblLook w:val="04A0" w:firstRow="1" w:lastRow="0" w:firstColumn="1" w:lastColumn="0" w:noHBand="0" w:noVBand="1"/>
      </w:tblPr>
      <w:tblGrid>
        <w:gridCol w:w="5777"/>
        <w:gridCol w:w="1154"/>
        <w:gridCol w:w="1254"/>
        <w:gridCol w:w="5421"/>
      </w:tblGrid>
      <w:tr w:rsidR="00CB4A8E" w:rsidTr="00326588">
        <w:trPr>
          <w:trHeight w:val="440"/>
          <w:tblHeader/>
        </w:trPr>
        <w:tc>
          <w:tcPr>
            <w:tcW w:w="2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B4A8E" w:rsidRDefault="00CB4A8E" w:rsidP="006C76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lang w:val="es-ES"/>
              </w:rPr>
              <w:t>Productos del primer tramo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B4A8E" w:rsidRDefault="00CB4A8E" w:rsidP="006C76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Linea base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B4A8E" w:rsidRDefault="00CB4A8E" w:rsidP="006C76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Meta</w:t>
            </w:r>
          </w:p>
        </w:tc>
        <w:tc>
          <w:tcPr>
            <w:tcW w:w="1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B4A8E" w:rsidRDefault="00CB4A8E" w:rsidP="006C76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lang w:val="es-ES"/>
              </w:rPr>
              <w:t>Medios de verificación</w:t>
            </w:r>
          </w:p>
        </w:tc>
      </w:tr>
      <w:tr w:rsidR="00CB4A8E" w:rsidTr="00326588">
        <w:trPr>
          <w:trHeight w:val="64"/>
          <w:tblHeader/>
        </w:trPr>
        <w:tc>
          <w:tcPr>
            <w:tcW w:w="2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8E" w:rsidRDefault="00CB4A8E" w:rsidP="006C76F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B4A8E" w:rsidRDefault="00CB4A8E" w:rsidP="006C76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B4A8E" w:rsidRDefault="00CB4A8E" w:rsidP="006C76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A8E" w:rsidRDefault="00CB4A8E" w:rsidP="006C76F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4A8E" w:rsidTr="00326588">
        <w:trPr>
          <w:trHeight w:val="28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5171">
              <w:rPr>
                <w:b/>
                <w:bCs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035171">
              <w:rPr>
                <w:b/>
                <w:bCs/>
                <w:color w:val="000000"/>
                <w:sz w:val="18"/>
                <w:szCs w:val="18"/>
              </w:rPr>
              <w:t>Estabilidad</w:t>
            </w:r>
            <w:proofErr w:type="spellEnd"/>
            <w:r w:rsidRPr="0003517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5171">
              <w:rPr>
                <w:b/>
                <w:bCs/>
                <w:color w:val="000000"/>
                <w:sz w:val="18"/>
                <w:szCs w:val="18"/>
              </w:rPr>
              <w:t>Macroeconómica</w:t>
            </w:r>
            <w:proofErr w:type="spellEnd"/>
          </w:p>
        </w:tc>
      </w:tr>
      <w:tr w:rsidR="00CB4A8E" w:rsidRPr="00E40255" w:rsidTr="00326588">
        <w:trPr>
          <w:trHeight w:val="949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CF4837">
              <w:rPr>
                <w:color w:val="000000"/>
                <w:sz w:val="18"/>
                <w:szCs w:val="18"/>
                <w:lang w:val="es-ES_tradnl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035171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035171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9B71B4">
              <w:rPr>
                <w:bCs/>
                <w:sz w:val="18"/>
                <w:szCs w:val="18"/>
                <w:lang w:val="es-MX"/>
              </w:rPr>
              <w:t>Evaluación Independiente de Condiciones Macroeconómicas (IAMC) vigente al momento de solicitar el desembolso</w:t>
            </w:r>
          </w:p>
        </w:tc>
      </w:tr>
      <w:tr w:rsidR="00CB4A8E" w:rsidRPr="00035171" w:rsidTr="00326588">
        <w:trPr>
          <w:trHeight w:val="242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Sector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energético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sostenible</w:t>
            </w:r>
            <w:proofErr w:type="spellEnd"/>
          </w:p>
        </w:tc>
      </w:tr>
      <w:tr w:rsidR="00CB4A8E" w:rsidRPr="00E40255" w:rsidTr="00326588">
        <w:trPr>
          <w:trHeight w:val="949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035171" w:rsidRDefault="00CB4A8E" w:rsidP="006C76F1">
            <w:pPr>
              <w:rPr>
                <w:bCs/>
                <w:color w:val="000000"/>
                <w:sz w:val="18"/>
                <w:lang w:val="es-MX"/>
              </w:rPr>
            </w:pPr>
            <w:r w:rsidRPr="00035171">
              <w:rPr>
                <w:bCs/>
                <w:color w:val="000000"/>
                <w:sz w:val="18"/>
                <w:lang w:val="es-MX"/>
              </w:rPr>
              <w:t>Dictamen de la Secretaria Nacional de Planificación y Desarrollo (SENPLADES) de la iniciativa para la sustitución  del uso de Gas Licuado de Petróleo (GLP) por electricidad en el sector residencial, aprobado.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822CC5" w:rsidRDefault="00CB4A8E" w:rsidP="006C76F1">
            <w:pPr>
              <w:rPr>
                <w:color w:val="000000"/>
                <w:sz w:val="18"/>
                <w:lang w:val="es-MX"/>
              </w:rPr>
            </w:pPr>
            <w:r w:rsidRPr="00822CC5">
              <w:rPr>
                <w:color w:val="000000"/>
                <w:sz w:val="18"/>
                <w:lang w:val="es-MX"/>
              </w:rPr>
              <w:t xml:space="preserve">Oficio </w:t>
            </w:r>
            <w:r>
              <w:rPr>
                <w:color w:val="000000"/>
                <w:sz w:val="18"/>
                <w:lang w:val="es-MX"/>
              </w:rPr>
              <w:t xml:space="preserve">favorable </w:t>
            </w:r>
            <w:r>
              <w:rPr>
                <w:bCs/>
                <w:color w:val="000000"/>
                <w:sz w:val="18"/>
                <w:lang w:val="es-MX"/>
              </w:rPr>
              <w:t>emitido por la Secretaria Nacional de Planificación y Desarrollo (</w:t>
            </w:r>
            <w:r w:rsidRPr="00822CC5">
              <w:rPr>
                <w:color w:val="000000"/>
                <w:sz w:val="18"/>
                <w:lang w:val="es-MX"/>
              </w:rPr>
              <w:t>SENPLADES</w:t>
            </w:r>
            <w:r>
              <w:rPr>
                <w:color w:val="000000"/>
                <w:sz w:val="18"/>
                <w:lang w:val="es-MX"/>
              </w:rPr>
              <w:t>),</w:t>
            </w:r>
            <w:r w:rsidRPr="00822CC5">
              <w:rPr>
                <w:color w:val="000000"/>
                <w:sz w:val="18"/>
                <w:lang w:val="es-MX"/>
              </w:rPr>
              <w:t xml:space="preserve"> </w:t>
            </w:r>
            <w:r>
              <w:rPr>
                <w:color w:val="000000"/>
                <w:sz w:val="18"/>
                <w:lang w:val="es-MX"/>
              </w:rPr>
              <w:t xml:space="preserve">del </w:t>
            </w:r>
            <w:r w:rsidRPr="002A2D18">
              <w:rPr>
                <w:bCs/>
                <w:color w:val="000000"/>
                <w:sz w:val="18"/>
                <w:lang w:val="es-MX"/>
              </w:rPr>
              <w:t xml:space="preserve">Plan para </w:t>
            </w:r>
            <w:r>
              <w:rPr>
                <w:bCs/>
                <w:color w:val="000000"/>
                <w:sz w:val="18"/>
                <w:lang w:val="es-MX"/>
              </w:rPr>
              <w:t>la  sustitución</w:t>
            </w:r>
            <w:r w:rsidRPr="002A2D18">
              <w:rPr>
                <w:bCs/>
                <w:color w:val="000000"/>
                <w:sz w:val="18"/>
                <w:lang w:val="es-MX"/>
              </w:rPr>
              <w:t xml:space="preserve"> del uso de Gas Licuado de Petróleo (GLP) por electricidad en el sector residencial</w:t>
            </w:r>
            <w:r>
              <w:rPr>
                <w:bCs/>
                <w:color w:val="000000"/>
                <w:sz w:val="18"/>
                <w:lang w:val="es-MX"/>
              </w:rPr>
              <w:t>.</w:t>
            </w:r>
          </w:p>
        </w:tc>
      </w:tr>
      <w:tr w:rsidR="00CB4A8E" w:rsidRPr="00E40255" w:rsidTr="00326588">
        <w:trPr>
          <w:trHeight w:val="949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lastRenderedPageBreak/>
              <w:t xml:space="preserve">Proyecto de política del Ministerio de Recursos Naturales No Renovables (MRNNR) para la </w:t>
            </w:r>
            <w:r w:rsidRPr="00A14346">
              <w:rPr>
                <w:bCs/>
                <w:i/>
                <w:color w:val="000000"/>
                <w:sz w:val="18"/>
                <w:lang w:val="es-MX"/>
              </w:rPr>
              <w:t xml:space="preserve">Sustitución de subsidio </w:t>
            </w:r>
            <w:r>
              <w:rPr>
                <w:bCs/>
                <w:i/>
                <w:color w:val="000000"/>
                <w:sz w:val="18"/>
                <w:lang w:val="es-MX"/>
              </w:rPr>
              <w:t xml:space="preserve">al </w:t>
            </w:r>
            <w:r w:rsidRPr="00A14346">
              <w:rPr>
                <w:bCs/>
                <w:i/>
                <w:color w:val="000000"/>
                <w:sz w:val="18"/>
                <w:lang w:val="es-MX"/>
              </w:rPr>
              <w:t>GLP</w:t>
            </w:r>
            <w:r>
              <w:rPr>
                <w:bCs/>
                <w:i/>
                <w:color w:val="000000"/>
                <w:sz w:val="18"/>
                <w:lang w:val="es-MX"/>
              </w:rPr>
              <w:t xml:space="preserve"> por </w:t>
            </w:r>
            <w:r w:rsidRPr="00A14346">
              <w:rPr>
                <w:bCs/>
                <w:i/>
                <w:color w:val="000000"/>
                <w:sz w:val="18"/>
                <w:lang w:val="es-MX"/>
              </w:rPr>
              <w:t xml:space="preserve">Electricidad con alcance en </w:t>
            </w:r>
            <w:r>
              <w:rPr>
                <w:bCs/>
                <w:i/>
                <w:color w:val="000000"/>
                <w:sz w:val="18"/>
                <w:lang w:val="es-MX"/>
              </w:rPr>
              <w:t xml:space="preserve">la </w:t>
            </w:r>
            <w:r w:rsidRPr="00A14346">
              <w:rPr>
                <w:bCs/>
                <w:i/>
                <w:color w:val="000000"/>
                <w:sz w:val="18"/>
                <w:lang w:val="es-MX"/>
              </w:rPr>
              <w:t>población vulnerable sin acceso al servicio eléctrico</w:t>
            </w:r>
            <w:r w:rsidRPr="002A2D18">
              <w:rPr>
                <w:bCs/>
                <w:color w:val="000000"/>
                <w:sz w:val="18"/>
                <w:lang w:val="es-MX"/>
              </w:rPr>
              <w:t xml:space="preserve">, </w:t>
            </w:r>
            <w:r>
              <w:rPr>
                <w:bCs/>
                <w:color w:val="000000"/>
                <w:sz w:val="18"/>
                <w:lang w:val="es-MX"/>
              </w:rPr>
              <w:t>diseñado.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22CC5">
              <w:rPr>
                <w:color w:val="000000"/>
                <w:sz w:val="18"/>
                <w:lang w:val="es-MX"/>
              </w:rPr>
              <w:t>Oficio del Ministro de Recursos Naturales No Renovables</w:t>
            </w:r>
            <w:r>
              <w:rPr>
                <w:color w:val="000000"/>
                <w:sz w:val="18"/>
                <w:lang w:val="es-MX"/>
              </w:rPr>
              <w:t xml:space="preserve"> (MRNNR)</w:t>
            </w:r>
            <w:r w:rsidRPr="00822CC5">
              <w:rPr>
                <w:color w:val="000000"/>
                <w:sz w:val="18"/>
                <w:lang w:val="es-MX"/>
              </w:rPr>
              <w:t xml:space="preserve"> al Ministro de Finanzas donde se especifique el alcance del </w:t>
            </w:r>
            <w:r w:rsidRPr="00822CC5">
              <w:rPr>
                <w:bCs/>
                <w:color w:val="000000"/>
                <w:sz w:val="18"/>
                <w:lang w:val="es-MX"/>
              </w:rPr>
              <w:t>estudio sobre políticas de sustitución de subsidio GLP-</w:t>
            </w:r>
            <w:r>
              <w:rPr>
                <w:bCs/>
                <w:color w:val="000000"/>
                <w:sz w:val="18"/>
                <w:lang w:val="es-MX"/>
              </w:rPr>
              <w:t>Electricidad en la población vulnerable sin acceso al servicio eléctrico.</w:t>
            </w:r>
            <w:r w:rsidRPr="00822CC5">
              <w:rPr>
                <w:color w:val="000000"/>
                <w:sz w:val="18"/>
                <w:lang w:val="es-MX"/>
              </w:rPr>
              <w:t xml:space="preserve"> 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2A2D18">
              <w:rPr>
                <w:bCs/>
                <w:color w:val="000000"/>
                <w:sz w:val="18"/>
                <w:lang w:val="es-MX"/>
              </w:rPr>
              <w:t>Esquema tarifario</w:t>
            </w:r>
            <w:r>
              <w:rPr>
                <w:rStyle w:val="FootnoteReference"/>
                <w:bCs/>
                <w:color w:val="000000"/>
                <w:sz w:val="18"/>
                <w:lang w:val="es-MX"/>
              </w:rPr>
              <w:footnoteReference w:id="5"/>
            </w:r>
            <w:r w:rsidRPr="002A2D18">
              <w:rPr>
                <w:bCs/>
                <w:color w:val="000000"/>
                <w:sz w:val="18"/>
                <w:lang w:val="es-MX"/>
              </w:rPr>
              <w:t xml:space="preserve"> para la transición de GLP a electricidad en el sector residencial con acceso al servicio eléctrico, </w:t>
            </w:r>
            <w:r>
              <w:rPr>
                <w:bCs/>
                <w:color w:val="000000"/>
                <w:sz w:val="18"/>
                <w:lang w:val="es-MX"/>
              </w:rPr>
              <w:t>diseñado y aprobado</w:t>
            </w:r>
            <w:r w:rsidRPr="002A2D18">
              <w:rPr>
                <w:bCs/>
                <w:color w:val="000000"/>
                <w:sz w:val="18"/>
                <w:lang w:val="es-MX"/>
              </w:rPr>
              <w:t>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0908FE">
              <w:rPr>
                <w:bCs/>
                <w:color w:val="000000"/>
                <w:sz w:val="18"/>
                <w:lang w:val="es-MX"/>
              </w:rPr>
              <w:t>Resolución del directorio del Consejo Nacional de Electricidad (CONELEC) del esquema tarifario para la transición de GLP a electricidad en el sector residencial con acceso al servicio eléctrico.</w:t>
            </w:r>
          </w:p>
        </w:tc>
      </w:tr>
      <w:tr w:rsidR="00CB4A8E" w:rsidRPr="00E40255" w:rsidTr="00326588">
        <w:trPr>
          <w:trHeight w:val="504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Política </w:t>
            </w:r>
            <w:r w:rsidRPr="00A14346">
              <w:rPr>
                <w:bCs/>
                <w:i/>
                <w:color w:val="000000"/>
                <w:sz w:val="18"/>
                <w:lang w:val="es-MX"/>
              </w:rPr>
              <w:t>para la Optimización de la Generación Eléctrica (OGE</w:t>
            </w:r>
            <w:r>
              <w:rPr>
                <w:bCs/>
                <w:i/>
                <w:color w:val="000000"/>
                <w:sz w:val="18"/>
                <w:lang w:val="es-MX"/>
              </w:rPr>
              <w:t>&amp;EE</w:t>
            </w:r>
            <w:r w:rsidRPr="00A14346">
              <w:rPr>
                <w:bCs/>
                <w:i/>
                <w:color w:val="000000"/>
                <w:sz w:val="18"/>
                <w:lang w:val="es-MX"/>
              </w:rPr>
              <w:t xml:space="preserve">) en la actividad </w:t>
            </w:r>
            <w:proofErr w:type="spellStart"/>
            <w:r w:rsidRPr="00A14346">
              <w:rPr>
                <w:bCs/>
                <w:i/>
                <w:color w:val="000000"/>
                <w:sz w:val="18"/>
                <w:lang w:val="es-MX"/>
              </w:rPr>
              <w:t>hidrocarburífera</w:t>
            </w:r>
            <w:proofErr w:type="spellEnd"/>
            <w:r w:rsidRPr="00C36243">
              <w:rPr>
                <w:rStyle w:val="FootnoteReference"/>
                <w:bCs/>
                <w:color w:val="000000"/>
                <w:sz w:val="18"/>
                <w:lang w:val="es-MX"/>
              </w:rPr>
              <w:footnoteReference w:id="6"/>
            </w:r>
            <w:r>
              <w:rPr>
                <w:bCs/>
                <w:color w:val="000000"/>
                <w:sz w:val="18"/>
                <w:lang w:val="es-MX"/>
              </w:rPr>
              <w:t xml:space="preserve">, diseñada por PETROAMAZONAS en acuerdo con </w:t>
            </w:r>
            <w:r>
              <w:rPr>
                <w:sz w:val="18"/>
                <w:szCs w:val="18"/>
                <w:lang w:val="es-MX"/>
              </w:rPr>
              <w:t>el MRNNR</w:t>
            </w:r>
            <w:r>
              <w:rPr>
                <w:bCs/>
                <w:color w:val="000000"/>
                <w:sz w:val="18"/>
                <w:lang w:val="es-MX"/>
              </w:rPr>
              <w:t>, en ejecución</w:t>
            </w:r>
            <w:r w:rsidRPr="00C36243">
              <w:rPr>
                <w:bCs/>
                <w:color w:val="000000"/>
                <w:sz w:val="18"/>
                <w:lang w:val="es-MX"/>
              </w:rPr>
              <w:t>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E40255" w:rsidP="006C76F1">
            <w:pPr>
              <w:rPr>
                <w:color w:val="000000"/>
                <w:sz w:val="18"/>
                <w:szCs w:val="18"/>
                <w:lang w:val="es-CO"/>
              </w:rPr>
            </w:pPr>
            <w:r w:rsidRPr="00C57FC9">
              <w:rPr>
                <w:color w:val="000000"/>
                <w:sz w:val="18"/>
                <w:lang w:val="es-MX"/>
              </w:rPr>
              <w:t>Oficio del Ministro de Recursos Naturales No Renovables (MRNNR) al Ministro de Finanzas</w:t>
            </w:r>
            <w:r w:rsidRPr="00822CC5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 xml:space="preserve">en donde se adjunte el reporte de la iniciativa OGE,   </w:t>
            </w:r>
            <w:r w:rsidRPr="00822CC5">
              <w:rPr>
                <w:sz w:val="18"/>
                <w:szCs w:val="18"/>
                <w:lang w:val="es-MX"/>
              </w:rPr>
              <w:t>publicado a través del sistema de Gobierno por Resultados (GPR)</w:t>
            </w:r>
            <w:r>
              <w:rPr>
                <w:sz w:val="18"/>
                <w:szCs w:val="18"/>
                <w:lang w:val="es-MX"/>
              </w:rPr>
              <w:t>, que demuestre la reducción del consumo de diésel según meta anual.</w:t>
            </w:r>
            <w:bookmarkStart w:id="0" w:name="_GoBack"/>
            <w:bookmarkEnd w:id="0"/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>Agenda Nacional de Energía del Ecuador, propuesta metodológica aprobada.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22CC5">
              <w:rPr>
                <w:color w:val="000000"/>
                <w:sz w:val="18"/>
                <w:lang w:val="es-MX"/>
              </w:rPr>
              <w:t xml:space="preserve">Propuesta metodológica de la Agenda Nacional </w:t>
            </w:r>
            <w:r>
              <w:rPr>
                <w:color w:val="000000"/>
                <w:sz w:val="18"/>
                <w:lang w:val="es-MX"/>
              </w:rPr>
              <w:t>de Energía del Ecuador aprobada</w:t>
            </w:r>
            <w:r w:rsidRPr="00822CC5">
              <w:rPr>
                <w:color w:val="000000"/>
                <w:sz w:val="18"/>
                <w:lang w:val="es-MX"/>
              </w:rPr>
              <w:t xml:space="preserve"> por el Ministerio Coordinador de Sectores Estratégicos </w:t>
            </w:r>
            <w:r>
              <w:rPr>
                <w:color w:val="000000"/>
                <w:sz w:val="18"/>
                <w:lang w:val="es-MX"/>
              </w:rPr>
              <w:t>(MICSE).</w:t>
            </w:r>
          </w:p>
        </w:tc>
      </w:tr>
      <w:tr w:rsidR="00CB4A8E" w:rsidRPr="00E40255" w:rsidTr="00326588">
        <w:trPr>
          <w:trHeight w:val="475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Balance Energético Nacional -BEN 2014</w:t>
            </w:r>
            <w:r>
              <w:rPr>
                <w:rStyle w:val="FootnoteReference"/>
                <w:bCs/>
                <w:color w:val="000000"/>
                <w:sz w:val="18"/>
                <w:lang w:val="es-MX"/>
              </w:rPr>
              <w:footnoteReference w:id="7"/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, </w:t>
            </w:r>
            <w:r>
              <w:rPr>
                <w:bCs/>
                <w:color w:val="000000"/>
                <w:sz w:val="18"/>
                <w:lang w:val="es-MX"/>
              </w:rPr>
              <w:t xml:space="preserve">elaborado y </w:t>
            </w:r>
            <w:r w:rsidRPr="00822CC5">
              <w:rPr>
                <w:bCs/>
                <w:color w:val="000000"/>
                <w:sz w:val="18"/>
                <w:lang w:val="es-MX"/>
              </w:rPr>
              <w:t>publicado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035171" w:rsidRDefault="00CB4A8E" w:rsidP="006C76F1">
            <w:pPr>
              <w:rPr>
                <w:color w:val="000000"/>
                <w:sz w:val="18"/>
                <w:szCs w:val="18"/>
                <w:lang w:val="es-MX"/>
              </w:rPr>
            </w:pPr>
            <w:r w:rsidRPr="00822CC5">
              <w:rPr>
                <w:color w:val="000000"/>
                <w:sz w:val="18"/>
                <w:lang w:val="es-MX"/>
              </w:rPr>
              <w:t xml:space="preserve">Publicación en </w:t>
            </w:r>
            <w:r>
              <w:rPr>
                <w:color w:val="000000"/>
                <w:sz w:val="18"/>
                <w:lang w:val="es-MX"/>
              </w:rPr>
              <w:t>el sitio internet del MICSE</w:t>
            </w:r>
            <w:r w:rsidRPr="00822CC5">
              <w:rPr>
                <w:color w:val="000000"/>
                <w:sz w:val="18"/>
                <w:lang w:val="es-MX"/>
              </w:rPr>
              <w:t xml:space="preserve"> del BEN 2014</w:t>
            </w:r>
            <w:r>
              <w:rPr>
                <w:color w:val="000000"/>
                <w:sz w:val="18"/>
                <w:lang w:val="es-MX"/>
              </w:rPr>
              <w:t>.</w:t>
            </w:r>
          </w:p>
        </w:tc>
      </w:tr>
      <w:tr w:rsidR="00CB4A8E" w:rsidRPr="00035171" w:rsidTr="00326588">
        <w:trPr>
          <w:trHeight w:val="2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b/>
                <w:bCs/>
                <w:color w:val="000000"/>
                <w:sz w:val="18"/>
                <w:szCs w:val="18"/>
                <w:lang w:val="es-ES_tradnl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s-CO"/>
              </w:rPr>
              <w:t>Fortalecimiento del subsector eléctrico</w:t>
            </w:r>
          </w:p>
        </w:tc>
      </w:tr>
      <w:tr w:rsidR="00CB4A8E" w:rsidRPr="00E40255" w:rsidTr="00326588">
        <w:trPr>
          <w:trHeight w:val="475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035171" w:rsidRDefault="00CB4A8E" w:rsidP="006C76F1">
            <w:pPr>
              <w:rPr>
                <w:bCs/>
                <w:color w:val="000000"/>
                <w:sz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Resolución del CONELEC del </w:t>
            </w:r>
            <w:r w:rsidRPr="006869E5">
              <w:rPr>
                <w:bCs/>
                <w:color w:val="000000"/>
                <w:sz w:val="18"/>
                <w:lang w:val="es-MX"/>
              </w:rPr>
              <w:t xml:space="preserve">Plan </w:t>
            </w:r>
            <w:r>
              <w:rPr>
                <w:bCs/>
                <w:color w:val="000000"/>
                <w:sz w:val="18"/>
                <w:lang w:val="es-MX"/>
              </w:rPr>
              <w:t>de Expansión y Desarrollo del Sistema Nacional Eléctrico 2013-2022, aprobado.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6869E5">
              <w:rPr>
                <w:bCs/>
                <w:color w:val="000000"/>
                <w:sz w:val="18"/>
                <w:lang w:val="es-MX"/>
              </w:rPr>
              <w:t xml:space="preserve">Plan </w:t>
            </w:r>
            <w:r>
              <w:rPr>
                <w:bCs/>
                <w:color w:val="000000"/>
                <w:sz w:val="18"/>
                <w:lang w:val="es-MX"/>
              </w:rPr>
              <w:t>de Expansión y Desarrollo del Sistema Nacional Eléctrico (</w:t>
            </w:r>
            <w:r w:rsidRPr="00822CC5">
              <w:rPr>
                <w:bCs/>
                <w:color w:val="000000"/>
                <w:sz w:val="18"/>
                <w:lang w:val="es-MX"/>
              </w:rPr>
              <w:t>PME 2013-2022</w:t>
            </w:r>
            <w:r>
              <w:rPr>
                <w:bCs/>
                <w:color w:val="000000"/>
                <w:sz w:val="18"/>
                <w:lang w:val="es-MX"/>
              </w:rPr>
              <w:t xml:space="preserve">), publicado en el sitio internet del </w:t>
            </w:r>
            <w:r w:rsidRPr="00822CC5">
              <w:rPr>
                <w:bCs/>
                <w:color w:val="000000"/>
                <w:sz w:val="18"/>
                <w:lang w:val="es-MX"/>
              </w:rPr>
              <w:t>CONELEC</w:t>
            </w:r>
            <w:r>
              <w:rPr>
                <w:bCs/>
                <w:color w:val="000000"/>
                <w:sz w:val="18"/>
                <w:lang w:val="es-MX"/>
              </w:rPr>
              <w:t>.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Default="00CB4A8E" w:rsidP="006C76F1">
            <w:pPr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>Proyecto de ley Orgánica del Servicio Público de Energía Eléctrica (LOSPEE), presentada a la Asamblea Nacional y aprobada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Default="00CB4A8E" w:rsidP="006C76F1">
            <w:pPr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>Oficio de la Asamblea Nacional dirigido al Poder Ejecutivo (PE) con la aprobación del proyecto de LOSPEE.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Default="00CB4A8E" w:rsidP="006C76F1">
            <w:pPr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>Política de reducción del déficit tarifario mediante el aumento de la tarifa eléctrica, aprobado por el CONELEC</w:t>
            </w:r>
            <w:r>
              <w:rPr>
                <w:rStyle w:val="FootnoteReference"/>
                <w:bCs/>
                <w:color w:val="000000"/>
                <w:sz w:val="18"/>
                <w:lang w:val="es-MX"/>
              </w:rPr>
              <w:footnoteReference w:id="8"/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Default="00CB4A8E" w:rsidP="006C76F1">
            <w:pPr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bCs/>
                <w:color w:val="000000"/>
                <w:sz w:val="18"/>
                <w:lang w:val="es-MX"/>
              </w:rPr>
              <w:t>Resolución CONELEC No. 041/14 con la aprobación del Pliego Tarifario 2014, donde se aprueba el aumento de la tarifa.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6C76F1">
              <w:rPr>
                <w:bCs/>
                <w:color w:val="000000"/>
                <w:sz w:val="18"/>
                <w:lang w:val="es-MX"/>
              </w:rPr>
              <w:t>Acuerdo Mini</w:t>
            </w:r>
            <w:r w:rsidRPr="00154E1D">
              <w:rPr>
                <w:bCs/>
                <w:color w:val="000000"/>
                <w:sz w:val="18"/>
                <w:lang w:val="es-MX"/>
              </w:rPr>
              <w:t>sterial par</w:t>
            </w:r>
            <w:r w:rsidRPr="006C76F1">
              <w:rPr>
                <w:bCs/>
                <w:color w:val="000000"/>
                <w:sz w:val="18"/>
                <w:lang w:val="es-MX"/>
              </w:rPr>
              <w:t xml:space="preserve">a la creación del </w:t>
            </w:r>
            <w:r w:rsidRPr="00154E1D">
              <w:rPr>
                <w:bCs/>
                <w:color w:val="000000"/>
                <w:sz w:val="18"/>
                <w:lang w:val="es-MX"/>
              </w:rPr>
              <w:t>Comité Interinstitucional para la implementación del Programa Nacional de Redes Inteligentes aprobado.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Acuerdo Ministerial del MEER donde se aprueba la creación de 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Comité Interinstitucional del Programa Nacional de Redes Inteligentes </w:t>
            </w:r>
            <w:r>
              <w:rPr>
                <w:bCs/>
                <w:color w:val="000000"/>
                <w:sz w:val="18"/>
                <w:lang w:val="es-MX"/>
              </w:rPr>
              <w:t>(REDIE).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lastRenderedPageBreak/>
              <w:t>Dictamen de prioridad emitido por la SENPLADES  para el desarrollo del</w:t>
            </w:r>
            <w:r w:rsidRPr="009454CE">
              <w:rPr>
                <w:bCs/>
                <w:color w:val="000000"/>
                <w:sz w:val="18"/>
                <w:lang w:val="es-MX"/>
              </w:rPr>
              <w:t xml:space="preserve"> </w:t>
            </w:r>
            <w:r w:rsidRPr="00850282">
              <w:rPr>
                <w:bCs/>
                <w:color w:val="000000"/>
                <w:sz w:val="18"/>
                <w:lang w:val="es-MX"/>
              </w:rPr>
              <w:t>Programa</w:t>
            </w:r>
            <w:r>
              <w:rPr>
                <w:bCs/>
                <w:color w:val="000000"/>
                <w:sz w:val="18"/>
                <w:lang w:val="es-MX"/>
              </w:rPr>
              <w:t xml:space="preserve"> de Mejoramiento de la Distribución (PMD), </w:t>
            </w:r>
            <w:r w:rsidRPr="00850282">
              <w:rPr>
                <w:bCs/>
                <w:color w:val="000000"/>
                <w:sz w:val="18"/>
                <w:lang w:val="es-MX"/>
              </w:rPr>
              <w:t>que facilite la implementación del Programa Nacional de Cocción Eficiente (PNCE), aprobado y primera etapa</w:t>
            </w:r>
            <w:r w:rsidRPr="00850282">
              <w:rPr>
                <w:rStyle w:val="FootnoteReference"/>
                <w:bCs/>
                <w:color w:val="000000"/>
                <w:sz w:val="18"/>
                <w:lang w:val="es-MX"/>
              </w:rPr>
              <w:footnoteReference w:id="9"/>
            </w:r>
            <w:r w:rsidRPr="00850282">
              <w:rPr>
                <w:bCs/>
                <w:color w:val="000000"/>
                <w:sz w:val="18"/>
                <w:lang w:val="es-MX"/>
              </w:rPr>
              <w:t xml:space="preserve"> en ejecución.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Dictamen de la SENPLADES </w:t>
            </w:r>
            <w:r w:rsidRPr="00850282">
              <w:rPr>
                <w:bCs/>
                <w:color w:val="000000"/>
                <w:sz w:val="18"/>
                <w:lang w:val="es-MX"/>
              </w:rPr>
              <w:t xml:space="preserve">donde se acuerda la prioridad para la implementación del </w:t>
            </w:r>
            <w:r>
              <w:rPr>
                <w:bCs/>
                <w:color w:val="000000"/>
                <w:sz w:val="18"/>
                <w:lang w:val="es-MX"/>
              </w:rPr>
              <w:t>PMD</w:t>
            </w:r>
            <w:r w:rsidRPr="00850282">
              <w:rPr>
                <w:bCs/>
                <w:color w:val="000000"/>
                <w:sz w:val="18"/>
                <w:lang w:val="es-MX"/>
              </w:rPr>
              <w:t xml:space="preserve"> y reporte de avance de la primera etapa</w:t>
            </w:r>
            <w:r>
              <w:rPr>
                <w:bCs/>
                <w:color w:val="000000"/>
                <w:sz w:val="18"/>
                <w:lang w:val="es-MX"/>
              </w:rPr>
              <w:t xml:space="preserve"> del Programa Nacional para el Reforzamiento del Sistema de Distribución Eléctrica</w:t>
            </w:r>
            <w:r w:rsidRPr="003B75DB">
              <w:rPr>
                <w:sz w:val="18"/>
                <w:szCs w:val="18"/>
                <w:lang w:val="es-ES_tradnl"/>
              </w:rPr>
              <w:t xml:space="preserve"> </w:t>
            </w:r>
            <w:r>
              <w:rPr>
                <w:sz w:val="18"/>
                <w:szCs w:val="18"/>
                <w:lang w:val="es-ES_tradnl"/>
              </w:rPr>
              <w:t>(</w:t>
            </w:r>
            <w:r w:rsidRPr="003B75DB">
              <w:rPr>
                <w:sz w:val="18"/>
                <w:szCs w:val="18"/>
                <w:lang w:val="es-ES_tradnl"/>
              </w:rPr>
              <w:t>PRSND</w:t>
            </w:r>
            <w:r>
              <w:rPr>
                <w:sz w:val="18"/>
                <w:szCs w:val="18"/>
                <w:lang w:val="es-ES_tradnl"/>
              </w:rPr>
              <w:t>) aprobado por el MEER</w:t>
            </w:r>
            <w:r>
              <w:rPr>
                <w:bCs/>
                <w:color w:val="000000"/>
                <w:sz w:val="18"/>
                <w:lang w:val="es-MX"/>
              </w:rPr>
              <w:t>.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A62C91">
              <w:rPr>
                <w:bCs/>
                <w:color w:val="000000"/>
                <w:sz w:val="18"/>
                <w:lang w:val="es-MX"/>
              </w:rPr>
              <w:t xml:space="preserve">Metodología </w:t>
            </w:r>
            <w:r>
              <w:rPr>
                <w:bCs/>
                <w:color w:val="000000"/>
                <w:sz w:val="18"/>
                <w:lang w:val="es-MX"/>
              </w:rPr>
              <w:t>de sostenibilidad</w:t>
            </w:r>
            <w:r w:rsidRPr="00A62C91">
              <w:rPr>
                <w:bCs/>
                <w:color w:val="000000"/>
                <w:sz w:val="18"/>
                <w:lang w:val="es-MX"/>
              </w:rPr>
              <w:t xml:space="preserve"> para </w:t>
            </w:r>
            <w:r>
              <w:rPr>
                <w:bCs/>
                <w:color w:val="000000"/>
                <w:sz w:val="18"/>
                <w:lang w:val="es-MX"/>
              </w:rPr>
              <w:t>el financiamiento</w:t>
            </w:r>
            <w:r w:rsidRPr="00A62C91">
              <w:rPr>
                <w:bCs/>
                <w:color w:val="000000"/>
                <w:sz w:val="18"/>
                <w:lang w:val="es-MX"/>
              </w:rPr>
              <w:t xml:space="preserve"> </w:t>
            </w:r>
            <w:r>
              <w:rPr>
                <w:bCs/>
                <w:color w:val="000000"/>
                <w:sz w:val="18"/>
                <w:lang w:val="es-MX"/>
              </w:rPr>
              <w:t xml:space="preserve">de  proyectos de </w:t>
            </w:r>
            <w:r w:rsidRPr="00A62C91">
              <w:rPr>
                <w:bCs/>
                <w:color w:val="000000"/>
                <w:sz w:val="18"/>
                <w:lang w:val="es-MX"/>
              </w:rPr>
              <w:t xml:space="preserve">electrificación rural aislada, preparada y aprobada por el </w:t>
            </w:r>
            <w:r w:rsidRPr="001168A9">
              <w:rPr>
                <w:bCs/>
                <w:color w:val="000000"/>
                <w:sz w:val="18"/>
                <w:lang w:val="es-MX"/>
              </w:rPr>
              <w:t>MEER.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Oficio de aprobación por el MEER, de la metodología para la selección de proyectos  de electrificación rural aislada para financiamiento.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50282">
              <w:rPr>
                <w:bCs/>
                <w:color w:val="000000"/>
                <w:sz w:val="18"/>
                <w:lang w:val="es-MX"/>
              </w:rPr>
              <w:t>Metodología de sostenibilidad</w:t>
            </w:r>
            <w:r w:rsidRPr="00850282">
              <w:rPr>
                <w:rStyle w:val="FootnoteReference"/>
                <w:bCs/>
                <w:color w:val="000000"/>
                <w:sz w:val="18"/>
                <w:lang w:val="es-MX"/>
              </w:rPr>
              <w:footnoteReference w:id="10"/>
            </w:r>
            <w:r w:rsidRPr="00850282">
              <w:rPr>
                <w:bCs/>
                <w:color w:val="000000"/>
                <w:sz w:val="18"/>
                <w:lang w:val="es-MX"/>
              </w:rPr>
              <w:t xml:space="preserve"> para el financiamiento de proyectos de electrificación rural 2013-2014 con extensión de red, implementada.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035171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035171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 xml:space="preserve">Informe de </w:t>
            </w:r>
            <w:r>
              <w:rPr>
                <w:bCs/>
                <w:color w:val="000000"/>
                <w:sz w:val="18"/>
                <w:lang w:val="es-MX"/>
              </w:rPr>
              <w:t>e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valuación aprobado por el MEER de proyectos seleccionados a través del uso de una metodología costo eficiencia para financiamiento.  </w:t>
            </w:r>
          </w:p>
        </w:tc>
      </w:tr>
      <w:tr w:rsidR="00CB4A8E" w:rsidRPr="00E40255" w:rsidTr="00326588">
        <w:trPr>
          <w:trHeight w:val="475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>Estrategia para la evaluación de impacto de proyectos de electrificación rural, aprobada y en proceso de implementación.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035171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035171" w:rsidRDefault="00CB4A8E" w:rsidP="006C76F1">
            <w:pPr>
              <w:jc w:val="center"/>
              <w:rPr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>Oficio del MEER donde se aprueba la e</w:t>
            </w:r>
            <w:r w:rsidRPr="00822CC5">
              <w:rPr>
                <w:bCs/>
                <w:color w:val="000000"/>
                <w:sz w:val="18"/>
                <w:lang w:val="es-MX"/>
              </w:rPr>
              <w:t>strategia para la implementación de</w:t>
            </w:r>
            <w:r>
              <w:rPr>
                <w:bCs/>
                <w:color w:val="000000"/>
                <w:sz w:val="18"/>
                <w:lang w:val="es-MX"/>
              </w:rPr>
              <w:t xml:space="preserve"> una evaluación de impacto de proyectos FERUM</w:t>
            </w:r>
            <w:r w:rsidRPr="00822CC5">
              <w:rPr>
                <w:bCs/>
                <w:color w:val="000000"/>
                <w:sz w:val="18"/>
                <w:lang w:val="es-MX"/>
              </w:rPr>
              <w:t xml:space="preserve"> aprobada por el MEER.</w:t>
            </w:r>
          </w:p>
        </w:tc>
      </w:tr>
      <w:tr w:rsidR="00CB4A8E" w:rsidRPr="00E40255" w:rsidTr="00326588">
        <w:trPr>
          <w:trHeight w:val="2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Pr="004E34AE" w:rsidRDefault="00CB4A8E" w:rsidP="006C76F1">
            <w:pPr>
              <w:rPr>
                <w:b/>
                <w:bCs/>
                <w:color w:val="000000"/>
                <w:sz w:val="18"/>
                <w:szCs w:val="18"/>
                <w:lang w:val="es-ES_tradnl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s-MX"/>
              </w:rPr>
              <w:t>III. Apoyo a la integración eléctrica regional</w:t>
            </w:r>
          </w:p>
        </w:tc>
      </w:tr>
      <w:tr w:rsidR="00CB4A8E" w:rsidRPr="00E40255" w:rsidTr="00326588">
        <w:trPr>
          <w:trHeight w:val="949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Acuerdo binacional del alcance del anteproyecto de una línea de transmisión en alta tensión (500 </w:t>
            </w:r>
            <w:proofErr w:type="spellStart"/>
            <w:r>
              <w:rPr>
                <w:bCs/>
                <w:color w:val="000000"/>
                <w:sz w:val="18"/>
                <w:lang w:val="es-MX"/>
              </w:rPr>
              <w:t>kV</w:t>
            </w:r>
            <w:proofErr w:type="spellEnd"/>
            <w:r>
              <w:rPr>
                <w:bCs/>
                <w:color w:val="000000"/>
                <w:sz w:val="18"/>
                <w:lang w:val="es-MX"/>
              </w:rPr>
              <w:t>) para la interconexión Ecuador-Perú, alcanzado.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Acta de aprobación de términos de referenc</w:t>
            </w:r>
            <w:r>
              <w:rPr>
                <w:bCs/>
                <w:color w:val="000000"/>
                <w:sz w:val="18"/>
                <w:lang w:val="es-MX"/>
              </w:rPr>
              <w:t xml:space="preserve">ia socializados entre los dos países para estudios de anteproyecto de una línea de transmisión en alta tensión (500 </w:t>
            </w:r>
            <w:proofErr w:type="spellStart"/>
            <w:r>
              <w:rPr>
                <w:bCs/>
                <w:color w:val="000000"/>
                <w:sz w:val="18"/>
                <w:lang w:val="es-MX"/>
              </w:rPr>
              <w:t>kV</w:t>
            </w:r>
            <w:proofErr w:type="spellEnd"/>
            <w:r>
              <w:rPr>
                <w:bCs/>
                <w:color w:val="000000"/>
                <w:sz w:val="18"/>
                <w:lang w:val="es-MX"/>
              </w:rPr>
              <w:t>) para la interconexión Ecuador - Perú.</w:t>
            </w:r>
          </w:p>
        </w:tc>
      </w:tr>
      <w:tr w:rsidR="00CB4A8E" w:rsidRPr="00E40255" w:rsidTr="00326588">
        <w:trPr>
          <w:trHeight w:val="712"/>
        </w:trPr>
        <w:tc>
          <w:tcPr>
            <w:tcW w:w="2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 w:rsidRPr="00822CC5">
              <w:rPr>
                <w:bCs/>
                <w:color w:val="000000"/>
                <w:sz w:val="18"/>
                <w:lang w:val="es-MX"/>
              </w:rPr>
              <w:t>Acta de aprobación de términos de referenc</w:t>
            </w:r>
            <w:r>
              <w:rPr>
                <w:bCs/>
                <w:color w:val="000000"/>
                <w:sz w:val="18"/>
                <w:lang w:val="es-MX"/>
              </w:rPr>
              <w:t xml:space="preserve">ia socializados entre los dos países para estudios de anteproyecto de una línea de transmisión en alta tensión (500 </w:t>
            </w:r>
            <w:proofErr w:type="spellStart"/>
            <w:r>
              <w:rPr>
                <w:bCs/>
                <w:color w:val="000000"/>
                <w:sz w:val="18"/>
                <w:lang w:val="es-MX"/>
              </w:rPr>
              <w:t>kV</w:t>
            </w:r>
            <w:proofErr w:type="spellEnd"/>
            <w:r>
              <w:rPr>
                <w:bCs/>
                <w:color w:val="000000"/>
                <w:sz w:val="18"/>
                <w:lang w:val="es-MX"/>
              </w:rPr>
              <w:t>) para la interconexión Ecuador - Perú.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8E" w:rsidRDefault="00CB4A8E" w:rsidP="006C76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8E" w:rsidRPr="004E34AE" w:rsidRDefault="00CB4A8E" w:rsidP="006C76F1">
            <w:pPr>
              <w:rPr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lang w:val="es-MX"/>
              </w:rPr>
              <w:t xml:space="preserve">Informe de acuerdo binacional suministrado por el CONELEC de la propuesta de </w:t>
            </w:r>
            <w:r w:rsidRPr="00822CC5">
              <w:rPr>
                <w:bCs/>
                <w:color w:val="000000"/>
                <w:sz w:val="18"/>
                <w:lang w:val="es-MX"/>
              </w:rPr>
              <w:t>armonización normativa</w:t>
            </w:r>
            <w:r>
              <w:rPr>
                <w:bCs/>
                <w:color w:val="000000"/>
                <w:sz w:val="18"/>
                <w:lang w:val="es-MX"/>
              </w:rPr>
              <w:t xml:space="preserve"> que intensifica el intercambio de electricidad con Perú en la conexión existente a 230 </w:t>
            </w:r>
            <w:proofErr w:type="spellStart"/>
            <w:r>
              <w:rPr>
                <w:bCs/>
                <w:color w:val="000000"/>
                <w:sz w:val="18"/>
                <w:lang w:val="es-MX"/>
              </w:rPr>
              <w:t>kV</w:t>
            </w:r>
            <w:proofErr w:type="spellEnd"/>
            <w:r>
              <w:rPr>
                <w:bCs/>
                <w:color w:val="000000"/>
                <w:sz w:val="18"/>
                <w:lang w:val="es-MX"/>
              </w:rPr>
              <w:t>.</w:t>
            </w:r>
          </w:p>
        </w:tc>
      </w:tr>
    </w:tbl>
    <w:p w:rsidR="006D6320" w:rsidRDefault="006D6320" w:rsidP="005F54E1">
      <w:pPr>
        <w:rPr>
          <w:color w:val="000000"/>
          <w:sz w:val="18"/>
          <w:szCs w:val="18"/>
          <w:lang w:val="es-ES_tradnl"/>
        </w:rPr>
      </w:pPr>
    </w:p>
    <w:p w:rsidR="00302B34" w:rsidRDefault="00302B34" w:rsidP="005F54E1">
      <w:pPr>
        <w:rPr>
          <w:color w:val="000000"/>
          <w:sz w:val="18"/>
          <w:szCs w:val="18"/>
          <w:lang w:val="es-ES_tradnl"/>
        </w:rPr>
      </w:pPr>
    </w:p>
    <w:p w:rsidR="00302B34" w:rsidRDefault="00302B34" w:rsidP="005F54E1">
      <w:pPr>
        <w:rPr>
          <w:color w:val="000000"/>
          <w:sz w:val="18"/>
          <w:szCs w:val="18"/>
          <w:lang w:val="es-ES_tradnl"/>
        </w:rPr>
      </w:pPr>
    </w:p>
    <w:p w:rsidR="00302B34" w:rsidRPr="004E34AE" w:rsidRDefault="00302B34" w:rsidP="005F54E1">
      <w:pPr>
        <w:rPr>
          <w:color w:val="000000"/>
          <w:sz w:val="18"/>
          <w:szCs w:val="18"/>
          <w:lang w:val="es-ES_tradnl"/>
        </w:rPr>
      </w:pPr>
    </w:p>
    <w:sectPr w:rsidR="00302B34" w:rsidRPr="004E34AE" w:rsidSect="00C83697">
      <w:headerReference w:type="even" r:id="rId9"/>
      <w:headerReference w:type="default" r:id="rId10"/>
      <w:pgSz w:w="15840" w:h="12240" w:orient="landscape"/>
      <w:pgMar w:top="1331" w:right="851" w:bottom="1276" w:left="12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8D8" w:rsidRDefault="009158D8">
      <w:r>
        <w:separator/>
      </w:r>
    </w:p>
  </w:endnote>
  <w:endnote w:type="continuationSeparator" w:id="0">
    <w:p w:rsidR="009158D8" w:rsidRDefault="0091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8D8" w:rsidRDefault="009158D8">
      <w:r>
        <w:separator/>
      </w:r>
    </w:p>
  </w:footnote>
  <w:footnote w:type="continuationSeparator" w:id="0">
    <w:p w:rsidR="009158D8" w:rsidRDefault="009158D8">
      <w:r>
        <w:continuationSeparator/>
      </w:r>
    </w:p>
  </w:footnote>
  <w:footnote w:id="1">
    <w:p w:rsidR="006B07AC" w:rsidRPr="002F7376" w:rsidRDefault="006B07AC" w:rsidP="002F7376">
      <w:pPr>
        <w:pStyle w:val="FootnoteText"/>
        <w:jc w:val="both"/>
        <w:rPr>
          <w:sz w:val="18"/>
          <w:szCs w:val="18"/>
          <w:lang w:val="es-MX"/>
        </w:rPr>
      </w:pPr>
      <w:r>
        <w:rPr>
          <w:rStyle w:val="FootnoteReference"/>
        </w:rPr>
        <w:footnoteRef/>
      </w:r>
      <w:r w:rsidRPr="002F7376">
        <w:rPr>
          <w:lang w:val="es-ES_tradnl"/>
        </w:rPr>
        <w:t xml:space="preserve"> </w:t>
      </w:r>
      <w:r w:rsidRPr="002F7376">
        <w:rPr>
          <w:sz w:val="18"/>
          <w:szCs w:val="18"/>
          <w:lang w:val="es-MX"/>
        </w:rPr>
        <w:t xml:space="preserve">De acuerdo </w:t>
      </w:r>
      <w:r w:rsidR="002F7376">
        <w:rPr>
          <w:sz w:val="18"/>
          <w:szCs w:val="18"/>
          <w:lang w:val="es-MX"/>
        </w:rPr>
        <w:t>a</w:t>
      </w:r>
      <w:r w:rsidRPr="002F7376">
        <w:rPr>
          <w:sz w:val="18"/>
          <w:szCs w:val="18"/>
          <w:lang w:val="es-MX"/>
        </w:rPr>
        <w:t xml:space="preserve">l estudio: </w:t>
      </w:r>
      <w:r w:rsidRPr="00326588">
        <w:rPr>
          <w:i/>
          <w:sz w:val="18"/>
          <w:szCs w:val="18"/>
          <w:lang w:val="es-MX"/>
        </w:rPr>
        <w:t>Hábitos de cocción en Ecuador 2014, financiado por el BID</w:t>
      </w:r>
      <w:r w:rsidR="002F7376">
        <w:rPr>
          <w:sz w:val="18"/>
          <w:szCs w:val="18"/>
          <w:lang w:val="es-MX"/>
        </w:rPr>
        <w:t>;</w:t>
      </w:r>
      <w:r w:rsidRPr="002F7376">
        <w:rPr>
          <w:sz w:val="18"/>
          <w:szCs w:val="18"/>
          <w:lang w:val="es-MX"/>
        </w:rPr>
        <w:t xml:space="preserve"> </w:t>
      </w:r>
      <w:r w:rsidR="009555A5" w:rsidRPr="002F7376">
        <w:rPr>
          <w:sz w:val="18"/>
          <w:szCs w:val="18"/>
          <w:lang w:val="es-MX"/>
        </w:rPr>
        <w:t xml:space="preserve">a través del Programa Nacional de Cocción Eficiente del </w:t>
      </w:r>
      <w:proofErr w:type="spellStart"/>
      <w:r w:rsidR="009555A5" w:rsidRPr="002F7376">
        <w:rPr>
          <w:sz w:val="18"/>
          <w:szCs w:val="18"/>
          <w:lang w:val="es-MX"/>
        </w:rPr>
        <w:t>GdE</w:t>
      </w:r>
      <w:proofErr w:type="spellEnd"/>
      <w:r w:rsidR="002F7376">
        <w:rPr>
          <w:sz w:val="18"/>
          <w:szCs w:val="18"/>
          <w:lang w:val="es-MX"/>
        </w:rPr>
        <w:t>, se prevé que</w:t>
      </w:r>
      <w:r w:rsidR="009555A5" w:rsidRPr="002F7376">
        <w:rPr>
          <w:sz w:val="18"/>
          <w:szCs w:val="18"/>
          <w:lang w:val="es-MX"/>
        </w:rPr>
        <w:t xml:space="preserve"> en el corto plazo, </w:t>
      </w:r>
      <w:r w:rsidRPr="002F7376">
        <w:rPr>
          <w:sz w:val="18"/>
          <w:szCs w:val="18"/>
          <w:lang w:val="es-MX"/>
        </w:rPr>
        <w:t xml:space="preserve">por lo menos el 40% de los clientes residenciales habrá remplazado al uso de GLP por electricidad a través del uso de cocinas de inducción, </w:t>
      </w:r>
      <w:r w:rsidR="009555A5" w:rsidRPr="002F7376">
        <w:rPr>
          <w:sz w:val="18"/>
          <w:szCs w:val="18"/>
          <w:lang w:val="es-MX"/>
        </w:rPr>
        <w:t>reduciendo</w:t>
      </w:r>
      <w:r w:rsidRPr="002F7376">
        <w:rPr>
          <w:sz w:val="18"/>
          <w:szCs w:val="18"/>
          <w:lang w:val="es-MX"/>
        </w:rPr>
        <w:t xml:space="preserve"> en esta proporción </w:t>
      </w:r>
      <w:r w:rsidR="009555A5" w:rsidRPr="002F7376">
        <w:rPr>
          <w:sz w:val="18"/>
          <w:szCs w:val="18"/>
          <w:lang w:val="es-MX"/>
        </w:rPr>
        <w:t xml:space="preserve">los subsidios asociados al consumo de este </w:t>
      </w:r>
      <w:r w:rsidR="002F7376">
        <w:rPr>
          <w:sz w:val="18"/>
          <w:szCs w:val="18"/>
          <w:lang w:val="es-MX"/>
        </w:rPr>
        <w:t>hidrocarburo</w:t>
      </w:r>
      <w:r w:rsidRPr="002F7376">
        <w:rPr>
          <w:sz w:val="18"/>
          <w:szCs w:val="18"/>
          <w:lang w:val="es-MX"/>
        </w:rPr>
        <w:t xml:space="preserve">. </w:t>
      </w:r>
    </w:p>
  </w:footnote>
  <w:footnote w:id="2">
    <w:p w:rsidR="00AC4EEE" w:rsidRPr="002F7376" w:rsidRDefault="00AC4EEE" w:rsidP="002F7376">
      <w:pPr>
        <w:pStyle w:val="FootnoteText"/>
        <w:jc w:val="both"/>
        <w:rPr>
          <w:sz w:val="18"/>
          <w:szCs w:val="18"/>
          <w:lang w:val="es-MX"/>
        </w:rPr>
      </w:pPr>
      <w:r>
        <w:rPr>
          <w:rStyle w:val="FootnoteReference"/>
        </w:rPr>
        <w:footnoteRef/>
      </w:r>
      <w:r w:rsidRPr="001C0273">
        <w:rPr>
          <w:lang w:val="es-MX"/>
        </w:rPr>
        <w:t xml:space="preserve"> </w:t>
      </w:r>
      <w:r w:rsidRPr="002F7376">
        <w:rPr>
          <w:sz w:val="18"/>
          <w:szCs w:val="18"/>
          <w:lang w:val="es-MX"/>
        </w:rPr>
        <w:t xml:space="preserve">En 2017, con cambio de la matriz energética el consumo de derivados en la generación sumaria 22,0mn BEP. Sin cambio de la matriz energética el consumo asciende a 37mn BEP. La diferencia es la contribución neta en reducción. </w:t>
      </w:r>
    </w:p>
  </w:footnote>
  <w:footnote w:id="3">
    <w:p w:rsidR="00AC4EEE" w:rsidRPr="002F7376" w:rsidRDefault="00AC4EEE">
      <w:pPr>
        <w:pStyle w:val="FootnoteText"/>
        <w:rPr>
          <w:sz w:val="18"/>
          <w:szCs w:val="18"/>
          <w:lang w:val="es-MX"/>
        </w:rPr>
      </w:pPr>
      <w:r>
        <w:rPr>
          <w:rStyle w:val="FootnoteReference"/>
        </w:rPr>
        <w:footnoteRef/>
      </w:r>
      <w:r w:rsidRPr="001C0273">
        <w:rPr>
          <w:lang w:val="es-MX"/>
        </w:rPr>
        <w:t xml:space="preserve"> </w:t>
      </w:r>
      <w:r w:rsidRPr="002F7376">
        <w:rPr>
          <w:sz w:val="18"/>
          <w:szCs w:val="18"/>
          <w:lang w:val="es-MX"/>
        </w:rPr>
        <w:t xml:space="preserve">Se considera la generación en 2012: hidroeléctrica (11.837 </w:t>
      </w:r>
      <w:proofErr w:type="spellStart"/>
      <w:r w:rsidRPr="002F7376">
        <w:rPr>
          <w:sz w:val="18"/>
          <w:szCs w:val="18"/>
          <w:lang w:val="es-MX"/>
        </w:rPr>
        <w:t>GVh</w:t>
      </w:r>
      <w:proofErr w:type="spellEnd"/>
      <w:r w:rsidRPr="002F7376">
        <w:rPr>
          <w:sz w:val="18"/>
          <w:szCs w:val="18"/>
          <w:lang w:val="es-MX"/>
        </w:rPr>
        <w:t xml:space="preserve">/año); ERNC (296 </w:t>
      </w:r>
      <w:proofErr w:type="spellStart"/>
      <w:r w:rsidRPr="002F7376">
        <w:rPr>
          <w:sz w:val="18"/>
          <w:szCs w:val="18"/>
          <w:lang w:val="es-MX"/>
        </w:rPr>
        <w:t>GVh</w:t>
      </w:r>
      <w:proofErr w:type="spellEnd"/>
      <w:r w:rsidRPr="002F7376">
        <w:rPr>
          <w:sz w:val="18"/>
          <w:szCs w:val="18"/>
          <w:lang w:val="es-MX"/>
        </w:rPr>
        <w:t xml:space="preserve">/año), térmica (6.945 </w:t>
      </w:r>
      <w:proofErr w:type="spellStart"/>
      <w:r w:rsidRPr="002F7376">
        <w:rPr>
          <w:sz w:val="18"/>
          <w:szCs w:val="18"/>
          <w:lang w:val="es-MX"/>
        </w:rPr>
        <w:t>GVh</w:t>
      </w:r>
      <w:proofErr w:type="spellEnd"/>
      <w:r w:rsidRPr="002F7376">
        <w:rPr>
          <w:sz w:val="18"/>
          <w:szCs w:val="18"/>
          <w:lang w:val="es-MX"/>
        </w:rPr>
        <w:t>/año)</w:t>
      </w:r>
    </w:p>
  </w:footnote>
  <w:footnote w:id="4">
    <w:p w:rsidR="002F7376" w:rsidRPr="002F7376" w:rsidRDefault="002F7376">
      <w:pPr>
        <w:pStyle w:val="FootnoteText"/>
        <w:rPr>
          <w:sz w:val="18"/>
          <w:szCs w:val="18"/>
          <w:lang w:val="es-ES_tradnl"/>
        </w:rPr>
      </w:pPr>
      <w:r>
        <w:rPr>
          <w:rStyle w:val="FootnoteReference"/>
        </w:rPr>
        <w:footnoteRef/>
      </w:r>
      <w:r w:rsidRPr="000C0C57">
        <w:rPr>
          <w:lang w:val="es-ES_tradnl"/>
        </w:rPr>
        <w:t xml:space="preserve"> </w:t>
      </w:r>
      <w:r w:rsidRPr="002F7376">
        <w:rPr>
          <w:sz w:val="18"/>
          <w:szCs w:val="18"/>
          <w:lang w:val="es-ES_tradnl"/>
        </w:rPr>
        <w:t>El CRI correlaciona el nivel de cobranza o facturación y el nivel de pérdidas eléctricas totales</w:t>
      </w:r>
    </w:p>
  </w:footnote>
  <w:footnote w:id="5">
    <w:p w:rsidR="00CB4A8E" w:rsidRPr="00593ACA" w:rsidRDefault="00CB4A8E" w:rsidP="00CB4A8E">
      <w:pPr>
        <w:pStyle w:val="FootnoteText"/>
        <w:rPr>
          <w:sz w:val="16"/>
          <w:szCs w:val="16"/>
          <w:lang w:val="es-MX"/>
        </w:rPr>
      </w:pPr>
      <w:r>
        <w:rPr>
          <w:rStyle w:val="FootnoteReference"/>
        </w:rPr>
        <w:footnoteRef/>
      </w:r>
      <w:r w:rsidRPr="00593ACA">
        <w:rPr>
          <w:lang w:val="es-ES_tradnl"/>
        </w:rPr>
        <w:t xml:space="preserve"> </w:t>
      </w:r>
      <w:r w:rsidRPr="00593ACA">
        <w:rPr>
          <w:sz w:val="16"/>
          <w:szCs w:val="16"/>
          <w:lang w:val="es-MX"/>
        </w:rPr>
        <w:t xml:space="preserve">Incluye cargo cero por consumo de los primeros 80 </w:t>
      </w:r>
      <w:proofErr w:type="spellStart"/>
      <w:r w:rsidRPr="00593ACA">
        <w:rPr>
          <w:sz w:val="16"/>
          <w:szCs w:val="16"/>
          <w:lang w:val="es-MX"/>
        </w:rPr>
        <w:t>kVh</w:t>
      </w:r>
      <w:proofErr w:type="spellEnd"/>
      <w:r w:rsidRPr="00593ACA">
        <w:rPr>
          <w:sz w:val="16"/>
          <w:szCs w:val="16"/>
          <w:lang w:val="es-MX"/>
        </w:rPr>
        <w:t xml:space="preserve"> hasta el año 2018 a los usuarios del Programa de desplazamiento del uso GLP por electricidad en el sector residencial</w:t>
      </w:r>
      <w:r>
        <w:rPr>
          <w:sz w:val="16"/>
          <w:szCs w:val="16"/>
          <w:lang w:val="es-MX"/>
        </w:rPr>
        <w:t>.</w:t>
      </w:r>
    </w:p>
  </w:footnote>
  <w:footnote w:id="6">
    <w:p w:rsidR="00CB4A8E" w:rsidRPr="003B75DB" w:rsidRDefault="00CB4A8E" w:rsidP="00CB4A8E">
      <w:pPr>
        <w:pStyle w:val="FootnoteText"/>
        <w:ind w:left="90" w:hanging="90"/>
        <w:jc w:val="both"/>
        <w:rPr>
          <w:sz w:val="18"/>
          <w:szCs w:val="18"/>
          <w:lang w:val="es-MX"/>
        </w:rPr>
      </w:pPr>
      <w:r w:rsidRPr="003B75DB">
        <w:rPr>
          <w:rStyle w:val="FootnoteReference"/>
          <w:sz w:val="18"/>
          <w:szCs w:val="18"/>
        </w:rPr>
        <w:footnoteRef/>
      </w:r>
      <w:r w:rsidRPr="003B75DB">
        <w:rPr>
          <w:sz w:val="18"/>
          <w:szCs w:val="18"/>
          <w:lang w:val="es-MX"/>
        </w:rPr>
        <w:t xml:space="preserve"> El desplazamiento de diésel se da bajo la iniciativa OGE&amp;EE y que tiene como objetivo disminuir el uso de diésel en la actividad </w:t>
      </w:r>
      <w:proofErr w:type="spellStart"/>
      <w:r w:rsidRPr="003B75DB">
        <w:rPr>
          <w:sz w:val="18"/>
          <w:szCs w:val="18"/>
          <w:lang w:val="es-MX"/>
        </w:rPr>
        <w:t>hidrocarburífera</w:t>
      </w:r>
      <w:proofErr w:type="spellEnd"/>
      <w:r w:rsidRPr="003B75DB">
        <w:rPr>
          <w:sz w:val="18"/>
          <w:szCs w:val="18"/>
          <w:lang w:val="es-MX"/>
        </w:rPr>
        <w:t xml:space="preserve">. Su cumplimiento se mide contra objetivos definidos al inicio de cada año.  </w:t>
      </w:r>
    </w:p>
  </w:footnote>
  <w:footnote w:id="7">
    <w:p w:rsidR="00CB4A8E" w:rsidRPr="00593ACA" w:rsidRDefault="00CB4A8E" w:rsidP="00CB4A8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593ACA">
        <w:rPr>
          <w:lang w:val="es-ES_tradnl"/>
        </w:rPr>
        <w:t xml:space="preserve"> </w:t>
      </w:r>
      <w:r>
        <w:rPr>
          <w:sz w:val="17"/>
          <w:szCs w:val="17"/>
          <w:lang w:val="es-ES_tradnl"/>
        </w:rPr>
        <w:t>Con</w:t>
      </w:r>
      <w:r w:rsidRPr="00593ACA">
        <w:rPr>
          <w:sz w:val="17"/>
          <w:szCs w:val="17"/>
          <w:lang w:val="es-ES_tradnl"/>
        </w:rPr>
        <w:t xml:space="preserve"> información del sector al 2013.</w:t>
      </w:r>
    </w:p>
  </w:footnote>
  <w:footnote w:id="8">
    <w:p w:rsidR="00CB4A8E" w:rsidRPr="00EC18B0" w:rsidRDefault="00CB4A8E" w:rsidP="00CB4A8E">
      <w:pPr>
        <w:pStyle w:val="FootnoteText"/>
        <w:rPr>
          <w:sz w:val="18"/>
          <w:szCs w:val="18"/>
          <w:lang w:val="es-ES_tradnl"/>
        </w:rPr>
      </w:pPr>
      <w:r>
        <w:rPr>
          <w:rStyle w:val="FootnoteReference"/>
        </w:rPr>
        <w:footnoteRef/>
      </w:r>
      <w:r w:rsidRPr="00EC18B0">
        <w:rPr>
          <w:lang w:val="es-ES_tradnl"/>
        </w:rPr>
        <w:t xml:space="preserve"> </w:t>
      </w:r>
      <w:r w:rsidRPr="006C76F1">
        <w:rPr>
          <w:sz w:val="17"/>
          <w:szCs w:val="17"/>
          <w:lang w:val="es-ES_tradnl"/>
        </w:rPr>
        <w:t>El nuevo pliego implica el alza de la tarifa eléctrica de US$0,01 para los consumidores residenciales y de US$0,02 para los clientes comerciales e industriales</w:t>
      </w:r>
      <w:r w:rsidRPr="00EC18B0">
        <w:rPr>
          <w:sz w:val="18"/>
          <w:szCs w:val="18"/>
          <w:lang w:val="es-ES_tradnl"/>
        </w:rPr>
        <w:t>.</w:t>
      </w:r>
    </w:p>
  </w:footnote>
  <w:footnote w:id="9">
    <w:p w:rsidR="00CB4A8E" w:rsidRPr="003B75DB" w:rsidRDefault="00CB4A8E" w:rsidP="00CB4A8E">
      <w:pPr>
        <w:pStyle w:val="FootnoteText"/>
        <w:rPr>
          <w:sz w:val="18"/>
          <w:szCs w:val="18"/>
          <w:lang w:val="es-ES_tradnl"/>
        </w:rPr>
      </w:pPr>
      <w:r w:rsidRPr="003B75DB">
        <w:rPr>
          <w:rStyle w:val="FootnoteReference"/>
          <w:sz w:val="18"/>
          <w:szCs w:val="18"/>
        </w:rPr>
        <w:footnoteRef/>
      </w:r>
      <w:r w:rsidRPr="003B75DB">
        <w:rPr>
          <w:sz w:val="18"/>
          <w:szCs w:val="18"/>
          <w:lang w:val="es-ES_tradnl"/>
        </w:rPr>
        <w:t xml:space="preserve"> </w:t>
      </w:r>
      <w:r>
        <w:rPr>
          <w:sz w:val="18"/>
          <w:szCs w:val="18"/>
          <w:lang w:val="es-ES_tradnl"/>
        </w:rPr>
        <w:t xml:space="preserve">El PMD se financia a través del </w:t>
      </w:r>
      <w:r>
        <w:rPr>
          <w:bCs/>
          <w:color w:val="000000"/>
          <w:sz w:val="18"/>
          <w:lang w:val="es-MX"/>
        </w:rPr>
        <w:t>Programa Nacional para el Reforzamiento del Sistema de Distribución Eléctrica</w:t>
      </w:r>
      <w:r w:rsidRPr="003B75DB">
        <w:rPr>
          <w:sz w:val="18"/>
          <w:szCs w:val="18"/>
          <w:lang w:val="es-ES_tradnl"/>
        </w:rPr>
        <w:t xml:space="preserve"> </w:t>
      </w:r>
      <w:r>
        <w:rPr>
          <w:sz w:val="18"/>
          <w:szCs w:val="18"/>
          <w:lang w:val="es-ES_tradnl"/>
        </w:rPr>
        <w:t>(</w:t>
      </w:r>
      <w:r w:rsidRPr="003B75DB">
        <w:rPr>
          <w:sz w:val="18"/>
          <w:szCs w:val="18"/>
          <w:lang w:val="es-ES_tradnl"/>
        </w:rPr>
        <w:t>PRSND</w:t>
      </w:r>
      <w:r>
        <w:rPr>
          <w:sz w:val="18"/>
          <w:szCs w:val="18"/>
          <w:lang w:val="es-ES_tradnl"/>
        </w:rPr>
        <w:t>), e</w:t>
      </w:r>
      <w:r w:rsidRPr="003B75DB">
        <w:rPr>
          <w:sz w:val="18"/>
          <w:szCs w:val="18"/>
          <w:lang w:val="es-ES_tradnl"/>
        </w:rPr>
        <w:t xml:space="preserve"> incluye tres etapas con un costo total aproximado de US$500.</w:t>
      </w:r>
    </w:p>
  </w:footnote>
  <w:footnote w:id="10">
    <w:p w:rsidR="00CB4A8E" w:rsidRPr="00400ABE" w:rsidRDefault="00CB4A8E" w:rsidP="00CB4A8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400ABE">
        <w:rPr>
          <w:lang w:val="es-ES_tradnl"/>
        </w:rPr>
        <w:t xml:space="preserve"> La metodología de sostenibilidad </w:t>
      </w:r>
      <w:r w:rsidRPr="00290646">
        <w:rPr>
          <w:lang w:val="es-ES_tradnl"/>
        </w:rPr>
        <w:t>está</w:t>
      </w:r>
      <w:r w:rsidRPr="00400ABE">
        <w:rPr>
          <w:lang w:val="es-ES_tradnl"/>
        </w:rPr>
        <w:t xml:space="preserve"> basada en un </w:t>
      </w:r>
      <w:r w:rsidRPr="00290646">
        <w:rPr>
          <w:lang w:val="es-ES_tradnl"/>
        </w:rPr>
        <w:t>análisis</w:t>
      </w:r>
      <w:r w:rsidRPr="00400ABE">
        <w:rPr>
          <w:lang w:val="es-ES_tradnl"/>
        </w:rPr>
        <w:t xml:space="preserve"> costo beneficio de los proyectos </w:t>
      </w:r>
      <w:r>
        <w:rPr>
          <w:lang w:val="es-ES_tradnl"/>
        </w:rPr>
        <w:t xml:space="preserve">a ser financiados donde las condiciones de entrada son: </w:t>
      </w:r>
      <w:r w:rsidRPr="00AB52E1">
        <w:rPr>
          <w:lang w:val="es-ES_tradnl"/>
        </w:rPr>
        <w:t>(i) VP facturación ≥ Costo O&amp;M; y (ii) TIRE ≥12%.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D0" w:rsidRDefault="008548D0" w:rsidP="00C8384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48D0" w:rsidRDefault="008548D0" w:rsidP="00C8384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D0" w:rsidRPr="00DD1433" w:rsidRDefault="008548D0" w:rsidP="00DD1433">
    <w:pPr>
      <w:jc w:val="right"/>
      <w:rPr>
        <w:sz w:val="20"/>
        <w:szCs w:val="20"/>
        <w:lang w:val="pt-BR"/>
      </w:rPr>
    </w:pPr>
    <w:r>
      <w:rPr>
        <w:sz w:val="20"/>
        <w:szCs w:val="20"/>
        <w:lang w:val="pt-BR"/>
      </w:rPr>
      <w:t xml:space="preserve">EC-1140 </w:t>
    </w:r>
    <w:r w:rsidRPr="00DD1433">
      <w:rPr>
        <w:sz w:val="20"/>
        <w:szCs w:val="20"/>
        <w:lang w:val="pt-BR"/>
      </w:rPr>
      <w:t xml:space="preserve">- Matriz de </w:t>
    </w:r>
    <w:r>
      <w:rPr>
        <w:sz w:val="20"/>
        <w:szCs w:val="20"/>
        <w:lang w:val="pt-BR"/>
      </w:rPr>
      <w:t>Resultados</w:t>
    </w:r>
  </w:p>
  <w:p w:rsidR="008548D0" w:rsidRPr="00DD1433" w:rsidRDefault="008548D0" w:rsidP="00DD1433">
    <w:pPr>
      <w:jc w:val="right"/>
      <w:rPr>
        <w:sz w:val="20"/>
        <w:szCs w:val="20"/>
        <w:lang w:val="pt-BR"/>
      </w:rPr>
    </w:pPr>
    <w:r w:rsidRPr="00DD1433">
      <w:rPr>
        <w:sz w:val="20"/>
        <w:szCs w:val="20"/>
        <w:lang w:val="pt-BR"/>
      </w:rPr>
      <w:t xml:space="preserve">Página </w:t>
    </w:r>
    <w:r w:rsidRPr="00DD1433">
      <w:rPr>
        <w:sz w:val="20"/>
        <w:szCs w:val="20"/>
        <w:lang w:val="pt-BR"/>
      </w:rPr>
      <w:fldChar w:fldCharType="begin"/>
    </w:r>
    <w:r w:rsidRPr="00DD1433">
      <w:rPr>
        <w:sz w:val="20"/>
        <w:szCs w:val="20"/>
        <w:lang w:val="pt-BR"/>
      </w:rPr>
      <w:instrText xml:space="preserve"> PAGE   \* MERGEFORMAT </w:instrText>
    </w:r>
    <w:r w:rsidRPr="00DD1433">
      <w:rPr>
        <w:sz w:val="20"/>
        <w:szCs w:val="20"/>
        <w:lang w:val="pt-BR"/>
      </w:rPr>
      <w:fldChar w:fldCharType="separate"/>
    </w:r>
    <w:r w:rsidR="00E40255">
      <w:rPr>
        <w:noProof/>
        <w:sz w:val="20"/>
        <w:szCs w:val="20"/>
        <w:lang w:val="pt-BR"/>
      </w:rPr>
      <w:t>2</w:t>
    </w:r>
    <w:r w:rsidRPr="00DD1433">
      <w:rPr>
        <w:sz w:val="20"/>
        <w:szCs w:val="20"/>
        <w:lang w:val="pt-BR"/>
      </w:rPr>
      <w:fldChar w:fldCharType="end"/>
    </w:r>
    <w:r w:rsidRPr="00DD1433">
      <w:rPr>
        <w:sz w:val="20"/>
        <w:szCs w:val="20"/>
        <w:lang w:val="pt-BR"/>
      </w:rPr>
      <w:t xml:space="preserve"> de </w:t>
    </w:r>
    <w:r>
      <w:fldChar w:fldCharType="begin"/>
    </w:r>
    <w:r w:rsidRPr="00873119">
      <w:rPr>
        <w:lang w:val="pt-BR"/>
      </w:rPr>
      <w:instrText xml:space="preserve"> NUMPAGES   \* MERGEFORMAT </w:instrText>
    </w:r>
    <w:r>
      <w:fldChar w:fldCharType="separate"/>
    </w:r>
    <w:r w:rsidR="00E40255" w:rsidRPr="00E40255">
      <w:rPr>
        <w:noProof/>
        <w:sz w:val="20"/>
        <w:szCs w:val="20"/>
        <w:lang w:val="pt-BR"/>
      </w:rPr>
      <w:t>4</w:t>
    </w:r>
    <w:r>
      <w:rPr>
        <w:noProof/>
        <w:sz w:val="20"/>
        <w:szCs w:val="20"/>
        <w:lang w:val="pt-BR"/>
      </w:rPr>
      <w:fldChar w:fldCharType="end"/>
    </w:r>
  </w:p>
  <w:p w:rsidR="008548D0" w:rsidRPr="00702778" w:rsidRDefault="008548D0" w:rsidP="0017200D">
    <w:pPr>
      <w:pStyle w:val="Header"/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2B77"/>
    <w:multiLevelType w:val="hybridMultilevel"/>
    <w:tmpl w:val="4FBA13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4510C1"/>
    <w:multiLevelType w:val="hybridMultilevel"/>
    <w:tmpl w:val="F1FE5E6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E1FE9"/>
    <w:multiLevelType w:val="hybridMultilevel"/>
    <w:tmpl w:val="19E25654"/>
    <w:lvl w:ilvl="0" w:tplc="13366E2C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E92183"/>
    <w:multiLevelType w:val="hybridMultilevel"/>
    <w:tmpl w:val="E5A69F68"/>
    <w:lvl w:ilvl="0" w:tplc="BD7A98E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6143CA"/>
    <w:multiLevelType w:val="hybridMultilevel"/>
    <w:tmpl w:val="49000742"/>
    <w:lvl w:ilvl="0" w:tplc="A0F43EE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lkferg Vanegas">
    <w15:presenceInfo w15:providerId="Windows Live" w15:userId="5c104eac67cb1f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E9"/>
    <w:rsid w:val="00000872"/>
    <w:rsid w:val="00001178"/>
    <w:rsid w:val="00004482"/>
    <w:rsid w:val="000072AB"/>
    <w:rsid w:val="000116F9"/>
    <w:rsid w:val="000145B7"/>
    <w:rsid w:val="00014763"/>
    <w:rsid w:val="00026C92"/>
    <w:rsid w:val="0003462E"/>
    <w:rsid w:val="00044290"/>
    <w:rsid w:val="00046FE2"/>
    <w:rsid w:val="000514DC"/>
    <w:rsid w:val="00061E63"/>
    <w:rsid w:val="00064E84"/>
    <w:rsid w:val="0006691E"/>
    <w:rsid w:val="000737B0"/>
    <w:rsid w:val="00080FCB"/>
    <w:rsid w:val="000908FE"/>
    <w:rsid w:val="000A67D0"/>
    <w:rsid w:val="000A78B6"/>
    <w:rsid w:val="000B1AC4"/>
    <w:rsid w:val="000C5F9F"/>
    <w:rsid w:val="000C6BD0"/>
    <w:rsid w:val="000D247B"/>
    <w:rsid w:val="000E001A"/>
    <w:rsid w:val="000E11D2"/>
    <w:rsid w:val="000E5F65"/>
    <w:rsid w:val="000E799A"/>
    <w:rsid w:val="000F0DE8"/>
    <w:rsid w:val="00100803"/>
    <w:rsid w:val="00102AAC"/>
    <w:rsid w:val="00113544"/>
    <w:rsid w:val="00137445"/>
    <w:rsid w:val="001376F3"/>
    <w:rsid w:val="00140C87"/>
    <w:rsid w:val="00144688"/>
    <w:rsid w:val="00151670"/>
    <w:rsid w:val="0015208E"/>
    <w:rsid w:val="0015427D"/>
    <w:rsid w:val="0016410B"/>
    <w:rsid w:val="00164D32"/>
    <w:rsid w:val="0017200D"/>
    <w:rsid w:val="00174D96"/>
    <w:rsid w:val="00177455"/>
    <w:rsid w:val="00182B6C"/>
    <w:rsid w:val="00183753"/>
    <w:rsid w:val="00183E01"/>
    <w:rsid w:val="001924C6"/>
    <w:rsid w:val="00197595"/>
    <w:rsid w:val="0019795E"/>
    <w:rsid w:val="001A1307"/>
    <w:rsid w:val="001A28D5"/>
    <w:rsid w:val="001A5247"/>
    <w:rsid w:val="001A530C"/>
    <w:rsid w:val="001A5479"/>
    <w:rsid w:val="001B356D"/>
    <w:rsid w:val="001B415B"/>
    <w:rsid w:val="001C0273"/>
    <w:rsid w:val="001C395E"/>
    <w:rsid w:val="001D0625"/>
    <w:rsid w:val="001D0F2D"/>
    <w:rsid w:val="001D6111"/>
    <w:rsid w:val="001E5EAD"/>
    <w:rsid w:val="001F05B2"/>
    <w:rsid w:val="001F50D8"/>
    <w:rsid w:val="001F774C"/>
    <w:rsid w:val="00202895"/>
    <w:rsid w:val="00202944"/>
    <w:rsid w:val="002041D4"/>
    <w:rsid w:val="0021108D"/>
    <w:rsid w:val="002122CB"/>
    <w:rsid w:val="00216D43"/>
    <w:rsid w:val="00231B24"/>
    <w:rsid w:val="00233328"/>
    <w:rsid w:val="00233AB8"/>
    <w:rsid w:val="00240E2A"/>
    <w:rsid w:val="00243C9B"/>
    <w:rsid w:val="00253CF2"/>
    <w:rsid w:val="0025562E"/>
    <w:rsid w:val="00270244"/>
    <w:rsid w:val="0027276E"/>
    <w:rsid w:val="00273DD8"/>
    <w:rsid w:val="0027518D"/>
    <w:rsid w:val="00275207"/>
    <w:rsid w:val="0028055C"/>
    <w:rsid w:val="00285093"/>
    <w:rsid w:val="0029388C"/>
    <w:rsid w:val="002A006E"/>
    <w:rsid w:val="002A029C"/>
    <w:rsid w:val="002A1C2A"/>
    <w:rsid w:val="002A1CCF"/>
    <w:rsid w:val="002B1ED4"/>
    <w:rsid w:val="002B599E"/>
    <w:rsid w:val="002B6C8A"/>
    <w:rsid w:val="002C0CB3"/>
    <w:rsid w:val="002C22FB"/>
    <w:rsid w:val="002C440B"/>
    <w:rsid w:val="002C5B7F"/>
    <w:rsid w:val="002C740B"/>
    <w:rsid w:val="002D0C8C"/>
    <w:rsid w:val="002D2B31"/>
    <w:rsid w:val="002D3C3C"/>
    <w:rsid w:val="002D5AB2"/>
    <w:rsid w:val="002D6814"/>
    <w:rsid w:val="002E3C0B"/>
    <w:rsid w:val="002E54DE"/>
    <w:rsid w:val="002E5E47"/>
    <w:rsid w:val="002E6410"/>
    <w:rsid w:val="002E6DB8"/>
    <w:rsid w:val="002E7737"/>
    <w:rsid w:val="002F63EE"/>
    <w:rsid w:val="002F7376"/>
    <w:rsid w:val="00302B34"/>
    <w:rsid w:val="003064FC"/>
    <w:rsid w:val="003164C2"/>
    <w:rsid w:val="00323A00"/>
    <w:rsid w:val="00326147"/>
    <w:rsid w:val="00326588"/>
    <w:rsid w:val="003321B7"/>
    <w:rsid w:val="0034218C"/>
    <w:rsid w:val="00344243"/>
    <w:rsid w:val="003624E0"/>
    <w:rsid w:val="00375039"/>
    <w:rsid w:val="003929E5"/>
    <w:rsid w:val="003968E6"/>
    <w:rsid w:val="003A0140"/>
    <w:rsid w:val="003A2B0A"/>
    <w:rsid w:val="003C3C7C"/>
    <w:rsid w:val="003C71D8"/>
    <w:rsid w:val="003D0F36"/>
    <w:rsid w:val="003D2C5E"/>
    <w:rsid w:val="003D6BBB"/>
    <w:rsid w:val="003E01E5"/>
    <w:rsid w:val="003E4D28"/>
    <w:rsid w:val="003F35B4"/>
    <w:rsid w:val="003F64EB"/>
    <w:rsid w:val="004115F1"/>
    <w:rsid w:val="004122FF"/>
    <w:rsid w:val="00417497"/>
    <w:rsid w:val="004216C4"/>
    <w:rsid w:val="00422C99"/>
    <w:rsid w:val="00436C2D"/>
    <w:rsid w:val="00440ABE"/>
    <w:rsid w:val="0044116B"/>
    <w:rsid w:val="00462C53"/>
    <w:rsid w:val="00470F11"/>
    <w:rsid w:val="00471841"/>
    <w:rsid w:val="0047405A"/>
    <w:rsid w:val="004777DF"/>
    <w:rsid w:val="004902C6"/>
    <w:rsid w:val="004A6309"/>
    <w:rsid w:val="004B5362"/>
    <w:rsid w:val="004C52F6"/>
    <w:rsid w:val="004D11C4"/>
    <w:rsid w:val="004D1D5F"/>
    <w:rsid w:val="004D2D80"/>
    <w:rsid w:val="004E2DAC"/>
    <w:rsid w:val="004E34AE"/>
    <w:rsid w:val="004E6504"/>
    <w:rsid w:val="004F0AF1"/>
    <w:rsid w:val="004F1FEB"/>
    <w:rsid w:val="004F47DF"/>
    <w:rsid w:val="004F49AC"/>
    <w:rsid w:val="004F5AE0"/>
    <w:rsid w:val="0050195C"/>
    <w:rsid w:val="005211B2"/>
    <w:rsid w:val="00533D4F"/>
    <w:rsid w:val="005404E2"/>
    <w:rsid w:val="00551CA1"/>
    <w:rsid w:val="0055547E"/>
    <w:rsid w:val="00555EDE"/>
    <w:rsid w:val="00557769"/>
    <w:rsid w:val="00562171"/>
    <w:rsid w:val="005623A1"/>
    <w:rsid w:val="00562809"/>
    <w:rsid w:val="00564794"/>
    <w:rsid w:val="005718BE"/>
    <w:rsid w:val="005749E9"/>
    <w:rsid w:val="00576EFE"/>
    <w:rsid w:val="0058295F"/>
    <w:rsid w:val="00585733"/>
    <w:rsid w:val="00590DB9"/>
    <w:rsid w:val="00590DDE"/>
    <w:rsid w:val="00593557"/>
    <w:rsid w:val="005B15F7"/>
    <w:rsid w:val="005B471E"/>
    <w:rsid w:val="005C0963"/>
    <w:rsid w:val="005D482E"/>
    <w:rsid w:val="005E0DF8"/>
    <w:rsid w:val="005E73D5"/>
    <w:rsid w:val="005E7FA7"/>
    <w:rsid w:val="005F4CEF"/>
    <w:rsid w:val="005F54E1"/>
    <w:rsid w:val="006000EC"/>
    <w:rsid w:val="00604164"/>
    <w:rsid w:val="006065DA"/>
    <w:rsid w:val="00606993"/>
    <w:rsid w:val="006143BD"/>
    <w:rsid w:val="00614771"/>
    <w:rsid w:val="00623468"/>
    <w:rsid w:val="0063426D"/>
    <w:rsid w:val="00635195"/>
    <w:rsid w:val="00641BBC"/>
    <w:rsid w:val="0064411A"/>
    <w:rsid w:val="006455C2"/>
    <w:rsid w:val="00655D8F"/>
    <w:rsid w:val="00663779"/>
    <w:rsid w:val="0067137B"/>
    <w:rsid w:val="00671925"/>
    <w:rsid w:val="0067228F"/>
    <w:rsid w:val="006754CE"/>
    <w:rsid w:val="006769D4"/>
    <w:rsid w:val="00690299"/>
    <w:rsid w:val="00696A47"/>
    <w:rsid w:val="006A7AD8"/>
    <w:rsid w:val="006B07AC"/>
    <w:rsid w:val="006B09A7"/>
    <w:rsid w:val="006B3B12"/>
    <w:rsid w:val="006B46A4"/>
    <w:rsid w:val="006B48FF"/>
    <w:rsid w:val="006B7F0A"/>
    <w:rsid w:val="006C134C"/>
    <w:rsid w:val="006C1F39"/>
    <w:rsid w:val="006C6F8F"/>
    <w:rsid w:val="006D183E"/>
    <w:rsid w:val="006D6320"/>
    <w:rsid w:val="006D73D7"/>
    <w:rsid w:val="006D761B"/>
    <w:rsid w:val="006E1CB4"/>
    <w:rsid w:val="006E6A45"/>
    <w:rsid w:val="006F0D52"/>
    <w:rsid w:val="006F275C"/>
    <w:rsid w:val="006F2CF7"/>
    <w:rsid w:val="006F55DA"/>
    <w:rsid w:val="00700F9E"/>
    <w:rsid w:val="00702778"/>
    <w:rsid w:val="00706088"/>
    <w:rsid w:val="0071492C"/>
    <w:rsid w:val="00720BC9"/>
    <w:rsid w:val="00725630"/>
    <w:rsid w:val="007313DA"/>
    <w:rsid w:val="007324A3"/>
    <w:rsid w:val="007349BA"/>
    <w:rsid w:val="0074099D"/>
    <w:rsid w:val="00741017"/>
    <w:rsid w:val="007421FD"/>
    <w:rsid w:val="0074297F"/>
    <w:rsid w:val="0074604B"/>
    <w:rsid w:val="0075129B"/>
    <w:rsid w:val="00751331"/>
    <w:rsid w:val="007566EF"/>
    <w:rsid w:val="00762E92"/>
    <w:rsid w:val="0076360E"/>
    <w:rsid w:val="0076370A"/>
    <w:rsid w:val="00764218"/>
    <w:rsid w:val="007649ED"/>
    <w:rsid w:val="00764F4E"/>
    <w:rsid w:val="00774427"/>
    <w:rsid w:val="00774586"/>
    <w:rsid w:val="00780FD8"/>
    <w:rsid w:val="007836CD"/>
    <w:rsid w:val="0079492B"/>
    <w:rsid w:val="0079691F"/>
    <w:rsid w:val="007977C1"/>
    <w:rsid w:val="007A2F74"/>
    <w:rsid w:val="007A3020"/>
    <w:rsid w:val="007B54AB"/>
    <w:rsid w:val="007B5BAF"/>
    <w:rsid w:val="007C07A4"/>
    <w:rsid w:val="007C0ACB"/>
    <w:rsid w:val="007C1CFA"/>
    <w:rsid w:val="007C2D5B"/>
    <w:rsid w:val="007C4405"/>
    <w:rsid w:val="007E0583"/>
    <w:rsid w:val="007E138D"/>
    <w:rsid w:val="007E1B00"/>
    <w:rsid w:val="007E45C7"/>
    <w:rsid w:val="007E5065"/>
    <w:rsid w:val="007F579E"/>
    <w:rsid w:val="00801527"/>
    <w:rsid w:val="00813BB2"/>
    <w:rsid w:val="00817F6A"/>
    <w:rsid w:val="00826484"/>
    <w:rsid w:val="00831303"/>
    <w:rsid w:val="00835796"/>
    <w:rsid w:val="008431CB"/>
    <w:rsid w:val="008548D0"/>
    <w:rsid w:val="0085673D"/>
    <w:rsid w:val="00860EA6"/>
    <w:rsid w:val="00861D39"/>
    <w:rsid w:val="00864A39"/>
    <w:rsid w:val="00866236"/>
    <w:rsid w:val="00873119"/>
    <w:rsid w:val="00875F7D"/>
    <w:rsid w:val="00881EB6"/>
    <w:rsid w:val="00884312"/>
    <w:rsid w:val="008843A5"/>
    <w:rsid w:val="00886409"/>
    <w:rsid w:val="00893681"/>
    <w:rsid w:val="0089417B"/>
    <w:rsid w:val="008A289E"/>
    <w:rsid w:val="008A61F3"/>
    <w:rsid w:val="008A74A9"/>
    <w:rsid w:val="008B09F2"/>
    <w:rsid w:val="008B1D20"/>
    <w:rsid w:val="008C4CC6"/>
    <w:rsid w:val="008C6F1E"/>
    <w:rsid w:val="008C72FF"/>
    <w:rsid w:val="008D046B"/>
    <w:rsid w:val="008D0BE7"/>
    <w:rsid w:val="008D2F60"/>
    <w:rsid w:val="008F7284"/>
    <w:rsid w:val="00910A9E"/>
    <w:rsid w:val="0091520A"/>
    <w:rsid w:val="009158D8"/>
    <w:rsid w:val="00917ED5"/>
    <w:rsid w:val="00920691"/>
    <w:rsid w:val="00920D45"/>
    <w:rsid w:val="00925212"/>
    <w:rsid w:val="009265DA"/>
    <w:rsid w:val="00930646"/>
    <w:rsid w:val="0093173F"/>
    <w:rsid w:val="00932A82"/>
    <w:rsid w:val="00944BBE"/>
    <w:rsid w:val="009473D5"/>
    <w:rsid w:val="009555A5"/>
    <w:rsid w:val="009604F5"/>
    <w:rsid w:val="009731D6"/>
    <w:rsid w:val="00975436"/>
    <w:rsid w:val="00975F8B"/>
    <w:rsid w:val="00981945"/>
    <w:rsid w:val="0098434C"/>
    <w:rsid w:val="00990758"/>
    <w:rsid w:val="00990AA3"/>
    <w:rsid w:val="009929C8"/>
    <w:rsid w:val="009A17B1"/>
    <w:rsid w:val="009A3419"/>
    <w:rsid w:val="009A42DA"/>
    <w:rsid w:val="009A6B3A"/>
    <w:rsid w:val="009B04D3"/>
    <w:rsid w:val="009C1D08"/>
    <w:rsid w:val="009C2ACA"/>
    <w:rsid w:val="009C7DE0"/>
    <w:rsid w:val="009D19E4"/>
    <w:rsid w:val="009D2C16"/>
    <w:rsid w:val="009D4610"/>
    <w:rsid w:val="009D6E56"/>
    <w:rsid w:val="009E12F2"/>
    <w:rsid w:val="009E1FA3"/>
    <w:rsid w:val="009F0771"/>
    <w:rsid w:val="009F222A"/>
    <w:rsid w:val="009F7E60"/>
    <w:rsid w:val="00A055A9"/>
    <w:rsid w:val="00A11D0B"/>
    <w:rsid w:val="00A11F57"/>
    <w:rsid w:val="00A15F7D"/>
    <w:rsid w:val="00A204F6"/>
    <w:rsid w:val="00A235C8"/>
    <w:rsid w:val="00A243F9"/>
    <w:rsid w:val="00A26877"/>
    <w:rsid w:val="00A2794E"/>
    <w:rsid w:val="00A329C5"/>
    <w:rsid w:val="00A32C73"/>
    <w:rsid w:val="00A33E88"/>
    <w:rsid w:val="00A33F04"/>
    <w:rsid w:val="00A37F76"/>
    <w:rsid w:val="00A5429F"/>
    <w:rsid w:val="00A622A9"/>
    <w:rsid w:val="00A6706E"/>
    <w:rsid w:val="00A72C1F"/>
    <w:rsid w:val="00A74988"/>
    <w:rsid w:val="00A85E5F"/>
    <w:rsid w:val="00A86A38"/>
    <w:rsid w:val="00A87D87"/>
    <w:rsid w:val="00A94440"/>
    <w:rsid w:val="00A95DA1"/>
    <w:rsid w:val="00A96D4B"/>
    <w:rsid w:val="00AA06CD"/>
    <w:rsid w:val="00AB52D5"/>
    <w:rsid w:val="00AB66BD"/>
    <w:rsid w:val="00AB7C30"/>
    <w:rsid w:val="00AC38D7"/>
    <w:rsid w:val="00AC4EEE"/>
    <w:rsid w:val="00AC6137"/>
    <w:rsid w:val="00AC7B8B"/>
    <w:rsid w:val="00AD2192"/>
    <w:rsid w:val="00AD47A7"/>
    <w:rsid w:val="00AE0C34"/>
    <w:rsid w:val="00AE2E9C"/>
    <w:rsid w:val="00AE4AC1"/>
    <w:rsid w:val="00AF10E4"/>
    <w:rsid w:val="00AF3B77"/>
    <w:rsid w:val="00AF7C80"/>
    <w:rsid w:val="00B01DC5"/>
    <w:rsid w:val="00B0231E"/>
    <w:rsid w:val="00B04D5D"/>
    <w:rsid w:val="00B101BD"/>
    <w:rsid w:val="00B13796"/>
    <w:rsid w:val="00B13B08"/>
    <w:rsid w:val="00B25FB2"/>
    <w:rsid w:val="00B2690D"/>
    <w:rsid w:val="00B27ED9"/>
    <w:rsid w:val="00B32997"/>
    <w:rsid w:val="00B41E1E"/>
    <w:rsid w:val="00B506B7"/>
    <w:rsid w:val="00B51EBA"/>
    <w:rsid w:val="00B54931"/>
    <w:rsid w:val="00B56004"/>
    <w:rsid w:val="00B57D99"/>
    <w:rsid w:val="00B621C7"/>
    <w:rsid w:val="00B642F2"/>
    <w:rsid w:val="00B643B8"/>
    <w:rsid w:val="00B725FD"/>
    <w:rsid w:val="00B7380C"/>
    <w:rsid w:val="00B73CA6"/>
    <w:rsid w:val="00B74BEE"/>
    <w:rsid w:val="00B82A41"/>
    <w:rsid w:val="00B82B50"/>
    <w:rsid w:val="00B87D8B"/>
    <w:rsid w:val="00B95614"/>
    <w:rsid w:val="00B95B53"/>
    <w:rsid w:val="00B95C37"/>
    <w:rsid w:val="00B97487"/>
    <w:rsid w:val="00BA111A"/>
    <w:rsid w:val="00BA2D83"/>
    <w:rsid w:val="00BB2892"/>
    <w:rsid w:val="00BB2EA4"/>
    <w:rsid w:val="00BB481D"/>
    <w:rsid w:val="00BB485A"/>
    <w:rsid w:val="00BB4DEA"/>
    <w:rsid w:val="00BB6E2D"/>
    <w:rsid w:val="00BC3A70"/>
    <w:rsid w:val="00BD1CED"/>
    <w:rsid w:val="00BE0792"/>
    <w:rsid w:val="00BE102B"/>
    <w:rsid w:val="00BE5F6F"/>
    <w:rsid w:val="00BE6D17"/>
    <w:rsid w:val="00BF023E"/>
    <w:rsid w:val="00BF182A"/>
    <w:rsid w:val="00BF30A2"/>
    <w:rsid w:val="00C0362C"/>
    <w:rsid w:val="00C120ED"/>
    <w:rsid w:val="00C14864"/>
    <w:rsid w:val="00C15039"/>
    <w:rsid w:val="00C1588B"/>
    <w:rsid w:val="00C21AC0"/>
    <w:rsid w:val="00C2359B"/>
    <w:rsid w:val="00C2560D"/>
    <w:rsid w:val="00C34E76"/>
    <w:rsid w:val="00C35BA0"/>
    <w:rsid w:val="00C41298"/>
    <w:rsid w:val="00C4386B"/>
    <w:rsid w:val="00C44497"/>
    <w:rsid w:val="00C51039"/>
    <w:rsid w:val="00C5497B"/>
    <w:rsid w:val="00C54D53"/>
    <w:rsid w:val="00C55502"/>
    <w:rsid w:val="00C602AA"/>
    <w:rsid w:val="00C61696"/>
    <w:rsid w:val="00C64EB1"/>
    <w:rsid w:val="00C6774A"/>
    <w:rsid w:val="00C7051D"/>
    <w:rsid w:val="00C725B9"/>
    <w:rsid w:val="00C737A0"/>
    <w:rsid w:val="00C775C0"/>
    <w:rsid w:val="00C8006B"/>
    <w:rsid w:val="00C80BF5"/>
    <w:rsid w:val="00C8230D"/>
    <w:rsid w:val="00C83697"/>
    <w:rsid w:val="00C83843"/>
    <w:rsid w:val="00C83F7A"/>
    <w:rsid w:val="00C87494"/>
    <w:rsid w:val="00C949D9"/>
    <w:rsid w:val="00CB144D"/>
    <w:rsid w:val="00CB16AC"/>
    <w:rsid w:val="00CB44C8"/>
    <w:rsid w:val="00CB451A"/>
    <w:rsid w:val="00CB4A8E"/>
    <w:rsid w:val="00CB7E8C"/>
    <w:rsid w:val="00CC10B9"/>
    <w:rsid w:val="00CC3048"/>
    <w:rsid w:val="00CC42B1"/>
    <w:rsid w:val="00CC4BE4"/>
    <w:rsid w:val="00CC545A"/>
    <w:rsid w:val="00CC6E4A"/>
    <w:rsid w:val="00CC7A11"/>
    <w:rsid w:val="00CD0BE2"/>
    <w:rsid w:val="00CD21A5"/>
    <w:rsid w:val="00CE5A18"/>
    <w:rsid w:val="00CE5A84"/>
    <w:rsid w:val="00CF087F"/>
    <w:rsid w:val="00CF0C3D"/>
    <w:rsid w:val="00CF19BB"/>
    <w:rsid w:val="00CF2FB2"/>
    <w:rsid w:val="00CF4837"/>
    <w:rsid w:val="00CF628D"/>
    <w:rsid w:val="00CF7969"/>
    <w:rsid w:val="00D0178E"/>
    <w:rsid w:val="00D032D0"/>
    <w:rsid w:val="00D03F6B"/>
    <w:rsid w:val="00D044FB"/>
    <w:rsid w:val="00D05134"/>
    <w:rsid w:val="00D11532"/>
    <w:rsid w:val="00D12CA2"/>
    <w:rsid w:val="00D207FC"/>
    <w:rsid w:val="00D22FFD"/>
    <w:rsid w:val="00D27905"/>
    <w:rsid w:val="00D30EB9"/>
    <w:rsid w:val="00D31944"/>
    <w:rsid w:val="00D32DA7"/>
    <w:rsid w:val="00D337AA"/>
    <w:rsid w:val="00D338B9"/>
    <w:rsid w:val="00D35D43"/>
    <w:rsid w:val="00D37B61"/>
    <w:rsid w:val="00D41152"/>
    <w:rsid w:val="00D43A07"/>
    <w:rsid w:val="00D446EA"/>
    <w:rsid w:val="00D44F3E"/>
    <w:rsid w:val="00D46795"/>
    <w:rsid w:val="00D468BB"/>
    <w:rsid w:val="00D55D30"/>
    <w:rsid w:val="00D55E96"/>
    <w:rsid w:val="00D564DB"/>
    <w:rsid w:val="00D576A4"/>
    <w:rsid w:val="00D7378A"/>
    <w:rsid w:val="00D74720"/>
    <w:rsid w:val="00D74A13"/>
    <w:rsid w:val="00D776A9"/>
    <w:rsid w:val="00D81729"/>
    <w:rsid w:val="00D837E8"/>
    <w:rsid w:val="00D83889"/>
    <w:rsid w:val="00D90456"/>
    <w:rsid w:val="00D938E7"/>
    <w:rsid w:val="00D957FB"/>
    <w:rsid w:val="00DA1F83"/>
    <w:rsid w:val="00DA2D62"/>
    <w:rsid w:val="00DA2F68"/>
    <w:rsid w:val="00DA7901"/>
    <w:rsid w:val="00DC5623"/>
    <w:rsid w:val="00DD1433"/>
    <w:rsid w:val="00DD7C66"/>
    <w:rsid w:val="00DD7F91"/>
    <w:rsid w:val="00DE23E4"/>
    <w:rsid w:val="00DE4769"/>
    <w:rsid w:val="00DE5A12"/>
    <w:rsid w:val="00DE604D"/>
    <w:rsid w:val="00DE7D2E"/>
    <w:rsid w:val="00DF3520"/>
    <w:rsid w:val="00DF5707"/>
    <w:rsid w:val="00DF5A11"/>
    <w:rsid w:val="00E01F37"/>
    <w:rsid w:val="00E2066E"/>
    <w:rsid w:val="00E23E10"/>
    <w:rsid w:val="00E25BB0"/>
    <w:rsid w:val="00E40255"/>
    <w:rsid w:val="00E43DC5"/>
    <w:rsid w:val="00E510E1"/>
    <w:rsid w:val="00E60886"/>
    <w:rsid w:val="00E6186A"/>
    <w:rsid w:val="00E62D29"/>
    <w:rsid w:val="00E75671"/>
    <w:rsid w:val="00E82474"/>
    <w:rsid w:val="00E84AE4"/>
    <w:rsid w:val="00E85D2F"/>
    <w:rsid w:val="00E93691"/>
    <w:rsid w:val="00E9519E"/>
    <w:rsid w:val="00E95DF5"/>
    <w:rsid w:val="00E96C90"/>
    <w:rsid w:val="00EB1ADF"/>
    <w:rsid w:val="00EC16DE"/>
    <w:rsid w:val="00EC51EC"/>
    <w:rsid w:val="00ED20CA"/>
    <w:rsid w:val="00ED385F"/>
    <w:rsid w:val="00ED6628"/>
    <w:rsid w:val="00EE21B1"/>
    <w:rsid w:val="00EE7BE2"/>
    <w:rsid w:val="00EF3073"/>
    <w:rsid w:val="00F05979"/>
    <w:rsid w:val="00F07353"/>
    <w:rsid w:val="00F07B3A"/>
    <w:rsid w:val="00F10CC4"/>
    <w:rsid w:val="00F2173D"/>
    <w:rsid w:val="00F2206A"/>
    <w:rsid w:val="00F222B7"/>
    <w:rsid w:val="00F226B1"/>
    <w:rsid w:val="00F243CB"/>
    <w:rsid w:val="00F24B99"/>
    <w:rsid w:val="00F25CB7"/>
    <w:rsid w:val="00F2780C"/>
    <w:rsid w:val="00F30175"/>
    <w:rsid w:val="00F3193B"/>
    <w:rsid w:val="00F3584A"/>
    <w:rsid w:val="00F40F73"/>
    <w:rsid w:val="00F41FC3"/>
    <w:rsid w:val="00F45F21"/>
    <w:rsid w:val="00F6251C"/>
    <w:rsid w:val="00F660E8"/>
    <w:rsid w:val="00F66972"/>
    <w:rsid w:val="00F710E7"/>
    <w:rsid w:val="00F73606"/>
    <w:rsid w:val="00F73E6C"/>
    <w:rsid w:val="00F77B62"/>
    <w:rsid w:val="00F8531A"/>
    <w:rsid w:val="00F9274B"/>
    <w:rsid w:val="00FA1845"/>
    <w:rsid w:val="00FA7660"/>
    <w:rsid w:val="00FB6A23"/>
    <w:rsid w:val="00FC38B0"/>
    <w:rsid w:val="00FC7C32"/>
    <w:rsid w:val="00FD001B"/>
    <w:rsid w:val="00FD5E4A"/>
    <w:rsid w:val="00FD7DE1"/>
    <w:rsid w:val="00FE136C"/>
    <w:rsid w:val="00FE170C"/>
    <w:rsid w:val="00FE7325"/>
    <w:rsid w:val="00FF7B56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E9"/>
    <w:rPr>
      <w:sz w:val="24"/>
      <w:szCs w:val="24"/>
    </w:rPr>
  </w:style>
  <w:style w:type="paragraph" w:styleId="Heading5">
    <w:name w:val="heading 5"/>
    <w:basedOn w:val="Normal"/>
    <w:next w:val="Normal"/>
    <w:qFormat/>
    <w:rsid w:val="00D12CA2"/>
    <w:pPr>
      <w:keepNext/>
      <w:autoSpaceDE w:val="0"/>
      <w:autoSpaceDN w:val="0"/>
      <w:adjustRightInd w:val="0"/>
      <w:outlineLvl w:val="4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ing6">
    <w:name w:val="heading 6"/>
    <w:basedOn w:val="Normal"/>
    <w:next w:val="Normal"/>
    <w:qFormat/>
    <w:rsid w:val="00D12CA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,FOOTNOTES,single space,ALTS FOOTNOTE,Footnote Text Char1,Footnote Text Char Char,Note de bas de page Car,footnote text,Fodnotetekst Tegn,Fodnotetekst Tegn Char,footnote text Char Char Char,footnote,ADB,f,ft"/>
    <w:basedOn w:val="Normal"/>
    <w:link w:val="FootnoteTextChar"/>
    <w:uiPriority w:val="99"/>
    <w:rsid w:val="005749E9"/>
    <w:rPr>
      <w:sz w:val="20"/>
      <w:szCs w:val="20"/>
    </w:rPr>
  </w:style>
  <w:style w:type="character" w:styleId="FootnoteReference">
    <w:name w:val="footnote reference"/>
    <w:aliases w:val="ftref,16 Point,Superscript 6 Point"/>
    <w:basedOn w:val="DefaultParagraphFont"/>
    <w:uiPriority w:val="99"/>
    <w:rsid w:val="005749E9"/>
    <w:rPr>
      <w:vertAlign w:val="superscript"/>
    </w:rPr>
  </w:style>
  <w:style w:type="paragraph" w:styleId="BalloonText">
    <w:name w:val="Balloon Text"/>
    <w:basedOn w:val="Normal"/>
    <w:semiHidden/>
    <w:rsid w:val="00D12CA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D12CA2"/>
    <w:pPr>
      <w:autoSpaceDE w:val="0"/>
      <w:autoSpaceDN w:val="0"/>
      <w:adjustRightInd w:val="0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er">
    <w:name w:val="header"/>
    <w:basedOn w:val="Normal"/>
    <w:rsid w:val="00C838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83843"/>
  </w:style>
  <w:style w:type="paragraph" w:styleId="Footer">
    <w:name w:val="footer"/>
    <w:basedOn w:val="Normal"/>
    <w:rsid w:val="00C83843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2C44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C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4CC6"/>
  </w:style>
  <w:style w:type="paragraph" w:styleId="CommentSubject">
    <w:name w:val="annotation subject"/>
    <w:basedOn w:val="CommentText"/>
    <w:next w:val="CommentText"/>
    <w:link w:val="CommentSubjectChar"/>
    <w:rsid w:val="008C4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4CC6"/>
    <w:rPr>
      <w:b/>
      <w:bCs/>
    </w:rPr>
  </w:style>
  <w:style w:type="character" w:customStyle="1" w:styleId="FootnoteTextChar">
    <w:name w:val="Footnote Text Char"/>
    <w:aliases w:val="fn Char,FOOTNOTES Char,single space Char,ALTS FOOTNOTE Char,Footnote Text Char1 Char,Footnote Text Char Char Char,Note de bas de page Car Char,footnote text Char,Fodnotetekst Tegn Char1,Fodnotetekst Tegn Char Char,footnote Char,f Char"/>
    <w:basedOn w:val="DefaultParagraphFont"/>
    <w:link w:val="FootnoteText"/>
    <w:uiPriority w:val="99"/>
    <w:rsid w:val="006D6320"/>
  </w:style>
  <w:style w:type="paragraph" w:styleId="ListParagraph">
    <w:name w:val="List Paragraph"/>
    <w:basedOn w:val="Normal"/>
    <w:uiPriority w:val="34"/>
    <w:qFormat/>
    <w:rsid w:val="00C83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E9"/>
    <w:rPr>
      <w:sz w:val="24"/>
      <w:szCs w:val="24"/>
    </w:rPr>
  </w:style>
  <w:style w:type="paragraph" w:styleId="Heading5">
    <w:name w:val="heading 5"/>
    <w:basedOn w:val="Normal"/>
    <w:next w:val="Normal"/>
    <w:qFormat/>
    <w:rsid w:val="00D12CA2"/>
    <w:pPr>
      <w:keepNext/>
      <w:autoSpaceDE w:val="0"/>
      <w:autoSpaceDN w:val="0"/>
      <w:adjustRightInd w:val="0"/>
      <w:outlineLvl w:val="4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ing6">
    <w:name w:val="heading 6"/>
    <w:basedOn w:val="Normal"/>
    <w:next w:val="Normal"/>
    <w:qFormat/>
    <w:rsid w:val="00D12CA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,FOOTNOTES,single space,ALTS FOOTNOTE,Footnote Text Char1,Footnote Text Char Char,Note de bas de page Car,footnote text,Fodnotetekst Tegn,Fodnotetekst Tegn Char,footnote text Char Char Char,footnote,ADB,f,ft"/>
    <w:basedOn w:val="Normal"/>
    <w:link w:val="FootnoteTextChar"/>
    <w:uiPriority w:val="99"/>
    <w:rsid w:val="005749E9"/>
    <w:rPr>
      <w:sz w:val="20"/>
      <w:szCs w:val="20"/>
    </w:rPr>
  </w:style>
  <w:style w:type="character" w:styleId="FootnoteReference">
    <w:name w:val="footnote reference"/>
    <w:aliases w:val="ftref,16 Point,Superscript 6 Point"/>
    <w:basedOn w:val="DefaultParagraphFont"/>
    <w:uiPriority w:val="99"/>
    <w:rsid w:val="005749E9"/>
    <w:rPr>
      <w:vertAlign w:val="superscript"/>
    </w:rPr>
  </w:style>
  <w:style w:type="paragraph" w:styleId="BalloonText">
    <w:name w:val="Balloon Text"/>
    <w:basedOn w:val="Normal"/>
    <w:semiHidden/>
    <w:rsid w:val="00D12CA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D12CA2"/>
    <w:pPr>
      <w:autoSpaceDE w:val="0"/>
      <w:autoSpaceDN w:val="0"/>
      <w:adjustRightInd w:val="0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er">
    <w:name w:val="header"/>
    <w:basedOn w:val="Normal"/>
    <w:rsid w:val="00C838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83843"/>
  </w:style>
  <w:style w:type="paragraph" w:styleId="Footer">
    <w:name w:val="footer"/>
    <w:basedOn w:val="Normal"/>
    <w:rsid w:val="00C83843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2C44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C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4CC6"/>
  </w:style>
  <w:style w:type="paragraph" w:styleId="CommentSubject">
    <w:name w:val="annotation subject"/>
    <w:basedOn w:val="CommentText"/>
    <w:next w:val="CommentText"/>
    <w:link w:val="CommentSubjectChar"/>
    <w:rsid w:val="008C4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4CC6"/>
    <w:rPr>
      <w:b/>
      <w:bCs/>
    </w:rPr>
  </w:style>
  <w:style w:type="character" w:customStyle="1" w:styleId="FootnoteTextChar">
    <w:name w:val="Footnote Text Char"/>
    <w:aliases w:val="fn Char,FOOTNOTES Char,single space Char,ALTS FOOTNOTE Char,Footnote Text Char1 Char,Footnote Text Char Char Char,Note de bas de page Car Char,footnote text Char,Fodnotetekst Tegn Char1,Fodnotetekst Tegn Char Char,footnote Char,f Char"/>
    <w:basedOn w:val="DefaultParagraphFont"/>
    <w:link w:val="FootnoteText"/>
    <w:uiPriority w:val="99"/>
    <w:rsid w:val="006D6320"/>
  </w:style>
  <w:style w:type="paragraph" w:styleId="ListParagraph">
    <w:name w:val="List Paragraph"/>
    <w:basedOn w:val="Normal"/>
    <w:uiPriority w:val="34"/>
    <w:qFormat/>
    <w:rsid w:val="00C83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customXml" Target="../customXml/item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B1AA3A77B405748AF5F83AF5A3A43F7" ma:contentTypeVersion="21" ma:contentTypeDescription="The base project type from which other project content types inherit their information." ma:contentTypeScope="" ma:versionID="cebbc5b5c312df96b6527a72be49695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INE/ENE</Division_x0020_or_x0020_Unit>
    <Other_x0020_Author xmlns="cdc7663a-08f0-4737-9e8c-148ce897a09c" xsi:nil="true"/>
    <IDBDocs_x0020_Number xmlns="cdc7663a-08f0-4737-9e8c-148ce897a09c">39163223</IDBDocs_x0020_Number>
    <Document_x0020_Author xmlns="cdc7663a-08f0-4737-9e8c-148ce897a09c">Cova Leon,Haydemar</Document_x0020_Author>
    <Operation_x0020_Type xmlns="cdc7663a-08f0-4737-9e8c-148ce897a09c" xsi:nil="true"/>
    <TaxCatchAll xmlns="cdc7663a-08f0-4737-9e8c-148ce897a09c">
      <Value>32</Value>
      <Value>15</Value>
      <Value>1</Value>
    </TaxCatchAll>
    <Fiscal_x0020_Year_x0020_IDB xmlns="cdc7663a-08f0-4737-9e8c-148ce897a09c">2015</Fiscal_x0020_Year_x0020_IDB>
    <Project_x0020_Number xmlns="cdc7663a-08f0-4737-9e8c-148ce897a09c">EC-L1140</Project_x0020_Number>
    <Package_x0020_Code xmlns="cdc7663a-08f0-4737-9e8c-148ce897a09c" xsi:nil="true"/>
    <Migration_x0020_Info xmlns="cdc7663a-08f0-4737-9e8c-148ce897a09c">MS WORDLPLoan ProposalCHFChief0Jan 21 2015 12&amp;#58;00AMNPO-EC-Plan1221877002</Migration_x0020_Info>
    <Approval_x0020_Number xmlns="cdc7663a-08f0-4737-9e8c-148ce897a09c">3420/OC-EC</Approval_x0020_Number>
    <Business_x0020_Area xmlns="cdc7663a-08f0-4737-9e8c-148ce897a09c" xsi:nil="true"/>
    <SISCOR_x0020_Number xmlns="cdc7663a-08f0-4737-9e8c-148ce897a09c" xsi:nil="true"/>
    <Identifier xmlns="cdc7663a-08f0-4737-9e8c-148ce897a09c"> 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EZSHARE-1908190663-58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https://idbg.sharepoint.com/teams/EZ-EC-LON/EC-L1140/_layouts/15/DocIdRedir.aspx?ID=EZSHARE-1908190663-58</Url>
      <Description>EZSHARE-1908190663-58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54E8CDC-338A-41DD-8681-686418A181D9}"/>
</file>

<file path=customXml/itemProps2.xml><?xml version="1.0" encoding="utf-8"?>
<ds:datastoreItem xmlns:ds="http://schemas.openxmlformats.org/officeDocument/2006/customXml" ds:itemID="{388B8A3B-6A81-4AEE-95C0-8E2AC81A0805}"/>
</file>

<file path=customXml/itemProps3.xml><?xml version="1.0" encoding="utf-8"?>
<ds:datastoreItem xmlns:ds="http://schemas.openxmlformats.org/officeDocument/2006/customXml" ds:itemID="{16B81DA3-FA1B-4A67-8EF6-FD7793BC80D5}"/>
</file>

<file path=customXml/itemProps4.xml><?xml version="1.0" encoding="utf-8"?>
<ds:datastoreItem xmlns:ds="http://schemas.openxmlformats.org/officeDocument/2006/customXml" ds:itemID="{9AFEAF65-E448-40F2-88F0-C3FECD6D1ADE}"/>
</file>

<file path=customXml/itemProps5.xml><?xml version="1.0" encoding="utf-8"?>
<ds:datastoreItem xmlns:ds="http://schemas.openxmlformats.org/officeDocument/2006/customXml" ds:itemID="{5C21E33B-E79F-4B59-B637-B51A505C23F9}"/>
</file>

<file path=customXml/itemProps6.xml><?xml version="1.0" encoding="utf-8"?>
<ds:datastoreItem xmlns:ds="http://schemas.openxmlformats.org/officeDocument/2006/customXml" ds:itemID="{ABB9664F-C884-4FBC-ABE2-9ABE6A6831C8}"/>
</file>

<file path=customXml/itemProps7.xml><?xml version="1.0" encoding="utf-8"?>
<ds:datastoreItem xmlns:ds="http://schemas.openxmlformats.org/officeDocument/2006/customXml" ds:itemID="{AC07D4DB-66D6-425D-8AD3-4100F292F8A9}"/>
</file>

<file path=customXml/itemProps8.xml><?xml version="1.0" encoding="utf-8"?>
<ds:datastoreItem xmlns:ds="http://schemas.openxmlformats.org/officeDocument/2006/customXml" ds:itemID="{C23103D7-CF13-4AB7-9BC6-8488A1BFF5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1273</Words>
  <Characters>7444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PERU: Programa para el Desarrollo de una Matriz Energética Sostenible PE-L1061</vt:lpstr>
      <vt:lpstr>PERU: Programa para el Desarrollo de una Matriz Energética Sostenible PE-L1061</vt:lpstr>
    </vt:vector>
  </TitlesOfParts>
  <Company>Inter-American Development Bank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EC-L1140 - Matriz de resultados pre QRR</dc:title>
  <dc:creator>HAYDEMARC</dc:creator>
  <cp:lastModifiedBy>Test</cp:lastModifiedBy>
  <cp:revision>3</cp:revision>
  <cp:lastPrinted>2015-01-15T14:52:00Z</cp:lastPrinted>
  <dcterms:created xsi:type="dcterms:W3CDTF">2015-01-15T14:52:00Z</dcterms:created>
  <dcterms:modified xsi:type="dcterms:W3CDTF">2015-01-15T16:36:00Z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0x010100ACF722E9F6B0B149B0CD8BE2560A667200FB1AA3A77B405748AF5F83AF5A3A43F7</vt:lpwstr>
  </property>
  <property fmtid="{D5CDD505-2E9C-101B-9397-08002B2CF9AE}" pid="5" name="TaxKeywordTaxHTField">
    <vt:lpwstr/>
  </property>
  <property fmtid="{D5CDD505-2E9C-101B-9397-08002B2CF9AE}" pid="6" name="Series Operations IDB">
    <vt:lpwstr>22;#Project Profile (PP)|ac5f0c28-f2f6-431c-8d05-62f851b6a822</vt:lpwstr>
  </property>
  <property fmtid="{D5CDD505-2E9C-101B-9397-08002B2CF9AE}" pid="7" name="Sub-Sector">
    <vt:lpwstr/>
  </property>
  <property fmtid="{D5CDD505-2E9C-101B-9397-08002B2CF9AE}" pid="8" name="Country">
    <vt:lpwstr>32;#Ecuador|8f163189-00fa-4e7c-827d-28fb5798781c</vt:lpwstr>
  </property>
  <property fmtid="{D5CDD505-2E9C-101B-9397-08002B2CF9AE}" pid="9" name="Fund IDB">
    <vt:lpwstr/>
  </property>
  <property fmtid="{D5CDD505-2E9C-101B-9397-08002B2CF9AE}" pid="10" name="Series_x0020_Operations_x0020_IDB">
    <vt:lpwstr>22;#Project Profile (PP)|ac5f0c28-f2f6-431c-8d05-62f851b6a822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Energy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33427e95-d1bd-4e31-9cdb-a3ca67524625</vt:lpwstr>
  </property>
</Properties>
</file>