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header1.xml" ContentType="application/vnd.openxmlformats-officedocument.wordprocessingml.header+xml"/>
  <Override PartName="/word/header2.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word/stylesWithEffects.xml" ContentType="application/vnd.ms-word.stylesWithEffect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customXml/itemProps5.xml" ContentType="application/vnd.openxmlformats-officedocument.customXml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6.xml" ContentType="application/vnd.openxmlformats-officedocument.customXmlProperties+xml"/>
  <Override PartName="/docProps/custom.xml" ContentType="application/vnd.openxmlformats-officedocument.custom-properties+xml"/>
  <Override PartName="/customXml/itemProps7.xml" ContentType="application/vnd.openxmlformats-officedocument.customXmlProperties+xml"/>
  <Override PartName="/customXml/itemProps8.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9CB28D2" w14:textId="77777777" w:rsidR="0069056F" w:rsidRPr="00B0737D" w:rsidRDefault="0069056F" w:rsidP="0069056F">
      <w:pPr>
        <w:pStyle w:val="Ttul"/>
        <w:tabs>
          <w:tab w:val="clear" w:pos="1440"/>
          <w:tab w:val="clear" w:pos="3060"/>
        </w:tabs>
        <w:spacing w:before="120" w:after="120"/>
        <w:rPr>
          <w:smallCaps/>
        </w:rPr>
      </w:pPr>
      <w:bookmarkStart w:id="0" w:name="Contents"/>
    </w:p>
    <w:p w14:paraId="31E9E5D1" w14:textId="77777777" w:rsidR="0069056F" w:rsidRPr="00B0737D" w:rsidRDefault="0069056F" w:rsidP="0069056F">
      <w:pPr>
        <w:pStyle w:val="Ttul"/>
        <w:tabs>
          <w:tab w:val="clear" w:pos="1440"/>
          <w:tab w:val="clear" w:pos="3060"/>
        </w:tabs>
        <w:spacing w:before="120" w:after="120"/>
        <w:rPr>
          <w:smallCaps/>
        </w:rPr>
      </w:pPr>
      <w:r w:rsidRPr="00B0737D">
        <w:rPr>
          <w:smallCaps/>
        </w:rPr>
        <w:t>Documento del Banco Inte</w:t>
      </w:r>
      <w:bookmarkStart w:id="1" w:name="_GoBack"/>
      <w:bookmarkEnd w:id="1"/>
      <w:r w:rsidRPr="00B0737D">
        <w:rPr>
          <w:smallCaps/>
        </w:rPr>
        <w:t>ramericano de Desarrollo</w:t>
      </w:r>
    </w:p>
    <w:p w14:paraId="7522617B" w14:textId="77777777" w:rsidR="0069056F" w:rsidRPr="00767DBC" w:rsidRDefault="0069056F" w:rsidP="0069056F">
      <w:pPr>
        <w:tabs>
          <w:tab w:val="left" w:pos="1440"/>
          <w:tab w:val="left" w:pos="3060"/>
        </w:tabs>
        <w:spacing w:before="120" w:after="120"/>
        <w:jc w:val="center"/>
        <w:rPr>
          <w:lang w:val="es-ES"/>
        </w:rPr>
      </w:pPr>
    </w:p>
    <w:p w14:paraId="4302B4BA" w14:textId="77777777" w:rsidR="0069056F" w:rsidRPr="00767DBC" w:rsidRDefault="0069056F" w:rsidP="0069056F">
      <w:pPr>
        <w:tabs>
          <w:tab w:val="left" w:pos="1440"/>
          <w:tab w:val="left" w:pos="3060"/>
        </w:tabs>
        <w:spacing w:before="120" w:after="120"/>
        <w:jc w:val="center"/>
        <w:rPr>
          <w:lang w:val="es-ES"/>
        </w:rPr>
      </w:pPr>
    </w:p>
    <w:p w14:paraId="59DC25F3" w14:textId="77777777" w:rsidR="0069056F" w:rsidRPr="00767DBC" w:rsidRDefault="0069056F" w:rsidP="0069056F">
      <w:pPr>
        <w:tabs>
          <w:tab w:val="left" w:pos="1440"/>
          <w:tab w:val="left" w:pos="3060"/>
        </w:tabs>
        <w:spacing w:before="120" w:after="120"/>
        <w:jc w:val="center"/>
        <w:outlineLvl w:val="0"/>
        <w:rPr>
          <w:b/>
          <w:smallCaps/>
          <w:lang w:val="es-ES"/>
        </w:rPr>
      </w:pPr>
      <w:r w:rsidRPr="00767DBC">
        <w:rPr>
          <w:b/>
          <w:smallCaps/>
          <w:lang w:val="es-ES"/>
        </w:rPr>
        <w:t xml:space="preserve">Ecuador </w:t>
      </w:r>
    </w:p>
    <w:p w14:paraId="6DA8C812" w14:textId="77777777" w:rsidR="0069056F" w:rsidRPr="00767DBC" w:rsidRDefault="0069056F" w:rsidP="0069056F">
      <w:pPr>
        <w:tabs>
          <w:tab w:val="left" w:pos="1440"/>
          <w:tab w:val="left" w:pos="3060"/>
        </w:tabs>
        <w:spacing w:before="120" w:after="120"/>
        <w:jc w:val="center"/>
        <w:rPr>
          <w:smallCaps/>
          <w:lang w:val="es-ES"/>
        </w:rPr>
      </w:pPr>
    </w:p>
    <w:p w14:paraId="7F1050D9" w14:textId="77777777" w:rsidR="0069056F" w:rsidRPr="00767DBC" w:rsidRDefault="0069056F" w:rsidP="0069056F">
      <w:pPr>
        <w:tabs>
          <w:tab w:val="left" w:pos="1440"/>
          <w:tab w:val="left" w:pos="3060"/>
        </w:tabs>
        <w:spacing w:before="120" w:after="120"/>
        <w:jc w:val="center"/>
        <w:rPr>
          <w:smallCaps/>
          <w:lang w:val="es-ES"/>
        </w:rPr>
      </w:pPr>
    </w:p>
    <w:p w14:paraId="2FFA8DD8" w14:textId="77777777" w:rsidR="0069056F" w:rsidRPr="00767DBC" w:rsidRDefault="0069056F" w:rsidP="0069056F">
      <w:pPr>
        <w:tabs>
          <w:tab w:val="left" w:pos="1440"/>
          <w:tab w:val="left" w:pos="3060"/>
        </w:tabs>
        <w:spacing w:before="120" w:after="120"/>
        <w:jc w:val="center"/>
        <w:rPr>
          <w:smallCaps/>
          <w:lang w:val="es-ES"/>
        </w:rPr>
      </w:pPr>
    </w:p>
    <w:p w14:paraId="3A20586F" w14:textId="77777777" w:rsidR="0069056F" w:rsidRPr="00767DBC" w:rsidRDefault="0069056F" w:rsidP="0069056F">
      <w:pPr>
        <w:tabs>
          <w:tab w:val="left" w:pos="1440"/>
          <w:tab w:val="left" w:pos="3060"/>
        </w:tabs>
        <w:spacing w:before="120" w:after="120"/>
        <w:jc w:val="center"/>
        <w:rPr>
          <w:smallCaps/>
          <w:lang w:val="es-ES"/>
        </w:rPr>
      </w:pPr>
    </w:p>
    <w:p w14:paraId="05ED6050" w14:textId="77777777" w:rsidR="0069056F" w:rsidRPr="00767DBC" w:rsidRDefault="0069056F" w:rsidP="0069056F">
      <w:pPr>
        <w:tabs>
          <w:tab w:val="left" w:pos="1440"/>
          <w:tab w:val="left" w:pos="3060"/>
        </w:tabs>
        <w:spacing w:before="120" w:after="120"/>
        <w:jc w:val="center"/>
        <w:outlineLvl w:val="0"/>
        <w:rPr>
          <w:b/>
          <w:smallCaps/>
          <w:lang w:val="es-ES"/>
        </w:rPr>
      </w:pPr>
      <w:bookmarkStart w:id="2" w:name="OLE_LINK3"/>
      <w:bookmarkStart w:id="3" w:name="OLE_LINK4"/>
      <w:r w:rsidRPr="00767DBC">
        <w:rPr>
          <w:b/>
          <w:smallCaps/>
          <w:lang w:val="es-ES"/>
        </w:rPr>
        <w:t>Apoyo al Cambio de la Matriz Energética del Ecuador</w:t>
      </w:r>
      <w:bookmarkEnd w:id="2"/>
      <w:bookmarkEnd w:id="3"/>
    </w:p>
    <w:p w14:paraId="7E948333" w14:textId="77777777" w:rsidR="0069056F" w:rsidRPr="00767DBC" w:rsidRDefault="0069056F" w:rsidP="0069056F">
      <w:pPr>
        <w:tabs>
          <w:tab w:val="left" w:pos="1440"/>
          <w:tab w:val="left" w:pos="3060"/>
        </w:tabs>
        <w:spacing w:before="120" w:after="120"/>
        <w:jc w:val="center"/>
        <w:outlineLvl w:val="0"/>
        <w:rPr>
          <w:b/>
          <w:smallCaps/>
          <w:lang w:val="es-ES"/>
        </w:rPr>
      </w:pPr>
      <w:r w:rsidRPr="00767DBC">
        <w:rPr>
          <w:b/>
          <w:smallCaps/>
          <w:lang w:val="es-ES"/>
        </w:rPr>
        <w:t>EC-L1140</w:t>
      </w:r>
    </w:p>
    <w:p w14:paraId="227A26D4" w14:textId="77777777" w:rsidR="0069056F" w:rsidRPr="00767DBC" w:rsidRDefault="0069056F" w:rsidP="0069056F">
      <w:pPr>
        <w:tabs>
          <w:tab w:val="left" w:pos="1440"/>
          <w:tab w:val="left" w:pos="3060"/>
        </w:tabs>
        <w:spacing w:before="120" w:after="120"/>
        <w:jc w:val="center"/>
        <w:rPr>
          <w:b/>
          <w:smallCaps/>
          <w:lang w:val="es-ES"/>
        </w:rPr>
      </w:pPr>
    </w:p>
    <w:p w14:paraId="43304AB0" w14:textId="77777777" w:rsidR="0069056F" w:rsidRPr="00767DBC" w:rsidRDefault="0069056F" w:rsidP="0069056F">
      <w:pPr>
        <w:tabs>
          <w:tab w:val="left" w:pos="1440"/>
          <w:tab w:val="left" w:pos="3060"/>
        </w:tabs>
        <w:spacing w:before="120" w:after="120"/>
        <w:jc w:val="center"/>
        <w:rPr>
          <w:b/>
          <w:smallCaps/>
          <w:lang w:val="es-ES"/>
        </w:rPr>
      </w:pPr>
    </w:p>
    <w:p w14:paraId="2EAE1A34" w14:textId="77777777" w:rsidR="0069056F" w:rsidRPr="00767DBC" w:rsidRDefault="0069056F" w:rsidP="0069056F">
      <w:pPr>
        <w:tabs>
          <w:tab w:val="left" w:pos="1440"/>
          <w:tab w:val="left" w:pos="3060"/>
        </w:tabs>
        <w:spacing w:before="120" w:after="120"/>
        <w:jc w:val="center"/>
        <w:rPr>
          <w:b/>
          <w:smallCaps/>
          <w:lang w:val="es-ES"/>
        </w:rPr>
      </w:pPr>
    </w:p>
    <w:p w14:paraId="683015AE" w14:textId="77777777" w:rsidR="0069056F" w:rsidRPr="00767DBC" w:rsidRDefault="0069056F" w:rsidP="0069056F">
      <w:pPr>
        <w:tabs>
          <w:tab w:val="left" w:pos="1440"/>
          <w:tab w:val="left" w:pos="3060"/>
        </w:tabs>
        <w:spacing w:before="120" w:after="120"/>
        <w:jc w:val="center"/>
        <w:outlineLvl w:val="0"/>
        <w:rPr>
          <w:b/>
          <w:smallCaps/>
          <w:lang w:val="es-ES"/>
        </w:rPr>
      </w:pPr>
      <w:r w:rsidRPr="00767DBC">
        <w:rPr>
          <w:b/>
          <w:smallCaps/>
          <w:lang w:val="es-ES"/>
        </w:rPr>
        <w:t>Plan de Monitoreo y Evaluación</w:t>
      </w:r>
    </w:p>
    <w:p w14:paraId="17BC976B" w14:textId="77777777" w:rsidR="0069056F" w:rsidRPr="00767DBC" w:rsidRDefault="0069056F" w:rsidP="0069056F">
      <w:pPr>
        <w:tabs>
          <w:tab w:val="left" w:pos="1440"/>
          <w:tab w:val="left" w:pos="3060"/>
        </w:tabs>
        <w:spacing w:before="120" w:after="120"/>
        <w:jc w:val="center"/>
        <w:rPr>
          <w:lang w:val="es-ES"/>
        </w:rPr>
      </w:pPr>
    </w:p>
    <w:p w14:paraId="3909AA3B" w14:textId="77777777" w:rsidR="0069056F" w:rsidRPr="00767DBC" w:rsidRDefault="0069056F" w:rsidP="0069056F">
      <w:pPr>
        <w:tabs>
          <w:tab w:val="left" w:pos="1440"/>
          <w:tab w:val="left" w:pos="3060"/>
        </w:tabs>
        <w:spacing w:before="120" w:after="120"/>
        <w:jc w:val="center"/>
        <w:rPr>
          <w:lang w:val="es-ES"/>
        </w:rPr>
      </w:pPr>
    </w:p>
    <w:p w14:paraId="42D4626A" w14:textId="77777777" w:rsidR="0069056F" w:rsidRPr="00767DBC" w:rsidRDefault="0069056F" w:rsidP="0069056F">
      <w:pPr>
        <w:tabs>
          <w:tab w:val="left" w:pos="1440"/>
          <w:tab w:val="left" w:pos="3060"/>
        </w:tabs>
        <w:spacing w:before="120" w:after="120"/>
        <w:jc w:val="center"/>
        <w:rPr>
          <w:lang w:val="es-ES"/>
        </w:rPr>
      </w:pPr>
    </w:p>
    <w:p w14:paraId="68D05333" w14:textId="77777777" w:rsidR="0069056F" w:rsidRPr="00767DBC" w:rsidRDefault="0069056F" w:rsidP="0069056F">
      <w:pPr>
        <w:tabs>
          <w:tab w:val="left" w:pos="1440"/>
          <w:tab w:val="left" w:pos="3060"/>
        </w:tabs>
        <w:spacing w:before="120" w:after="120"/>
        <w:jc w:val="center"/>
        <w:rPr>
          <w:lang w:val="es-ES"/>
        </w:rPr>
      </w:pPr>
    </w:p>
    <w:p w14:paraId="1B14AB70" w14:textId="77777777" w:rsidR="0069056F" w:rsidRPr="00767DBC" w:rsidRDefault="0069056F" w:rsidP="0069056F">
      <w:pPr>
        <w:tabs>
          <w:tab w:val="left" w:pos="1440"/>
          <w:tab w:val="left" w:pos="3060"/>
        </w:tabs>
        <w:spacing w:before="120" w:after="120"/>
        <w:jc w:val="center"/>
        <w:rPr>
          <w:lang w:val="es-ES"/>
        </w:rPr>
      </w:pPr>
    </w:p>
    <w:p w14:paraId="0301AE59" w14:textId="77777777" w:rsidR="0069056F" w:rsidRPr="00B0737D" w:rsidRDefault="0069056F" w:rsidP="0069056F">
      <w:pPr>
        <w:pStyle w:val="Textode"/>
        <w:pBdr>
          <w:top w:val="single" w:sz="4" w:space="1" w:color="auto"/>
          <w:left w:val="single" w:sz="4" w:space="4" w:color="auto"/>
          <w:bottom w:val="single" w:sz="4" w:space="1" w:color="auto"/>
          <w:right w:val="single" w:sz="4" w:space="4" w:color="auto"/>
        </w:pBdr>
        <w:tabs>
          <w:tab w:val="left" w:pos="1440"/>
        </w:tabs>
        <w:spacing w:before="120" w:after="120"/>
        <w:jc w:val="both"/>
        <w:rPr>
          <w:sz w:val="22"/>
          <w:szCs w:val="22"/>
        </w:rPr>
      </w:pPr>
      <w:r w:rsidRPr="00B0737D">
        <w:rPr>
          <w:sz w:val="22"/>
          <w:szCs w:val="22"/>
        </w:rPr>
        <w:t>Este documento fue preparado por el equipo de proyecto integrado por: Jesús Tejeda (ENE/CEC), Jefe de Equipo; Arnaldo Vieira de Carvalho (INE/ENE), Co-Jefe de Equipo; Emilio Sawada (ENE/CUR); Alejandro Melandri (INE/ENE); Carlos Hinestrosa (INE/ENE); Wilkferg Vanegas (INE/ENE); Haydemar Cova (INE/ENE); Javier Díaz-Cassou (CAN/CEC); Leopoldo Avellan (CAN/CAN); Rafael Poveda (CAN/CEC); Javier Jiménez</w:t>
      </w:r>
      <w:r w:rsidRPr="00B0737D" w:rsidDel="00C55E29">
        <w:rPr>
          <w:sz w:val="22"/>
          <w:szCs w:val="22"/>
        </w:rPr>
        <w:t xml:space="preserve"> </w:t>
      </w:r>
      <w:r w:rsidRPr="00B0737D">
        <w:rPr>
          <w:sz w:val="22"/>
          <w:szCs w:val="22"/>
        </w:rPr>
        <w:t xml:space="preserve">(LEG/SGO); bajo la supervisión de Ariel </w:t>
      </w:r>
      <w:proofErr w:type="spellStart"/>
      <w:r w:rsidRPr="00B0737D">
        <w:rPr>
          <w:sz w:val="22"/>
          <w:szCs w:val="22"/>
        </w:rPr>
        <w:t>Yepez</w:t>
      </w:r>
      <w:proofErr w:type="spellEnd"/>
      <w:r w:rsidRPr="00B0737D">
        <w:rPr>
          <w:sz w:val="22"/>
          <w:szCs w:val="22"/>
        </w:rPr>
        <w:t>, Jefe Interino de la División de Energía (INE/ENE) y Morgan Doyle, Representante en Ecuador (CAN/CEC).</w:t>
      </w:r>
    </w:p>
    <w:p w14:paraId="728A4AD2" w14:textId="77777777" w:rsidR="0069056F" w:rsidRPr="00767DBC" w:rsidRDefault="0069056F" w:rsidP="0069056F">
      <w:pPr>
        <w:spacing w:before="120" w:after="120"/>
        <w:rPr>
          <w:lang w:val="es-ES"/>
        </w:rPr>
      </w:pPr>
    </w:p>
    <w:p w14:paraId="3E6546DD" w14:textId="77777777" w:rsidR="0069056F" w:rsidRPr="00767DBC" w:rsidRDefault="0069056F" w:rsidP="0069056F">
      <w:pPr>
        <w:autoSpaceDE w:val="0"/>
        <w:autoSpaceDN w:val="0"/>
        <w:adjustRightInd w:val="0"/>
        <w:spacing w:before="120" w:after="120"/>
        <w:jc w:val="both"/>
        <w:rPr>
          <w:sz w:val="20"/>
          <w:lang w:val="es-ES"/>
        </w:rPr>
      </w:pPr>
      <w:r w:rsidRPr="00721F23">
        <w:rPr>
          <w:noProof/>
          <w:sz w:val="20"/>
        </w:rPr>
        <mc:AlternateContent>
          <mc:Choice Requires="wps">
            <w:drawing>
              <wp:anchor distT="0" distB="0" distL="114300" distR="114300" simplePos="0" relativeHeight="251659264" behindDoc="0" locked="0" layoutInCell="1" allowOverlap="1" wp14:anchorId="5F0764D4" wp14:editId="39B40BCE">
                <wp:simplePos x="0" y="0"/>
                <wp:positionH relativeFrom="column">
                  <wp:posOffset>-57151</wp:posOffset>
                </wp:positionH>
                <wp:positionV relativeFrom="paragraph">
                  <wp:posOffset>6350</wp:posOffset>
                </wp:positionV>
                <wp:extent cx="6086475" cy="485775"/>
                <wp:effectExtent l="0" t="0" r="28575" b="28575"/>
                <wp:wrapNone/>
                <wp:docPr id="1" name="Rectangle 1"/>
                <wp:cNvGraphicFramePr/>
                <a:graphic xmlns:a="http://schemas.openxmlformats.org/drawingml/2006/main">
                  <a:graphicData uri="http://schemas.microsoft.com/office/word/2010/wordprocessingShape">
                    <wps:wsp>
                      <wps:cNvSpPr/>
                      <wps:spPr>
                        <a:xfrm>
                          <a:off x="0" y="0"/>
                          <a:ext cx="6086475" cy="485775"/>
                        </a:xfrm>
                        <a:prstGeom prst="rect">
                          <a:avLst/>
                        </a:prstGeom>
                        <a:no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1" o:spid="_x0000_s1026" style="position:absolute;margin-left:-4.5pt;margin-top:.5pt;width:479.25pt;height:38.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" filled="f" strokecolor="black [3213]"/>
            </w:pict>
          </mc:Fallback>
        </mc:AlternateContent>
      </w:r>
      <w:r w:rsidRPr="00767DBC">
        <w:rPr>
          <w:sz w:val="20"/>
          <w:lang w:val="es-ES"/>
        </w:rPr>
        <w:t>El presente documento contiene información confidencial comprendida en una o más de las diez excepciones de la Política de Acceso a Información y, por lo tanto, no se puede divulgar fuera del Banco. Está disponible únicamente para un grupo restringido de personas dentro del Banco.</w:t>
      </w:r>
    </w:p>
    <w:p w14:paraId="4E5C5E55" w14:textId="77777777" w:rsidR="0069056F" w:rsidRPr="00767DBC" w:rsidRDefault="0069056F" w:rsidP="0069056F">
      <w:pPr>
        <w:pStyle w:val="TOC3"/>
        <w:spacing w:before="120" w:after="120"/>
        <w:jc w:val="both"/>
        <w:rPr>
          <w:lang w:val="es-ES"/>
        </w:rPr>
        <w:sectPr w:rsidR="0069056F" w:rsidRPr="00767DBC" w:rsidSect="00FA7062">
          <w:headerReference w:type="default" r:id="rId9"/>
          <w:pgSz w:w="12240" w:h="15840"/>
          <w:pgMar w:top="1440" w:right="1440" w:bottom="1440" w:left="1440" w:header="720" w:footer="720" w:gutter="0"/>
          <w:cols w:space="720"/>
          <w:docGrid w:linePitch="360"/>
        </w:sectPr>
      </w:pPr>
    </w:p>
    <w:p w14:paraId="489BB8BF" w14:textId="77777777" w:rsidR="0069056F" w:rsidRPr="00767DBC" w:rsidRDefault="0069056F" w:rsidP="0069056F">
      <w:pPr>
        <w:pStyle w:val="Title"/>
        <w:numPr>
          <w:ilvl w:val="0"/>
          <w:numId w:val="15"/>
        </w:numPr>
        <w:spacing w:before="120" w:after="120"/>
        <w:jc w:val="left"/>
        <w:rPr>
          <w:b/>
          <w:lang w:val="es-ES"/>
        </w:rPr>
      </w:pPr>
      <w:bookmarkStart w:id="4" w:name="_Toc323827268"/>
      <w:bookmarkStart w:id="5" w:name="_Toc335830651"/>
      <w:r w:rsidRPr="00B0737D">
        <w:rPr>
          <w:b/>
          <w:lang w:val="es-ES"/>
        </w:rPr>
        <w:lastRenderedPageBreak/>
        <w:t>Introd</w:t>
      </w:r>
      <w:bookmarkEnd w:id="4"/>
      <w:bookmarkEnd w:id="5"/>
      <w:r w:rsidRPr="00B0737D">
        <w:rPr>
          <w:b/>
          <w:lang w:val="es-ES"/>
        </w:rPr>
        <w:t>ucción</w:t>
      </w:r>
    </w:p>
    <w:p w14:paraId="190B575F" w14:textId="77777777" w:rsidR="0069056F" w:rsidRPr="00767DBC" w:rsidRDefault="0069056F" w:rsidP="0069056F">
      <w:pPr>
        <w:pStyle w:val="Title"/>
        <w:spacing w:before="120" w:after="120"/>
        <w:jc w:val="left"/>
        <w:rPr>
          <w:lang w:val="es-ES"/>
        </w:rPr>
      </w:pPr>
    </w:p>
    <w:p w14:paraId="6323A523" w14:textId="2A284A6A" w:rsidR="0069056F" w:rsidRPr="00767DBC" w:rsidRDefault="0069056F" w:rsidP="0069056F">
      <w:pPr>
        <w:spacing w:before="120" w:after="120" w:line="360" w:lineRule="auto"/>
        <w:jc w:val="both"/>
        <w:rPr>
          <w:lang w:val="es-ES"/>
        </w:rPr>
      </w:pPr>
      <w:bookmarkStart w:id="6" w:name="_Toc296958008"/>
      <w:r w:rsidRPr="00767DBC">
        <w:rPr>
          <w:lang w:val="es-ES"/>
        </w:rPr>
        <w:t xml:space="preserve">El Programa que constituye la primera operación de un Préstamo Programático Basado en Política (PBP) de tres fases, tiene como objetivo apoyar al país en el cambio de su matriz energética, y así contribuir a la consolidación de las cuentas fiscales y externas, a través de la disminución de las importaciones de derivados de petróleo y sustitución de subsidios asociados. </w:t>
      </w:r>
      <w:r w:rsidRPr="00D021D9">
        <w:rPr>
          <w:lang w:val="es-ES"/>
        </w:rPr>
        <w:t>Los objetivos específicos del primer programático son apoyar: (i) el establecimiento de las condiciones para la implementación efectiva de las acciones bajo el cambio de la matriz energética; (ii) el fortalecimiento  de las condiciones para responder a la demanda del servicio eléctrico; y (iii) el inicio de compromisos de país para el intercambio de mayor energía eléctrica en la región.</w:t>
      </w:r>
    </w:p>
    <w:bookmarkEnd w:id="6"/>
    <w:p w14:paraId="69831072" w14:textId="77777777" w:rsidR="0069056F" w:rsidRPr="00767DBC" w:rsidRDefault="0069056F" w:rsidP="0069056F">
      <w:pPr>
        <w:spacing w:before="120" w:after="120" w:line="360" w:lineRule="auto"/>
        <w:jc w:val="both"/>
        <w:rPr>
          <w:lang w:val="es-ES"/>
        </w:rPr>
      </w:pPr>
      <w:r w:rsidRPr="00767DBC">
        <w:rPr>
          <w:lang w:val="es-ES"/>
        </w:rPr>
        <w:t xml:space="preserve">La presente operación contribuirá a mantener la liquidez en un contexto de robustas inversiones y apoyará los cambios institucionales necesarios para maximizar el impacto positivo de dichas inversiones. Las siguientes etapas del Programa que se ejecutarán en 2015 y 2016, contribuirán a la consolidación de las acciones emprendidas para alcanzar las metas esperadas de reducción del consumo e importación de derivados de petróleo.  </w:t>
      </w:r>
    </w:p>
    <w:p w14:paraId="641AD25C" w14:textId="77777777" w:rsidR="0069056F" w:rsidRPr="00767DBC" w:rsidRDefault="0069056F" w:rsidP="0069056F">
      <w:pPr>
        <w:spacing w:before="120" w:after="120" w:line="360" w:lineRule="auto"/>
        <w:jc w:val="both"/>
        <w:rPr>
          <w:lang w:val="es-ES"/>
        </w:rPr>
      </w:pPr>
      <w:r w:rsidRPr="00767DBC">
        <w:rPr>
          <w:lang w:val="es-ES"/>
        </w:rPr>
        <w:t xml:space="preserve">El presente Plan de Monitoreo y Evaluación establece los </w:t>
      </w:r>
      <w:r>
        <w:rPr>
          <w:rFonts w:eastAsia="MS Mincho"/>
          <w:szCs w:val="24"/>
          <w:lang w:val="es-ES" w:eastAsia="ja-JP"/>
        </w:rPr>
        <w:t xml:space="preserve">  ( se tienen que incluir todos los indicadores)</w:t>
      </w:r>
      <w:r w:rsidRPr="00767DBC">
        <w:rPr>
          <w:lang w:val="es-ES"/>
        </w:rPr>
        <w:t xml:space="preserve"> indicadores de seguimiento de Productos y Resultados, así como la metodología de evaluación, la cual consistirá entre otros, en una evaluación económica de tipo Análisis Costo Beneficio ex post (CBA). </w:t>
      </w:r>
    </w:p>
    <w:p w14:paraId="7404F14E" w14:textId="77777777" w:rsidR="0069056F" w:rsidRPr="00767DBC" w:rsidRDefault="0069056F" w:rsidP="0069056F">
      <w:pPr>
        <w:spacing w:before="120" w:after="120" w:line="360" w:lineRule="auto"/>
        <w:jc w:val="both"/>
        <w:rPr>
          <w:lang w:val="es-ES"/>
        </w:rPr>
      </w:pPr>
    </w:p>
    <w:p w14:paraId="7CAA2E06" w14:textId="77777777" w:rsidR="0069056F" w:rsidRPr="00767DBC" w:rsidRDefault="0069056F" w:rsidP="0069056F">
      <w:pPr>
        <w:pStyle w:val="Title"/>
        <w:numPr>
          <w:ilvl w:val="0"/>
          <w:numId w:val="15"/>
        </w:numPr>
        <w:spacing w:before="120" w:after="120"/>
        <w:jc w:val="left"/>
        <w:rPr>
          <w:b/>
          <w:lang w:val="es-ES"/>
        </w:rPr>
      </w:pPr>
      <w:r w:rsidRPr="00B0737D">
        <w:rPr>
          <w:b/>
          <w:lang w:val="es-ES"/>
        </w:rPr>
        <w:t>Seguimiento</w:t>
      </w:r>
    </w:p>
    <w:p w14:paraId="27B4A394" w14:textId="77777777" w:rsidR="0069056F" w:rsidRPr="00767DBC" w:rsidRDefault="0069056F" w:rsidP="0069056F">
      <w:pPr>
        <w:pStyle w:val="Title"/>
        <w:spacing w:before="120" w:after="120"/>
        <w:ind w:left="720"/>
        <w:jc w:val="left"/>
        <w:rPr>
          <w:b/>
          <w:lang w:val="es-ES"/>
        </w:rPr>
      </w:pPr>
    </w:p>
    <w:p w14:paraId="57F420EF" w14:textId="77777777" w:rsidR="0069056F" w:rsidRPr="00767DBC" w:rsidRDefault="0069056F" w:rsidP="0069056F">
      <w:pPr>
        <w:spacing w:before="120" w:after="120" w:line="360" w:lineRule="auto"/>
        <w:jc w:val="both"/>
        <w:rPr>
          <w:lang w:val="es-ES"/>
        </w:rPr>
      </w:pPr>
      <w:bookmarkStart w:id="7" w:name="_Ref322096215"/>
      <w:bookmarkStart w:id="8" w:name="_Toc323827270"/>
      <w:bookmarkStart w:id="9" w:name="_Toc335830653"/>
      <w:r w:rsidRPr="00767DBC">
        <w:rPr>
          <w:lang w:val="es-ES"/>
        </w:rPr>
        <w:t xml:space="preserve">Los productos del Programa corresponden a las condiciones de Política detalladas en la Matriz de Políticas y en la de Medios de Verificación, por consiguiente, el monitoreo del cumplimiento de los productos de este PBL se realizó de manera ex – ante y no requerirá nuevos instrumentos de coordinación, establecimiento de un plan de trabajo o presupuesto previos al desembolso.  </w:t>
      </w:r>
    </w:p>
    <w:p w14:paraId="4BA04531" w14:textId="77777777" w:rsidR="0069056F" w:rsidRPr="00767DBC" w:rsidRDefault="0069056F" w:rsidP="0069056F">
      <w:pPr>
        <w:spacing w:before="120" w:after="120" w:line="360" w:lineRule="auto"/>
        <w:jc w:val="both"/>
        <w:rPr>
          <w:lang w:val="es-ES"/>
        </w:rPr>
      </w:pPr>
      <w:r w:rsidRPr="00767DBC">
        <w:rPr>
          <w:lang w:val="es-ES"/>
        </w:rPr>
        <w:t xml:space="preserve">El BID y el </w:t>
      </w:r>
      <w:proofErr w:type="spellStart"/>
      <w:r w:rsidRPr="00767DBC">
        <w:rPr>
          <w:lang w:val="es-ES"/>
        </w:rPr>
        <w:t>GdE</w:t>
      </w:r>
      <w:proofErr w:type="spellEnd"/>
      <w:r w:rsidRPr="00767DBC">
        <w:rPr>
          <w:lang w:val="es-ES"/>
        </w:rPr>
        <w:t xml:space="preserve"> acordaron usar el Informe de Seguimiento de Progreso (PMR) para el seguimiento de las condiciones de políticas y el avance de los resultados del proyecto. </w:t>
      </w:r>
    </w:p>
    <w:p w14:paraId="5E8B56DE" w14:textId="77777777" w:rsidR="0069056F" w:rsidRPr="00767DBC" w:rsidRDefault="0069056F" w:rsidP="0069056F">
      <w:pPr>
        <w:spacing w:before="120" w:after="120" w:line="360" w:lineRule="auto"/>
        <w:jc w:val="both"/>
        <w:rPr>
          <w:lang w:val="es-ES"/>
        </w:rPr>
      </w:pPr>
    </w:p>
    <w:bookmarkEnd w:id="7"/>
    <w:bookmarkEnd w:id="8"/>
    <w:bookmarkEnd w:id="9"/>
    <w:p w14:paraId="22907C56" w14:textId="77777777" w:rsidR="0069056F" w:rsidRPr="00767DBC" w:rsidRDefault="0069056F" w:rsidP="0069056F">
      <w:pPr>
        <w:pStyle w:val="ListParagraph"/>
        <w:numPr>
          <w:ilvl w:val="0"/>
          <w:numId w:val="3"/>
        </w:numPr>
        <w:spacing w:before="120" w:after="120" w:line="360" w:lineRule="auto"/>
        <w:jc w:val="both"/>
        <w:rPr>
          <w:lang w:val="es-ES"/>
        </w:rPr>
      </w:pPr>
      <w:r w:rsidRPr="00767DBC">
        <w:rPr>
          <w:lang w:val="es-ES"/>
        </w:rPr>
        <w:lastRenderedPageBreak/>
        <w:t>Indicadores de Producto</w:t>
      </w:r>
    </w:p>
    <w:p w14:paraId="1BFEA21F" w14:textId="77777777" w:rsidR="0069056F" w:rsidRPr="00767DBC" w:rsidRDefault="0069056F" w:rsidP="0069056F">
      <w:pPr>
        <w:spacing w:before="120" w:after="120" w:line="360" w:lineRule="auto"/>
        <w:jc w:val="both"/>
        <w:rPr>
          <w:lang w:val="es-ES"/>
        </w:rPr>
      </w:pPr>
      <w:r w:rsidRPr="00767DBC">
        <w:rPr>
          <w:lang w:val="es-ES"/>
        </w:rPr>
        <w:t xml:space="preserve">Los indicadores de productos definidos como las condiciones de política y sus respectivos medios de verificación se encuentran descritos en la Tabla 1. Dado que estos productos son alcanzados una vez </w:t>
      </w:r>
      <w:r>
        <w:rPr>
          <w:rFonts w:eastAsia="MS Mincho"/>
          <w:iCs/>
          <w:szCs w:val="24"/>
          <w:lang w:val="es-ES" w:eastAsia="ja-JP"/>
        </w:rPr>
        <w:t xml:space="preserve">que </w:t>
      </w:r>
      <w:r w:rsidRPr="00767DBC">
        <w:rPr>
          <w:lang w:val="es-ES"/>
        </w:rPr>
        <w:t>se realiza el desembolso se obvia la parte de la frecuencia de medición.</w:t>
      </w:r>
      <w:r>
        <w:rPr>
          <w:rFonts w:eastAsia="MS Mincho"/>
          <w:iCs/>
          <w:szCs w:val="24"/>
          <w:lang w:val="es-ES" w:eastAsia="ja-JP"/>
        </w:rPr>
        <w:t xml:space="preserve">  </w:t>
      </w:r>
    </w:p>
    <w:p w14:paraId="129E3F8E" w14:textId="77777777" w:rsidR="0069056F" w:rsidRPr="00767DBC" w:rsidRDefault="0069056F" w:rsidP="0069056F">
      <w:pPr>
        <w:spacing w:before="120" w:after="120" w:line="360" w:lineRule="auto"/>
        <w:jc w:val="center"/>
        <w:rPr>
          <w:b/>
          <w:lang w:val="es-ES"/>
        </w:rPr>
      </w:pPr>
      <w:r w:rsidRPr="00767DBC">
        <w:rPr>
          <w:b/>
          <w:lang w:val="es-ES"/>
        </w:rPr>
        <w:t xml:space="preserve">Tabla 1. </w:t>
      </w:r>
      <w:r w:rsidRPr="00B0737D">
        <w:rPr>
          <w:b/>
          <w:lang w:val="es-ES"/>
        </w:rPr>
        <w:t>Compromisos</w:t>
      </w:r>
      <w:r w:rsidRPr="00767DBC">
        <w:rPr>
          <w:b/>
          <w:lang w:val="es-ES"/>
        </w:rPr>
        <w:t xml:space="preserve"> de </w:t>
      </w:r>
      <w:r w:rsidRPr="00B0737D">
        <w:rPr>
          <w:b/>
          <w:lang w:val="es-ES"/>
        </w:rPr>
        <w:t>políticas</w:t>
      </w:r>
      <w:r w:rsidRPr="00767DBC">
        <w:rPr>
          <w:b/>
          <w:lang w:val="es-ES"/>
        </w:rPr>
        <w:t xml:space="preserve"> </w:t>
      </w:r>
      <w:r>
        <w:rPr>
          <w:b/>
          <w:lang w:val="es-ES"/>
        </w:rPr>
        <w:t>(productos)</w:t>
      </w:r>
      <w:r w:rsidRPr="00B0737D">
        <w:rPr>
          <w:b/>
          <w:lang w:val="es-ES"/>
        </w:rPr>
        <w:t xml:space="preserve"> </w:t>
      </w:r>
      <w:r w:rsidRPr="00767DBC">
        <w:rPr>
          <w:b/>
          <w:lang w:val="es-ES"/>
        </w:rPr>
        <w:t xml:space="preserve">para </w:t>
      </w:r>
      <w:r>
        <w:rPr>
          <w:b/>
          <w:lang w:val="es-ES"/>
        </w:rPr>
        <w:t>la primera operación del</w:t>
      </w:r>
      <w:r w:rsidRPr="00767DBC">
        <w:rPr>
          <w:b/>
          <w:lang w:val="es-ES"/>
        </w:rPr>
        <w:t xml:space="preserve"> </w:t>
      </w:r>
      <w:r w:rsidRPr="007E07CA">
        <w:rPr>
          <w:b/>
          <w:lang w:val="es-ES"/>
        </w:rPr>
        <w:t>Programa</w:t>
      </w:r>
      <w:r w:rsidRPr="00767DBC">
        <w:rPr>
          <w:b/>
          <w:lang w:val="es-ES"/>
        </w:rPr>
        <w:t xml:space="preserve"> </w:t>
      </w:r>
      <w:bookmarkStart w:id="10" w:name="_Ref322096084"/>
      <w:bookmarkStart w:id="11" w:name="_Toc323827271"/>
      <w:bookmarkStart w:id="12" w:name="_Toc335830654"/>
    </w:p>
    <w:tbl>
      <w:tblPr>
        <w:tblW w:w="5132" w:type="pct"/>
        <w:tblLook w:val="04A0" w:firstRow="1" w:lastRow="0" w:firstColumn="1" w:lastColumn="0" w:noHBand="0" w:noVBand="1"/>
      </w:tblPr>
      <w:tblGrid>
        <w:gridCol w:w="4455"/>
        <w:gridCol w:w="792"/>
        <w:gridCol w:w="861"/>
        <w:gridCol w:w="3721"/>
      </w:tblGrid>
      <w:tr w:rsidR="0069056F" w14:paraId="1CDB4ADA" w14:textId="77777777" w:rsidTr="00266D1B">
        <w:trPr>
          <w:trHeight w:val="440"/>
          <w:tblHeader/>
        </w:trPr>
        <w:tc>
          <w:tcPr>
            <w:tcW w:w="2266" w:type="pct"/>
            <w:vMerge w:val="restart"/>
            <w:tcBorders>
              <w:top w:val="single" w:sz="4" w:space="0" w:color="auto"/>
              <w:left w:val="single" w:sz="4" w:space="0" w:color="auto"/>
              <w:bottom w:val="single" w:sz="4" w:space="0" w:color="auto"/>
              <w:right w:val="single" w:sz="4" w:space="0" w:color="auto"/>
            </w:tcBorders>
            <w:shd w:val="clear" w:color="000000" w:fill="BFBFBF"/>
            <w:vAlign w:val="center"/>
            <w:hideMark/>
          </w:tcPr>
          <w:p w14:paraId="5BF8D837" w14:textId="77777777" w:rsidR="0069056F" w:rsidRPr="00767DBC" w:rsidRDefault="0069056F" w:rsidP="00266D1B">
            <w:pPr>
              <w:jc w:val="center"/>
              <w:rPr>
                <w:b/>
                <w:color w:val="000000"/>
                <w:sz w:val="18"/>
              </w:rPr>
            </w:pPr>
            <w:r>
              <w:rPr>
                <w:b/>
                <w:bCs/>
                <w:color w:val="000000"/>
                <w:sz w:val="18"/>
                <w:lang w:val="es-ES"/>
              </w:rPr>
              <w:t>Productos del primer tramo</w:t>
            </w:r>
          </w:p>
        </w:tc>
        <w:tc>
          <w:tcPr>
            <w:tcW w:w="403" w:type="pct"/>
            <w:tcBorders>
              <w:top w:val="single" w:sz="4" w:space="0" w:color="auto"/>
              <w:left w:val="nil"/>
              <w:bottom w:val="single" w:sz="4" w:space="0" w:color="auto"/>
              <w:right w:val="single" w:sz="4" w:space="0" w:color="auto"/>
            </w:tcBorders>
            <w:shd w:val="clear" w:color="000000" w:fill="BFBFBF"/>
            <w:vAlign w:val="center"/>
            <w:hideMark/>
          </w:tcPr>
          <w:p w14:paraId="748BA792" w14:textId="77777777" w:rsidR="0069056F" w:rsidRPr="00767DBC" w:rsidRDefault="0069056F" w:rsidP="00266D1B">
            <w:pPr>
              <w:jc w:val="center"/>
              <w:rPr>
                <w:b/>
                <w:color w:val="000000"/>
                <w:sz w:val="18"/>
              </w:rPr>
            </w:pPr>
            <w:r>
              <w:rPr>
                <w:b/>
                <w:bCs/>
                <w:color w:val="000000"/>
                <w:sz w:val="18"/>
                <w:szCs w:val="18"/>
              </w:rPr>
              <w:t>Linea base</w:t>
            </w:r>
          </w:p>
        </w:tc>
        <w:tc>
          <w:tcPr>
            <w:tcW w:w="438" w:type="pct"/>
            <w:tcBorders>
              <w:top w:val="single" w:sz="4" w:space="0" w:color="auto"/>
              <w:left w:val="nil"/>
              <w:bottom w:val="single" w:sz="4" w:space="0" w:color="auto"/>
              <w:right w:val="single" w:sz="4" w:space="0" w:color="auto"/>
            </w:tcBorders>
            <w:shd w:val="clear" w:color="000000" w:fill="BFBFBF"/>
            <w:vAlign w:val="center"/>
            <w:hideMark/>
          </w:tcPr>
          <w:p w14:paraId="2CA873F7" w14:textId="77777777" w:rsidR="0069056F" w:rsidRPr="00767DBC" w:rsidRDefault="0069056F" w:rsidP="00266D1B">
            <w:pPr>
              <w:jc w:val="center"/>
              <w:rPr>
                <w:b/>
                <w:color w:val="000000"/>
                <w:sz w:val="18"/>
              </w:rPr>
            </w:pPr>
            <w:r>
              <w:rPr>
                <w:b/>
                <w:bCs/>
                <w:color w:val="000000"/>
                <w:sz w:val="18"/>
                <w:szCs w:val="18"/>
              </w:rPr>
              <w:t>Meta</w:t>
            </w:r>
          </w:p>
        </w:tc>
        <w:tc>
          <w:tcPr>
            <w:tcW w:w="1893" w:type="pct"/>
            <w:vMerge w:val="restart"/>
            <w:tcBorders>
              <w:top w:val="single" w:sz="4" w:space="0" w:color="auto"/>
              <w:left w:val="single" w:sz="4" w:space="0" w:color="auto"/>
              <w:right w:val="single" w:sz="4" w:space="0" w:color="auto"/>
            </w:tcBorders>
            <w:shd w:val="clear" w:color="000000" w:fill="BFBFBF"/>
            <w:vAlign w:val="center"/>
            <w:hideMark/>
          </w:tcPr>
          <w:p w14:paraId="5575A22C" w14:textId="77777777" w:rsidR="0069056F" w:rsidRPr="00767DBC" w:rsidRDefault="0069056F" w:rsidP="00266D1B">
            <w:pPr>
              <w:jc w:val="center"/>
              <w:rPr>
                <w:b/>
                <w:color w:val="000000"/>
                <w:sz w:val="18"/>
              </w:rPr>
            </w:pPr>
            <w:r>
              <w:rPr>
                <w:b/>
                <w:bCs/>
                <w:color w:val="000000"/>
                <w:sz w:val="18"/>
                <w:lang w:val="es-ES"/>
              </w:rPr>
              <w:t>Medios de verificación</w:t>
            </w:r>
          </w:p>
        </w:tc>
      </w:tr>
      <w:tr w:rsidR="0069056F" w14:paraId="0F4B9582" w14:textId="77777777" w:rsidTr="00266D1B">
        <w:trPr>
          <w:trHeight w:val="64"/>
          <w:tblHeader/>
        </w:trPr>
        <w:tc>
          <w:tcPr>
            <w:tcW w:w="2266" w:type="pct"/>
            <w:vMerge/>
            <w:tcBorders>
              <w:top w:val="single" w:sz="4" w:space="0" w:color="auto"/>
              <w:left w:val="single" w:sz="4" w:space="0" w:color="auto"/>
              <w:bottom w:val="single" w:sz="4" w:space="0" w:color="auto"/>
              <w:right w:val="single" w:sz="4" w:space="0" w:color="auto"/>
            </w:tcBorders>
            <w:vAlign w:val="center"/>
            <w:hideMark/>
          </w:tcPr>
          <w:p w14:paraId="23D35102" w14:textId="77777777" w:rsidR="0069056F" w:rsidRDefault="0069056F" w:rsidP="00266D1B">
            <w:pPr>
              <w:rPr>
                <w:b/>
                <w:bCs/>
                <w:color w:val="000000"/>
                <w:sz w:val="18"/>
                <w:szCs w:val="18"/>
              </w:rPr>
            </w:pPr>
          </w:p>
        </w:tc>
        <w:tc>
          <w:tcPr>
            <w:tcW w:w="403" w:type="pct"/>
            <w:tcBorders>
              <w:top w:val="nil"/>
              <w:left w:val="nil"/>
              <w:bottom w:val="single" w:sz="4" w:space="0" w:color="auto"/>
              <w:right w:val="single" w:sz="4" w:space="0" w:color="auto"/>
            </w:tcBorders>
            <w:shd w:val="clear" w:color="000000" w:fill="BFBFBF"/>
            <w:vAlign w:val="center"/>
            <w:hideMark/>
          </w:tcPr>
          <w:p w14:paraId="7CD77BF6" w14:textId="77777777" w:rsidR="0069056F" w:rsidRDefault="0069056F" w:rsidP="00266D1B">
            <w:pPr>
              <w:jc w:val="center"/>
              <w:rPr>
                <w:b/>
                <w:bCs/>
                <w:color w:val="000000"/>
                <w:sz w:val="18"/>
                <w:szCs w:val="18"/>
              </w:rPr>
            </w:pPr>
            <w:r>
              <w:rPr>
                <w:b/>
                <w:bCs/>
                <w:color w:val="000000"/>
                <w:sz w:val="18"/>
                <w:szCs w:val="18"/>
              </w:rPr>
              <w:t>2014</w:t>
            </w:r>
          </w:p>
        </w:tc>
        <w:tc>
          <w:tcPr>
            <w:tcW w:w="438" w:type="pct"/>
            <w:tcBorders>
              <w:top w:val="nil"/>
              <w:left w:val="nil"/>
              <w:bottom w:val="single" w:sz="4" w:space="0" w:color="auto"/>
              <w:right w:val="single" w:sz="4" w:space="0" w:color="auto"/>
            </w:tcBorders>
            <w:shd w:val="clear" w:color="000000" w:fill="BFBFBF"/>
            <w:vAlign w:val="center"/>
            <w:hideMark/>
          </w:tcPr>
          <w:p w14:paraId="71BB7C15" w14:textId="77777777" w:rsidR="0069056F" w:rsidRDefault="0069056F" w:rsidP="00266D1B">
            <w:pPr>
              <w:jc w:val="center"/>
              <w:rPr>
                <w:b/>
                <w:bCs/>
                <w:color w:val="000000"/>
                <w:sz w:val="18"/>
                <w:szCs w:val="18"/>
              </w:rPr>
            </w:pPr>
            <w:r>
              <w:rPr>
                <w:b/>
                <w:bCs/>
                <w:color w:val="000000"/>
                <w:sz w:val="18"/>
                <w:szCs w:val="18"/>
              </w:rPr>
              <w:t>2015</w:t>
            </w:r>
          </w:p>
        </w:tc>
        <w:tc>
          <w:tcPr>
            <w:tcW w:w="1893" w:type="pct"/>
            <w:vMerge/>
            <w:tcBorders>
              <w:left w:val="single" w:sz="4" w:space="0" w:color="auto"/>
              <w:bottom w:val="single" w:sz="4" w:space="0" w:color="auto"/>
              <w:right w:val="single" w:sz="4" w:space="0" w:color="auto"/>
            </w:tcBorders>
            <w:vAlign w:val="center"/>
            <w:hideMark/>
          </w:tcPr>
          <w:p w14:paraId="40942B3D" w14:textId="77777777" w:rsidR="0069056F" w:rsidRDefault="0069056F" w:rsidP="00266D1B">
            <w:pPr>
              <w:rPr>
                <w:b/>
                <w:bCs/>
                <w:color w:val="000000"/>
                <w:sz w:val="18"/>
                <w:szCs w:val="18"/>
              </w:rPr>
            </w:pPr>
          </w:p>
        </w:tc>
      </w:tr>
      <w:tr w:rsidR="0069056F" w14:paraId="3A9A74CF" w14:textId="77777777" w:rsidTr="00266D1B">
        <w:trPr>
          <w:trHeight w:val="287"/>
        </w:trPr>
        <w:tc>
          <w:tcPr>
            <w:tcW w:w="5000" w:type="pct"/>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61B3679A" w14:textId="77777777" w:rsidR="0069056F" w:rsidRPr="00767DBC" w:rsidRDefault="0069056F" w:rsidP="00266D1B">
            <w:pPr>
              <w:rPr>
                <w:b/>
                <w:color w:val="000000"/>
                <w:sz w:val="18"/>
              </w:rPr>
            </w:pPr>
            <w:r w:rsidRPr="00767DBC">
              <w:rPr>
                <w:b/>
                <w:color w:val="000000"/>
                <w:sz w:val="18"/>
              </w:rPr>
              <w:t xml:space="preserve">I. </w:t>
            </w:r>
            <w:proofErr w:type="spellStart"/>
            <w:r w:rsidRPr="00767DBC">
              <w:rPr>
                <w:b/>
                <w:color w:val="000000"/>
                <w:sz w:val="18"/>
              </w:rPr>
              <w:t>Estabilidad</w:t>
            </w:r>
            <w:proofErr w:type="spellEnd"/>
            <w:r w:rsidRPr="00767DBC">
              <w:rPr>
                <w:b/>
                <w:color w:val="000000"/>
                <w:sz w:val="18"/>
              </w:rPr>
              <w:t xml:space="preserve"> </w:t>
            </w:r>
            <w:proofErr w:type="spellStart"/>
            <w:r w:rsidRPr="00767DBC">
              <w:rPr>
                <w:b/>
                <w:color w:val="000000"/>
                <w:sz w:val="18"/>
              </w:rPr>
              <w:t>Macroeconómica</w:t>
            </w:r>
            <w:proofErr w:type="spellEnd"/>
          </w:p>
        </w:tc>
      </w:tr>
      <w:tr w:rsidR="0069056F" w:rsidRPr="00CF7759" w14:paraId="1E77822C" w14:textId="77777777" w:rsidTr="00266D1B">
        <w:trPr>
          <w:trHeight w:val="949"/>
        </w:trPr>
        <w:tc>
          <w:tcPr>
            <w:tcW w:w="2266" w:type="pct"/>
            <w:tcBorders>
              <w:top w:val="nil"/>
              <w:left w:val="single" w:sz="4" w:space="0" w:color="auto"/>
              <w:bottom w:val="single" w:sz="4" w:space="0" w:color="auto"/>
              <w:right w:val="single" w:sz="4" w:space="0" w:color="auto"/>
            </w:tcBorders>
            <w:vAlign w:val="center"/>
          </w:tcPr>
          <w:p w14:paraId="527FF853" w14:textId="77777777" w:rsidR="0069056F" w:rsidRPr="00767DBC" w:rsidRDefault="0069056F" w:rsidP="00266D1B">
            <w:pPr>
              <w:rPr>
                <w:color w:val="000000"/>
                <w:sz w:val="18"/>
                <w:lang w:val="es-ES_tradnl"/>
              </w:rPr>
            </w:pPr>
            <w:r w:rsidRPr="00CF4837">
              <w:rPr>
                <w:color w:val="000000"/>
                <w:sz w:val="18"/>
                <w:szCs w:val="18"/>
                <w:lang w:val="es-ES_tradnl"/>
              </w:rPr>
              <w:t>Marco macroeconómico consistente con los objetivos del Programa y con los lineamientos establecidos en la carta de política sectorial.</w:t>
            </w:r>
          </w:p>
        </w:tc>
        <w:tc>
          <w:tcPr>
            <w:tcW w:w="403" w:type="pct"/>
            <w:tcBorders>
              <w:top w:val="nil"/>
              <w:left w:val="nil"/>
              <w:bottom w:val="single" w:sz="4" w:space="0" w:color="auto"/>
              <w:right w:val="single" w:sz="4" w:space="0" w:color="auto"/>
            </w:tcBorders>
            <w:vAlign w:val="center"/>
          </w:tcPr>
          <w:p w14:paraId="12665ACD" w14:textId="77777777" w:rsidR="0069056F" w:rsidRPr="00767DBC" w:rsidRDefault="0069056F" w:rsidP="00266D1B">
            <w:pPr>
              <w:jc w:val="center"/>
              <w:rPr>
                <w:color w:val="000000"/>
                <w:sz w:val="18"/>
                <w:lang w:val="es-ES_tradnl"/>
              </w:rPr>
            </w:pPr>
            <w:r>
              <w:rPr>
                <w:color w:val="000000"/>
                <w:sz w:val="18"/>
                <w:szCs w:val="18"/>
                <w:lang w:val="es-ES_tradnl"/>
              </w:rPr>
              <w:t>0</w:t>
            </w:r>
          </w:p>
        </w:tc>
        <w:tc>
          <w:tcPr>
            <w:tcW w:w="438" w:type="pct"/>
            <w:tcBorders>
              <w:top w:val="nil"/>
              <w:left w:val="nil"/>
              <w:bottom w:val="single" w:sz="4" w:space="0" w:color="auto"/>
              <w:right w:val="single" w:sz="4" w:space="0" w:color="auto"/>
            </w:tcBorders>
            <w:shd w:val="clear" w:color="auto" w:fill="auto"/>
            <w:vAlign w:val="center"/>
          </w:tcPr>
          <w:p w14:paraId="7BB62B5B" w14:textId="77777777" w:rsidR="0069056F" w:rsidRPr="00035171" w:rsidRDefault="0069056F" w:rsidP="00266D1B">
            <w:pPr>
              <w:jc w:val="center"/>
              <w:rPr>
                <w:color w:val="000000"/>
                <w:sz w:val="18"/>
                <w:szCs w:val="18"/>
                <w:lang w:val="es-ES_tradnl"/>
              </w:rPr>
            </w:pPr>
            <w:r>
              <w:rPr>
                <w:color w:val="000000"/>
                <w:sz w:val="18"/>
                <w:szCs w:val="18"/>
                <w:lang w:val="es-ES_tradnl"/>
              </w:rPr>
              <w:t>1</w:t>
            </w:r>
          </w:p>
        </w:tc>
        <w:tc>
          <w:tcPr>
            <w:tcW w:w="1893" w:type="pct"/>
            <w:tcBorders>
              <w:top w:val="nil"/>
              <w:left w:val="nil"/>
              <w:bottom w:val="single" w:sz="4" w:space="0" w:color="auto"/>
              <w:right w:val="single" w:sz="4" w:space="0" w:color="auto"/>
            </w:tcBorders>
            <w:shd w:val="clear" w:color="auto" w:fill="auto"/>
            <w:vAlign w:val="center"/>
          </w:tcPr>
          <w:p w14:paraId="16AA4DCD" w14:textId="77777777" w:rsidR="0069056F" w:rsidRPr="00767DBC" w:rsidRDefault="0069056F" w:rsidP="00266D1B">
            <w:pPr>
              <w:rPr>
                <w:color w:val="000000"/>
                <w:sz w:val="18"/>
                <w:lang w:val="es-ES_tradnl"/>
              </w:rPr>
            </w:pPr>
            <w:r w:rsidRPr="009B71B4">
              <w:rPr>
                <w:bCs/>
                <w:sz w:val="18"/>
                <w:szCs w:val="18"/>
                <w:lang w:val="es-MX"/>
              </w:rPr>
              <w:t>Evaluación Independiente de Condiciones Macroeconómicas (IAMC) vigente al momento de solicitar el desembolso</w:t>
            </w:r>
          </w:p>
        </w:tc>
      </w:tr>
      <w:tr w:rsidR="0069056F" w:rsidRPr="00035171" w14:paraId="76AC8806" w14:textId="77777777" w:rsidTr="00266D1B">
        <w:trPr>
          <w:trHeight w:val="242"/>
        </w:trPr>
        <w:tc>
          <w:tcPr>
            <w:tcW w:w="5000" w:type="pct"/>
            <w:gridSpan w:val="4"/>
            <w:tcBorders>
              <w:top w:val="nil"/>
              <w:left w:val="single" w:sz="4" w:space="0" w:color="auto"/>
              <w:bottom w:val="single" w:sz="4" w:space="0" w:color="auto"/>
              <w:right w:val="single" w:sz="4" w:space="0" w:color="auto"/>
            </w:tcBorders>
            <w:shd w:val="clear" w:color="auto" w:fill="auto"/>
            <w:vAlign w:val="center"/>
          </w:tcPr>
          <w:p w14:paraId="69C99D83" w14:textId="77777777" w:rsidR="0069056F" w:rsidRPr="00767DBC" w:rsidRDefault="0069056F" w:rsidP="00266D1B">
            <w:pPr>
              <w:rPr>
                <w:color w:val="000000"/>
                <w:sz w:val="18"/>
                <w:lang w:val="es-ES_tradnl"/>
              </w:rPr>
            </w:pPr>
            <w:r w:rsidRPr="00767DBC">
              <w:rPr>
                <w:b/>
                <w:color w:val="000000"/>
                <w:sz w:val="18"/>
              </w:rPr>
              <w:t xml:space="preserve">Sector </w:t>
            </w:r>
            <w:proofErr w:type="spellStart"/>
            <w:r w:rsidRPr="00767DBC">
              <w:rPr>
                <w:b/>
                <w:color w:val="000000"/>
                <w:sz w:val="18"/>
              </w:rPr>
              <w:t>energético</w:t>
            </w:r>
            <w:proofErr w:type="spellEnd"/>
            <w:r w:rsidRPr="00767DBC">
              <w:rPr>
                <w:b/>
                <w:color w:val="000000"/>
                <w:sz w:val="18"/>
              </w:rPr>
              <w:t xml:space="preserve"> </w:t>
            </w:r>
            <w:proofErr w:type="spellStart"/>
            <w:r w:rsidRPr="00767DBC">
              <w:rPr>
                <w:b/>
                <w:color w:val="000000"/>
                <w:sz w:val="18"/>
              </w:rPr>
              <w:t>sostenible</w:t>
            </w:r>
            <w:proofErr w:type="spellEnd"/>
          </w:p>
        </w:tc>
      </w:tr>
      <w:tr w:rsidR="0069056F" w:rsidRPr="00CF7759" w14:paraId="7043F95A" w14:textId="77777777" w:rsidTr="00266D1B">
        <w:trPr>
          <w:trHeight w:val="949"/>
        </w:trPr>
        <w:tc>
          <w:tcPr>
            <w:tcW w:w="2266" w:type="pct"/>
            <w:tcBorders>
              <w:top w:val="nil"/>
              <w:left w:val="single" w:sz="4" w:space="0" w:color="auto"/>
              <w:bottom w:val="single" w:sz="4" w:space="0" w:color="auto"/>
              <w:right w:val="single" w:sz="4" w:space="0" w:color="auto"/>
            </w:tcBorders>
            <w:vAlign w:val="center"/>
          </w:tcPr>
          <w:p w14:paraId="53EB3B6D" w14:textId="77777777" w:rsidR="0069056F" w:rsidRPr="00035171" w:rsidRDefault="0069056F" w:rsidP="00266D1B">
            <w:pPr>
              <w:rPr>
                <w:bCs/>
                <w:color w:val="000000"/>
                <w:sz w:val="18"/>
                <w:lang w:val="es-MX"/>
              </w:rPr>
            </w:pPr>
            <w:r w:rsidRPr="00035171">
              <w:rPr>
                <w:bCs/>
                <w:color w:val="000000"/>
                <w:sz w:val="18"/>
                <w:lang w:val="es-MX"/>
              </w:rPr>
              <w:t>Dictamen de la Secretaria Nacional de Planificación y Desarrollo (SENPLADES) de la iniciativa para la sustitución  del uso de Gas Licuado de Petróleo (GLP) por electricidad en el sector residencial, aprobado.</w:t>
            </w:r>
          </w:p>
        </w:tc>
        <w:tc>
          <w:tcPr>
            <w:tcW w:w="403" w:type="pct"/>
            <w:tcBorders>
              <w:top w:val="nil"/>
              <w:left w:val="nil"/>
              <w:bottom w:val="single" w:sz="4" w:space="0" w:color="auto"/>
              <w:right w:val="single" w:sz="4" w:space="0" w:color="auto"/>
            </w:tcBorders>
            <w:shd w:val="clear" w:color="auto" w:fill="auto"/>
            <w:vAlign w:val="center"/>
          </w:tcPr>
          <w:p w14:paraId="025397FF" w14:textId="77777777" w:rsidR="0069056F" w:rsidRDefault="0069056F" w:rsidP="00266D1B">
            <w:pPr>
              <w:jc w:val="center"/>
              <w:rPr>
                <w:color w:val="000000"/>
                <w:sz w:val="18"/>
                <w:szCs w:val="18"/>
              </w:rPr>
            </w:pPr>
            <w:r>
              <w:rPr>
                <w:color w:val="000000"/>
                <w:sz w:val="18"/>
                <w:szCs w:val="18"/>
              </w:rPr>
              <w:t>0</w:t>
            </w:r>
          </w:p>
        </w:tc>
        <w:tc>
          <w:tcPr>
            <w:tcW w:w="438" w:type="pct"/>
            <w:tcBorders>
              <w:top w:val="nil"/>
              <w:left w:val="nil"/>
              <w:bottom w:val="single" w:sz="4" w:space="0" w:color="auto"/>
              <w:right w:val="single" w:sz="4" w:space="0" w:color="auto"/>
            </w:tcBorders>
            <w:shd w:val="clear" w:color="auto" w:fill="auto"/>
            <w:vAlign w:val="center"/>
          </w:tcPr>
          <w:p w14:paraId="5BFACB7B" w14:textId="77777777" w:rsidR="0069056F" w:rsidRDefault="0069056F" w:rsidP="00266D1B">
            <w:pPr>
              <w:jc w:val="center"/>
              <w:rPr>
                <w:color w:val="000000"/>
                <w:sz w:val="18"/>
                <w:szCs w:val="18"/>
              </w:rPr>
            </w:pPr>
            <w:r>
              <w:rPr>
                <w:color w:val="000000"/>
                <w:sz w:val="18"/>
                <w:szCs w:val="18"/>
              </w:rPr>
              <w:t>1</w:t>
            </w:r>
          </w:p>
        </w:tc>
        <w:tc>
          <w:tcPr>
            <w:tcW w:w="1893" w:type="pct"/>
            <w:tcBorders>
              <w:top w:val="nil"/>
              <w:left w:val="nil"/>
              <w:bottom w:val="single" w:sz="4" w:space="0" w:color="auto"/>
              <w:right w:val="single" w:sz="4" w:space="0" w:color="auto"/>
            </w:tcBorders>
            <w:shd w:val="clear" w:color="auto" w:fill="auto"/>
            <w:vAlign w:val="center"/>
          </w:tcPr>
          <w:p w14:paraId="3F5D1038" w14:textId="77777777" w:rsidR="0069056F" w:rsidRPr="00822CC5" w:rsidRDefault="0069056F" w:rsidP="00266D1B">
            <w:pPr>
              <w:rPr>
                <w:color w:val="000000"/>
                <w:sz w:val="18"/>
                <w:lang w:val="es-MX"/>
              </w:rPr>
            </w:pPr>
            <w:r w:rsidRPr="00822CC5">
              <w:rPr>
                <w:color w:val="000000"/>
                <w:sz w:val="18"/>
                <w:lang w:val="es-MX"/>
              </w:rPr>
              <w:t xml:space="preserve">Oficio </w:t>
            </w:r>
            <w:r>
              <w:rPr>
                <w:color w:val="000000"/>
                <w:sz w:val="18"/>
                <w:lang w:val="es-MX"/>
              </w:rPr>
              <w:t xml:space="preserve">favorable </w:t>
            </w:r>
            <w:r>
              <w:rPr>
                <w:bCs/>
                <w:color w:val="000000"/>
                <w:sz w:val="18"/>
                <w:lang w:val="es-MX"/>
              </w:rPr>
              <w:t>emitido por la Secretaria Nacional de Planificación y Desarrollo (</w:t>
            </w:r>
            <w:r w:rsidRPr="00822CC5">
              <w:rPr>
                <w:color w:val="000000"/>
                <w:sz w:val="18"/>
                <w:lang w:val="es-MX"/>
              </w:rPr>
              <w:t>SENPLADES</w:t>
            </w:r>
            <w:r>
              <w:rPr>
                <w:color w:val="000000"/>
                <w:sz w:val="18"/>
                <w:lang w:val="es-MX"/>
              </w:rPr>
              <w:t>),</w:t>
            </w:r>
            <w:r w:rsidRPr="00822CC5">
              <w:rPr>
                <w:color w:val="000000"/>
                <w:sz w:val="18"/>
                <w:lang w:val="es-MX"/>
              </w:rPr>
              <w:t xml:space="preserve"> </w:t>
            </w:r>
            <w:r>
              <w:rPr>
                <w:color w:val="000000"/>
                <w:sz w:val="18"/>
                <w:lang w:val="es-MX"/>
              </w:rPr>
              <w:t xml:space="preserve">del </w:t>
            </w:r>
            <w:r w:rsidRPr="002A2D18">
              <w:rPr>
                <w:bCs/>
                <w:color w:val="000000"/>
                <w:sz w:val="18"/>
                <w:lang w:val="es-MX"/>
              </w:rPr>
              <w:t xml:space="preserve">Plan para </w:t>
            </w:r>
            <w:r>
              <w:rPr>
                <w:bCs/>
                <w:color w:val="000000"/>
                <w:sz w:val="18"/>
                <w:lang w:val="es-MX"/>
              </w:rPr>
              <w:t>la  sustitución</w:t>
            </w:r>
            <w:r w:rsidRPr="002A2D18">
              <w:rPr>
                <w:bCs/>
                <w:color w:val="000000"/>
                <w:sz w:val="18"/>
                <w:lang w:val="es-MX"/>
              </w:rPr>
              <w:t xml:space="preserve"> del uso de Gas Licuado de Petróleo (GLP) por electricidad en el sector residencial</w:t>
            </w:r>
            <w:r>
              <w:rPr>
                <w:bCs/>
                <w:color w:val="000000"/>
                <w:sz w:val="18"/>
                <w:lang w:val="es-MX"/>
              </w:rPr>
              <w:t>.</w:t>
            </w:r>
          </w:p>
        </w:tc>
      </w:tr>
      <w:tr w:rsidR="0069056F" w:rsidRPr="00CF7759" w14:paraId="28F63C4B" w14:textId="77777777" w:rsidTr="00266D1B">
        <w:trPr>
          <w:trHeight w:val="949"/>
        </w:trPr>
        <w:tc>
          <w:tcPr>
            <w:tcW w:w="2266" w:type="pct"/>
            <w:tcBorders>
              <w:top w:val="nil"/>
              <w:left w:val="single" w:sz="4" w:space="0" w:color="auto"/>
              <w:bottom w:val="single" w:sz="4" w:space="0" w:color="auto"/>
              <w:right w:val="single" w:sz="4" w:space="0" w:color="auto"/>
            </w:tcBorders>
            <w:vAlign w:val="center"/>
            <w:hideMark/>
          </w:tcPr>
          <w:p w14:paraId="7AC1D6B2" w14:textId="77777777" w:rsidR="0069056F" w:rsidRPr="00767DBC" w:rsidRDefault="0069056F" w:rsidP="00266D1B">
            <w:pPr>
              <w:rPr>
                <w:color w:val="000000"/>
                <w:sz w:val="18"/>
                <w:lang w:val="es-ES_tradnl"/>
              </w:rPr>
            </w:pPr>
            <w:r w:rsidRPr="00290D50">
              <w:rPr>
                <w:bCs/>
                <w:color w:val="000000"/>
                <w:sz w:val="18"/>
                <w:lang w:val="es-MX"/>
              </w:rPr>
              <w:t>Alcance del proyecto de política del Ministerio de Recursos Naturales No Renovables (MRNNR) para la Sustitución de subsidio al GLP por Electricidad con alcance en la población vulnerable sin acceso al servicio eléctrico, diseñado.</w:t>
            </w:r>
          </w:p>
        </w:tc>
        <w:tc>
          <w:tcPr>
            <w:tcW w:w="403" w:type="pct"/>
            <w:tcBorders>
              <w:top w:val="nil"/>
              <w:left w:val="nil"/>
              <w:bottom w:val="single" w:sz="4" w:space="0" w:color="auto"/>
              <w:right w:val="single" w:sz="4" w:space="0" w:color="auto"/>
            </w:tcBorders>
            <w:vAlign w:val="center"/>
            <w:hideMark/>
          </w:tcPr>
          <w:p w14:paraId="7956652B" w14:textId="77777777" w:rsidR="0069056F" w:rsidRDefault="0069056F" w:rsidP="00266D1B">
            <w:pPr>
              <w:jc w:val="center"/>
              <w:rPr>
                <w:color w:val="000000"/>
                <w:sz w:val="18"/>
                <w:szCs w:val="18"/>
              </w:rPr>
            </w:pPr>
            <w:r>
              <w:rPr>
                <w:color w:val="000000"/>
                <w:sz w:val="18"/>
                <w:szCs w:val="18"/>
              </w:rPr>
              <w:t>0</w:t>
            </w:r>
          </w:p>
        </w:tc>
        <w:tc>
          <w:tcPr>
            <w:tcW w:w="438" w:type="pct"/>
            <w:tcBorders>
              <w:top w:val="nil"/>
              <w:left w:val="nil"/>
              <w:bottom w:val="single" w:sz="4" w:space="0" w:color="auto"/>
              <w:right w:val="single" w:sz="4" w:space="0" w:color="auto"/>
            </w:tcBorders>
            <w:shd w:val="clear" w:color="auto" w:fill="auto"/>
            <w:vAlign w:val="center"/>
            <w:hideMark/>
          </w:tcPr>
          <w:p w14:paraId="0274223A" w14:textId="77777777" w:rsidR="0069056F" w:rsidRDefault="0069056F" w:rsidP="00266D1B">
            <w:pPr>
              <w:jc w:val="center"/>
              <w:rPr>
                <w:color w:val="000000"/>
                <w:sz w:val="18"/>
                <w:szCs w:val="18"/>
              </w:rPr>
            </w:pPr>
            <w:r>
              <w:rPr>
                <w:color w:val="000000"/>
                <w:sz w:val="18"/>
                <w:szCs w:val="18"/>
              </w:rPr>
              <w:t>1</w:t>
            </w:r>
          </w:p>
        </w:tc>
        <w:tc>
          <w:tcPr>
            <w:tcW w:w="1893" w:type="pct"/>
            <w:tcBorders>
              <w:top w:val="nil"/>
              <w:left w:val="nil"/>
              <w:bottom w:val="single" w:sz="4" w:space="0" w:color="auto"/>
              <w:right w:val="single" w:sz="4" w:space="0" w:color="auto"/>
            </w:tcBorders>
            <w:shd w:val="clear" w:color="auto" w:fill="auto"/>
            <w:vAlign w:val="center"/>
            <w:hideMark/>
          </w:tcPr>
          <w:p w14:paraId="3C51CB6F" w14:textId="77777777" w:rsidR="0069056F" w:rsidRPr="00767DBC" w:rsidRDefault="0069056F" w:rsidP="00266D1B">
            <w:pPr>
              <w:rPr>
                <w:color w:val="000000"/>
                <w:sz w:val="18"/>
                <w:lang w:val="es-ES_tradnl"/>
              </w:rPr>
            </w:pPr>
            <w:r w:rsidRPr="00C57FC9">
              <w:rPr>
                <w:color w:val="000000"/>
                <w:sz w:val="18"/>
                <w:lang w:val="es-MX"/>
              </w:rPr>
              <w:t xml:space="preserve">Oficio del Ministro de Recursos Naturales No Renovables (MRNNR) al Ministro de Finanzas donde se adjuntan los términos de referencia que especifican el alcance del </w:t>
            </w:r>
            <w:r w:rsidRPr="00C57FC9">
              <w:rPr>
                <w:bCs/>
                <w:color w:val="000000"/>
                <w:sz w:val="18"/>
                <w:lang w:val="es-MX"/>
              </w:rPr>
              <w:t>proyecto de políticas de sustitución de subsidio GLP-Electricidad en la población vulnerable sin acceso al servicio eléctrico.</w:t>
            </w:r>
          </w:p>
        </w:tc>
      </w:tr>
      <w:tr w:rsidR="0069056F" w:rsidRPr="00CF7759" w14:paraId="2E2FC4C4" w14:textId="77777777" w:rsidTr="00266D1B">
        <w:trPr>
          <w:trHeight w:val="712"/>
        </w:trPr>
        <w:tc>
          <w:tcPr>
            <w:tcW w:w="2266" w:type="pct"/>
            <w:tcBorders>
              <w:top w:val="nil"/>
              <w:left w:val="single" w:sz="4" w:space="0" w:color="auto"/>
              <w:bottom w:val="single" w:sz="4" w:space="0" w:color="auto"/>
              <w:right w:val="single" w:sz="4" w:space="0" w:color="auto"/>
            </w:tcBorders>
            <w:vAlign w:val="center"/>
            <w:hideMark/>
          </w:tcPr>
          <w:p w14:paraId="0973C0FF" w14:textId="77777777" w:rsidR="0069056F" w:rsidRPr="00767DBC" w:rsidRDefault="0069056F" w:rsidP="00266D1B">
            <w:pPr>
              <w:rPr>
                <w:color w:val="000000"/>
                <w:sz w:val="18"/>
                <w:lang w:val="es-ES_tradnl"/>
              </w:rPr>
            </w:pPr>
            <w:r w:rsidRPr="002A2D18">
              <w:rPr>
                <w:bCs/>
                <w:color w:val="000000"/>
                <w:sz w:val="18"/>
                <w:lang w:val="es-MX"/>
              </w:rPr>
              <w:t>Esquema tarifario</w:t>
            </w:r>
            <w:r>
              <w:rPr>
                <w:rStyle w:val="FootnoteReference"/>
                <w:bCs/>
                <w:color w:val="000000"/>
                <w:sz w:val="18"/>
                <w:lang w:val="es-MX"/>
              </w:rPr>
              <w:footnoteReference w:id="2"/>
            </w:r>
            <w:r w:rsidRPr="002A2D18">
              <w:rPr>
                <w:bCs/>
                <w:color w:val="000000"/>
                <w:sz w:val="18"/>
                <w:lang w:val="es-MX"/>
              </w:rPr>
              <w:t xml:space="preserve"> para la transición de GLP a electricidad en el sector residencial con acceso al servicio eléctrico, </w:t>
            </w:r>
            <w:r>
              <w:rPr>
                <w:bCs/>
                <w:color w:val="000000"/>
                <w:sz w:val="18"/>
                <w:lang w:val="es-MX"/>
              </w:rPr>
              <w:t>diseñado y aprobado</w:t>
            </w:r>
            <w:r w:rsidRPr="002A2D18">
              <w:rPr>
                <w:bCs/>
                <w:color w:val="000000"/>
                <w:sz w:val="18"/>
                <w:lang w:val="es-MX"/>
              </w:rPr>
              <w:t>.</w:t>
            </w:r>
          </w:p>
        </w:tc>
        <w:tc>
          <w:tcPr>
            <w:tcW w:w="403" w:type="pct"/>
            <w:tcBorders>
              <w:top w:val="nil"/>
              <w:left w:val="nil"/>
              <w:bottom w:val="single" w:sz="4" w:space="0" w:color="auto"/>
              <w:right w:val="single" w:sz="4" w:space="0" w:color="auto"/>
            </w:tcBorders>
            <w:vAlign w:val="center"/>
            <w:hideMark/>
          </w:tcPr>
          <w:p w14:paraId="38BFAF82" w14:textId="77777777" w:rsidR="0069056F" w:rsidRPr="00767DBC" w:rsidRDefault="0069056F" w:rsidP="00266D1B">
            <w:pPr>
              <w:jc w:val="center"/>
              <w:rPr>
                <w:color w:val="000000"/>
                <w:sz w:val="18"/>
              </w:rPr>
            </w:pPr>
            <w:r>
              <w:rPr>
                <w:color w:val="000000"/>
                <w:sz w:val="18"/>
                <w:szCs w:val="18"/>
              </w:rPr>
              <w:t>0</w:t>
            </w:r>
          </w:p>
        </w:tc>
        <w:tc>
          <w:tcPr>
            <w:tcW w:w="438" w:type="pct"/>
            <w:tcBorders>
              <w:top w:val="nil"/>
              <w:left w:val="nil"/>
              <w:bottom w:val="single" w:sz="4" w:space="0" w:color="auto"/>
              <w:right w:val="single" w:sz="4" w:space="0" w:color="auto"/>
            </w:tcBorders>
            <w:shd w:val="clear" w:color="auto" w:fill="auto"/>
            <w:vAlign w:val="center"/>
            <w:hideMark/>
          </w:tcPr>
          <w:p w14:paraId="2CBCE2E6" w14:textId="77777777" w:rsidR="0069056F" w:rsidRDefault="0069056F" w:rsidP="00266D1B">
            <w:pPr>
              <w:jc w:val="center"/>
              <w:rPr>
                <w:color w:val="000000"/>
                <w:sz w:val="18"/>
                <w:szCs w:val="18"/>
              </w:rPr>
            </w:pPr>
            <w:r>
              <w:rPr>
                <w:color w:val="000000"/>
                <w:sz w:val="18"/>
                <w:szCs w:val="18"/>
              </w:rPr>
              <w:t>1</w:t>
            </w:r>
          </w:p>
        </w:tc>
        <w:tc>
          <w:tcPr>
            <w:tcW w:w="1893" w:type="pct"/>
            <w:tcBorders>
              <w:top w:val="nil"/>
              <w:left w:val="nil"/>
              <w:bottom w:val="single" w:sz="4" w:space="0" w:color="auto"/>
              <w:right w:val="single" w:sz="4" w:space="0" w:color="auto"/>
            </w:tcBorders>
            <w:shd w:val="clear" w:color="auto" w:fill="auto"/>
            <w:vAlign w:val="center"/>
            <w:hideMark/>
          </w:tcPr>
          <w:p w14:paraId="65594EC5" w14:textId="77777777" w:rsidR="0069056F" w:rsidRPr="00767DBC" w:rsidRDefault="0069056F" w:rsidP="00266D1B">
            <w:pPr>
              <w:rPr>
                <w:color w:val="000000"/>
                <w:sz w:val="18"/>
                <w:lang w:val="es-ES_tradnl"/>
              </w:rPr>
            </w:pPr>
            <w:r w:rsidRPr="000908FE">
              <w:rPr>
                <w:bCs/>
                <w:color w:val="000000"/>
                <w:sz w:val="18"/>
                <w:lang w:val="es-MX"/>
              </w:rPr>
              <w:t>Resolución del directorio del Consejo Nacional de Electricidad (CONELEC) del esquema tarifario para la transición de GLP a electricidad en el sector residencial con acceso al servicio eléctrico.</w:t>
            </w:r>
          </w:p>
        </w:tc>
      </w:tr>
      <w:tr w:rsidR="0069056F" w:rsidRPr="00CF7759" w14:paraId="5752E59B" w14:textId="77777777" w:rsidTr="00266D1B">
        <w:trPr>
          <w:trHeight w:val="504"/>
        </w:trPr>
        <w:tc>
          <w:tcPr>
            <w:tcW w:w="2266" w:type="pct"/>
            <w:tcBorders>
              <w:top w:val="nil"/>
              <w:left w:val="single" w:sz="4" w:space="0" w:color="auto"/>
              <w:bottom w:val="single" w:sz="4" w:space="0" w:color="auto"/>
              <w:right w:val="single" w:sz="4" w:space="0" w:color="auto"/>
            </w:tcBorders>
            <w:vAlign w:val="center"/>
            <w:hideMark/>
          </w:tcPr>
          <w:p w14:paraId="799C6DF0" w14:textId="77777777" w:rsidR="0069056F" w:rsidRPr="00767DBC" w:rsidRDefault="0069056F" w:rsidP="00266D1B">
            <w:pPr>
              <w:rPr>
                <w:color w:val="000000"/>
                <w:sz w:val="18"/>
                <w:lang w:val="es-ES_tradnl"/>
              </w:rPr>
            </w:pPr>
            <w:r>
              <w:rPr>
                <w:bCs/>
                <w:color w:val="000000"/>
                <w:sz w:val="18"/>
                <w:lang w:val="es-MX"/>
              </w:rPr>
              <w:t xml:space="preserve">Política </w:t>
            </w:r>
            <w:r w:rsidRPr="00767DBC">
              <w:rPr>
                <w:i/>
                <w:color w:val="000000"/>
                <w:sz w:val="18"/>
                <w:lang w:val="es-MX"/>
              </w:rPr>
              <w:t>para la Optimización de la Generación Eléctrica (OGE</w:t>
            </w:r>
            <w:r>
              <w:rPr>
                <w:bCs/>
                <w:i/>
                <w:color w:val="000000"/>
                <w:sz w:val="18"/>
                <w:lang w:val="es-MX"/>
              </w:rPr>
              <w:t>&amp;EE</w:t>
            </w:r>
            <w:r w:rsidRPr="00767DBC">
              <w:rPr>
                <w:i/>
                <w:color w:val="000000"/>
                <w:sz w:val="18"/>
                <w:lang w:val="es-MX"/>
              </w:rPr>
              <w:t xml:space="preserve">) en la actividad </w:t>
            </w:r>
            <w:proofErr w:type="spellStart"/>
            <w:r w:rsidRPr="00767DBC">
              <w:rPr>
                <w:i/>
                <w:color w:val="000000"/>
                <w:sz w:val="18"/>
                <w:lang w:val="es-MX"/>
              </w:rPr>
              <w:t>hidrocarburífera</w:t>
            </w:r>
            <w:proofErr w:type="spellEnd"/>
            <w:r w:rsidRPr="00C36243">
              <w:rPr>
                <w:rStyle w:val="FootnoteReference"/>
                <w:bCs/>
                <w:color w:val="000000"/>
                <w:sz w:val="18"/>
                <w:lang w:val="es-MX"/>
              </w:rPr>
              <w:footnoteReference w:id="3"/>
            </w:r>
            <w:r>
              <w:rPr>
                <w:bCs/>
                <w:color w:val="000000"/>
                <w:sz w:val="18"/>
                <w:lang w:val="es-MX"/>
              </w:rPr>
              <w:t xml:space="preserve">, diseñada por PETROAMAZONAS en acuerdo con </w:t>
            </w:r>
            <w:r>
              <w:rPr>
                <w:sz w:val="18"/>
                <w:szCs w:val="18"/>
                <w:lang w:val="es-MX"/>
              </w:rPr>
              <w:t>el MRNNR</w:t>
            </w:r>
            <w:r>
              <w:rPr>
                <w:bCs/>
                <w:color w:val="000000"/>
                <w:sz w:val="18"/>
                <w:lang w:val="es-MX"/>
              </w:rPr>
              <w:t>, en ejecución</w:t>
            </w:r>
            <w:r w:rsidRPr="00C36243">
              <w:rPr>
                <w:bCs/>
                <w:color w:val="000000"/>
                <w:sz w:val="18"/>
                <w:lang w:val="es-MX"/>
              </w:rPr>
              <w:t>.</w:t>
            </w:r>
          </w:p>
        </w:tc>
        <w:tc>
          <w:tcPr>
            <w:tcW w:w="403" w:type="pct"/>
            <w:tcBorders>
              <w:top w:val="nil"/>
              <w:left w:val="nil"/>
              <w:bottom w:val="single" w:sz="4" w:space="0" w:color="auto"/>
              <w:right w:val="single" w:sz="4" w:space="0" w:color="auto"/>
            </w:tcBorders>
            <w:vAlign w:val="center"/>
            <w:hideMark/>
          </w:tcPr>
          <w:p w14:paraId="01328F1F" w14:textId="77777777" w:rsidR="0069056F" w:rsidRPr="00767DBC" w:rsidRDefault="0069056F" w:rsidP="00266D1B">
            <w:pPr>
              <w:jc w:val="center"/>
              <w:rPr>
                <w:color w:val="000000"/>
                <w:sz w:val="18"/>
              </w:rPr>
            </w:pPr>
            <w:r>
              <w:rPr>
                <w:color w:val="000000"/>
                <w:sz w:val="18"/>
                <w:szCs w:val="18"/>
              </w:rPr>
              <w:t>0</w:t>
            </w:r>
          </w:p>
        </w:tc>
        <w:tc>
          <w:tcPr>
            <w:tcW w:w="438" w:type="pct"/>
            <w:tcBorders>
              <w:top w:val="nil"/>
              <w:left w:val="nil"/>
              <w:bottom w:val="single" w:sz="4" w:space="0" w:color="auto"/>
              <w:right w:val="single" w:sz="4" w:space="0" w:color="auto"/>
            </w:tcBorders>
            <w:shd w:val="clear" w:color="auto" w:fill="auto"/>
            <w:vAlign w:val="center"/>
            <w:hideMark/>
          </w:tcPr>
          <w:p w14:paraId="0BA94034" w14:textId="77777777" w:rsidR="0069056F" w:rsidRDefault="0069056F" w:rsidP="00266D1B">
            <w:pPr>
              <w:jc w:val="center"/>
              <w:rPr>
                <w:color w:val="000000"/>
                <w:sz w:val="18"/>
                <w:szCs w:val="18"/>
              </w:rPr>
            </w:pPr>
            <w:r>
              <w:rPr>
                <w:color w:val="000000"/>
                <w:sz w:val="18"/>
                <w:szCs w:val="18"/>
              </w:rPr>
              <w:t>1</w:t>
            </w:r>
          </w:p>
        </w:tc>
        <w:tc>
          <w:tcPr>
            <w:tcW w:w="1893" w:type="pct"/>
            <w:tcBorders>
              <w:top w:val="nil"/>
              <w:left w:val="nil"/>
              <w:bottom w:val="single" w:sz="4" w:space="0" w:color="auto"/>
              <w:right w:val="single" w:sz="4" w:space="0" w:color="auto"/>
            </w:tcBorders>
            <w:shd w:val="clear" w:color="auto" w:fill="auto"/>
            <w:vAlign w:val="center"/>
            <w:hideMark/>
          </w:tcPr>
          <w:p w14:paraId="7710B73F" w14:textId="28563AF3" w:rsidR="0069056F" w:rsidRPr="00767DBC" w:rsidRDefault="00CF7759" w:rsidP="00266D1B">
            <w:pPr>
              <w:rPr>
                <w:color w:val="000000"/>
                <w:sz w:val="18"/>
                <w:lang w:val="es-CO"/>
              </w:rPr>
            </w:pPr>
            <w:r w:rsidRPr="00CF7759">
              <w:rPr>
                <w:sz w:val="18"/>
                <w:szCs w:val="18"/>
                <w:lang w:val="es-MX"/>
              </w:rPr>
              <w:t xml:space="preserve">Oficio del Ministro de Recursos Naturales No Renovables (MRNNR) al Ministro de Finanzas en donde se adjunte el reporte de la iniciativa OGE,   publicado a través del sistema de Gobierno por Resultados (GPR), que demuestre </w:t>
            </w:r>
            <w:r w:rsidRPr="00CF7759">
              <w:rPr>
                <w:sz w:val="18"/>
                <w:szCs w:val="18"/>
                <w:lang w:val="es-MX"/>
              </w:rPr>
              <w:lastRenderedPageBreak/>
              <w:t>la reducción del consumo de diésel según meta anual.</w:t>
            </w:r>
          </w:p>
        </w:tc>
      </w:tr>
      <w:tr w:rsidR="0069056F" w:rsidRPr="00CF7759" w14:paraId="6F484313" w14:textId="77777777" w:rsidTr="00266D1B">
        <w:trPr>
          <w:trHeight w:val="712"/>
        </w:trPr>
        <w:tc>
          <w:tcPr>
            <w:tcW w:w="2266" w:type="pct"/>
            <w:tcBorders>
              <w:top w:val="nil"/>
              <w:left w:val="single" w:sz="4" w:space="0" w:color="auto"/>
              <w:bottom w:val="single" w:sz="4" w:space="0" w:color="auto"/>
              <w:right w:val="single" w:sz="4" w:space="0" w:color="auto"/>
            </w:tcBorders>
            <w:vAlign w:val="center"/>
            <w:hideMark/>
          </w:tcPr>
          <w:p w14:paraId="223F5B2E" w14:textId="77777777" w:rsidR="0069056F" w:rsidRPr="00767DBC" w:rsidRDefault="0069056F" w:rsidP="00266D1B">
            <w:pPr>
              <w:rPr>
                <w:color w:val="000000"/>
                <w:sz w:val="18"/>
                <w:lang w:val="es-ES_tradnl"/>
              </w:rPr>
            </w:pPr>
            <w:r>
              <w:rPr>
                <w:bCs/>
                <w:color w:val="000000"/>
                <w:sz w:val="18"/>
                <w:lang w:val="es-MX"/>
              </w:rPr>
              <w:lastRenderedPageBreak/>
              <w:t>Agenda Nacional de Energía del Ecuador, propuesta metodológica aprobada.</w:t>
            </w:r>
          </w:p>
        </w:tc>
        <w:tc>
          <w:tcPr>
            <w:tcW w:w="403" w:type="pct"/>
            <w:tcBorders>
              <w:top w:val="nil"/>
              <w:left w:val="nil"/>
              <w:bottom w:val="single" w:sz="4" w:space="0" w:color="auto"/>
              <w:right w:val="single" w:sz="4" w:space="0" w:color="auto"/>
            </w:tcBorders>
            <w:vAlign w:val="center"/>
            <w:hideMark/>
          </w:tcPr>
          <w:p w14:paraId="7399AE74" w14:textId="77777777" w:rsidR="0069056F" w:rsidRDefault="0069056F" w:rsidP="00266D1B">
            <w:pPr>
              <w:jc w:val="center"/>
              <w:rPr>
                <w:color w:val="000000"/>
                <w:sz w:val="18"/>
                <w:szCs w:val="18"/>
              </w:rPr>
            </w:pPr>
            <w:r>
              <w:rPr>
                <w:color w:val="000000"/>
                <w:sz w:val="18"/>
                <w:szCs w:val="18"/>
              </w:rPr>
              <w:t>0</w:t>
            </w:r>
          </w:p>
        </w:tc>
        <w:tc>
          <w:tcPr>
            <w:tcW w:w="438" w:type="pct"/>
            <w:tcBorders>
              <w:top w:val="nil"/>
              <w:left w:val="nil"/>
              <w:bottom w:val="single" w:sz="4" w:space="0" w:color="auto"/>
              <w:right w:val="single" w:sz="4" w:space="0" w:color="auto"/>
            </w:tcBorders>
            <w:shd w:val="clear" w:color="auto" w:fill="auto"/>
            <w:vAlign w:val="center"/>
            <w:hideMark/>
          </w:tcPr>
          <w:p w14:paraId="69C68190" w14:textId="77777777" w:rsidR="0069056F" w:rsidRDefault="0069056F" w:rsidP="00266D1B">
            <w:pPr>
              <w:jc w:val="center"/>
              <w:rPr>
                <w:color w:val="000000"/>
                <w:sz w:val="18"/>
                <w:szCs w:val="18"/>
              </w:rPr>
            </w:pPr>
            <w:r>
              <w:rPr>
                <w:color w:val="000000"/>
                <w:sz w:val="18"/>
                <w:szCs w:val="18"/>
              </w:rPr>
              <w:t>1</w:t>
            </w:r>
          </w:p>
        </w:tc>
        <w:tc>
          <w:tcPr>
            <w:tcW w:w="1893" w:type="pct"/>
            <w:tcBorders>
              <w:top w:val="nil"/>
              <w:left w:val="nil"/>
              <w:bottom w:val="single" w:sz="4" w:space="0" w:color="auto"/>
              <w:right w:val="single" w:sz="4" w:space="0" w:color="auto"/>
            </w:tcBorders>
            <w:shd w:val="clear" w:color="auto" w:fill="auto"/>
            <w:vAlign w:val="center"/>
            <w:hideMark/>
          </w:tcPr>
          <w:p w14:paraId="7F656107" w14:textId="77777777" w:rsidR="0069056F" w:rsidRPr="00767DBC" w:rsidRDefault="0069056F" w:rsidP="00266D1B">
            <w:pPr>
              <w:rPr>
                <w:color w:val="000000"/>
                <w:sz w:val="18"/>
                <w:lang w:val="es-ES_tradnl"/>
              </w:rPr>
            </w:pPr>
            <w:r w:rsidRPr="00822CC5">
              <w:rPr>
                <w:color w:val="000000"/>
                <w:sz w:val="18"/>
                <w:lang w:val="es-MX"/>
              </w:rPr>
              <w:t xml:space="preserve">Propuesta metodológica de la Agenda Nacional </w:t>
            </w:r>
            <w:r>
              <w:rPr>
                <w:color w:val="000000"/>
                <w:sz w:val="18"/>
                <w:lang w:val="es-MX"/>
              </w:rPr>
              <w:t>de Energía del Ecuador aprobada</w:t>
            </w:r>
            <w:r w:rsidRPr="00822CC5">
              <w:rPr>
                <w:color w:val="000000"/>
                <w:sz w:val="18"/>
                <w:lang w:val="es-MX"/>
              </w:rPr>
              <w:t xml:space="preserve"> por el Ministerio Coordinador de Sectores Estratégicos </w:t>
            </w:r>
            <w:r>
              <w:rPr>
                <w:color w:val="000000"/>
                <w:sz w:val="18"/>
                <w:lang w:val="es-MX"/>
              </w:rPr>
              <w:t>(MICSE).</w:t>
            </w:r>
          </w:p>
        </w:tc>
      </w:tr>
      <w:tr w:rsidR="0069056F" w:rsidRPr="00CF7759" w14:paraId="70018C5B" w14:textId="77777777" w:rsidTr="00266D1B">
        <w:trPr>
          <w:trHeight w:val="475"/>
        </w:trPr>
        <w:tc>
          <w:tcPr>
            <w:tcW w:w="2266" w:type="pct"/>
            <w:tcBorders>
              <w:top w:val="nil"/>
              <w:left w:val="single" w:sz="4" w:space="0" w:color="auto"/>
              <w:bottom w:val="single" w:sz="4" w:space="0" w:color="auto"/>
              <w:right w:val="single" w:sz="4" w:space="0" w:color="auto"/>
            </w:tcBorders>
            <w:vAlign w:val="center"/>
            <w:hideMark/>
          </w:tcPr>
          <w:p w14:paraId="42422192" w14:textId="77777777" w:rsidR="0069056F" w:rsidRPr="00767DBC" w:rsidRDefault="0069056F" w:rsidP="00266D1B">
            <w:pPr>
              <w:rPr>
                <w:color w:val="000000"/>
                <w:sz w:val="18"/>
                <w:lang w:val="es-ES_tradnl"/>
              </w:rPr>
            </w:pPr>
            <w:r w:rsidRPr="00822CC5">
              <w:rPr>
                <w:bCs/>
                <w:color w:val="000000"/>
                <w:sz w:val="18"/>
                <w:lang w:val="es-MX"/>
              </w:rPr>
              <w:t>Balance Energético Nacional -BEN 2014</w:t>
            </w:r>
            <w:r>
              <w:rPr>
                <w:rStyle w:val="FootnoteReference"/>
                <w:bCs/>
                <w:color w:val="000000"/>
                <w:sz w:val="18"/>
                <w:lang w:val="es-MX"/>
              </w:rPr>
              <w:footnoteReference w:id="4"/>
            </w:r>
            <w:r w:rsidRPr="00822CC5">
              <w:rPr>
                <w:bCs/>
                <w:color w:val="000000"/>
                <w:sz w:val="18"/>
                <w:lang w:val="es-MX"/>
              </w:rPr>
              <w:t xml:space="preserve">, </w:t>
            </w:r>
            <w:r>
              <w:rPr>
                <w:bCs/>
                <w:color w:val="000000"/>
                <w:sz w:val="18"/>
                <w:lang w:val="es-MX"/>
              </w:rPr>
              <w:t xml:space="preserve">elaborado y </w:t>
            </w:r>
            <w:r w:rsidRPr="00822CC5">
              <w:rPr>
                <w:bCs/>
                <w:color w:val="000000"/>
                <w:sz w:val="18"/>
                <w:lang w:val="es-MX"/>
              </w:rPr>
              <w:t>publicado</w:t>
            </w:r>
          </w:p>
        </w:tc>
        <w:tc>
          <w:tcPr>
            <w:tcW w:w="403" w:type="pct"/>
            <w:tcBorders>
              <w:top w:val="nil"/>
              <w:left w:val="nil"/>
              <w:bottom w:val="single" w:sz="4" w:space="0" w:color="auto"/>
              <w:right w:val="single" w:sz="4" w:space="0" w:color="auto"/>
            </w:tcBorders>
            <w:vAlign w:val="center"/>
            <w:hideMark/>
          </w:tcPr>
          <w:p w14:paraId="7E0EA6A4" w14:textId="77777777" w:rsidR="0069056F" w:rsidRPr="00767DBC" w:rsidRDefault="0069056F" w:rsidP="00266D1B">
            <w:pPr>
              <w:jc w:val="center"/>
              <w:rPr>
                <w:color w:val="000000"/>
                <w:sz w:val="18"/>
              </w:rPr>
            </w:pPr>
            <w:r>
              <w:rPr>
                <w:color w:val="000000"/>
                <w:sz w:val="18"/>
                <w:szCs w:val="18"/>
              </w:rPr>
              <w:t>0</w:t>
            </w:r>
          </w:p>
        </w:tc>
        <w:tc>
          <w:tcPr>
            <w:tcW w:w="438" w:type="pct"/>
            <w:tcBorders>
              <w:top w:val="nil"/>
              <w:left w:val="nil"/>
              <w:bottom w:val="single" w:sz="4" w:space="0" w:color="auto"/>
              <w:right w:val="single" w:sz="4" w:space="0" w:color="auto"/>
            </w:tcBorders>
            <w:vAlign w:val="center"/>
            <w:hideMark/>
          </w:tcPr>
          <w:p w14:paraId="131BE228" w14:textId="77777777" w:rsidR="0069056F" w:rsidRDefault="0069056F" w:rsidP="00266D1B">
            <w:pPr>
              <w:jc w:val="center"/>
              <w:rPr>
                <w:color w:val="000000"/>
                <w:sz w:val="18"/>
                <w:szCs w:val="18"/>
              </w:rPr>
            </w:pPr>
            <w:r>
              <w:rPr>
                <w:color w:val="000000"/>
                <w:sz w:val="18"/>
                <w:szCs w:val="18"/>
              </w:rPr>
              <w:t>1</w:t>
            </w:r>
          </w:p>
        </w:tc>
        <w:tc>
          <w:tcPr>
            <w:tcW w:w="1893" w:type="pct"/>
            <w:tcBorders>
              <w:top w:val="nil"/>
              <w:left w:val="nil"/>
              <w:bottom w:val="single" w:sz="4" w:space="0" w:color="auto"/>
              <w:right w:val="single" w:sz="4" w:space="0" w:color="auto"/>
            </w:tcBorders>
            <w:shd w:val="clear" w:color="auto" w:fill="auto"/>
            <w:vAlign w:val="center"/>
            <w:hideMark/>
          </w:tcPr>
          <w:p w14:paraId="2FBFE6AF" w14:textId="77777777" w:rsidR="0069056F" w:rsidRPr="00035171" w:rsidRDefault="0069056F" w:rsidP="00266D1B">
            <w:pPr>
              <w:rPr>
                <w:color w:val="000000"/>
                <w:sz w:val="18"/>
                <w:szCs w:val="18"/>
                <w:lang w:val="es-MX"/>
              </w:rPr>
            </w:pPr>
            <w:r w:rsidRPr="00822CC5">
              <w:rPr>
                <w:color w:val="000000"/>
                <w:sz w:val="18"/>
                <w:lang w:val="es-MX"/>
              </w:rPr>
              <w:t xml:space="preserve">Publicación en </w:t>
            </w:r>
            <w:r>
              <w:rPr>
                <w:color w:val="000000"/>
                <w:sz w:val="18"/>
                <w:lang w:val="es-MX"/>
              </w:rPr>
              <w:t>el sitio internet del MICSE</w:t>
            </w:r>
            <w:r w:rsidRPr="00822CC5">
              <w:rPr>
                <w:color w:val="000000"/>
                <w:sz w:val="18"/>
                <w:lang w:val="es-MX"/>
              </w:rPr>
              <w:t xml:space="preserve"> del BEN 2014</w:t>
            </w:r>
            <w:r>
              <w:rPr>
                <w:color w:val="000000"/>
                <w:sz w:val="18"/>
                <w:lang w:val="es-MX"/>
              </w:rPr>
              <w:t>.</w:t>
            </w:r>
          </w:p>
        </w:tc>
      </w:tr>
      <w:tr w:rsidR="0069056F" w:rsidRPr="00035171" w14:paraId="70134FE5" w14:textId="77777777" w:rsidTr="00266D1B">
        <w:trPr>
          <w:trHeight w:val="297"/>
        </w:trPr>
        <w:tc>
          <w:tcPr>
            <w:tcW w:w="5000" w:type="pct"/>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06727586" w14:textId="77777777" w:rsidR="0069056F" w:rsidRPr="00767DBC" w:rsidRDefault="0069056F" w:rsidP="00266D1B">
            <w:pPr>
              <w:rPr>
                <w:b/>
                <w:color w:val="000000"/>
                <w:sz w:val="18"/>
                <w:lang w:val="es-ES_tradnl"/>
              </w:rPr>
            </w:pPr>
            <w:r w:rsidRPr="00767DBC">
              <w:rPr>
                <w:b/>
                <w:color w:val="000000"/>
                <w:sz w:val="18"/>
                <w:lang w:val="es-CO"/>
              </w:rPr>
              <w:t>Fortalecimiento del subsector eléctrico</w:t>
            </w:r>
          </w:p>
        </w:tc>
      </w:tr>
      <w:tr w:rsidR="0069056F" w:rsidRPr="00CF7759" w14:paraId="1E1394B1" w14:textId="77777777" w:rsidTr="00266D1B">
        <w:trPr>
          <w:trHeight w:val="475"/>
        </w:trPr>
        <w:tc>
          <w:tcPr>
            <w:tcW w:w="2266" w:type="pct"/>
            <w:tcBorders>
              <w:top w:val="nil"/>
              <w:left w:val="single" w:sz="4" w:space="0" w:color="auto"/>
              <w:bottom w:val="single" w:sz="4" w:space="0" w:color="auto"/>
              <w:right w:val="single" w:sz="4" w:space="0" w:color="auto"/>
            </w:tcBorders>
            <w:vAlign w:val="center"/>
            <w:hideMark/>
          </w:tcPr>
          <w:p w14:paraId="2FED0991" w14:textId="77777777" w:rsidR="0069056F" w:rsidRPr="00035171" w:rsidRDefault="0069056F" w:rsidP="00266D1B">
            <w:pPr>
              <w:rPr>
                <w:bCs/>
                <w:color w:val="000000"/>
                <w:sz w:val="18"/>
                <w:lang w:val="es-MX"/>
              </w:rPr>
            </w:pPr>
            <w:r>
              <w:rPr>
                <w:bCs/>
                <w:color w:val="000000"/>
                <w:sz w:val="18"/>
                <w:lang w:val="es-MX"/>
              </w:rPr>
              <w:t xml:space="preserve">Resolución del CONELEC del </w:t>
            </w:r>
            <w:r w:rsidRPr="006869E5">
              <w:rPr>
                <w:bCs/>
                <w:color w:val="000000"/>
                <w:sz w:val="18"/>
                <w:lang w:val="es-MX"/>
              </w:rPr>
              <w:t xml:space="preserve">Plan </w:t>
            </w:r>
            <w:r>
              <w:rPr>
                <w:bCs/>
                <w:color w:val="000000"/>
                <w:sz w:val="18"/>
                <w:lang w:val="es-MX"/>
              </w:rPr>
              <w:t>de Expansión y Desarrollo del Sistema Nacional Eléctrico 2013-2022, aprobado.</w:t>
            </w:r>
          </w:p>
        </w:tc>
        <w:tc>
          <w:tcPr>
            <w:tcW w:w="403" w:type="pct"/>
            <w:tcBorders>
              <w:top w:val="nil"/>
              <w:left w:val="nil"/>
              <w:bottom w:val="single" w:sz="4" w:space="0" w:color="auto"/>
              <w:right w:val="single" w:sz="4" w:space="0" w:color="auto"/>
            </w:tcBorders>
            <w:shd w:val="clear" w:color="auto" w:fill="auto"/>
            <w:vAlign w:val="center"/>
            <w:hideMark/>
          </w:tcPr>
          <w:p w14:paraId="3394BF71" w14:textId="77777777" w:rsidR="0069056F" w:rsidRDefault="0069056F" w:rsidP="00266D1B">
            <w:pPr>
              <w:jc w:val="center"/>
              <w:rPr>
                <w:color w:val="000000"/>
                <w:sz w:val="18"/>
                <w:szCs w:val="18"/>
              </w:rPr>
            </w:pPr>
            <w:r>
              <w:rPr>
                <w:color w:val="000000"/>
                <w:sz w:val="18"/>
                <w:szCs w:val="18"/>
              </w:rPr>
              <w:t>0</w:t>
            </w:r>
          </w:p>
        </w:tc>
        <w:tc>
          <w:tcPr>
            <w:tcW w:w="438" w:type="pct"/>
            <w:tcBorders>
              <w:top w:val="nil"/>
              <w:left w:val="nil"/>
              <w:bottom w:val="single" w:sz="4" w:space="0" w:color="auto"/>
              <w:right w:val="single" w:sz="4" w:space="0" w:color="auto"/>
            </w:tcBorders>
            <w:shd w:val="clear" w:color="auto" w:fill="auto"/>
            <w:vAlign w:val="center"/>
            <w:hideMark/>
          </w:tcPr>
          <w:p w14:paraId="6C811BA1" w14:textId="77777777" w:rsidR="0069056F" w:rsidRDefault="0069056F" w:rsidP="00266D1B">
            <w:pPr>
              <w:jc w:val="center"/>
              <w:rPr>
                <w:color w:val="000000"/>
                <w:sz w:val="18"/>
                <w:szCs w:val="18"/>
              </w:rPr>
            </w:pPr>
            <w:r>
              <w:rPr>
                <w:color w:val="000000"/>
                <w:sz w:val="18"/>
                <w:szCs w:val="18"/>
              </w:rPr>
              <w:t>1</w:t>
            </w:r>
          </w:p>
        </w:tc>
        <w:tc>
          <w:tcPr>
            <w:tcW w:w="1893" w:type="pct"/>
            <w:tcBorders>
              <w:top w:val="nil"/>
              <w:left w:val="nil"/>
              <w:bottom w:val="single" w:sz="4" w:space="0" w:color="auto"/>
              <w:right w:val="single" w:sz="4" w:space="0" w:color="auto"/>
            </w:tcBorders>
            <w:shd w:val="clear" w:color="auto" w:fill="auto"/>
            <w:vAlign w:val="center"/>
            <w:hideMark/>
          </w:tcPr>
          <w:p w14:paraId="300DD791" w14:textId="77777777" w:rsidR="0069056F" w:rsidRPr="00767DBC" w:rsidRDefault="0069056F" w:rsidP="00266D1B">
            <w:pPr>
              <w:rPr>
                <w:color w:val="000000"/>
                <w:sz w:val="18"/>
                <w:lang w:val="es-ES_tradnl"/>
              </w:rPr>
            </w:pPr>
            <w:r w:rsidRPr="006869E5">
              <w:rPr>
                <w:bCs/>
                <w:color w:val="000000"/>
                <w:sz w:val="18"/>
                <w:lang w:val="es-MX"/>
              </w:rPr>
              <w:t xml:space="preserve">Plan </w:t>
            </w:r>
            <w:r>
              <w:rPr>
                <w:bCs/>
                <w:color w:val="000000"/>
                <w:sz w:val="18"/>
                <w:lang w:val="es-MX"/>
              </w:rPr>
              <w:t>de Expansión y Desarrollo del Sistema Nacional Eléctrico (</w:t>
            </w:r>
            <w:r w:rsidRPr="00822CC5">
              <w:rPr>
                <w:bCs/>
                <w:color w:val="000000"/>
                <w:sz w:val="18"/>
                <w:lang w:val="es-MX"/>
              </w:rPr>
              <w:t>PME 2013-2022</w:t>
            </w:r>
            <w:r>
              <w:rPr>
                <w:bCs/>
                <w:color w:val="000000"/>
                <w:sz w:val="18"/>
                <w:lang w:val="es-MX"/>
              </w:rPr>
              <w:t xml:space="preserve">), publicado en el sitio internet del </w:t>
            </w:r>
            <w:r w:rsidRPr="00822CC5">
              <w:rPr>
                <w:bCs/>
                <w:color w:val="000000"/>
                <w:sz w:val="18"/>
                <w:lang w:val="es-MX"/>
              </w:rPr>
              <w:t>CONELEC</w:t>
            </w:r>
            <w:r>
              <w:rPr>
                <w:bCs/>
                <w:color w:val="000000"/>
                <w:sz w:val="18"/>
                <w:lang w:val="es-MX"/>
              </w:rPr>
              <w:t>.</w:t>
            </w:r>
          </w:p>
        </w:tc>
      </w:tr>
      <w:tr w:rsidR="0069056F" w:rsidRPr="00CF7759" w14:paraId="29773B98" w14:textId="77777777" w:rsidTr="00266D1B">
        <w:trPr>
          <w:trHeight w:val="712"/>
        </w:trPr>
        <w:tc>
          <w:tcPr>
            <w:tcW w:w="2266" w:type="pct"/>
            <w:tcBorders>
              <w:top w:val="nil"/>
              <w:left w:val="single" w:sz="4" w:space="0" w:color="auto"/>
              <w:bottom w:val="single" w:sz="4" w:space="0" w:color="auto"/>
              <w:right w:val="single" w:sz="4" w:space="0" w:color="auto"/>
            </w:tcBorders>
            <w:shd w:val="clear" w:color="auto" w:fill="auto"/>
            <w:vAlign w:val="center"/>
          </w:tcPr>
          <w:p w14:paraId="703C1AEC" w14:textId="77777777" w:rsidR="0069056F" w:rsidRDefault="0069056F" w:rsidP="00266D1B">
            <w:pPr>
              <w:rPr>
                <w:color w:val="000000"/>
                <w:sz w:val="18"/>
                <w:szCs w:val="18"/>
                <w:lang w:val="es-MX"/>
              </w:rPr>
            </w:pPr>
            <w:r>
              <w:rPr>
                <w:bCs/>
                <w:color w:val="000000"/>
                <w:sz w:val="18"/>
                <w:lang w:val="es-MX"/>
              </w:rPr>
              <w:t>Proyecto de ley Orgánica del Servicio Público de Energía Eléctrica (LOSPEE), presentada a la Asamblea Nacional y aprobada</w:t>
            </w:r>
          </w:p>
        </w:tc>
        <w:tc>
          <w:tcPr>
            <w:tcW w:w="403" w:type="pct"/>
            <w:tcBorders>
              <w:top w:val="nil"/>
              <w:left w:val="nil"/>
              <w:bottom w:val="single" w:sz="4" w:space="0" w:color="auto"/>
              <w:right w:val="single" w:sz="4" w:space="0" w:color="auto"/>
            </w:tcBorders>
            <w:shd w:val="clear" w:color="auto" w:fill="auto"/>
            <w:vAlign w:val="center"/>
          </w:tcPr>
          <w:p w14:paraId="4CE1BAA8" w14:textId="77777777" w:rsidR="0069056F" w:rsidRPr="004E34AE" w:rsidRDefault="0069056F" w:rsidP="00266D1B">
            <w:pPr>
              <w:jc w:val="center"/>
              <w:rPr>
                <w:color w:val="000000"/>
                <w:sz w:val="18"/>
                <w:szCs w:val="18"/>
                <w:lang w:val="es-ES_tradnl"/>
              </w:rPr>
            </w:pPr>
            <w:r>
              <w:rPr>
                <w:color w:val="000000"/>
                <w:sz w:val="18"/>
                <w:szCs w:val="18"/>
                <w:lang w:val="es-ES_tradnl"/>
              </w:rPr>
              <w:t>0</w:t>
            </w:r>
          </w:p>
        </w:tc>
        <w:tc>
          <w:tcPr>
            <w:tcW w:w="438" w:type="pct"/>
            <w:tcBorders>
              <w:top w:val="nil"/>
              <w:left w:val="nil"/>
              <w:bottom w:val="single" w:sz="4" w:space="0" w:color="auto"/>
              <w:right w:val="single" w:sz="4" w:space="0" w:color="auto"/>
            </w:tcBorders>
            <w:shd w:val="clear" w:color="auto" w:fill="auto"/>
            <w:vAlign w:val="center"/>
          </w:tcPr>
          <w:p w14:paraId="0AC2A0AB" w14:textId="77777777" w:rsidR="0069056F" w:rsidRPr="004E34AE" w:rsidRDefault="0069056F" w:rsidP="00266D1B">
            <w:pPr>
              <w:jc w:val="center"/>
              <w:rPr>
                <w:color w:val="000000"/>
                <w:sz w:val="18"/>
                <w:szCs w:val="18"/>
                <w:lang w:val="es-ES_tradnl"/>
              </w:rPr>
            </w:pPr>
            <w:r>
              <w:rPr>
                <w:color w:val="000000"/>
                <w:sz w:val="18"/>
                <w:szCs w:val="18"/>
                <w:lang w:val="es-ES_tradnl"/>
              </w:rPr>
              <w:t>1</w:t>
            </w:r>
          </w:p>
        </w:tc>
        <w:tc>
          <w:tcPr>
            <w:tcW w:w="1893" w:type="pct"/>
            <w:tcBorders>
              <w:top w:val="nil"/>
              <w:left w:val="nil"/>
              <w:bottom w:val="single" w:sz="4" w:space="0" w:color="auto"/>
              <w:right w:val="single" w:sz="4" w:space="0" w:color="auto"/>
            </w:tcBorders>
            <w:shd w:val="clear" w:color="auto" w:fill="auto"/>
            <w:vAlign w:val="center"/>
          </w:tcPr>
          <w:p w14:paraId="679A673B" w14:textId="77777777" w:rsidR="0069056F" w:rsidRDefault="0069056F" w:rsidP="00266D1B">
            <w:pPr>
              <w:rPr>
                <w:color w:val="000000"/>
                <w:sz w:val="18"/>
                <w:szCs w:val="18"/>
                <w:lang w:val="es-MX"/>
              </w:rPr>
            </w:pPr>
            <w:r>
              <w:rPr>
                <w:bCs/>
                <w:color w:val="000000"/>
                <w:sz w:val="18"/>
                <w:lang w:val="es-MX"/>
              </w:rPr>
              <w:t>Oficio de la Asamblea Nacional dirigido al Poder Ejecutivo (PE) con la aprobación del proyecto de LOSPEE.</w:t>
            </w:r>
          </w:p>
        </w:tc>
      </w:tr>
      <w:tr w:rsidR="0069056F" w:rsidRPr="00CF7759" w14:paraId="6DF1C8B3" w14:textId="77777777" w:rsidTr="00266D1B">
        <w:trPr>
          <w:trHeight w:val="712"/>
        </w:trPr>
        <w:tc>
          <w:tcPr>
            <w:tcW w:w="2266" w:type="pct"/>
            <w:tcBorders>
              <w:top w:val="nil"/>
              <w:left w:val="single" w:sz="4" w:space="0" w:color="auto"/>
              <w:bottom w:val="single" w:sz="4" w:space="0" w:color="auto"/>
              <w:right w:val="single" w:sz="4" w:space="0" w:color="auto"/>
            </w:tcBorders>
            <w:shd w:val="clear" w:color="auto" w:fill="auto"/>
            <w:vAlign w:val="center"/>
          </w:tcPr>
          <w:p w14:paraId="5E36050B" w14:textId="77777777" w:rsidR="0069056F" w:rsidRDefault="0069056F" w:rsidP="00266D1B">
            <w:pPr>
              <w:rPr>
                <w:color w:val="000000"/>
                <w:sz w:val="18"/>
                <w:szCs w:val="18"/>
                <w:lang w:val="es-MX"/>
              </w:rPr>
            </w:pPr>
            <w:r>
              <w:rPr>
                <w:bCs/>
                <w:color w:val="000000"/>
                <w:sz w:val="18"/>
                <w:lang w:val="es-MX"/>
              </w:rPr>
              <w:t>Política de reducción del déficit tarifario mediante el aumento de la tarifa eléctrica, aprobado por el CONELEC</w:t>
            </w:r>
            <w:r>
              <w:rPr>
                <w:rStyle w:val="FootnoteReference"/>
                <w:bCs/>
                <w:color w:val="000000"/>
                <w:sz w:val="18"/>
                <w:lang w:val="es-MX"/>
              </w:rPr>
              <w:footnoteReference w:id="5"/>
            </w:r>
          </w:p>
        </w:tc>
        <w:tc>
          <w:tcPr>
            <w:tcW w:w="403" w:type="pct"/>
            <w:tcBorders>
              <w:top w:val="nil"/>
              <w:left w:val="nil"/>
              <w:bottom w:val="single" w:sz="4" w:space="0" w:color="auto"/>
              <w:right w:val="single" w:sz="4" w:space="0" w:color="auto"/>
            </w:tcBorders>
            <w:shd w:val="clear" w:color="auto" w:fill="auto"/>
            <w:vAlign w:val="center"/>
          </w:tcPr>
          <w:p w14:paraId="596C5421" w14:textId="77777777" w:rsidR="0069056F" w:rsidRPr="004E34AE" w:rsidRDefault="0069056F" w:rsidP="00266D1B">
            <w:pPr>
              <w:jc w:val="center"/>
              <w:rPr>
                <w:color w:val="000000"/>
                <w:sz w:val="18"/>
                <w:szCs w:val="18"/>
                <w:lang w:val="es-ES_tradnl"/>
              </w:rPr>
            </w:pPr>
            <w:r>
              <w:rPr>
                <w:color w:val="000000"/>
                <w:sz w:val="18"/>
                <w:szCs w:val="18"/>
                <w:lang w:val="es-ES_tradnl"/>
              </w:rPr>
              <w:t>0</w:t>
            </w:r>
          </w:p>
        </w:tc>
        <w:tc>
          <w:tcPr>
            <w:tcW w:w="438" w:type="pct"/>
            <w:tcBorders>
              <w:top w:val="nil"/>
              <w:left w:val="nil"/>
              <w:bottom w:val="single" w:sz="4" w:space="0" w:color="auto"/>
              <w:right w:val="single" w:sz="4" w:space="0" w:color="auto"/>
            </w:tcBorders>
            <w:shd w:val="clear" w:color="auto" w:fill="auto"/>
            <w:vAlign w:val="center"/>
          </w:tcPr>
          <w:p w14:paraId="2BE46DBA" w14:textId="77777777" w:rsidR="0069056F" w:rsidRPr="004E34AE" w:rsidRDefault="0069056F" w:rsidP="00266D1B">
            <w:pPr>
              <w:jc w:val="center"/>
              <w:rPr>
                <w:color w:val="000000"/>
                <w:sz w:val="18"/>
                <w:szCs w:val="18"/>
                <w:lang w:val="es-ES_tradnl"/>
              </w:rPr>
            </w:pPr>
            <w:r>
              <w:rPr>
                <w:color w:val="000000"/>
                <w:sz w:val="18"/>
                <w:szCs w:val="18"/>
                <w:lang w:val="es-ES_tradnl"/>
              </w:rPr>
              <w:t>1</w:t>
            </w:r>
          </w:p>
        </w:tc>
        <w:tc>
          <w:tcPr>
            <w:tcW w:w="1893" w:type="pct"/>
            <w:tcBorders>
              <w:top w:val="nil"/>
              <w:left w:val="nil"/>
              <w:bottom w:val="single" w:sz="4" w:space="0" w:color="auto"/>
              <w:right w:val="single" w:sz="4" w:space="0" w:color="auto"/>
            </w:tcBorders>
            <w:shd w:val="clear" w:color="auto" w:fill="auto"/>
            <w:vAlign w:val="center"/>
          </w:tcPr>
          <w:p w14:paraId="75523615" w14:textId="77777777" w:rsidR="0069056F" w:rsidRDefault="0069056F" w:rsidP="00266D1B">
            <w:pPr>
              <w:rPr>
                <w:color w:val="000000"/>
                <w:sz w:val="18"/>
                <w:szCs w:val="18"/>
                <w:lang w:val="es-MX"/>
              </w:rPr>
            </w:pPr>
            <w:r>
              <w:rPr>
                <w:bCs/>
                <w:color w:val="000000"/>
                <w:sz w:val="18"/>
                <w:lang w:val="es-MX"/>
              </w:rPr>
              <w:t>Resolución CONELEC No. 041/14 con la aprobación del Pliego Tarifario 2014, donde se aprueba el aumento de la tarifa.</w:t>
            </w:r>
          </w:p>
        </w:tc>
      </w:tr>
      <w:tr w:rsidR="0069056F" w:rsidRPr="00CF7759" w14:paraId="35514414" w14:textId="77777777" w:rsidTr="00266D1B">
        <w:trPr>
          <w:trHeight w:val="712"/>
        </w:trPr>
        <w:tc>
          <w:tcPr>
            <w:tcW w:w="2266" w:type="pct"/>
            <w:tcBorders>
              <w:top w:val="nil"/>
              <w:left w:val="single" w:sz="4" w:space="0" w:color="auto"/>
              <w:bottom w:val="single" w:sz="4" w:space="0" w:color="auto"/>
              <w:right w:val="single" w:sz="4" w:space="0" w:color="auto"/>
            </w:tcBorders>
            <w:shd w:val="clear" w:color="auto" w:fill="auto"/>
            <w:vAlign w:val="center"/>
          </w:tcPr>
          <w:p w14:paraId="6FAD6BA4" w14:textId="77777777" w:rsidR="0069056F" w:rsidRPr="004E34AE" w:rsidRDefault="0069056F" w:rsidP="00266D1B">
            <w:pPr>
              <w:rPr>
                <w:color w:val="000000"/>
                <w:sz w:val="18"/>
                <w:szCs w:val="18"/>
                <w:lang w:val="es-ES_tradnl"/>
              </w:rPr>
            </w:pPr>
            <w:r w:rsidRPr="006C76F1">
              <w:rPr>
                <w:bCs/>
                <w:color w:val="000000"/>
                <w:sz w:val="18"/>
                <w:lang w:val="es-MX"/>
              </w:rPr>
              <w:t>Acuerdo Mini</w:t>
            </w:r>
            <w:r w:rsidRPr="00154E1D">
              <w:rPr>
                <w:bCs/>
                <w:color w:val="000000"/>
                <w:sz w:val="18"/>
                <w:lang w:val="es-MX"/>
              </w:rPr>
              <w:t>sterial par</w:t>
            </w:r>
            <w:r w:rsidRPr="006C76F1">
              <w:rPr>
                <w:bCs/>
                <w:color w:val="000000"/>
                <w:sz w:val="18"/>
                <w:lang w:val="es-MX"/>
              </w:rPr>
              <w:t xml:space="preserve">a la creación del </w:t>
            </w:r>
            <w:r w:rsidRPr="00154E1D">
              <w:rPr>
                <w:bCs/>
                <w:color w:val="000000"/>
                <w:sz w:val="18"/>
                <w:lang w:val="es-MX"/>
              </w:rPr>
              <w:t>Comité Interinstitucional para la implementación del Programa Nacional de Redes Inteligentes aprobado.</w:t>
            </w:r>
          </w:p>
        </w:tc>
        <w:tc>
          <w:tcPr>
            <w:tcW w:w="403" w:type="pct"/>
            <w:tcBorders>
              <w:top w:val="nil"/>
              <w:left w:val="nil"/>
              <w:bottom w:val="single" w:sz="4" w:space="0" w:color="auto"/>
              <w:right w:val="single" w:sz="4" w:space="0" w:color="auto"/>
            </w:tcBorders>
            <w:shd w:val="clear" w:color="auto" w:fill="auto"/>
            <w:vAlign w:val="center"/>
            <w:hideMark/>
          </w:tcPr>
          <w:p w14:paraId="6B077314" w14:textId="77777777" w:rsidR="0069056F" w:rsidRDefault="0069056F" w:rsidP="00266D1B">
            <w:pPr>
              <w:jc w:val="center"/>
              <w:rPr>
                <w:color w:val="000000"/>
                <w:sz w:val="18"/>
                <w:szCs w:val="18"/>
              </w:rPr>
            </w:pPr>
            <w:r>
              <w:rPr>
                <w:color w:val="000000"/>
                <w:sz w:val="18"/>
                <w:szCs w:val="18"/>
              </w:rPr>
              <w:t>0</w:t>
            </w:r>
          </w:p>
        </w:tc>
        <w:tc>
          <w:tcPr>
            <w:tcW w:w="438" w:type="pct"/>
            <w:tcBorders>
              <w:top w:val="nil"/>
              <w:left w:val="nil"/>
              <w:bottom w:val="single" w:sz="4" w:space="0" w:color="auto"/>
              <w:right w:val="single" w:sz="4" w:space="0" w:color="auto"/>
            </w:tcBorders>
            <w:shd w:val="clear" w:color="auto" w:fill="auto"/>
            <w:vAlign w:val="center"/>
            <w:hideMark/>
          </w:tcPr>
          <w:p w14:paraId="17D6B3E3" w14:textId="77777777" w:rsidR="0069056F" w:rsidRDefault="0069056F" w:rsidP="00266D1B">
            <w:pPr>
              <w:jc w:val="center"/>
              <w:rPr>
                <w:color w:val="000000"/>
                <w:sz w:val="18"/>
                <w:szCs w:val="18"/>
              </w:rPr>
            </w:pPr>
            <w:r>
              <w:rPr>
                <w:color w:val="000000"/>
                <w:sz w:val="18"/>
                <w:szCs w:val="18"/>
              </w:rPr>
              <w:t>1</w:t>
            </w:r>
          </w:p>
        </w:tc>
        <w:tc>
          <w:tcPr>
            <w:tcW w:w="1893" w:type="pct"/>
            <w:tcBorders>
              <w:top w:val="nil"/>
              <w:left w:val="nil"/>
              <w:bottom w:val="single" w:sz="4" w:space="0" w:color="auto"/>
              <w:right w:val="single" w:sz="4" w:space="0" w:color="auto"/>
            </w:tcBorders>
            <w:shd w:val="clear" w:color="auto" w:fill="auto"/>
            <w:vAlign w:val="center"/>
          </w:tcPr>
          <w:p w14:paraId="22BFDB6A" w14:textId="77777777" w:rsidR="0069056F" w:rsidRPr="004E34AE" w:rsidRDefault="0069056F" w:rsidP="00266D1B">
            <w:pPr>
              <w:rPr>
                <w:color w:val="000000"/>
                <w:sz w:val="18"/>
                <w:szCs w:val="18"/>
                <w:lang w:val="es-ES_tradnl"/>
              </w:rPr>
            </w:pPr>
            <w:r>
              <w:rPr>
                <w:bCs/>
                <w:color w:val="000000"/>
                <w:sz w:val="18"/>
                <w:lang w:val="es-MX"/>
              </w:rPr>
              <w:t xml:space="preserve">Acuerdo Ministerial del MEER donde se aprueba la creación de </w:t>
            </w:r>
            <w:r w:rsidRPr="00822CC5">
              <w:rPr>
                <w:bCs/>
                <w:color w:val="000000"/>
                <w:sz w:val="18"/>
                <w:lang w:val="es-MX"/>
              </w:rPr>
              <w:t xml:space="preserve">Comité Interinstitucional del Programa Nacional de Redes Inteligentes </w:t>
            </w:r>
            <w:r>
              <w:rPr>
                <w:bCs/>
                <w:color w:val="000000"/>
                <w:sz w:val="18"/>
                <w:lang w:val="es-MX"/>
              </w:rPr>
              <w:t>(REDIE).</w:t>
            </w:r>
          </w:p>
        </w:tc>
      </w:tr>
      <w:tr w:rsidR="0069056F" w:rsidRPr="00CF7759" w14:paraId="4DB2B879" w14:textId="77777777" w:rsidTr="00266D1B">
        <w:trPr>
          <w:trHeight w:val="712"/>
        </w:trPr>
        <w:tc>
          <w:tcPr>
            <w:tcW w:w="2266" w:type="pct"/>
            <w:tcBorders>
              <w:top w:val="nil"/>
              <w:left w:val="single" w:sz="4" w:space="0" w:color="auto"/>
              <w:bottom w:val="single" w:sz="4" w:space="0" w:color="auto"/>
              <w:right w:val="single" w:sz="4" w:space="0" w:color="auto"/>
            </w:tcBorders>
            <w:vAlign w:val="center"/>
          </w:tcPr>
          <w:p w14:paraId="09AD938D" w14:textId="77777777" w:rsidR="0069056F" w:rsidRPr="00767DBC" w:rsidRDefault="0069056F" w:rsidP="00266D1B">
            <w:pPr>
              <w:rPr>
                <w:color w:val="000000"/>
                <w:sz w:val="18"/>
                <w:lang w:val="es-ES_tradnl"/>
              </w:rPr>
            </w:pPr>
            <w:r>
              <w:rPr>
                <w:bCs/>
                <w:color w:val="000000"/>
                <w:sz w:val="18"/>
                <w:lang w:val="es-MX"/>
              </w:rPr>
              <w:t>Dictamen de prioridad emitido por la SENPLADES  para el desarrollo del</w:t>
            </w:r>
            <w:r w:rsidRPr="009454CE">
              <w:rPr>
                <w:bCs/>
                <w:color w:val="000000"/>
                <w:sz w:val="18"/>
                <w:lang w:val="es-MX"/>
              </w:rPr>
              <w:t xml:space="preserve"> </w:t>
            </w:r>
            <w:r w:rsidRPr="00850282">
              <w:rPr>
                <w:bCs/>
                <w:color w:val="000000"/>
                <w:sz w:val="18"/>
                <w:lang w:val="es-MX"/>
              </w:rPr>
              <w:t>Programa</w:t>
            </w:r>
            <w:r>
              <w:rPr>
                <w:bCs/>
                <w:color w:val="000000"/>
                <w:sz w:val="18"/>
                <w:lang w:val="es-MX"/>
              </w:rPr>
              <w:t xml:space="preserve"> de Mejoramiento de la Distribución (PMD), </w:t>
            </w:r>
            <w:r w:rsidRPr="00850282">
              <w:rPr>
                <w:bCs/>
                <w:color w:val="000000"/>
                <w:sz w:val="18"/>
                <w:lang w:val="es-MX"/>
              </w:rPr>
              <w:t>que facilite la implementación del Programa Nacional de Cocción Eficiente (PNCE), aprobado y primera etapa</w:t>
            </w:r>
            <w:r w:rsidRPr="00850282">
              <w:rPr>
                <w:rStyle w:val="FootnoteReference"/>
                <w:bCs/>
                <w:color w:val="000000"/>
                <w:sz w:val="18"/>
                <w:lang w:val="es-MX"/>
              </w:rPr>
              <w:footnoteReference w:id="6"/>
            </w:r>
            <w:r w:rsidRPr="00850282">
              <w:rPr>
                <w:bCs/>
                <w:color w:val="000000"/>
                <w:sz w:val="18"/>
                <w:lang w:val="es-MX"/>
              </w:rPr>
              <w:t xml:space="preserve"> en ejecución.</w:t>
            </w:r>
          </w:p>
        </w:tc>
        <w:tc>
          <w:tcPr>
            <w:tcW w:w="403" w:type="pct"/>
            <w:tcBorders>
              <w:top w:val="nil"/>
              <w:left w:val="nil"/>
              <w:bottom w:val="single" w:sz="4" w:space="0" w:color="auto"/>
              <w:right w:val="single" w:sz="4" w:space="0" w:color="auto"/>
            </w:tcBorders>
            <w:vAlign w:val="center"/>
            <w:hideMark/>
          </w:tcPr>
          <w:p w14:paraId="63024B5B" w14:textId="77777777" w:rsidR="0069056F" w:rsidRPr="00767DBC" w:rsidRDefault="0069056F" w:rsidP="00266D1B">
            <w:pPr>
              <w:jc w:val="center"/>
              <w:rPr>
                <w:color w:val="000000"/>
                <w:sz w:val="18"/>
              </w:rPr>
            </w:pPr>
            <w:r>
              <w:rPr>
                <w:color w:val="000000"/>
                <w:sz w:val="18"/>
                <w:szCs w:val="18"/>
              </w:rPr>
              <w:t>0</w:t>
            </w:r>
          </w:p>
        </w:tc>
        <w:tc>
          <w:tcPr>
            <w:tcW w:w="438" w:type="pct"/>
            <w:tcBorders>
              <w:top w:val="nil"/>
              <w:left w:val="nil"/>
              <w:bottom w:val="single" w:sz="4" w:space="0" w:color="auto"/>
              <w:right w:val="single" w:sz="4" w:space="0" w:color="auto"/>
            </w:tcBorders>
            <w:shd w:val="clear" w:color="auto" w:fill="auto"/>
            <w:vAlign w:val="center"/>
            <w:hideMark/>
          </w:tcPr>
          <w:p w14:paraId="6A11D8AB" w14:textId="77777777" w:rsidR="0069056F" w:rsidRDefault="0069056F" w:rsidP="00266D1B">
            <w:pPr>
              <w:jc w:val="center"/>
              <w:rPr>
                <w:color w:val="000000"/>
                <w:sz w:val="18"/>
                <w:szCs w:val="18"/>
              </w:rPr>
            </w:pPr>
            <w:r>
              <w:rPr>
                <w:color w:val="000000"/>
                <w:sz w:val="18"/>
                <w:szCs w:val="18"/>
              </w:rPr>
              <w:t>1</w:t>
            </w:r>
          </w:p>
        </w:tc>
        <w:tc>
          <w:tcPr>
            <w:tcW w:w="1893" w:type="pct"/>
            <w:tcBorders>
              <w:top w:val="nil"/>
              <w:left w:val="nil"/>
              <w:bottom w:val="single" w:sz="4" w:space="0" w:color="auto"/>
              <w:right w:val="single" w:sz="4" w:space="0" w:color="auto"/>
            </w:tcBorders>
            <w:shd w:val="clear" w:color="auto" w:fill="auto"/>
            <w:vAlign w:val="center"/>
          </w:tcPr>
          <w:p w14:paraId="49B20691" w14:textId="77777777" w:rsidR="0069056F" w:rsidRPr="00767DBC" w:rsidRDefault="0069056F" w:rsidP="00266D1B">
            <w:pPr>
              <w:rPr>
                <w:color w:val="000000"/>
                <w:sz w:val="18"/>
                <w:lang w:val="es-ES_tradnl"/>
              </w:rPr>
            </w:pPr>
            <w:r>
              <w:rPr>
                <w:bCs/>
                <w:color w:val="000000"/>
                <w:sz w:val="18"/>
                <w:lang w:val="es-MX"/>
              </w:rPr>
              <w:t xml:space="preserve">Dictamen de la SENPLADES </w:t>
            </w:r>
            <w:r w:rsidRPr="00850282">
              <w:rPr>
                <w:bCs/>
                <w:color w:val="000000"/>
                <w:sz w:val="18"/>
                <w:lang w:val="es-MX"/>
              </w:rPr>
              <w:t xml:space="preserve">donde se acuerda la prioridad para la implementación del </w:t>
            </w:r>
            <w:r>
              <w:rPr>
                <w:bCs/>
                <w:color w:val="000000"/>
                <w:sz w:val="18"/>
                <w:lang w:val="es-MX"/>
              </w:rPr>
              <w:t>PMD</w:t>
            </w:r>
            <w:r w:rsidRPr="00850282">
              <w:rPr>
                <w:bCs/>
                <w:color w:val="000000"/>
                <w:sz w:val="18"/>
                <w:lang w:val="es-MX"/>
              </w:rPr>
              <w:t xml:space="preserve"> y reporte de avance de la primera etapa</w:t>
            </w:r>
            <w:r>
              <w:rPr>
                <w:bCs/>
                <w:color w:val="000000"/>
                <w:sz w:val="18"/>
                <w:lang w:val="es-MX"/>
              </w:rPr>
              <w:t xml:space="preserve"> del Programa Nacional para el Reforzamiento del Sistema de Distribución Eléctrica</w:t>
            </w:r>
            <w:r w:rsidRPr="003B75DB">
              <w:rPr>
                <w:sz w:val="18"/>
                <w:szCs w:val="18"/>
                <w:lang w:val="es-ES_tradnl"/>
              </w:rPr>
              <w:t xml:space="preserve"> </w:t>
            </w:r>
            <w:r>
              <w:rPr>
                <w:sz w:val="18"/>
                <w:szCs w:val="18"/>
                <w:lang w:val="es-ES_tradnl"/>
              </w:rPr>
              <w:t>(</w:t>
            </w:r>
            <w:r w:rsidRPr="003B75DB">
              <w:rPr>
                <w:sz w:val="18"/>
                <w:szCs w:val="18"/>
                <w:lang w:val="es-ES_tradnl"/>
              </w:rPr>
              <w:t>PRSND</w:t>
            </w:r>
            <w:r>
              <w:rPr>
                <w:sz w:val="18"/>
                <w:szCs w:val="18"/>
                <w:lang w:val="es-ES_tradnl"/>
              </w:rPr>
              <w:t>) aprobado por el MEER</w:t>
            </w:r>
            <w:r>
              <w:rPr>
                <w:bCs/>
                <w:color w:val="000000"/>
                <w:sz w:val="18"/>
                <w:lang w:val="es-MX"/>
              </w:rPr>
              <w:t>.</w:t>
            </w:r>
          </w:p>
        </w:tc>
      </w:tr>
      <w:tr w:rsidR="0069056F" w:rsidRPr="00CF7759" w14:paraId="66E3F3BE" w14:textId="77777777" w:rsidTr="00266D1B">
        <w:trPr>
          <w:trHeight w:val="712"/>
        </w:trPr>
        <w:tc>
          <w:tcPr>
            <w:tcW w:w="2266" w:type="pct"/>
            <w:tcBorders>
              <w:top w:val="nil"/>
              <w:left w:val="single" w:sz="4" w:space="0" w:color="auto"/>
              <w:bottom w:val="single" w:sz="4" w:space="0" w:color="auto"/>
              <w:right w:val="single" w:sz="4" w:space="0" w:color="auto"/>
            </w:tcBorders>
            <w:vAlign w:val="center"/>
          </w:tcPr>
          <w:p w14:paraId="5C5BE4F4" w14:textId="77777777" w:rsidR="0069056F" w:rsidRPr="00767DBC" w:rsidRDefault="0069056F" w:rsidP="00266D1B">
            <w:pPr>
              <w:rPr>
                <w:color w:val="000000"/>
                <w:sz w:val="18"/>
                <w:lang w:val="es-ES_tradnl"/>
              </w:rPr>
            </w:pPr>
            <w:r w:rsidRPr="00A62C91">
              <w:rPr>
                <w:bCs/>
                <w:color w:val="000000"/>
                <w:sz w:val="18"/>
                <w:lang w:val="es-MX"/>
              </w:rPr>
              <w:lastRenderedPageBreak/>
              <w:t xml:space="preserve">Metodología </w:t>
            </w:r>
            <w:r>
              <w:rPr>
                <w:bCs/>
                <w:color w:val="000000"/>
                <w:sz w:val="18"/>
                <w:lang w:val="es-MX"/>
              </w:rPr>
              <w:t>de sostenibilidad</w:t>
            </w:r>
            <w:r w:rsidRPr="00A62C91">
              <w:rPr>
                <w:bCs/>
                <w:color w:val="000000"/>
                <w:sz w:val="18"/>
                <w:lang w:val="es-MX"/>
              </w:rPr>
              <w:t xml:space="preserve"> para </w:t>
            </w:r>
            <w:r>
              <w:rPr>
                <w:bCs/>
                <w:color w:val="000000"/>
                <w:sz w:val="18"/>
                <w:lang w:val="es-MX"/>
              </w:rPr>
              <w:t>el financiamiento</w:t>
            </w:r>
            <w:r w:rsidRPr="00A62C91">
              <w:rPr>
                <w:bCs/>
                <w:color w:val="000000"/>
                <w:sz w:val="18"/>
                <w:lang w:val="es-MX"/>
              </w:rPr>
              <w:t xml:space="preserve"> </w:t>
            </w:r>
            <w:r>
              <w:rPr>
                <w:bCs/>
                <w:color w:val="000000"/>
                <w:sz w:val="18"/>
                <w:lang w:val="es-MX"/>
              </w:rPr>
              <w:t xml:space="preserve">de  proyectos de </w:t>
            </w:r>
            <w:r w:rsidRPr="00A62C91">
              <w:rPr>
                <w:bCs/>
                <w:color w:val="000000"/>
                <w:sz w:val="18"/>
                <w:lang w:val="es-MX"/>
              </w:rPr>
              <w:t xml:space="preserve">electrificación rural aislada, preparada y aprobada por el </w:t>
            </w:r>
            <w:r w:rsidRPr="001168A9">
              <w:rPr>
                <w:bCs/>
                <w:color w:val="000000"/>
                <w:sz w:val="18"/>
                <w:lang w:val="es-MX"/>
              </w:rPr>
              <w:t>MEER.</w:t>
            </w:r>
          </w:p>
        </w:tc>
        <w:tc>
          <w:tcPr>
            <w:tcW w:w="403" w:type="pct"/>
            <w:tcBorders>
              <w:top w:val="nil"/>
              <w:left w:val="nil"/>
              <w:bottom w:val="single" w:sz="4" w:space="0" w:color="auto"/>
              <w:right w:val="single" w:sz="4" w:space="0" w:color="auto"/>
            </w:tcBorders>
            <w:vAlign w:val="center"/>
            <w:hideMark/>
          </w:tcPr>
          <w:p w14:paraId="4C6B4D2A" w14:textId="77777777" w:rsidR="0069056F" w:rsidRPr="00767DBC" w:rsidRDefault="0069056F" w:rsidP="00266D1B">
            <w:pPr>
              <w:jc w:val="center"/>
              <w:rPr>
                <w:color w:val="000000"/>
                <w:sz w:val="18"/>
              </w:rPr>
            </w:pPr>
            <w:r>
              <w:rPr>
                <w:color w:val="000000"/>
                <w:sz w:val="18"/>
                <w:szCs w:val="18"/>
              </w:rPr>
              <w:t>0</w:t>
            </w:r>
          </w:p>
        </w:tc>
        <w:tc>
          <w:tcPr>
            <w:tcW w:w="438" w:type="pct"/>
            <w:tcBorders>
              <w:top w:val="nil"/>
              <w:left w:val="nil"/>
              <w:bottom w:val="single" w:sz="4" w:space="0" w:color="auto"/>
              <w:right w:val="single" w:sz="4" w:space="0" w:color="auto"/>
            </w:tcBorders>
            <w:shd w:val="clear" w:color="auto" w:fill="auto"/>
            <w:vAlign w:val="center"/>
            <w:hideMark/>
          </w:tcPr>
          <w:p w14:paraId="4B7C2D02" w14:textId="77777777" w:rsidR="0069056F" w:rsidRDefault="0069056F" w:rsidP="00266D1B">
            <w:pPr>
              <w:jc w:val="center"/>
              <w:rPr>
                <w:color w:val="000000"/>
                <w:sz w:val="18"/>
                <w:szCs w:val="18"/>
              </w:rPr>
            </w:pPr>
            <w:r>
              <w:rPr>
                <w:color w:val="000000"/>
                <w:sz w:val="18"/>
                <w:szCs w:val="18"/>
              </w:rPr>
              <w:t>1</w:t>
            </w:r>
          </w:p>
        </w:tc>
        <w:tc>
          <w:tcPr>
            <w:tcW w:w="1893" w:type="pct"/>
            <w:tcBorders>
              <w:top w:val="nil"/>
              <w:left w:val="nil"/>
              <w:bottom w:val="single" w:sz="4" w:space="0" w:color="auto"/>
              <w:right w:val="single" w:sz="4" w:space="0" w:color="auto"/>
            </w:tcBorders>
            <w:shd w:val="clear" w:color="auto" w:fill="auto"/>
            <w:vAlign w:val="center"/>
          </w:tcPr>
          <w:p w14:paraId="75D77D04" w14:textId="77777777" w:rsidR="0069056F" w:rsidRPr="00767DBC" w:rsidRDefault="0069056F" w:rsidP="00266D1B">
            <w:pPr>
              <w:rPr>
                <w:color w:val="000000"/>
                <w:sz w:val="18"/>
                <w:lang w:val="es-ES_tradnl"/>
              </w:rPr>
            </w:pPr>
            <w:r w:rsidRPr="00822CC5">
              <w:rPr>
                <w:bCs/>
                <w:color w:val="000000"/>
                <w:sz w:val="18"/>
                <w:lang w:val="es-MX"/>
              </w:rPr>
              <w:t>Oficio de aprobación por el MEER, de la metodología para la selección de proyectos  de electrificación rural aislada para financiamiento.</w:t>
            </w:r>
          </w:p>
        </w:tc>
      </w:tr>
      <w:tr w:rsidR="0069056F" w:rsidRPr="00CF7759" w14:paraId="3F1AA81A" w14:textId="77777777" w:rsidTr="00266D1B">
        <w:trPr>
          <w:trHeight w:val="712"/>
        </w:trPr>
        <w:tc>
          <w:tcPr>
            <w:tcW w:w="2266" w:type="pct"/>
            <w:tcBorders>
              <w:top w:val="nil"/>
              <w:left w:val="single" w:sz="4" w:space="0" w:color="auto"/>
              <w:bottom w:val="single" w:sz="4" w:space="0" w:color="auto"/>
              <w:right w:val="single" w:sz="4" w:space="0" w:color="auto"/>
            </w:tcBorders>
            <w:vAlign w:val="center"/>
          </w:tcPr>
          <w:p w14:paraId="520AB270" w14:textId="77777777" w:rsidR="0069056F" w:rsidRPr="00767DBC" w:rsidRDefault="0069056F" w:rsidP="00266D1B">
            <w:pPr>
              <w:rPr>
                <w:color w:val="000000"/>
                <w:sz w:val="18"/>
                <w:lang w:val="es-ES_tradnl"/>
              </w:rPr>
            </w:pPr>
            <w:r w:rsidRPr="00850282">
              <w:rPr>
                <w:bCs/>
                <w:color w:val="000000"/>
                <w:sz w:val="18"/>
                <w:lang w:val="es-MX"/>
              </w:rPr>
              <w:t>Metodología de sostenibilidad</w:t>
            </w:r>
            <w:r w:rsidRPr="00850282">
              <w:rPr>
                <w:rStyle w:val="FootnoteReference"/>
                <w:bCs/>
                <w:color w:val="000000"/>
                <w:sz w:val="18"/>
                <w:lang w:val="es-MX"/>
              </w:rPr>
              <w:footnoteReference w:id="7"/>
            </w:r>
            <w:r w:rsidRPr="00850282">
              <w:rPr>
                <w:bCs/>
                <w:color w:val="000000"/>
                <w:sz w:val="18"/>
                <w:lang w:val="es-MX"/>
              </w:rPr>
              <w:t xml:space="preserve"> para el financiamiento de proyectos de electrificación rural 2013-2014 con extensión de red, implementada.</w:t>
            </w:r>
          </w:p>
        </w:tc>
        <w:tc>
          <w:tcPr>
            <w:tcW w:w="403" w:type="pct"/>
            <w:tcBorders>
              <w:top w:val="nil"/>
              <w:left w:val="nil"/>
              <w:bottom w:val="single" w:sz="4" w:space="0" w:color="auto"/>
              <w:right w:val="single" w:sz="4" w:space="0" w:color="auto"/>
            </w:tcBorders>
            <w:vAlign w:val="center"/>
          </w:tcPr>
          <w:p w14:paraId="7F6C5A89" w14:textId="77777777" w:rsidR="0069056F" w:rsidRPr="00035171" w:rsidRDefault="0069056F" w:rsidP="00266D1B">
            <w:pPr>
              <w:jc w:val="center"/>
              <w:rPr>
                <w:color w:val="000000"/>
                <w:sz w:val="18"/>
                <w:szCs w:val="18"/>
                <w:lang w:val="es-ES_tradnl"/>
              </w:rPr>
            </w:pPr>
          </w:p>
        </w:tc>
        <w:tc>
          <w:tcPr>
            <w:tcW w:w="438" w:type="pct"/>
            <w:tcBorders>
              <w:top w:val="nil"/>
              <w:left w:val="nil"/>
              <w:bottom w:val="single" w:sz="4" w:space="0" w:color="auto"/>
              <w:right w:val="single" w:sz="4" w:space="0" w:color="auto"/>
            </w:tcBorders>
            <w:shd w:val="clear" w:color="auto" w:fill="auto"/>
            <w:vAlign w:val="center"/>
          </w:tcPr>
          <w:p w14:paraId="7ADA3087" w14:textId="77777777" w:rsidR="0069056F" w:rsidRPr="00035171" w:rsidRDefault="0069056F" w:rsidP="00266D1B">
            <w:pPr>
              <w:jc w:val="center"/>
              <w:rPr>
                <w:color w:val="000000"/>
                <w:sz w:val="18"/>
                <w:szCs w:val="18"/>
                <w:lang w:val="es-ES_tradnl"/>
              </w:rPr>
            </w:pPr>
          </w:p>
        </w:tc>
        <w:tc>
          <w:tcPr>
            <w:tcW w:w="1893" w:type="pct"/>
            <w:tcBorders>
              <w:top w:val="nil"/>
              <w:left w:val="nil"/>
              <w:bottom w:val="single" w:sz="4" w:space="0" w:color="auto"/>
              <w:right w:val="single" w:sz="4" w:space="0" w:color="auto"/>
            </w:tcBorders>
            <w:shd w:val="clear" w:color="auto" w:fill="auto"/>
            <w:vAlign w:val="center"/>
          </w:tcPr>
          <w:p w14:paraId="1F84A780" w14:textId="77777777" w:rsidR="0069056F" w:rsidRPr="00767DBC" w:rsidRDefault="0069056F" w:rsidP="00266D1B">
            <w:pPr>
              <w:rPr>
                <w:color w:val="000000"/>
                <w:sz w:val="18"/>
                <w:lang w:val="es-ES_tradnl"/>
              </w:rPr>
            </w:pPr>
            <w:r w:rsidRPr="00822CC5">
              <w:rPr>
                <w:bCs/>
                <w:color w:val="000000"/>
                <w:sz w:val="18"/>
                <w:lang w:val="es-MX"/>
              </w:rPr>
              <w:t xml:space="preserve">Informe de </w:t>
            </w:r>
            <w:r>
              <w:rPr>
                <w:bCs/>
                <w:color w:val="000000"/>
                <w:sz w:val="18"/>
                <w:lang w:val="es-MX"/>
              </w:rPr>
              <w:t>e</w:t>
            </w:r>
            <w:r w:rsidRPr="00822CC5">
              <w:rPr>
                <w:bCs/>
                <w:color w:val="000000"/>
                <w:sz w:val="18"/>
                <w:lang w:val="es-MX"/>
              </w:rPr>
              <w:t xml:space="preserve">valuación aprobado por el MEER de proyectos seleccionados a través del uso de una metodología costo eficiencia para financiamiento.  </w:t>
            </w:r>
          </w:p>
        </w:tc>
      </w:tr>
      <w:tr w:rsidR="0069056F" w:rsidRPr="00CF7759" w14:paraId="6347F657" w14:textId="77777777" w:rsidTr="00266D1B">
        <w:trPr>
          <w:trHeight w:val="475"/>
        </w:trPr>
        <w:tc>
          <w:tcPr>
            <w:tcW w:w="2266" w:type="pct"/>
            <w:tcBorders>
              <w:top w:val="nil"/>
              <w:left w:val="single" w:sz="4" w:space="0" w:color="auto"/>
              <w:bottom w:val="single" w:sz="4" w:space="0" w:color="auto"/>
              <w:right w:val="single" w:sz="4" w:space="0" w:color="auto"/>
            </w:tcBorders>
            <w:vAlign w:val="center"/>
          </w:tcPr>
          <w:p w14:paraId="7CAFB5AC" w14:textId="77777777" w:rsidR="0069056F" w:rsidRPr="00767DBC" w:rsidRDefault="0069056F" w:rsidP="00266D1B">
            <w:pPr>
              <w:rPr>
                <w:color w:val="000000"/>
                <w:sz w:val="18"/>
                <w:lang w:val="es-ES_tradnl"/>
              </w:rPr>
            </w:pPr>
            <w:r>
              <w:rPr>
                <w:bCs/>
                <w:color w:val="000000"/>
                <w:sz w:val="18"/>
                <w:lang w:val="es-MX"/>
              </w:rPr>
              <w:t>Estrategia para la evaluación de impacto de proyectos de electrificación rural, aprobada y en proceso de implementación.</w:t>
            </w:r>
          </w:p>
        </w:tc>
        <w:tc>
          <w:tcPr>
            <w:tcW w:w="403" w:type="pct"/>
            <w:tcBorders>
              <w:top w:val="nil"/>
              <w:left w:val="nil"/>
              <w:bottom w:val="single" w:sz="4" w:space="0" w:color="auto"/>
              <w:right w:val="single" w:sz="4" w:space="0" w:color="auto"/>
            </w:tcBorders>
            <w:vAlign w:val="center"/>
          </w:tcPr>
          <w:p w14:paraId="7BD98B94" w14:textId="77777777" w:rsidR="0069056F" w:rsidRPr="00767DBC" w:rsidRDefault="0069056F" w:rsidP="00266D1B">
            <w:pPr>
              <w:jc w:val="center"/>
              <w:rPr>
                <w:color w:val="000000"/>
                <w:sz w:val="18"/>
                <w:lang w:val="es-ES_tradnl"/>
              </w:rPr>
            </w:pPr>
          </w:p>
        </w:tc>
        <w:tc>
          <w:tcPr>
            <w:tcW w:w="438" w:type="pct"/>
            <w:tcBorders>
              <w:top w:val="nil"/>
              <w:left w:val="nil"/>
              <w:bottom w:val="single" w:sz="4" w:space="0" w:color="auto"/>
              <w:right w:val="single" w:sz="4" w:space="0" w:color="auto"/>
            </w:tcBorders>
            <w:shd w:val="clear" w:color="auto" w:fill="auto"/>
            <w:vAlign w:val="center"/>
          </w:tcPr>
          <w:p w14:paraId="63CCB5F5" w14:textId="77777777" w:rsidR="0069056F" w:rsidRPr="00035171" w:rsidRDefault="0069056F" w:rsidP="00266D1B">
            <w:pPr>
              <w:jc w:val="center"/>
              <w:rPr>
                <w:color w:val="000000"/>
                <w:sz w:val="18"/>
                <w:szCs w:val="18"/>
                <w:lang w:val="es-ES_tradnl"/>
              </w:rPr>
            </w:pPr>
          </w:p>
        </w:tc>
        <w:tc>
          <w:tcPr>
            <w:tcW w:w="1893" w:type="pct"/>
            <w:tcBorders>
              <w:top w:val="nil"/>
              <w:left w:val="nil"/>
              <w:bottom w:val="single" w:sz="4" w:space="0" w:color="auto"/>
              <w:right w:val="single" w:sz="4" w:space="0" w:color="auto"/>
            </w:tcBorders>
            <w:shd w:val="clear" w:color="auto" w:fill="auto"/>
            <w:vAlign w:val="center"/>
          </w:tcPr>
          <w:p w14:paraId="3F6D6852" w14:textId="77777777" w:rsidR="0069056F" w:rsidRPr="00767DBC" w:rsidRDefault="0069056F" w:rsidP="00266D1B">
            <w:pPr>
              <w:rPr>
                <w:color w:val="000000"/>
                <w:sz w:val="18"/>
                <w:lang w:val="es-ES_tradnl"/>
              </w:rPr>
            </w:pPr>
            <w:r>
              <w:rPr>
                <w:bCs/>
                <w:color w:val="000000"/>
                <w:sz w:val="18"/>
                <w:lang w:val="es-MX"/>
              </w:rPr>
              <w:t>Oficio del MEER donde se aprueba la e</w:t>
            </w:r>
            <w:r w:rsidRPr="00822CC5">
              <w:rPr>
                <w:bCs/>
                <w:color w:val="000000"/>
                <w:sz w:val="18"/>
                <w:lang w:val="es-MX"/>
              </w:rPr>
              <w:t>strategia para la implementación de</w:t>
            </w:r>
            <w:r>
              <w:rPr>
                <w:bCs/>
                <w:color w:val="000000"/>
                <w:sz w:val="18"/>
                <w:lang w:val="es-MX"/>
              </w:rPr>
              <w:t xml:space="preserve"> una evaluación de impacto de proyectos FERUM</w:t>
            </w:r>
            <w:r w:rsidRPr="00822CC5">
              <w:rPr>
                <w:bCs/>
                <w:color w:val="000000"/>
                <w:sz w:val="18"/>
                <w:lang w:val="es-MX"/>
              </w:rPr>
              <w:t xml:space="preserve"> aprobada por el MEER.</w:t>
            </w:r>
          </w:p>
        </w:tc>
      </w:tr>
      <w:tr w:rsidR="0069056F" w:rsidRPr="00CF7759" w14:paraId="6DB691A5" w14:textId="77777777" w:rsidTr="00266D1B">
        <w:trPr>
          <w:trHeight w:val="297"/>
        </w:trPr>
        <w:tc>
          <w:tcPr>
            <w:tcW w:w="5000" w:type="pct"/>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5AC25EAA" w14:textId="77777777" w:rsidR="0069056F" w:rsidRPr="00767DBC" w:rsidRDefault="0069056F" w:rsidP="00266D1B">
            <w:pPr>
              <w:rPr>
                <w:b/>
                <w:color w:val="000000"/>
                <w:sz w:val="18"/>
                <w:lang w:val="es-ES_tradnl"/>
              </w:rPr>
            </w:pPr>
            <w:r>
              <w:rPr>
                <w:b/>
                <w:bCs/>
                <w:color w:val="000000"/>
                <w:sz w:val="18"/>
                <w:szCs w:val="18"/>
                <w:lang w:val="es-MX"/>
              </w:rPr>
              <w:t>III</w:t>
            </w:r>
            <w:r w:rsidRPr="00767DBC">
              <w:rPr>
                <w:b/>
                <w:color w:val="000000"/>
                <w:sz w:val="18"/>
                <w:lang w:val="es-MX"/>
              </w:rPr>
              <w:t>. Apoyo a la integración eléctrica regional</w:t>
            </w:r>
          </w:p>
        </w:tc>
      </w:tr>
      <w:tr w:rsidR="0069056F" w:rsidRPr="00CF7759" w14:paraId="3B1B18D2" w14:textId="77777777" w:rsidTr="00266D1B">
        <w:trPr>
          <w:trHeight w:val="949"/>
        </w:trPr>
        <w:tc>
          <w:tcPr>
            <w:tcW w:w="2266" w:type="pct"/>
            <w:tcBorders>
              <w:top w:val="nil"/>
              <w:left w:val="single" w:sz="4" w:space="0" w:color="auto"/>
              <w:bottom w:val="single" w:sz="4" w:space="0" w:color="auto"/>
              <w:right w:val="single" w:sz="4" w:space="0" w:color="auto"/>
            </w:tcBorders>
            <w:vAlign w:val="center"/>
          </w:tcPr>
          <w:p w14:paraId="0FFE6ABE" w14:textId="77777777" w:rsidR="0069056F" w:rsidRPr="00767DBC" w:rsidRDefault="0069056F" w:rsidP="00266D1B">
            <w:pPr>
              <w:rPr>
                <w:color w:val="000000"/>
                <w:sz w:val="18"/>
                <w:lang w:val="es-ES_tradnl"/>
              </w:rPr>
            </w:pPr>
            <w:r>
              <w:rPr>
                <w:bCs/>
                <w:color w:val="000000"/>
                <w:sz w:val="18"/>
                <w:lang w:val="es-MX"/>
              </w:rPr>
              <w:t xml:space="preserve">Acuerdo binacional del alcance del anteproyecto de una línea de transmisión en alta tensión (500 </w:t>
            </w:r>
            <w:proofErr w:type="spellStart"/>
            <w:r>
              <w:rPr>
                <w:bCs/>
                <w:color w:val="000000"/>
                <w:sz w:val="18"/>
                <w:lang w:val="es-MX"/>
              </w:rPr>
              <w:t>kV</w:t>
            </w:r>
            <w:proofErr w:type="spellEnd"/>
            <w:r>
              <w:rPr>
                <w:bCs/>
                <w:color w:val="000000"/>
                <w:sz w:val="18"/>
                <w:lang w:val="es-MX"/>
              </w:rPr>
              <w:t>) para la interconexión Ecuador-Perú, alcanzado.</w:t>
            </w:r>
          </w:p>
        </w:tc>
        <w:tc>
          <w:tcPr>
            <w:tcW w:w="403" w:type="pct"/>
            <w:tcBorders>
              <w:top w:val="nil"/>
              <w:left w:val="nil"/>
              <w:bottom w:val="single" w:sz="4" w:space="0" w:color="auto"/>
              <w:right w:val="single" w:sz="4" w:space="0" w:color="auto"/>
            </w:tcBorders>
            <w:vAlign w:val="center"/>
            <w:hideMark/>
          </w:tcPr>
          <w:p w14:paraId="2E51C1FB" w14:textId="77777777" w:rsidR="0069056F" w:rsidRPr="00767DBC" w:rsidRDefault="0069056F" w:rsidP="00266D1B">
            <w:pPr>
              <w:jc w:val="center"/>
              <w:rPr>
                <w:color w:val="000000"/>
                <w:sz w:val="18"/>
              </w:rPr>
            </w:pPr>
            <w:r>
              <w:rPr>
                <w:color w:val="000000"/>
                <w:sz w:val="18"/>
                <w:szCs w:val="18"/>
              </w:rPr>
              <w:t>0</w:t>
            </w:r>
          </w:p>
        </w:tc>
        <w:tc>
          <w:tcPr>
            <w:tcW w:w="438" w:type="pct"/>
            <w:tcBorders>
              <w:top w:val="nil"/>
              <w:left w:val="nil"/>
              <w:bottom w:val="single" w:sz="4" w:space="0" w:color="auto"/>
              <w:right w:val="single" w:sz="4" w:space="0" w:color="auto"/>
            </w:tcBorders>
            <w:shd w:val="clear" w:color="auto" w:fill="auto"/>
            <w:vAlign w:val="center"/>
            <w:hideMark/>
          </w:tcPr>
          <w:p w14:paraId="118B948D" w14:textId="77777777" w:rsidR="0069056F" w:rsidRDefault="0069056F" w:rsidP="00266D1B">
            <w:pPr>
              <w:jc w:val="center"/>
              <w:rPr>
                <w:color w:val="000000"/>
                <w:sz w:val="18"/>
                <w:szCs w:val="18"/>
              </w:rPr>
            </w:pPr>
            <w:r>
              <w:rPr>
                <w:color w:val="000000"/>
                <w:sz w:val="18"/>
                <w:szCs w:val="18"/>
              </w:rPr>
              <w:t>1</w:t>
            </w:r>
          </w:p>
        </w:tc>
        <w:tc>
          <w:tcPr>
            <w:tcW w:w="1893" w:type="pct"/>
            <w:tcBorders>
              <w:top w:val="nil"/>
              <w:left w:val="nil"/>
              <w:bottom w:val="single" w:sz="4" w:space="0" w:color="auto"/>
              <w:right w:val="single" w:sz="4" w:space="0" w:color="auto"/>
            </w:tcBorders>
            <w:shd w:val="clear" w:color="auto" w:fill="auto"/>
            <w:vAlign w:val="center"/>
          </w:tcPr>
          <w:p w14:paraId="32CE9AF3" w14:textId="77777777" w:rsidR="0069056F" w:rsidRPr="00767DBC" w:rsidRDefault="0069056F" w:rsidP="00266D1B">
            <w:pPr>
              <w:rPr>
                <w:color w:val="000000"/>
                <w:sz w:val="18"/>
                <w:lang w:val="es-ES_tradnl"/>
              </w:rPr>
            </w:pPr>
            <w:r w:rsidRPr="00822CC5">
              <w:rPr>
                <w:bCs/>
                <w:color w:val="000000"/>
                <w:sz w:val="18"/>
                <w:lang w:val="es-MX"/>
              </w:rPr>
              <w:t>Acta de aprobación de términos de referenc</w:t>
            </w:r>
            <w:r>
              <w:rPr>
                <w:bCs/>
                <w:color w:val="000000"/>
                <w:sz w:val="18"/>
                <w:lang w:val="es-MX"/>
              </w:rPr>
              <w:t xml:space="preserve">ia socializados entre los dos países para estudios de anteproyecto de una línea de transmisión en alta tensión (500 </w:t>
            </w:r>
            <w:proofErr w:type="spellStart"/>
            <w:r>
              <w:rPr>
                <w:bCs/>
                <w:color w:val="000000"/>
                <w:sz w:val="18"/>
                <w:lang w:val="es-MX"/>
              </w:rPr>
              <w:t>kV</w:t>
            </w:r>
            <w:proofErr w:type="spellEnd"/>
            <w:r>
              <w:rPr>
                <w:bCs/>
                <w:color w:val="000000"/>
                <w:sz w:val="18"/>
                <w:lang w:val="es-MX"/>
              </w:rPr>
              <w:t>) para la interconexión Ecuador - Perú.</w:t>
            </w:r>
          </w:p>
        </w:tc>
      </w:tr>
      <w:tr w:rsidR="0069056F" w:rsidRPr="00CF7759" w14:paraId="637EE65C" w14:textId="77777777" w:rsidTr="00266D1B">
        <w:trPr>
          <w:trHeight w:val="712"/>
        </w:trPr>
        <w:tc>
          <w:tcPr>
            <w:tcW w:w="2266" w:type="pct"/>
            <w:tcBorders>
              <w:top w:val="nil"/>
              <w:left w:val="single" w:sz="4" w:space="0" w:color="auto"/>
              <w:bottom w:val="single" w:sz="4" w:space="0" w:color="auto"/>
              <w:right w:val="single" w:sz="4" w:space="0" w:color="auto"/>
            </w:tcBorders>
            <w:vAlign w:val="center"/>
          </w:tcPr>
          <w:p w14:paraId="19940124" w14:textId="77777777" w:rsidR="0069056F" w:rsidRPr="00767DBC" w:rsidRDefault="0069056F" w:rsidP="00266D1B">
            <w:pPr>
              <w:rPr>
                <w:color w:val="000000"/>
                <w:sz w:val="18"/>
                <w:lang w:val="es-ES_tradnl"/>
              </w:rPr>
            </w:pPr>
            <w:r w:rsidRPr="00822CC5">
              <w:rPr>
                <w:bCs/>
                <w:color w:val="000000"/>
                <w:sz w:val="18"/>
                <w:lang w:val="es-MX"/>
              </w:rPr>
              <w:t>Acta de aprobación de términos de referenc</w:t>
            </w:r>
            <w:r>
              <w:rPr>
                <w:bCs/>
                <w:color w:val="000000"/>
                <w:sz w:val="18"/>
                <w:lang w:val="es-MX"/>
              </w:rPr>
              <w:t xml:space="preserve">ia socializados entre los dos países para estudios de anteproyecto de una línea de transmisión en alta tensión (500 </w:t>
            </w:r>
            <w:proofErr w:type="spellStart"/>
            <w:r>
              <w:rPr>
                <w:bCs/>
                <w:color w:val="000000"/>
                <w:sz w:val="18"/>
                <w:lang w:val="es-MX"/>
              </w:rPr>
              <w:t>kV</w:t>
            </w:r>
            <w:proofErr w:type="spellEnd"/>
            <w:r>
              <w:rPr>
                <w:bCs/>
                <w:color w:val="000000"/>
                <w:sz w:val="18"/>
                <w:lang w:val="es-MX"/>
              </w:rPr>
              <w:t>) para la interconexión Ecuador - Perú.</w:t>
            </w:r>
          </w:p>
        </w:tc>
        <w:tc>
          <w:tcPr>
            <w:tcW w:w="403" w:type="pct"/>
            <w:tcBorders>
              <w:top w:val="nil"/>
              <w:left w:val="nil"/>
              <w:bottom w:val="single" w:sz="4" w:space="0" w:color="auto"/>
              <w:right w:val="single" w:sz="4" w:space="0" w:color="auto"/>
            </w:tcBorders>
            <w:vAlign w:val="center"/>
            <w:hideMark/>
          </w:tcPr>
          <w:p w14:paraId="5DFC752D" w14:textId="77777777" w:rsidR="0069056F" w:rsidRDefault="0069056F" w:rsidP="00266D1B">
            <w:pPr>
              <w:jc w:val="center"/>
              <w:rPr>
                <w:color w:val="000000"/>
                <w:sz w:val="18"/>
                <w:szCs w:val="18"/>
              </w:rPr>
            </w:pPr>
            <w:r>
              <w:rPr>
                <w:color w:val="000000"/>
                <w:sz w:val="18"/>
                <w:szCs w:val="18"/>
              </w:rPr>
              <w:t>0</w:t>
            </w:r>
          </w:p>
        </w:tc>
        <w:tc>
          <w:tcPr>
            <w:tcW w:w="438" w:type="pct"/>
            <w:tcBorders>
              <w:top w:val="nil"/>
              <w:left w:val="nil"/>
              <w:bottom w:val="single" w:sz="4" w:space="0" w:color="auto"/>
              <w:right w:val="single" w:sz="4" w:space="0" w:color="auto"/>
            </w:tcBorders>
            <w:vAlign w:val="center"/>
            <w:hideMark/>
          </w:tcPr>
          <w:p w14:paraId="39283AE8" w14:textId="77777777" w:rsidR="0069056F" w:rsidRDefault="0069056F" w:rsidP="00266D1B">
            <w:pPr>
              <w:jc w:val="center"/>
              <w:rPr>
                <w:color w:val="000000"/>
                <w:sz w:val="18"/>
                <w:szCs w:val="18"/>
              </w:rPr>
            </w:pPr>
            <w:r>
              <w:rPr>
                <w:color w:val="000000"/>
                <w:sz w:val="18"/>
                <w:szCs w:val="18"/>
              </w:rPr>
              <w:t>1</w:t>
            </w:r>
          </w:p>
        </w:tc>
        <w:tc>
          <w:tcPr>
            <w:tcW w:w="1893" w:type="pct"/>
            <w:tcBorders>
              <w:top w:val="nil"/>
              <w:left w:val="nil"/>
              <w:bottom w:val="single" w:sz="4" w:space="0" w:color="auto"/>
              <w:right w:val="single" w:sz="4" w:space="0" w:color="auto"/>
            </w:tcBorders>
            <w:shd w:val="clear" w:color="auto" w:fill="auto"/>
            <w:vAlign w:val="center"/>
          </w:tcPr>
          <w:p w14:paraId="57689DE9" w14:textId="77777777" w:rsidR="0069056F" w:rsidRPr="00767DBC" w:rsidRDefault="0069056F" w:rsidP="00266D1B">
            <w:pPr>
              <w:rPr>
                <w:color w:val="000000"/>
                <w:sz w:val="18"/>
                <w:lang w:val="es-ES_tradnl"/>
              </w:rPr>
            </w:pPr>
            <w:r>
              <w:rPr>
                <w:bCs/>
                <w:color w:val="000000"/>
                <w:sz w:val="18"/>
                <w:lang w:val="es-MX"/>
              </w:rPr>
              <w:t xml:space="preserve">Informe de acuerdo binacional suministrado por el CONELEC de la propuesta de </w:t>
            </w:r>
            <w:r w:rsidRPr="00822CC5">
              <w:rPr>
                <w:bCs/>
                <w:color w:val="000000"/>
                <w:sz w:val="18"/>
                <w:lang w:val="es-MX"/>
              </w:rPr>
              <w:t>armonización normativa</w:t>
            </w:r>
            <w:r>
              <w:rPr>
                <w:bCs/>
                <w:color w:val="000000"/>
                <w:sz w:val="18"/>
                <w:lang w:val="es-MX"/>
              </w:rPr>
              <w:t xml:space="preserve"> que intensifica el intercambio de electricidad con Perú en la conexión existente a 230 </w:t>
            </w:r>
            <w:proofErr w:type="spellStart"/>
            <w:r>
              <w:rPr>
                <w:bCs/>
                <w:color w:val="000000"/>
                <w:sz w:val="18"/>
                <w:lang w:val="es-MX"/>
              </w:rPr>
              <w:t>kV</w:t>
            </w:r>
            <w:proofErr w:type="spellEnd"/>
            <w:r>
              <w:rPr>
                <w:bCs/>
                <w:color w:val="000000"/>
                <w:sz w:val="18"/>
                <w:lang w:val="es-MX"/>
              </w:rPr>
              <w:t>.</w:t>
            </w:r>
          </w:p>
        </w:tc>
      </w:tr>
    </w:tbl>
    <w:p w14:paraId="165834C9" w14:textId="77777777" w:rsidR="0069056F" w:rsidRPr="00767DBC" w:rsidRDefault="0069056F" w:rsidP="0069056F">
      <w:pPr>
        <w:spacing w:before="120" w:after="120" w:line="360" w:lineRule="auto"/>
        <w:jc w:val="center"/>
        <w:rPr>
          <w:b/>
          <w:lang w:val="es-ES"/>
        </w:rPr>
      </w:pPr>
    </w:p>
    <w:bookmarkEnd w:id="10"/>
    <w:bookmarkEnd w:id="11"/>
    <w:bookmarkEnd w:id="12"/>
    <w:p w14:paraId="50EDC2EF" w14:textId="77777777" w:rsidR="0069056F" w:rsidRPr="007E07CA" w:rsidRDefault="0069056F" w:rsidP="0069056F">
      <w:pPr>
        <w:pStyle w:val="Title"/>
        <w:numPr>
          <w:ilvl w:val="0"/>
          <w:numId w:val="15"/>
        </w:numPr>
        <w:spacing w:before="120" w:after="120"/>
        <w:jc w:val="left"/>
        <w:rPr>
          <w:b/>
          <w:lang w:val="es-ES"/>
        </w:rPr>
      </w:pPr>
      <w:r w:rsidRPr="007E07CA">
        <w:rPr>
          <w:b/>
          <w:lang w:val="es-ES"/>
        </w:rPr>
        <w:t xml:space="preserve">Evaluación </w:t>
      </w:r>
    </w:p>
    <w:p w14:paraId="4C5C2257" w14:textId="77777777" w:rsidR="0069056F" w:rsidRPr="00767DBC" w:rsidRDefault="0069056F" w:rsidP="0069056F">
      <w:pPr>
        <w:spacing w:before="120" w:after="120" w:line="360" w:lineRule="auto"/>
        <w:jc w:val="both"/>
        <w:rPr>
          <w:lang w:val="es-ES"/>
        </w:rPr>
      </w:pPr>
      <w:r w:rsidRPr="00767DBC">
        <w:rPr>
          <w:lang w:val="es-ES"/>
        </w:rPr>
        <w:t>En esta sección se presenta la metodología para la evaluación de los resultados del Programa, y se incluyen, entre otros aspectos, las principales preguntas de evaluación, los indicadores de resultados, la metodología para la recolección de datos</w:t>
      </w:r>
      <w:r>
        <w:rPr>
          <w:rFonts w:eastAsia="MS Mincho"/>
          <w:iCs/>
          <w:szCs w:val="24"/>
          <w:lang w:val="es-ES" w:eastAsia="ja-JP"/>
        </w:rPr>
        <w:t xml:space="preserve"> y análisis económico </w:t>
      </w:r>
      <w:proofErr w:type="spellStart"/>
      <w:r>
        <w:rPr>
          <w:rFonts w:eastAsia="MS Mincho"/>
          <w:iCs/>
          <w:szCs w:val="24"/>
          <w:lang w:val="es-ES" w:eastAsia="ja-JP"/>
        </w:rPr>
        <w:t>expost</w:t>
      </w:r>
      <w:proofErr w:type="spellEnd"/>
      <w:r w:rsidRPr="00767DBC">
        <w:rPr>
          <w:lang w:val="es-ES"/>
        </w:rPr>
        <w:t>, el plan de trabajo y el presupuesto.</w:t>
      </w:r>
    </w:p>
    <w:p w14:paraId="059E4371" w14:textId="77777777" w:rsidR="0069056F" w:rsidRPr="00767DBC" w:rsidRDefault="0069056F" w:rsidP="0069056F">
      <w:pPr>
        <w:pStyle w:val="Heading2"/>
        <w:spacing w:before="120" w:after="120"/>
        <w:rPr>
          <w:rStyle w:val="SubtleEmphasis"/>
          <w:color w:val="auto"/>
          <w:lang w:val="es-ES"/>
        </w:rPr>
      </w:pPr>
      <w:r w:rsidRPr="00B0737D">
        <w:rPr>
          <w:rStyle w:val="SubtleEmphasis"/>
          <w:color w:val="auto"/>
          <w:lang w:val="es-ES"/>
        </w:rPr>
        <w:t>Principales</w:t>
      </w:r>
      <w:r w:rsidRPr="00767DBC">
        <w:rPr>
          <w:rStyle w:val="SubtleEmphasis"/>
          <w:color w:val="auto"/>
          <w:lang w:val="es-ES"/>
        </w:rPr>
        <w:t xml:space="preserve"> preguntas de evaluación </w:t>
      </w:r>
    </w:p>
    <w:p w14:paraId="238E05BE" w14:textId="77777777" w:rsidR="0069056F" w:rsidRPr="00767DBC" w:rsidRDefault="0069056F" w:rsidP="0069056F">
      <w:pPr>
        <w:spacing w:before="120" w:after="120" w:line="360" w:lineRule="auto"/>
        <w:jc w:val="both"/>
        <w:rPr>
          <w:lang w:val="es-ES"/>
        </w:rPr>
      </w:pPr>
      <w:r w:rsidRPr="00767DBC">
        <w:rPr>
          <w:lang w:val="es-ES"/>
        </w:rPr>
        <w:t xml:space="preserve">El propósito de la evaluación es analizar los resultados del Programa, los cuales están orientados al cambio de la matriz energética de Ecuador y la consolidación de las cuentas fiscales y </w:t>
      </w:r>
      <w:r w:rsidRPr="00767DBC">
        <w:rPr>
          <w:lang w:val="es-ES"/>
        </w:rPr>
        <w:lastRenderedPageBreak/>
        <w:t>externas, a través de la disminución de las importaciones de derivados de petróleo y sustitución de subsidios asociados.</w:t>
      </w:r>
    </w:p>
    <w:p w14:paraId="1A7F0CA3" w14:textId="77777777" w:rsidR="0069056F" w:rsidRPr="00767DBC" w:rsidRDefault="0069056F" w:rsidP="0069056F">
      <w:pPr>
        <w:spacing w:before="120" w:after="120" w:line="360" w:lineRule="auto"/>
        <w:jc w:val="both"/>
        <w:rPr>
          <w:lang w:val="es-ES"/>
        </w:rPr>
      </w:pPr>
      <w:r w:rsidRPr="00767DBC">
        <w:rPr>
          <w:lang w:val="es-ES"/>
        </w:rPr>
        <w:t>A continuación se enuncian las principales preguntas con las que se pretende evaluar el desarrollo del Programa:</w:t>
      </w:r>
    </w:p>
    <w:p w14:paraId="17148F0D" w14:textId="77777777" w:rsidR="0069056F" w:rsidRPr="007E07CA" w:rsidRDefault="0069056F" w:rsidP="0069056F">
      <w:pPr>
        <w:pStyle w:val="ListParagraph"/>
        <w:numPr>
          <w:ilvl w:val="0"/>
          <w:numId w:val="23"/>
        </w:numPr>
        <w:spacing w:before="120" w:after="120" w:line="360" w:lineRule="auto"/>
        <w:jc w:val="both"/>
        <w:rPr>
          <w:i/>
          <w:szCs w:val="20"/>
          <w:lang w:val="es-ES"/>
        </w:rPr>
      </w:pPr>
      <w:r w:rsidRPr="00767DBC">
        <w:rPr>
          <w:i/>
          <w:lang w:val="es-ES"/>
        </w:rPr>
        <w:t xml:space="preserve">¿El </w:t>
      </w:r>
      <w:r w:rsidRPr="006B7947">
        <w:rPr>
          <w:i/>
          <w:lang w:val="es-ES"/>
        </w:rPr>
        <w:t>país cu</w:t>
      </w:r>
      <w:r>
        <w:rPr>
          <w:i/>
          <w:lang w:val="es-ES"/>
        </w:rPr>
        <w:t>e</w:t>
      </w:r>
      <w:r w:rsidRPr="007E07CA">
        <w:rPr>
          <w:i/>
          <w:lang w:val="es-ES"/>
        </w:rPr>
        <w:t>nta con una</w:t>
      </w:r>
      <w:r w:rsidRPr="00767DBC">
        <w:rPr>
          <w:i/>
          <w:lang w:val="es-ES"/>
        </w:rPr>
        <w:t xml:space="preserve"> matriz energética </w:t>
      </w:r>
      <w:r w:rsidRPr="007E07CA">
        <w:rPr>
          <w:i/>
          <w:lang w:val="es-ES"/>
        </w:rPr>
        <w:t>más limpia</w:t>
      </w:r>
      <w:r>
        <w:rPr>
          <w:i/>
          <w:lang w:val="es-ES"/>
        </w:rPr>
        <w:t xml:space="preserve"> </w:t>
      </w:r>
      <w:r w:rsidRPr="00B50D38">
        <w:rPr>
          <w:i/>
          <w:lang w:val="es-ES"/>
        </w:rPr>
        <w:t xml:space="preserve">con </w:t>
      </w:r>
      <w:r>
        <w:rPr>
          <w:i/>
          <w:lang w:val="es-ES"/>
        </w:rPr>
        <w:t xml:space="preserve">una </w:t>
      </w:r>
      <w:r w:rsidRPr="00B50D38">
        <w:rPr>
          <w:i/>
          <w:lang w:val="es-ES"/>
        </w:rPr>
        <w:t>mayor participación de energías renovables</w:t>
      </w:r>
      <w:r>
        <w:rPr>
          <w:i/>
          <w:lang w:val="es-ES"/>
        </w:rPr>
        <w:t xml:space="preserve"> y menor consumo</w:t>
      </w:r>
      <w:r w:rsidRPr="00767DBC">
        <w:rPr>
          <w:i/>
          <w:lang w:val="es-ES"/>
        </w:rPr>
        <w:t xml:space="preserve"> de </w:t>
      </w:r>
      <w:r w:rsidRPr="00B50D38">
        <w:rPr>
          <w:i/>
          <w:lang w:val="es-ES"/>
        </w:rPr>
        <w:t>hidrocarburos líquidos en la generación eléctrica</w:t>
      </w:r>
      <w:r w:rsidRPr="007E07CA">
        <w:rPr>
          <w:i/>
          <w:lang w:val="es-ES"/>
        </w:rPr>
        <w:t xml:space="preserve">? </w:t>
      </w:r>
    </w:p>
    <w:p w14:paraId="0AC0A44B" w14:textId="77777777" w:rsidR="0069056F" w:rsidRPr="007E07CA" w:rsidRDefault="0069056F" w:rsidP="0069056F">
      <w:pPr>
        <w:pStyle w:val="ListParagraph"/>
        <w:numPr>
          <w:ilvl w:val="0"/>
          <w:numId w:val="23"/>
        </w:numPr>
        <w:spacing w:before="120" w:after="120" w:line="360" w:lineRule="auto"/>
        <w:jc w:val="both"/>
        <w:rPr>
          <w:i/>
          <w:szCs w:val="20"/>
          <w:lang w:val="es-ES"/>
        </w:rPr>
      </w:pPr>
      <w:r w:rsidRPr="007E07CA">
        <w:rPr>
          <w:lang w:val="es-ES"/>
        </w:rPr>
        <w:t>¿</w:t>
      </w:r>
      <w:r w:rsidRPr="007E07CA">
        <w:rPr>
          <w:i/>
          <w:szCs w:val="20"/>
          <w:lang w:val="es-ES"/>
        </w:rPr>
        <w:t xml:space="preserve">Se han reducido las importaciones de </w:t>
      </w:r>
      <w:r>
        <w:rPr>
          <w:i/>
          <w:szCs w:val="20"/>
          <w:lang w:val="es-ES"/>
        </w:rPr>
        <w:t>derivados del petróleo</w:t>
      </w:r>
      <w:r w:rsidRPr="00541330">
        <w:rPr>
          <w:i/>
          <w:szCs w:val="20"/>
          <w:lang w:val="es-ES"/>
        </w:rPr>
        <w:t>, incluyendo l</w:t>
      </w:r>
      <w:r>
        <w:rPr>
          <w:i/>
          <w:szCs w:val="20"/>
          <w:lang w:val="es-ES"/>
        </w:rPr>
        <w:t>a</w:t>
      </w:r>
      <w:r w:rsidRPr="00541330">
        <w:rPr>
          <w:i/>
          <w:szCs w:val="20"/>
          <w:lang w:val="es-ES"/>
        </w:rPr>
        <w:t>s que son destinados para la generación eléctrica</w:t>
      </w:r>
      <w:r w:rsidRPr="007E07CA">
        <w:rPr>
          <w:i/>
          <w:szCs w:val="20"/>
          <w:lang w:val="es-ES"/>
        </w:rPr>
        <w:t>?</w:t>
      </w:r>
    </w:p>
    <w:p w14:paraId="1B6B7810" w14:textId="77777777" w:rsidR="0069056F" w:rsidRDefault="0069056F" w:rsidP="0069056F">
      <w:pPr>
        <w:pStyle w:val="ListParagraph"/>
        <w:numPr>
          <w:ilvl w:val="0"/>
          <w:numId w:val="23"/>
        </w:numPr>
        <w:spacing w:before="120" w:after="120" w:line="360" w:lineRule="auto"/>
        <w:jc w:val="both"/>
        <w:rPr>
          <w:i/>
          <w:szCs w:val="20"/>
          <w:lang w:val="es-ES"/>
        </w:rPr>
      </w:pPr>
      <w:r w:rsidRPr="007E07CA">
        <w:rPr>
          <w:i/>
          <w:szCs w:val="20"/>
          <w:lang w:val="es-ES"/>
        </w:rPr>
        <w:t>¿</w:t>
      </w:r>
      <w:r w:rsidRPr="006B7947">
        <w:rPr>
          <w:i/>
          <w:szCs w:val="20"/>
          <w:lang w:val="es-ES"/>
        </w:rPr>
        <w:t>S</w:t>
      </w:r>
      <w:r>
        <w:rPr>
          <w:i/>
          <w:szCs w:val="20"/>
          <w:lang w:val="es-ES"/>
        </w:rPr>
        <w:t>e</w:t>
      </w:r>
      <w:r w:rsidRPr="006B7947">
        <w:rPr>
          <w:i/>
          <w:szCs w:val="20"/>
          <w:lang w:val="es-ES"/>
        </w:rPr>
        <w:t xml:space="preserve"> ha aumentado la sostenibilidad del </w:t>
      </w:r>
      <w:r w:rsidRPr="00B50D38">
        <w:rPr>
          <w:i/>
          <w:szCs w:val="20"/>
          <w:lang w:val="es-ES"/>
        </w:rPr>
        <w:t>sector eléctrico?</w:t>
      </w:r>
    </w:p>
    <w:p w14:paraId="04E9B4BD" w14:textId="77777777" w:rsidR="0069056F" w:rsidRPr="007E07CA" w:rsidRDefault="0069056F" w:rsidP="0069056F">
      <w:pPr>
        <w:pStyle w:val="ListParagraph"/>
        <w:numPr>
          <w:ilvl w:val="0"/>
          <w:numId w:val="23"/>
        </w:numPr>
        <w:spacing w:before="120" w:after="120" w:line="360" w:lineRule="auto"/>
        <w:jc w:val="both"/>
        <w:rPr>
          <w:i/>
          <w:szCs w:val="20"/>
          <w:lang w:val="es-ES"/>
        </w:rPr>
      </w:pPr>
      <w:r>
        <w:rPr>
          <w:i/>
          <w:szCs w:val="20"/>
          <w:lang w:val="es-ES"/>
        </w:rPr>
        <w:t xml:space="preserve">¿Han sido reducidos los </w:t>
      </w:r>
      <w:r w:rsidRPr="00B50D38">
        <w:rPr>
          <w:i/>
          <w:szCs w:val="20"/>
          <w:lang w:val="es-ES"/>
        </w:rPr>
        <w:t>subsidios asociados al consumo de GLP</w:t>
      </w:r>
      <w:r>
        <w:rPr>
          <w:i/>
          <w:szCs w:val="20"/>
          <w:lang w:val="es-ES"/>
        </w:rPr>
        <w:t>?</w:t>
      </w:r>
    </w:p>
    <w:p w14:paraId="14C76F9C" w14:textId="77777777" w:rsidR="0069056F" w:rsidRDefault="0069056F" w:rsidP="0069056F">
      <w:pPr>
        <w:pStyle w:val="ListParagraph"/>
        <w:numPr>
          <w:ilvl w:val="0"/>
          <w:numId w:val="23"/>
        </w:numPr>
        <w:spacing w:before="120" w:after="120" w:line="360" w:lineRule="auto"/>
        <w:jc w:val="both"/>
        <w:rPr>
          <w:i/>
          <w:szCs w:val="20"/>
          <w:lang w:val="es-ES"/>
        </w:rPr>
      </w:pPr>
      <w:r w:rsidRPr="007E07CA">
        <w:rPr>
          <w:i/>
          <w:szCs w:val="20"/>
          <w:lang w:val="es-ES"/>
        </w:rPr>
        <w:t xml:space="preserve">¿Se ha mejorado </w:t>
      </w:r>
      <w:r>
        <w:rPr>
          <w:i/>
          <w:szCs w:val="20"/>
          <w:lang w:val="es-ES"/>
        </w:rPr>
        <w:t xml:space="preserve">la prestación del servicio eléctrico en el país en términos de confiabilidad? </w:t>
      </w:r>
    </w:p>
    <w:p w14:paraId="421168F2" w14:textId="77777777" w:rsidR="0069056F" w:rsidRPr="00767DBC" w:rsidRDefault="0069056F" w:rsidP="0069056F">
      <w:pPr>
        <w:pStyle w:val="ListParagraph"/>
        <w:numPr>
          <w:ilvl w:val="0"/>
          <w:numId w:val="23"/>
        </w:numPr>
        <w:spacing w:before="120" w:after="120" w:line="360" w:lineRule="auto"/>
        <w:jc w:val="both"/>
        <w:rPr>
          <w:i/>
          <w:lang w:val="es-ES"/>
        </w:rPr>
      </w:pPr>
      <w:r>
        <w:rPr>
          <w:i/>
          <w:szCs w:val="20"/>
          <w:lang w:val="es-ES"/>
        </w:rPr>
        <w:t xml:space="preserve">¿Se ha propiciado un mayor intercambio de energía eléctrica entre </w:t>
      </w:r>
      <w:r w:rsidRPr="00767DBC">
        <w:rPr>
          <w:i/>
          <w:lang w:val="es-ES"/>
        </w:rPr>
        <w:t>Ecuador</w:t>
      </w:r>
      <w:r>
        <w:rPr>
          <w:i/>
          <w:szCs w:val="20"/>
          <w:lang w:val="es-ES"/>
        </w:rPr>
        <w:t xml:space="preserve"> y Perú?</w:t>
      </w:r>
    </w:p>
    <w:p w14:paraId="30F3EB60" w14:textId="77777777" w:rsidR="0069056F" w:rsidRPr="00767DBC" w:rsidRDefault="0069056F" w:rsidP="0069056F">
      <w:pPr>
        <w:pStyle w:val="ListParagraph"/>
        <w:numPr>
          <w:ilvl w:val="0"/>
          <w:numId w:val="23"/>
        </w:numPr>
        <w:spacing w:before="120" w:after="120" w:line="360" w:lineRule="auto"/>
        <w:jc w:val="both"/>
        <w:rPr>
          <w:i/>
          <w:lang w:val="es-ES"/>
        </w:rPr>
      </w:pPr>
      <w:proofErr w:type="gramStart"/>
      <w:r w:rsidRPr="00767DBC">
        <w:rPr>
          <w:i/>
          <w:lang w:val="es-ES"/>
        </w:rPr>
        <w:t>¿</w:t>
      </w:r>
      <w:proofErr w:type="gramEnd"/>
      <w:r>
        <w:rPr>
          <w:i/>
          <w:szCs w:val="20"/>
          <w:lang w:val="es-ES"/>
        </w:rPr>
        <w:t>Ecuador ha</w:t>
      </w:r>
      <w:r w:rsidRPr="00767DBC">
        <w:rPr>
          <w:i/>
          <w:lang w:val="es-ES"/>
        </w:rPr>
        <w:t xml:space="preserve"> contribuido </w:t>
      </w:r>
      <w:r>
        <w:rPr>
          <w:i/>
          <w:szCs w:val="20"/>
          <w:lang w:val="es-ES"/>
        </w:rPr>
        <w:t xml:space="preserve">a </w:t>
      </w:r>
      <w:r w:rsidRPr="00767DBC">
        <w:rPr>
          <w:i/>
          <w:lang w:val="es-ES"/>
        </w:rPr>
        <w:t xml:space="preserve">la </w:t>
      </w:r>
      <w:r>
        <w:rPr>
          <w:i/>
          <w:szCs w:val="20"/>
          <w:lang w:val="es-ES"/>
        </w:rPr>
        <w:t>mitigación</w:t>
      </w:r>
      <w:r w:rsidRPr="00767DBC">
        <w:rPr>
          <w:i/>
          <w:lang w:val="es-ES"/>
        </w:rPr>
        <w:t xml:space="preserve"> del </w:t>
      </w:r>
      <w:r>
        <w:rPr>
          <w:i/>
          <w:szCs w:val="20"/>
          <w:lang w:val="es-ES"/>
        </w:rPr>
        <w:t xml:space="preserve">cambio climático a través de la reducción de </w:t>
      </w:r>
      <w:r w:rsidRPr="006B7947">
        <w:rPr>
          <w:i/>
          <w:szCs w:val="20"/>
          <w:lang w:val="es-ES"/>
        </w:rPr>
        <w:t xml:space="preserve">emisiones de </w:t>
      </w:r>
      <w:r w:rsidRPr="007E07CA">
        <w:rPr>
          <w:i/>
          <w:szCs w:val="24"/>
          <w:lang w:val="es-ES_tradnl"/>
        </w:rPr>
        <w:t>CO</w:t>
      </w:r>
      <w:r w:rsidRPr="007E07CA">
        <w:rPr>
          <w:i/>
          <w:szCs w:val="24"/>
          <w:vertAlign w:val="subscript"/>
          <w:lang w:val="es-ES_tradnl"/>
        </w:rPr>
        <w:t>2.</w:t>
      </w:r>
      <w:r>
        <w:rPr>
          <w:i/>
          <w:szCs w:val="20"/>
          <w:lang w:val="es-ES"/>
        </w:rPr>
        <w:t xml:space="preserve"> Producto de la generación eléctrica</w:t>
      </w:r>
      <w:proofErr w:type="gramStart"/>
      <w:r>
        <w:rPr>
          <w:i/>
          <w:szCs w:val="20"/>
          <w:lang w:val="es-ES"/>
        </w:rPr>
        <w:t>?</w:t>
      </w:r>
      <w:proofErr w:type="gramEnd"/>
    </w:p>
    <w:p w14:paraId="18998517" w14:textId="77777777" w:rsidR="0069056F" w:rsidRPr="00767DBC" w:rsidRDefault="0069056F" w:rsidP="0069056F">
      <w:pPr>
        <w:pStyle w:val="Heading2"/>
        <w:spacing w:before="120" w:after="120"/>
        <w:rPr>
          <w:rStyle w:val="SubtleEmphasis"/>
          <w:color w:val="auto"/>
          <w:lang w:val="es-ES"/>
        </w:rPr>
      </w:pPr>
      <w:r w:rsidRPr="00767DBC">
        <w:rPr>
          <w:rStyle w:val="SubtleEmphasis"/>
          <w:color w:val="auto"/>
          <w:lang w:val="es-ES"/>
        </w:rPr>
        <w:t>Conocimiento existente – evaluación económica</w:t>
      </w:r>
    </w:p>
    <w:p w14:paraId="54937435" w14:textId="77777777" w:rsidR="0069056F" w:rsidRPr="00767DBC" w:rsidRDefault="0069056F" w:rsidP="0069056F">
      <w:pPr>
        <w:spacing w:before="120" w:after="120" w:line="360" w:lineRule="auto"/>
        <w:jc w:val="both"/>
        <w:rPr>
          <w:lang w:val="es-ES"/>
        </w:rPr>
      </w:pPr>
      <w:r w:rsidRPr="007E07CA">
        <w:rPr>
          <w:b/>
          <w:szCs w:val="20"/>
          <w:lang w:val="es-ES"/>
        </w:rPr>
        <w:t>Análisis sobre el impacto macroeconómico de la transformación de la matriz energética ecuatoriana</w:t>
      </w:r>
      <w:r>
        <w:rPr>
          <w:b/>
          <w:szCs w:val="20"/>
          <w:lang w:val="es-ES"/>
        </w:rPr>
        <w:t xml:space="preserve">. </w:t>
      </w:r>
      <w:r w:rsidRPr="00767DBC">
        <w:rPr>
          <w:lang w:val="es-ES"/>
        </w:rPr>
        <w:t>El Banco contrató en el 2014 una firma local para la realización de un análisis</w:t>
      </w:r>
      <w:r>
        <w:rPr>
          <w:rStyle w:val="FootnoteReference"/>
          <w:szCs w:val="20"/>
          <w:lang w:val="es-ES"/>
        </w:rPr>
        <w:footnoteReference w:id="8"/>
      </w:r>
      <w:r w:rsidRPr="00767DBC">
        <w:rPr>
          <w:lang w:val="es-ES"/>
        </w:rPr>
        <w:t xml:space="preserve"> sobre el impacto macroeconómico de la transformación de la matriz energética ecuatoriana. El estudio se centró en el análisis de la reducción del uso de combustibles fósiles líquidos para la generación eléctrica, la reducción en el consumo de GLP en el sector residencial, la sustitución del subsidio al GLP por electricidad y el efecto del aumento tarifario. El análisis incluyó información histórica 2007-2013 y proyectada 2014-2023. Los principales resultados y conclusiones resultantes del estudio se describen a continuación:</w:t>
      </w:r>
    </w:p>
    <w:p w14:paraId="37DDFF94" w14:textId="77777777" w:rsidR="0069056F" w:rsidRPr="00767DBC" w:rsidRDefault="0069056F" w:rsidP="0069056F">
      <w:pPr>
        <w:pStyle w:val="ListParagraph"/>
        <w:numPr>
          <w:ilvl w:val="0"/>
          <w:numId w:val="28"/>
        </w:numPr>
        <w:spacing w:before="120" w:after="120" w:line="360" w:lineRule="auto"/>
        <w:jc w:val="both"/>
        <w:rPr>
          <w:lang w:val="es-ES"/>
        </w:rPr>
      </w:pPr>
      <w:r w:rsidRPr="00767DBC">
        <w:rPr>
          <w:lang w:val="es-ES"/>
        </w:rPr>
        <w:t xml:space="preserve">Al 2013 la producción de derivados de petróleo alcanzó 28 millones BEP y las importaciones 37 millones BEP. El consumo en la generación eléctrica sumó 19 millones </w:t>
      </w:r>
      <w:r w:rsidRPr="00767DBC">
        <w:rPr>
          <w:lang w:val="es-ES"/>
        </w:rPr>
        <w:lastRenderedPageBreak/>
        <w:t xml:space="preserve">BEP. En los últimos años los precios de venta de los hidrocarburos se mantuvieron por encima o igual al costo de producción. Sin embargo, los precios de venta en terminal no han variado lo cual a partir de 2013 muestra un déficit en la venta de algunos combustibles producidos nacionalmente. Parte del diésel y naftas utilizadas en la generación son importadas. Los precios de importación de todos los hidrocarburos es mayor que los precio de venta en terminal, lo cual induce a subsidios en el consumo nacional. El subsidio asociado al consumo de derivados en 2013 se ubicó en aproximadamente </w:t>
      </w:r>
      <w:r>
        <w:rPr>
          <w:szCs w:val="20"/>
          <w:lang w:val="es-ES"/>
        </w:rPr>
        <w:t xml:space="preserve">en </w:t>
      </w:r>
      <w:r w:rsidRPr="00767DBC">
        <w:rPr>
          <w:lang w:val="es-ES"/>
        </w:rPr>
        <w:t>US$182 millones.</w:t>
      </w:r>
    </w:p>
    <w:p w14:paraId="5AA2A0F0" w14:textId="77777777" w:rsidR="0069056F" w:rsidRPr="00767DBC" w:rsidRDefault="0069056F" w:rsidP="0069056F">
      <w:pPr>
        <w:pStyle w:val="ListParagraph"/>
        <w:numPr>
          <w:ilvl w:val="0"/>
          <w:numId w:val="28"/>
        </w:numPr>
        <w:spacing w:before="120" w:after="120" w:line="360" w:lineRule="auto"/>
        <w:jc w:val="both"/>
        <w:rPr>
          <w:lang w:val="es-ES"/>
        </w:rPr>
      </w:pPr>
      <w:r w:rsidRPr="00767DBC">
        <w:rPr>
          <w:lang w:val="es-ES"/>
        </w:rPr>
        <w:t>En el mismo año, el consumo de GLP en la cocción alcanzó 9 millones BEP. El 21% de la oferta nacional de GLP es producida localmente y 79% es importada. El precio de venta del GPL se ha mantenido históricamente por debajo de su precio de importación y el costo de producción nacional. El subsidio asociado al consumo de este combustible por el sector residencial alcanzó US$657 millones.</w:t>
      </w:r>
    </w:p>
    <w:p w14:paraId="2C04FEAA" w14:textId="77777777" w:rsidR="0069056F" w:rsidRPr="00767DBC" w:rsidRDefault="0069056F" w:rsidP="0069056F">
      <w:pPr>
        <w:pStyle w:val="ListParagraph"/>
        <w:spacing w:before="120" w:after="120"/>
        <w:rPr>
          <w:lang w:val="es-ES"/>
        </w:rPr>
      </w:pPr>
    </w:p>
    <w:p w14:paraId="56AA93AD" w14:textId="77777777" w:rsidR="0069056F" w:rsidRPr="00767DBC" w:rsidRDefault="0069056F" w:rsidP="0069056F">
      <w:pPr>
        <w:pStyle w:val="ListParagraph"/>
        <w:spacing w:before="120" w:after="120"/>
        <w:jc w:val="center"/>
        <w:rPr>
          <w:b/>
          <w:lang w:val="es-ES"/>
        </w:rPr>
      </w:pPr>
      <w:r w:rsidRPr="00767DBC">
        <w:rPr>
          <w:b/>
          <w:lang w:val="es-ES"/>
        </w:rPr>
        <w:t>Tabla 2. Datos históricos 2013</w:t>
      </w:r>
    </w:p>
    <w:tbl>
      <w:tblPr>
        <w:tblStyle w:val="TableGrid"/>
        <w:tblW w:w="5273" w:type="pct"/>
        <w:tblLook w:val="04A0" w:firstRow="1" w:lastRow="0" w:firstColumn="1" w:lastColumn="0" w:noHBand="0" w:noVBand="1"/>
      </w:tblPr>
      <w:tblGrid>
        <w:gridCol w:w="991"/>
        <w:gridCol w:w="1456"/>
        <w:gridCol w:w="1556"/>
        <w:gridCol w:w="1457"/>
        <w:gridCol w:w="1456"/>
        <w:gridCol w:w="937"/>
        <w:gridCol w:w="1075"/>
        <w:gridCol w:w="1171"/>
      </w:tblGrid>
      <w:tr w:rsidR="0069056F" w:rsidRPr="00B0737D" w14:paraId="7267C428" w14:textId="77777777" w:rsidTr="00266D1B">
        <w:tc>
          <w:tcPr>
            <w:tcW w:w="491" w:type="pct"/>
            <w:vAlign w:val="center"/>
          </w:tcPr>
          <w:p w14:paraId="68F03E78" w14:textId="77777777" w:rsidR="0069056F" w:rsidRPr="00767DBC" w:rsidRDefault="0069056F" w:rsidP="00266D1B">
            <w:pPr>
              <w:spacing w:before="120" w:after="120"/>
              <w:jc w:val="center"/>
              <w:rPr>
                <w:b/>
                <w:sz w:val="18"/>
                <w:lang w:val="es-ES"/>
              </w:rPr>
            </w:pPr>
            <w:r w:rsidRPr="00767DBC">
              <w:rPr>
                <w:b/>
                <w:sz w:val="18"/>
                <w:lang w:val="es-ES"/>
              </w:rPr>
              <w:t>2013</w:t>
            </w:r>
          </w:p>
        </w:tc>
        <w:tc>
          <w:tcPr>
            <w:tcW w:w="721" w:type="pct"/>
          </w:tcPr>
          <w:p w14:paraId="63996DA3" w14:textId="77777777" w:rsidR="0069056F" w:rsidRPr="00767DBC" w:rsidRDefault="0069056F" w:rsidP="00266D1B">
            <w:pPr>
              <w:spacing w:before="120" w:after="120"/>
              <w:jc w:val="center"/>
              <w:rPr>
                <w:b/>
                <w:sz w:val="18"/>
                <w:lang w:val="es-ES"/>
              </w:rPr>
            </w:pPr>
            <w:r w:rsidRPr="00767DBC">
              <w:rPr>
                <w:b/>
                <w:sz w:val="18"/>
                <w:lang w:val="es-ES"/>
              </w:rPr>
              <w:t>PRODUCCION</w:t>
            </w:r>
          </w:p>
          <w:p w14:paraId="10100393" w14:textId="77777777" w:rsidR="0069056F" w:rsidRPr="00767DBC" w:rsidRDefault="0069056F" w:rsidP="00266D1B">
            <w:pPr>
              <w:spacing w:before="120" w:after="120"/>
              <w:jc w:val="center"/>
              <w:rPr>
                <w:b/>
                <w:sz w:val="18"/>
                <w:lang w:val="es-ES"/>
              </w:rPr>
            </w:pPr>
            <w:r w:rsidRPr="00767DBC">
              <w:rPr>
                <w:b/>
                <w:sz w:val="18"/>
                <w:lang w:val="es-ES"/>
              </w:rPr>
              <w:t>Miles BEP</w:t>
            </w:r>
          </w:p>
        </w:tc>
        <w:tc>
          <w:tcPr>
            <w:tcW w:w="770" w:type="pct"/>
          </w:tcPr>
          <w:p w14:paraId="5165CD75" w14:textId="77777777" w:rsidR="0069056F" w:rsidRPr="00767DBC" w:rsidRDefault="0069056F" w:rsidP="00266D1B">
            <w:pPr>
              <w:spacing w:before="120" w:after="120"/>
              <w:jc w:val="center"/>
              <w:rPr>
                <w:b/>
                <w:sz w:val="18"/>
                <w:lang w:val="es-ES"/>
              </w:rPr>
            </w:pPr>
            <w:r w:rsidRPr="00767DBC">
              <w:rPr>
                <w:b/>
                <w:sz w:val="18"/>
                <w:lang w:val="es-ES"/>
              </w:rPr>
              <w:t>IMPORTACION</w:t>
            </w:r>
          </w:p>
          <w:p w14:paraId="4987DE0A" w14:textId="77777777" w:rsidR="0069056F" w:rsidRPr="00767DBC" w:rsidRDefault="0069056F" w:rsidP="00266D1B">
            <w:pPr>
              <w:spacing w:before="120" w:after="120"/>
              <w:jc w:val="center"/>
              <w:rPr>
                <w:b/>
                <w:sz w:val="18"/>
                <w:lang w:val="es-ES"/>
              </w:rPr>
            </w:pPr>
            <w:r w:rsidRPr="00767DBC">
              <w:rPr>
                <w:b/>
                <w:sz w:val="18"/>
                <w:lang w:val="es-ES"/>
              </w:rPr>
              <w:t>Miles BEP</w:t>
            </w:r>
          </w:p>
        </w:tc>
        <w:tc>
          <w:tcPr>
            <w:tcW w:w="721" w:type="pct"/>
          </w:tcPr>
          <w:p w14:paraId="7C5E0BFB" w14:textId="77777777" w:rsidR="0069056F" w:rsidRPr="00767DBC" w:rsidRDefault="0069056F" w:rsidP="00266D1B">
            <w:pPr>
              <w:spacing w:before="120" w:after="120"/>
              <w:jc w:val="center"/>
              <w:rPr>
                <w:b/>
                <w:sz w:val="18"/>
                <w:lang w:val="es-ES"/>
              </w:rPr>
            </w:pPr>
            <w:r w:rsidRPr="00767DBC">
              <w:rPr>
                <w:b/>
                <w:sz w:val="18"/>
                <w:lang w:val="es-ES"/>
              </w:rPr>
              <w:t>CONSUMO GENERACION</w:t>
            </w:r>
          </w:p>
          <w:p w14:paraId="3EFEA108" w14:textId="77777777" w:rsidR="0069056F" w:rsidRPr="00767DBC" w:rsidRDefault="0069056F" w:rsidP="00266D1B">
            <w:pPr>
              <w:spacing w:before="120" w:after="120"/>
              <w:jc w:val="center"/>
              <w:rPr>
                <w:b/>
                <w:sz w:val="18"/>
                <w:lang w:val="es-ES"/>
              </w:rPr>
            </w:pPr>
            <w:r w:rsidRPr="00767DBC">
              <w:rPr>
                <w:b/>
                <w:sz w:val="18"/>
                <w:lang w:val="es-ES"/>
              </w:rPr>
              <w:t>Miles BEP</w:t>
            </w:r>
          </w:p>
        </w:tc>
        <w:tc>
          <w:tcPr>
            <w:tcW w:w="721" w:type="pct"/>
          </w:tcPr>
          <w:p w14:paraId="49748BB1" w14:textId="77777777" w:rsidR="0069056F" w:rsidRPr="00767DBC" w:rsidRDefault="0069056F" w:rsidP="00266D1B">
            <w:pPr>
              <w:spacing w:before="120" w:after="120"/>
              <w:jc w:val="center"/>
              <w:rPr>
                <w:b/>
                <w:sz w:val="18"/>
                <w:lang w:val="es-ES"/>
              </w:rPr>
            </w:pPr>
            <w:r w:rsidRPr="00767DBC">
              <w:rPr>
                <w:b/>
                <w:sz w:val="18"/>
                <w:lang w:val="es-ES"/>
              </w:rPr>
              <w:t>COSTO PRODUCCION</w:t>
            </w:r>
          </w:p>
          <w:p w14:paraId="171FF2B3" w14:textId="77777777" w:rsidR="0069056F" w:rsidRPr="00767DBC" w:rsidRDefault="0069056F" w:rsidP="00266D1B">
            <w:pPr>
              <w:spacing w:before="120" w:after="120"/>
              <w:jc w:val="center"/>
              <w:rPr>
                <w:b/>
                <w:sz w:val="18"/>
                <w:lang w:val="es-ES"/>
              </w:rPr>
            </w:pPr>
            <w:r w:rsidRPr="00767DBC">
              <w:rPr>
                <w:b/>
                <w:sz w:val="18"/>
                <w:lang w:val="es-ES"/>
              </w:rPr>
              <w:t>US$/BEP</w:t>
            </w:r>
          </w:p>
        </w:tc>
        <w:tc>
          <w:tcPr>
            <w:tcW w:w="464" w:type="pct"/>
          </w:tcPr>
          <w:p w14:paraId="3FAE77FF" w14:textId="77777777" w:rsidR="0069056F" w:rsidRPr="00767DBC" w:rsidRDefault="0069056F" w:rsidP="00266D1B">
            <w:pPr>
              <w:spacing w:before="120" w:after="120"/>
              <w:jc w:val="center"/>
              <w:rPr>
                <w:b/>
                <w:sz w:val="18"/>
                <w:lang w:val="es-ES"/>
              </w:rPr>
            </w:pPr>
            <w:r w:rsidRPr="00767DBC">
              <w:rPr>
                <w:b/>
                <w:sz w:val="18"/>
                <w:lang w:val="es-ES"/>
              </w:rPr>
              <w:t xml:space="preserve">PRECIO </w:t>
            </w:r>
            <w:proofErr w:type="spellStart"/>
            <w:r w:rsidRPr="00767DBC">
              <w:rPr>
                <w:b/>
                <w:sz w:val="18"/>
                <w:lang w:val="es-ES"/>
              </w:rPr>
              <w:t>Import</w:t>
            </w:r>
            <w:proofErr w:type="spellEnd"/>
            <w:r w:rsidRPr="00767DBC">
              <w:rPr>
                <w:b/>
                <w:sz w:val="18"/>
                <w:lang w:val="es-ES"/>
              </w:rPr>
              <w:t>.</w:t>
            </w:r>
          </w:p>
          <w:p w14:paraId="233E499B" w14:textId="77777777" w:rsidR="0069056F" w:rsidRPr="00767DBC" w:rsidRDefault="0069056F" w:rsidP="00266D1B">
            <w:pPr>
              <w:spacing w:before="120" w:after="120"/>
              <w:jc w:val="center"/>
              <w:rPr>
                <w:b/>
                <w:sz w:val="18"/>
                <w:lang w:val="es-ES"/>
              </w:rPr>
            </w:pPr>
            <w:r w:rsidRPr="00767DBC">
              <w:rPr>
                <w:b/>
                <w:sz w:val="18"/>
                <w:lang w:val="es-ES"/>
              </w:rPr>
              <w:t>US$/BEP</w:t>
            </w:r>
          </w:p>
        </w:tc>
        <w:tc>
          <w:tcPr>
            <w:tcW w:w="532" w:type="pct"/>
          </w:tcPr>
          <w:p w14:paraId="279A7C3A" w14:textId="77777777" w:rsidR="0069056F" w:rsidRPr="00767DBC" w:rsidRDefault="0069056F" w:rsidP="00266D1B">
            <w:pPr>
              <w:spacing w:before="120" w:after="120"/>
              <w:jc w:val="center"/>
              <w:rPr>
                <w:b/>
                <w:sz w:val="18"/>
                <w:lang w:val="es-ES"/>
              </w:rPr>
            </w:pPr>
            <w:r w:rsidRPr="00767DBC">
              <w:rPr>
                <w:b/>
                <w:sz w:val="18"/>
                <w:lang w:val="es-ES"/>
              </w:rPr>
              <w:t>PRECIO VENTA</w:t>
            </w:r>
          </w:p>
          <w:p w14:paraId="6C9C8A65" w14:textId="77777777" w:rsidR="0069056F" w:rsidRPr="00767DBC" w:rsidRDefault="0069056F" w:rsidP="00266D1B">
            <w:pPr>
              <w:spacing w:before="120" w:after="120"/>
              <w:jc w:val="center"/>
              <w:rPr>
                <w:b/>
                <w:sz w:val="18"/>
                <w:lang w:val="es-ES"/>
              </w:rPr>
            </w:pPr>
            <w:r w:rsidRPr="00767DBC">
              <w:rPr>
                <w:b/>
                <w:sz w:val="18"/>
                <w:lang w:val="es-ES"/>
              </w:rPr>
              <w:t>US$/BEP</w:t>
            </w:r>
          </w:p>
        </w:tc>
        <w:tc>
          <w:tcPr>
            <w:tcW w:w="580" w:type="pct"/>
          </w:tcPr>
          <w:p w14:paraId="4C762FEA" w14:textId="77777777" w:rsidR="0069056F" w:rsidRPr="00767DBC" w:rsidRDefault="0069056F" w:rsidP="00266D1B">
            <w:pPr>
              <w:spacing w:before="120" w:after="120"/>
              <w:jc w:val="center"/>
              <w:rPr>
                <w:b/>
                <w:sz w:val="18"/>
                <w:lang w:val="es-ES"/>
              </w:rPr>
            </w:pPr>
            <w:r w:rsidRPr="00767DBC">
              <w:rPr>
                <w:b/>
                <w:sz w:val="18"/>
                <w:lang w:val="es-ES"/>
              </w:rPr>
              <w:t>SUBSIDIO GEN.</w:t>
            </w:r>
          </w:p>
          <w:p w14:paraId="6D18FB26" w14:textId="77777777" w:rsidR="0069056F" w:rsidRPr="00767DBC" w:rsidRDefault="0069056F" w:rsidP="00266D1B">
            <w:pPr>
              <w:spacing w:before="120" w:after="120"/>
              <w:jc w:val="center"/>
              <w:rPr>
                <w:b/>
                <w:sz w:val="18"/>
                <w:lang w:val="es-ES"/>
              </w:rPr>
            </w:pPr>
            <w:r w:rsidRPr="00767DBC">
              <w:rPr>
                <w:b/>
                <w:sz w:val="18"/>
                <w:lang w:val="es-ES"/>
              </w:rPr>
              <w:t>Miles US$</w:t>
            </w:r>
          </w:p>
        </w:tc>
      </w:tr>
      <w:tr w:rsidR="0069056F" w:rsidRPr="00B0737D" w14:paraId="74878C8A" w14:textId="77777777" w:rsidTr="00266D1B">
        <w:tc>
          <w:tcPr>
            <w:tcW w:w="491" w:type="pct"/>
          </w:tcPr>
          <w:p w14:paraId="11DD2D31" w14:textId="77777777" w:rsidR="0069056F" w:rsidRPr="00767DBC" w:rsidRDefault="0069056F" w:rsidP="00266D1B">
            <w:pPr>
              <w:spacing w:before="120" w:after="120"/>
              <w:jc w:val="both"/>
              <w:rPr>
                <w:sz w:val="18"/>
                <w:lang w:val="es-ES"/>
              </w:rPr>
            </w:pPr>
            <w:r w:rsidRPr="00767DBC">
              <w:rPr>
                <w:sz w:val="18"/>
                <w:lang w:val="es-ES"/>
              </w:rPr>
              <w:t xml:space="preserve">Fuel </w:t>
            </w:r>
            <w:proofErr w:type="spellStart"/>
            <w:r w:rsidRPr="00767DBC">
              <w:rPr>
                <w:sz w:val="18"/>
                <w:lang w:val="es-ES"/>
              </w:rPr>
              <w:t>oil</w:t>
            </w:r>
            <w:proofErr w:type="spellEnd"/>
            <w:r w:rsidRPr="00767DBC">
              <w:rPr>
                <w:sz w:val="18"/>
                <w:lang w:val="es-ES"/>
              </w:rPr>
              <w:t xml:space="preserve"> 4</w:t>
            </w:r>
          </w:p>
        </w:tc>
        <w:tc>
          <w:tcPr>
            <w:tcW w:w="721" w:type="pct"/>
          </w:tcPr>
          <w:p w14:paraId="6D1B719D" w14:textId="77777777" w:rsidR="0069056F" w:rsidRPr="00767DBC" w:rsidRDefault="0069056F" w:rsidP="00266D1B">
            <w:pPr>
              <w:spacing w:before="120" w:after="120"/>
              <w:jc w:val="center"/>
              <w:rPr>
                <w:sz w:val="18"/>
                <w:lang w:val="es-ES"/>
              </w:rPr>
            </w:pPr>
            <w:r w:rsidRPr="00767DBC">
              <w:rPr>
                <w:sz w:val="18"/>
                <w:lang w:val="es-ES"/>
              </w:rPr>
              <w:t>8,818</w:t>
            </w:r>
          </w:p>
        </w:tc>
        <w:tc>
          <w:tcPr>
            <w:tcW w:w="770" w:type="pct"/>
          </w:tcPr>
          <w:p w14:paraId="50E27272" w14:textId="77777777" w:rsidR="0069056F" w:rsidRPr="00767DBC" w:rsidRDefault="0069056F" w:rsidP="00266D1B">
            <w:pPr>
              <w:spacing w:before="120" w:after="120"/>
              <w:jc w:val="center"/>
              <w:rPr>
                <w:sz w:val="18"/>
                <w:lang w:val="es-ES"/>
              </w:rPr>
            </w:pPr>
            <w:r w:rsidRPr="00767DBC">
              <w:rPr>
                <w:sz w:val="18"/>
                <w:lang w:val="es-ES"/>
              </w:rPr>
              <w:t>0,0</w:t>
            </w:r>
          </w:p>
        </w:tc>
        <w:tc>
          <w:tcPr>
            <w:tcW w:w="721" w:type="pct"/>
          </w:tcPr>
          <w:p w14:paraId="1A4D5429" w14:textId="77777777" w:rsidR="0069056F" w:rsidRPr="00767DBC" w:rsidRDefault="0069056F" w:rsidP="00266D1B">
            <w:pPr>
              <w:spacing w:before="120" w:after="120"/>
              <w:jc w:val="center"/>
              <w:rPr>
                <w:sz w:val="18"/>
                <w:lang w:val="es-ES"/>
              </w:rPr>
            </w:pPr>
            <w:r w:rsidRPr="00767DBC">
              <w:rPr>
                <w:sz w:val="18"/>
                <w:lang w:val="es-ES"/>
              </w:rPr>
              <w:t>8,954</w:t>
            </w:r>
          </w:p>
        </w:tc>
        <w:tc>
          <w:tcPr>
            <w:tcW w:w="721" w:type="pct"/>
          </w:tcPr>
          <w:p w14:paraId="23A26D15" w14:textId="77777777" w:rsidR="0069056F" w:rsidRPr="00767DBC" w:rsidRDefault="0069056F" w:rsidP="00266D1B">
            <w:pPr>
              <w:spacing w:before="120" w:after="120"/>
              <w:jc w:val="center"/>
              <w:rPr>
                <w:sz w:val="18"/>
                <w:lang w:val="es-ES"/>
              </w:rPr>
            </w:pPr>
            <w:r w:rsidRPr="00767DBC">
              <w:rPr>
                <w:sz w:val="18"/>
                <w:lang w:val="es-ES"/>
              </w:rPr>
              <w:t>23.27</w:t>
            </w:r>
          </w:p>
        </w:tc>
        <w:tc>
          <w:tcPr>
            <w:tcW w:w="464" w:type="pct"/>
          </w:tcPr>
          <w:p w14:paraId="293F7D58" w14:textId="77777777" w:rsidR="0069056F" w:rsidRPr="00767DBC" w:rsidRDefault="0069056F" w:rsidP="00266D1B">
            <w:pPr>
              <w:spacing w:before="120" w:after="120"/>
              <w:jc w:val="center"/>
              <w:rPr>
                <w:sz w:val="18"/>
                <w:lang w:val="es-ES"/>
              </w:rPr>
            </w:pPr>
            <w:r w:rsidRPr="00767DBC">
              <w:rPr>
                <w:sz w:val="18"/>
                <w:lang w:val="es-ES"/>
              </w:rPr>
              <w:t>0,0</w:t>
            </w:r>
          </w:p>
        </w:tc>
        <w:tc>
          <w:tcPr>
            <w:tcW w:w="532" w:type="pct"/>
          </w:tcPr>
          <w:p w14:paraId="03B87416" w14:textId="77777777" w:rsidR="0069056F" w:rsidRPr="00767DBC" w:rsidRDefault="0069056F" w:rsidP="00266D1B">
            <w:pPr>
              <w:spacing w:before="120" w:after="120"/>
              <w:jc w:val="center"/>
              <w:rPr>
                <w:sz w:val="18"/>
                <w:lang w:val="es-ES"/>
              </w:rPr>
            </w:pPr>
            <w:r w:rsidRPr="00767DBC">
              <w:rPr>
                <w:sz w:val="18"/>
                <w:lang w:val="es-ES"/>
              </w:rPr>
              <w:t>23.08</w:t>
            </w:r>
          </w:p>
        </w:tc>
        <w:tc>
          <w:tcPr>
            <w:tcW w:w="580" w:type="pct"/>
          </w:tcPr>
          <w:p w14:paraId="564A1EAC" w14:textId="77777777" w:rsidR="0069056F" w:rsidRPr="00767DBC" w:rsidRDefault="0069056F" w:rsidP="00266D1B">
            <w:pPr>
              <w:spacing w:before="120" w:after="120"/>
              <w:jc w:val="center"/>
              <w:rPr>
                <w:sz w:val="18"/>
                <w:lang w:val="es-ES"/>
              </w:rPr>
            </w:pPr>
            <w:r w:rsidRPr="00767DBC">
              <w:rPr>
                <w:sz w:val="18"/>
                <w:lang w:val="es-ES"/>
              </w:rPr>
              <w:t>1,729.8</w:t>
            </w:r>
          </w:p>
        </w:tc>
      </w:tr>
      <w:tr w:rsidR="0069056F" w:rsidRPr="00B0737D" w14:paraId="76302B95" w14:textId="77777777" w:rsidTr="00266D1B">
        <w:tc>
          <w:tcPr>
            <w:tcW w:w="491" w:type="pct"/>
          </w:tcPr>
          <w:p w14:paraId="0F278518" w14:textId="77777777" w:rsidR="0069056F" w:rsidRPr="00767DBC" w:rsidRDefault="0069056F" w:rsidP="00266D1B">
            <w:pPr>
              <w:spacing w:before="120" w:after="120"/>
              <w:jc w:val="both"/>
              <w:rPr>
                <w:sz w:val="18"/>
                <w:lang w:val="es-ES"/>
              </w:rPr>
            </w:pPr>
            <w:r w:rsidRPr="00767DBC">
              <w:rPr>
                <w:sz w:val="18"/>
                <w:lang w:val="es-ES"/>
              </w:rPr>
              <w:t xml:space="preserve">Fuel </w:t>
            </w:r>
            <w:proofErr w:type="spellStart"/>
            <w:r w:rsidRPr="00767DBC">
              <w:rPr>
                <w:sz w:val="18"/>
                <w:lang w:val="es-ES"/>
              </w:rPr>
              <w:t>oil</w:t>
            </w:r>
            <w:proofErr w:type="spellEnd"/>
            <w:r w:rsidRPr="00767DBC">
              <w:rPr>
                <w:sz w:val="18"/>
                <w:lang w:val="es-ES"/>
              </w:rPr>
              <w:t xml:space="preserve"> 6</w:t>
            </w:r>
          </w:p>
        </w:tc>
        <w:tc>
          <w:tcPr>
            <w:tcW w:w="721" w:type="pct"/>
          </w:tcPr>
          <w:p w14:paraId="7A29A00A" w14:textId="77777777" w:rsidR="0069056F" w:rsidRPr="00767DBC" w:rsidRDefault="0069056F" w:rsidP="00266D1B">
            <w:pPr>
              <w:spacing w:before="120" w:after="120"/>
              <w:jc w:val="center"/>
              <w:rPr>
                <w:sz w:val="18"/>
                <w:lang w:val="es-ES"/>
              </w:rPr>
            </w:pPr>
            <w:r w:rsidRPr="00767DBC">
              <w:rPr>
                <w:sz w:val="18"/>
                <w:lang w:val="es-ES"/>
              </w:rPr>
              <w:t>10,765</w:t>
            </w:r>
          </w:p>
        </w:tc>
        <w:tc>
          <w:tcPr>
            <w:tcW w:w="770" w:type="pct"/>
          </w:tcPr>
          <w:p w14:paraId="29ED93EC" w14:textId="77777777" w:rsidR="0069056F" w:rsidRPr="00767DBC" w:rsidRDefault="0069056F" w:rsidP="00266D1B">
            <w:pPr>
              <w:spacing w:before="120" w:after="120"/>
              <w:jc w:val="center"/>
              <w:rPr>
                <w:sz w:val="18"/>
                <w:lang w:val="es-ES"/>
              </w:rPr>
            </w:pPr>
            <w:r w:rsidRPr="00767DBC">
              <w:rPr>
                <w:sz w:val="18"/>
                <w:lang w:val="es-ES"/>
              </w:rPr>
              <w:t>0,0</w:t>
            </w:r>
          </w:p>
        </w:tc>
        <w:tc>
          <w:tcPr>
            <w:tcW w:w="721" w:type="pct"/>
          </w:tcPr>
          <w:p w14:paraId="1A509AFB" w14:textId="77777777" w:rsidR="0069056F" w:rsidRPr="00767DBC" w:rsidRDefault="0069056F" w:rsidP="00266D1B">
            <w:pPr>
              <w:spacing w:before="120" w:after="120"/>
              <w:jc w:val="center"/>
              <w:rPr>
                <w:sz w:val="18"/>
                <w:lang w:val="es-ES"/>
              </w:rPr>
            </w:pPr>
            <w:r w:rsidRPr="00767DBC">
              <w:rPr>
                <w:sz w:val="18"/>
                <w:lang w:val="es-ES"/>
              </w:rPr>
              <w:t>4,562</w:t>
            </w:r>
          </w:p>
        </w:tc>
        <w:tc>
          <w:tcPr>
            <w:tcW w:w="721" w:type="pct"/>
          </w:tcPr>
          <w:p w14:paraId="21564549" w14:textId="77777777" w:rsidR="0069056F" w:rsidRPr="00767DBC" w:rsidRDefault="0069056F" w:rsidP="00266D1B">
            <w:pPr>
              <w:spacing w:before="120" w:after="120"/>
              <w:jc w:val="center"/>
              <w:rPr>
                <w:sz w:val="18"/>
                <w:lang w:val="es-ES"/>
              </w:rPr>
            </w:pPr>
            <w:r w:rsidRPr="00767DBC">
              <w:rPr>
                <w:sz w:val="18"/>
                <w:lang w:val="es-ES"/>
              </w:rPr>
              <w:t>33.70</w:t>
            </w:r>
          </w:p>
        </w:tc>
        <w:tc>
          <w:tcPr>
            <w:tcW w:w="464" w:type="pct"/>
          </w:tcPr>
          <w:p w14:paraId="05ACBA8B" w14:textId="77777777" w:rsidR="0069056F" w:rsidRPr="00767DBC" w:rsidRDefault="0069056F" w:rsidP="00266D1B">
            <w:pPr>
              <w:spacing w:before="120" w:after="120"/>
              <w:jc w:val="center"/>
              <w:rPr>
                <w:sz w:val="18"/>
                <w:lang w:val="es-ES"/>
              </w:rPr>
            </w:pPr>
            <w:r w:rsidRPr="00767DBC">
              <w:rPr>
                <w:sz w:val="18"/>
                <w:lang w:val="es-ES"/>
              </w:rPr>
              <w:t>0,0</w:t>
            </w:r>
          </w:p>
        </w:tc>
        <w:tc>
          <w:tcPr>
            <w:tcW w:w="532" w:type="pct"/>
          </w:tcPr>
          <w:p w14:paraId="4E7D22BD" w14:textId="77777777" w:rsidR="0069056F" w:rsidRPr="00767DBC" w:rsidRDefault="0069056F" w:rsidP="00266D1B">
            <w:pPr>
              <w:spacing w:before="120" w:after="120"/>
              <w:jc w:val="center"/>
              <w:rPr>
                <w:sz w:val="18"/>
                <w:lang w:val="es-ES"/>
              </w:rPr>
            </w:pPr>
            <w:r w:rsidRPr="00767DBC">
              <w:rPr>
                <w:sz w:val="18"/>
                <w:lang w:val="es-ES"/>
              </w:rPr>
              <w:t>27.15</w:t>
            </w:r>
          </w:p>
        </w:tc>
        <w:tc>
          <w:tcPr>
            <w:tcW w:w="580" w:type="pct"/>
          </w:tcPr>
          <w:p w14:paraId="31AA8800" w14:textId="77777777" w:rsidR="0069056F" w:rsidRPr="00767DBC" w:rsidRDefault="0069056F" w:rsidP="00266D1B">
            <w:pPr>
              <w:spacing w:before="120" w:after="120"/>
              <w:jc w:val="center"/>
              <w:rPr>
                <w:sz w:val="18"/>
                <w:lang w:val="es-ES"/>
              </w:rPr>
            </w:pPr>
            <w:r w:rsidRPr="00767DBC">
              <w:rPr>
                <w:sz w:val="18"/>
                <w:lang w:val="es-ES"/>
              </w:rPr>
              <w:t>29,904.3</w:t>
            </w:r>
          </w:p>
        </w:tc>
      </w:tr>
      <w:tr w:rsidR="0069056F" w:rsidRPr="00B0737D" w14:paraId="50529675" w14:textId="77777777" w:rsidTr="00266D1B">
        <w:tc>
          <w:tcPr>
            <w:tcW w:w="491" w:type="pct"/>
          </w:tcPr>
          <w:p w14:paraId="3104ED30" w14:textId="77777777" w:rsidR="0069056F" w:rsidRPr="00767DBC" w:rsidRDefault="0069056F" w:rsidP="00266D1B">
            <w:pPr>
              <w:spacing w:before="120" w:after="120"/>
              <w:jc w:val="both"/>
              <w:rPr>
                <w:sz w:val="18"/>
                <w:lang w:val="es-ES"/>
              </w:rPr>
            </w:pPr>
            <w:r w:rsidRPr="00767DBC">
              <w:rPr>
                <w:sz w:val="18"/>
                <w:lang w:val="es-ES"/>
              </w:rPr>
              <w:t xml:space="preserve">Diésel </w:t>
            </w:r>
          </w:p>
        </w:tc>
        <w:tc>
          <w:tcPr>
            <w:tcW w:w="721" w:type="pct"/>
          </w:tcPr>
          <w:p w14:paraId="250C203B" w14:textId="77777777" w:rsidR="0069056F" w:rsidRPr="00767DBC" w:rsidRDefault="0069056F" w:rsidP="00266D1B">
            <w:pPr>
              <w:spacing w:before="120" w:after="120"/>
              <w:jc w:val="center"/>
              <w:rPr>
                <w:sz w:val="18"/>
                <w:lang w:val="es-ES"/>
              </w:rPr>
            </w:pPr>
            <w:r w:rsidRPr="00767DBC">
              <w:rPr>
                <w:sz w:val="18"/>
                <w:lang w:val="es-ES"/>
              </w:rPr>
              <w:t>6,943</w:t>
            </w:r>
          </w:p>
        </w:tc>
        <w:tc>
          <w:tcPr>
            <w:tcW w:w="770" w:type="pct"/>
          </w:tcPr>
          <w:p w14:paraId="5D3D5072" w14:textId="77777777" w:rsidR="0069056F" w:rsidRPr="00767DBC" w:rsidRDefault="0069056F" w:rsidP="00266D1B">
            <w:pPr>
              <w:spacing w:before="120" w:after="120"/>
              <w:jc w:val="center"/>
              <w:rPr>
                <w:sz w:val="18"/>
                <w:lang w:val="es-ES"/>
              </w:rPr>
            </w:pPr>
            <w:r w:rsidRPr="00767DBC">
              <w:rPr>
                <w:sz w:val="18"/>
                <w:lang w:val="es-ES"/>
              </w:rPr>
              <w:t>20,841</w:t>
            </w:r>
          </w:p>
        </w:tc>
        <w:tc>
          <w:tcPr>
            <w:tcW w:w="721" w:type="pct"/>
          </w:tcPr>
          <w:p w14:paraId="14441D87" w14:textId="77777777" w:rsidR="0069056F" w:rsidRPr="00767DBC" w:rsidRDefault="0069056F" w:rsidP="00266D1B">
            <w:pPr>
              <w:spacing w:before="120" w:after="120"/>
              <w:jc w:val="center"/>
              <w:rPr>
                <w:sz w:val="18"/>
                <w:lang w:val="es-ES"/>
              </w:rPr>
            </w:pPr>
            <w:r w:rsidRPr="00767DBC">
              <w:rPr>
                <w:sz w:val="18"/>
                <w:lang w:val="es-ES"/>
              </w:rPr>
              <w:t>2,289</w:t>
            </w:r>
          </w:p>
        </w:tc>
        <w:tc>
          <w:tcPr>
            <w:tcW w:w="721" w:type="pct"/>
          </w:tcPr>
          <w:p w14:paraId="142D7E0A" w14:textId="77777777" w:rsidR="0069056F" w:rsidRPr="00767DBC" w:rsidRDefault="0069056F" w:rsidP="00266D1B">
            <w:pPr>
              <w:spacing w:before="120" w:after="120"/>
              <w:jc w:val="center"/>
              <w:rPr>
                <w:sz w:val="18"/>
                <w:lang w:val="es-ES"/>
              </w:rPr>
            </w:pPr>
            <w:r w:rsidRPr="00767DBC">
              <w:rPr>
                <w:sz w:val="18"/>
                <w:lang w:val="es-ES"/>
              </w:rPr>
              <w:t>16.21</w:t>
            </w:r>
          </w:p>
        </w:tc>
        <w:tc>
          <w:tcPr>
            <w:tcW w:w="464" w:type="pct"/>
          </w:tcPr>
          <w:p w14:paraId="30490FBD" w14:textId="77777777" w:rsidR="0069056F" w:rsidRPr="00767DBC" w:rsidRDefault="0069056F" w:rsidP="00266D1B">
            <w:pPr>
              <w:spacing w:before="120" w:after="120"/>
              <w:jc w:val="center"/>
              <w:rPr>
                <w:sz w:val="18"/>
                <w:lang w:val="es-ES"/>
              </w:rPr>
            </w:pPr>
            <w:r w:rsidRPr="00767DBC">
              <w:rPr>
                <w:sz w:val="18"/>
                <w:lang w:val="es-ES"/>
              </w:rPr>
              <w:t>133.22</w:t>
            </w:r>
          </w:p>
        </w:tc>
        <w:tc>
          <w:tcPr>
            <w:tcW w:w="532" w:type="pct"/>
          </w:tcPr>
          <w:p w14:paraId="7DED91C9" w14:textId="77777777" w:rsidR="0069056F" w:rsidRPr="00767DBC" w:rsidRDefault="0069056F" w:rsidP="00266D1B">
            <w:pPr>
              <w:spacing w:before="120" w:after="120"/>
              <w:jc w:val="center"/>
              <w:rPr>
                <w:sz w:val="18"/>
                <w:lang w:val="es-ES"/>
              </w:rPr>
            </w:pPr>
            <w:r w:rsidRPr="00767DBC">
              <w:rPr>
                <w:sz w:val="18"/>
                <w:lang w:val="es-ES"/>
              </w:rPr>
              <w:t>40.66</w:t>
            </w:r>
          </w:p>
        </w:tc>
        <w:tc>
          <w:tcPr>
            <w:tcW w:w="580" w:type="pct"/>
          </w:tcPr>
          <w:p w14:paraId="1DFEBAD7" w14:textId="77777777" w:rsidR="0069056F" w:rsidRPr="00767DBC" w:rsidRDefault="0069056F" w:rsidP="00266D1B">
            <w:pPr>
              <w:spacing w:before="120" w:after="120"/>
              <w:jc w:val="center"/>
              <w:rPr>
                <w:sz w:val="18"/>
                <w:lang w:val="es-ES"/>
              </w:rPr>
            </w:pPr>
            <w:r w:rsidRPr="00767DBC">
              <w:rPr>
                <w:sz w:val="18"/>
                <w:lang w:val="es-ES"/>
              </w:rPr>
              <w:t>158,933</w:t>
            </w:r>
          </w:p>
        </w:tc>
      </w:tr>
      <w:tr w:rsidR="0069056F" w:rsidRPr="00B0737D" w14:paraId="242A4C45" w14:textId="77777777" w:rsidTr="00266D1B">
        <w:tc>
          <w:tcPr>
            <w:tcW w:w="491" w:type="pct"/>
          </w:tcPr>
          <w:p w14:paraId="0B62E3DE" w14:textId="77777777" w:rsidR="0069056F" w:rsidRPr="00767DBC" w:rsidRDefault="0069056F" w:rsidP="00266D1B">
            <w:pPr>
              <w:spacing w:before="120" w:after="120"/>
              <w:jc w:val="both"/>
              <w:rPr>
                <w:sz w:val="18"/>
                <w:lang w:val="es-ES"/>
              </w:rPr>
            </w:pPr>
            <w:r w:rsidRPr="00767DBC">
              <w:rPr>
                <w:sz w:val="18"/>
                <w:lang w:val="es-ES"/>
              </w:rPr>
              <w:t>Nafta</w:t>
            </w:r>
          </w:p>
        </w:tc>
        <w:tc>
          <w:tcPr>
            <w:tcW w:w="721" w:type="pct"/>
          </w:tcPr>
          <w:p w14:paraId="6BCC7B8F" w14:textId="77777777" w:rsidR="0069056F" w:rsidRPr="00767DBC" w:rsidRDefault="0069056F" w:rsidP="00266D1B">
            <w:pPr>
              <w:spacing w:before="120" w:after="120"/>
              <w:jc w:val="center"/>
              <w:rPr>
                <w:sz w:val="18"/>
                <w:lang w:val="es-ES"/>
              </w:rPr>
            </w:pPr>
            <w:r w:rsidRPr="00767DBC">
              <w:rPr>
                <w:sz w:val="18"/>
                <w:lang w:val="es-ES"/>
              </w:rPr>
              <w:t>0,0</w:t>
            </w:r>
          </w:p>
        </w:tc>
        <w:tc>
          <w:tcPr>
            <w:tcW w:w="770" w:type="pct"/>
          </w:tcPr>
          <w:p w14:paraId="1EAD1AD5" w14:textId="77777777" w:rsidR="0069056F" w:rsidRPr="00767DBC" w:rsidRDefault="0069056F" w:rsidP="00266D1B">
            <w:pPr>
              <w:spacing w:before="120" w:after="120"/>
              <w:jc w:val="center"/>
              <w:rPr>
                <w:sz w:val="18"/>
                <w:lang w:val="es-ES"/>
              </w:rPr>
            </w:pPr>
            <w:r w:rsidRPr="00767DBC">
              <w:rPr>
                <w:sz w:val="18"/>
                <w:lang w:val="es-ES"/>
              </w:rPr>
              <w:t>16,006</w:t>
            </w:r>
          </w:p>
        </w:tc>
        <w:tc>
          <w:tcPr>
            <w:tcW w:w="721" w:type="pct"/>
          </w:tcPr>
          <w:p w14:paraId="71EB16D9" w14:textId="77777777" w:rsidR="0069056F" w:rsidRPr="00767DBC" w:rsidRDefault="0069056F" w:rsidP="00266D1B">
            <w:pPr>
              <w:spacing w:before="120" w:after="120"/>
              <w:jc w:val="center"/>
              <w:rPr>
                <w:sz w:val="18"/>
                <w:lang w:val="es-ES"/>
              </w:rPr>
            </w:pPr>
            <w:r w:rsidRPr="00767DBC">
              <w:rPr>
                <w:sz w:val="18"/>
                <w:lang w:val="es-ES"/>
              </w:rPr>
              <w:t>54</w:t>
            </w:r>
          </w:p>
        </w:tc>
        <w:tc>
          <w:tcPr>
            <w:tcW w:w="721" w:type="pct"/>
          </w:tcPr>
          <w:p w14:paraId="62D868E2" w14:textId="77777777" w:rsidR="0069056F" w:rsidRPr="00767DBC" w:rsidRDefault="0069056F" w:rsidP="00266D1B">
            <w:pPr>
              <w:spacing w:before="120" w:after="120"/>
              <w:jc w:val="center"/>
              <w:rPr>
                <w:sz w:val="18"/>
                <w:lang w:val="es-ES"/>
              </w:rPr>
            </w:pPr>
            <w:r w:rsidRPr="00767DBC">
              <w:rPr>
                <w:sz w:val="18"/>
                <w:lang w:val="es-ES"/>
              </w:rPr>
              <w:t>0,0</w:t>
            </w:r>
          </w:p>
        </w:tc>
        <w:tc>
          <w:tcPr>
            <w:tcW w:w="464" w:type="pct"/>
          </w:tcPr>
          <w:p w14:paraId="233C8F14" w14:textId="77777777" w:rsidR="0069056F" w:rsidRPr="00767DBC" w:rsidRDefault="0069056F" w:rsidP="00266D1B">
            <w:pPr>
              <w:spacing w:before="120" w:after="120"/>
              <w:jc w:val="center"/>
              <w:rPr>
                <w:sz w:val="18"/>
                <w:lang w:val="es-ES"/>
              </w:rPr>
            </w:pPr>
            <w:r w:rsidRPr="00767DBC">
              <w:rPr>
                <w:sz w:val="18"/>
                <w:lang w:val="es-ES"/>
              </w:rPr>
              <w:t>131.68</w:t>
            </w:r>
          </w:p>
        </w:tc>
        <w:tc>
          <w:tcPr>
            <w:tcW w:w="532" w:type="pct"/>
          </w:tcPr>
          <w:p w14:paraId="6549B819" w14:textId="77777777" w:rsidR="0069056F" w:rsidRPr="00767DBC" w:rsidRDefault="0069056F" w:rsidP="00266D1B">
            <w:pPr>
              <w:spacing w:before="120" w:after="120"/>
              <w:jc w:val="center"/>
              <w:rPr>
                <w:sz w:val="18"/>
                <w:lang w:val="es-ES"/>
              </w:rPr>
            </w:pPr>
            <w:r w:rsidRPr="00767DBC">
              <w:rPr>
                <w:sz w:val="18"/>
                <w:lang w:val="es-ES"/>
              </w:rPr>
              <w:t>37.60</w:t>
            </w:r>
          </w:p>
        </w:tc>
        <w:tc>
          <w:tcPr>
            <w:tcW w:w="580" w:type="pct"/>
          </w:tcPr>
          <w:p w14:paraId="58287C02" w14:textId="77777777" w:rsidR="0069056F" w:rsidRPr="00767DBC" w:rsidRDefault="0069056F" w:rsidP="00266D1B">
            <w:pPr>
              <w:spacing w:before="120" w:after="120"/>
              <w:jc w:val="center"/>
              <w:rPr>
                <w:sz w:val="18"/>
                <w:lang w:val="es-ES"/>
              </w:rPr>
            </w:pPr>
            <w:r w:rsidRPr="00767DBC">
              <w:rPr>
                <w:sz w:val="18"/>
                <w:lang w:val="es-ES"/>
              </w:rPr>
              <w:t>5,063.0</w:t>
            </w:r>
          </w:p>
        </w:tc>
      </w:tr>
      <w:tr w:rsidR="0069056F" w:rsidRPr="00B0737D" w14:paraId="5239148B" w14:textId="77777777" w:rsidTr="00266D1B">
        <w:tc>
          <w:tcPr>
            <w:tcW w:w="491" w:type="pct"/>
          </w:tcPr>
          <w:p w14:paraId="05BCA9FE" w14:textId="77777777" w:rsidR="0069056F" w:rsidRPr="00767DBC" w:rsidRDefault="0069056F" w:rsidP="00266D1B">
            <w:pPr>
              <w:spacing w:before="120" w:after="120"/>
              <w:jc w:val="both"/>
              <w:rPr>
                <w:sz w:val="18"/>
                <w:lang w:val="es-ES"/>
              </w:rPr>
            </w:pPr>
            <w:r w:rsidRPr="00767DBC">
              <w:rPr>
                <w:sz w:val="18"/>
                <w:lang w:val="es-ES"/>
              </w:rPr>
              <w:t xml:space="preserve">Gas </w:t>
            </w:r>
            <w:proofErr w:type="spellStart"/>
            <w:r w:rsidRPr="00767DBC">
              <w:rPr>
                <w:sz w:val="18"/>
                <w:lang w:val="es-ES"/>
              </w:rPr>
              <w:t>nat</w:t>
            </w:r>
            <w:proofErr w:type="spellEnd"/>
            <w:r w:rsidRPr="00767DBC">
              <w:rPr>
                <w:sz w:val="18"/>
                <w:lang w:val="es-ES"/>
              </w:rPr>
              <w:t>.</w:t>
            </w:r>
          </w:p>
        </w:tc>
        <w:tc>
          <w:tcPr>
            <w:tcW w:w="721" w:type="pct"/>
          </w:tcPr>
          <w:p w14:paraId="31D22E38" w14:textId="77777777" w:rsidR="0069056F" w:rsidRPr="00767DBC" w:rsidRDefault="0069056F" w:rsidP="00266D1B">
            <w:pPr>
              <w:spacing w:before="120" w:after="120"/>
              <w:jc w:val="center"/>
              <w:rPr>
                <w:sz w:val="18"/>
                <w:lang w:val="es-ES"/>
              </w:rPr>
            </w:pPr>
            <w:r w:rsidRPr="00767DBC">
              <w:rPr>
                <w:sz w:val="18"/>
                <w:lang w:val="es-ES"/>
              </w:rPr>
              <w:t>1,394</w:t>
            </w:r>
          </w:p>
        </w:tc>
        <w:tc>
          <w:tcPr>
            <w:tcW w:w="770" w:type="pct"/>
          </w:tcPr>
          <w:p w14:paraId="6743F5FB" w14:textId="77777777" w:rsidR="0069056F" w:rsidRPr="00767DBC" w:rsidRDefault="0069056F" w:rsidP="00266D1B">
            <w:pPr>
              <w:spacing w:before="120" w:after="120"/>
              <w:jc w:val="center"/>
              <w:rPr>
                <w:sz w:val="18"/>
                <w:lang w:val="es-ES"/>
              </w:rPr>
            </w:pPr>
            <w:r w:rsidRPr="00767DBC">
              <w:rPr>
                <w:sz w:val="18"/>
                <w:lang w:val="es-ES"/>
              </w:rPr>
              <w:t>0,0</w:t>
            </w:r>
          </w:p>
        </w:tc>
        <w:tc>
          <w:tcPr>
            <w:tcW w:w="721" w:type="pct"/>
          </w:tcPr>
          <w:p w14:paraId="35407DA5" w14:textId="77777777" w:rsidR="0069056F" w:rsidRPr="00767DBC" w:rsidRDefault="0069056F" w:rsidP="00266D1B">
            <w:pPr>
              <w:spacing w:before="120" w:after="120"/>
              <w:jc w:val="center"/>
              <w:rPr>
                <w:sz w:val="18"/>
                <w:lang w:val="es-ES"/>
              </w:rPr>
            </w:pPr>
            <w:r w:rsidRPr="00767DBC">
              <w:rPr>
                <w:sz w:val="18"/>
                <w:lang w:val="es-ES"/>
              </w:rPr>
              <w:t>2,794</w:t>
            </w:r>
          </w:p>
        </w:tc>
        <w:tc>
          <w:tcPr>
            <w:tcW w:w="721" w:type="pct"/>
          </w:tcPr>
          <w:p w14:paraId="0620E628" w14:textId="77777777" w:rsidR="0069056F" w:rsidRPr="00767DBC" w:rsidRDefault="0069056F" w:rsidP="00266D1B">
            <w:pPr>
              <w:spacing w:before="120" w:after="120"/>
              <w:jc w:val="center"/>
              <w:rPr>
                <w:sz w:val="18"/>
                <w:lang w:val="es-ES"/>
              </w:rPr>
            </w:pPr>
            <w:r w:rsidRPr="00767DBC">
              <w:rPr>
                <w:sz w:val="18"/>
                <w:lang w:val="es-ES"/>
              </w:rPr>
              <w:t>18.14</w:t>
            </w:r>
          </w:p>
        </w:tc>
        <w:tc>
          <w:tcPr>
            <w:tcW w:w="464" w:type="pct"/>
          </w:tcPr>
          <w:p w14:paraId="372A3D63" w14:textId="77777777" w:rsidR="0069056F" w:rsidRPr="00767DBC" w:rsidRDefault="0069056F" w:rsidP="00266D1B">
            <w:pPr>
              <w:spacing w:before="120" w:after="120"/>
              <w:jc w:val="center"/>
              <w:rPr>
                <w:sz w:val="18"/>
                <w:lang w:val="es-ES"/>
              </w:rPr>
            </w:pPr>
            <w:r w:rsidRPr="00767DBC">
              <w:rPr>
                <w:sz w:val="18"/>
                <w:lang w:val="es-ES"/>
              </w:rPr>
              <w:t>0,0</w:t>
            </w:r>
          </w:p>
        </w:tc>
        <w:tc>
          <w:tcPr>
            <w:tcW w:w="532" w:type="pct"/>
          </w:tcPr>
          <w:p w14:paraId="6A81C2EC" w14:textId="77777777" w:rsidR="0069056F" w:rsidRPr="00767DBC" w:rsidRDefault="0069056F" w:rsidP="00266D1B">
            <w:pPr>
              <w:spacing w:before="120" w:after="120"/>
              <w:jc w:val="center"/>
              <w:rPr>
                <w:sz w:val="18"/>
                <w:lang w:val="es-ES"/>
              </w:rPr>
            </w:pPr>
            <w:r w:rsidRPr="00767DBC">
              <w:rPr>
                <w:sz w:val="18"/>
                <w:lang w:val="es-ES"/>
              </w:rPr>
              <w:t>18.14</w:t>
            </w:r>
          </w:p>
        </w:tc>
        <w:tc>
          <w:tcPr>
            <w:tcW w:w="580" w:type="pct"/>
          </w:tcPr>
          <w:p w14:paraId="0F1FCE46" w14:textId="77777777" w:rsidR="0069056F" w:rsidRPr="00767DBC" w:rsidRDefault="0069056F" w:rsidP="00266D1B">
            <w:pPr>
              <w:spacing w:before="120" w:after="120"/>
              <w:jc w:val="center"/>
              <w:rPr>
                <w:sz w:val="18"/>
                <w:lang w:val="es-ES"/>
              </w:rPr>
            </w:pPr>
            <w:r w:rsidRPr="00767DBC">
              <w:rPr>
                <w:sz w:val="18"/>
                <w:lang w:val="es-ES"/>
              </w:rPr>
              <w:t>0.0</w:t>
            </w:r>
          </w:p>
        </w:tc>
      </w:tr>
      <w:tr w:rsidR="0069056F" w:rsidRPr="00B0737D" w14:paraId="4EACE2D7" w14:textId="77777777" w:rsidTr="00266D1B">
        <w:tc>
          <w:tcPr>
            <w:tcW w:w="491" w:type="pct"/>
          </w:tcPr>
          <w:p w14:paraId="72D5EC6A" w14:textId="77777777" w:rsidR="0069056F" w:rsidRPr="00767DBC" w:rsidRDefault="0069056F" w:rsidP="00266D1B">
            <w:pPr>
              <w:spacing w:before="120" w:after="120"/>
              <w:jc w:val="both"/>
              <w:rPr>
                <w:b/>
                <w:sz w:val="18"/>
                <w:lang w:val="es-ES"/>
              </w:rPr>
            </w:pPr>
            <w:r w:rsidRPr="00767DBC">
              <w:rPr>
                <w:b/>
                <w:sz w:val="18"/>
                <w:lang w:val="es-ES"/>
              </w:rPr>
              <w:t>TOTAL</w:t>
            </w:r>
          </w:p>
        </w:tc>
        <w:tc>
          <w:tcPr>
            <w:tcW w:w="721" w:type="pct"/>
          </w:tcPr>
          <w:p w14:paraId="13DB8922" w14:textId="77777777" w:rsidR="0069056F" w:rsidRPr="00767DBC" w:rsidRDefault="0069056F" w:rsidP="00266D1B">
            <w:pPr>
              <w:spacing w:before="120" w:after="120"/>
              <w:jc w:val="center"/>
              <w:rPr>
                <w:b/>
                <w:sz w:val="18"/>
                <w:lang w:val="es-ES"/>
              </w:rPr>
            </w:pPr>
            <w:r w:rsidRPr="00767DBC">
              <w:rPr>
                <w:b/>
                <w:sz w:val="18"/>
                <w:lang w:val="es-ES"/>
              </w:rPr>
              <w:t>27,920</w:t>
            </w:r>
          </w:p>
        </w:tc>
        <w:tc>
          <w:tcPr>
            <w:tcW w:w="770" w:type="pct"/>
          </w:tcPr>
          <w:p w14:paraId="6828A31C" w14:textId="77777777" w:rsidR="0069056F" w:rsidRPr="00767DBC" w:rsidRDefault="0069056F" w:rsidP="00266D1B">
            <w:pPr>
              <w:spacing w:before="120" w:after="120"/>
              <w:jc w:val="center"/>
              <w:rPr>
                <w:b/>
                <w:sz w:val="18"/>
                <w:lang w:val="es-ES"/>
              </w:rPr>
            </w:pPr>
            <w:r w:rsidRPr="00767DBC">
              <w:rPr>
                <w:b/>
                <w:sz w:val="18"/>
                <w:lang w:val="es-ES"/>
              </w:rPr>
              <w:t>36,847</w:t>
            </w:r>
          </w:p>
        </w:tc>
        <w:tc>
          <w:tcPr>
            <w:tcW w:w="721" w:type="pct"/>
          </w:tcPr>
          <w:p w14:paraId="7A064721" w14:textId="77777777" w:rsidR="0069056F" w:rsidRPr="00767DBC" w:rsidRDefault="0069056F" w:rsidP="00266D1B">
            <w:pPr>
              <w:spacing w:before="120" w:after="120"/>
              <w:jc w:val="center"/>
              <w:rPr>
                <w:b/>
                <w:sz w:val="18"/>
                <w:lang w:val="es-ES"/>
              </w:rPr>
            </w:pPr>
            <w:r w:rsidRPr="00767DBC">
              <w:rPr>
                <w:b/>
                <w:sz w:val="18"/>
                <w:lang w:val="es-ES"/>
              </w:rPr>
              <w:t>18,653</w:t>
            </w:r>
          </w:p>
        </w:tc>
        <w:tc>
          <w:tcPr>
            <w:tcW w:w="721" w:type="pct"/>
          </w:tcPr>
          <w:p w14:paraId="5DE3B4A6" w14:textId="77777777" w:rsidR="0069056F" w:rsidRPr="00767DBC" w:rsidRDefault="0069056F" w:rsidP="00266D1B">
            <w:pPr>
              <w:spacing w:before="120" w:after="120"/>
              <w:jc w:val="center"/>
              <w:rPr>
                <w:b/>
                <w:sz w:val="18"/>
                <w:lang w:val="es-ES"/>
              </w:rPr>
            </w:pPr>
            <w:r w:rsidRPr="00767DBC">
              <w:rPr>
                <w:b/>
                <w:sz w:val="18"/>
                <w:lang w:val="es-ES"/>
              </w:rPr>
              <w:t>-----</w:t>
            </w:r>
          </w:p>
        </w:tc>
        <w:tc>
          <w:tcPr>
            <w:tcW w:w="464" w:type="pct"/>
          </w:tcPr>
          <w:p w14:paraId="0396214B" w14:textId="77777777" w:rsidR="0069056F" w:rsidRPr="00767DBC" w:rsidRDefault="0069056F" w:rsidP="00266D1B">
            <w:pPr>
              <w:spacing w:before="120" w:after="120"/>
              <w:jc w:val="center"/>
              <w:rPr>
                <w:b/>
                <w:sz w:val="18"/>
                <w:lang w:val="es-ES"/>
              </w:rPr>
            </w:pPr>
            <w:r w:rsidRPr="00767DBC">
              <w:rPr>
                <w:b/>
                <w:sz w:val="18"/>
                <w:lang w:val="es-ES"/>
              </w:rPr>
              <w:t>-------</w:t>
            </w:r>
          </w:p>
        </w:tc>
        <w:tc>
          <w:tcPr>
            <w:tcW w:w="532" w:type="pct"/>
          </w:tcPr>
          <w:p w14:paraId="3187FDAF" w14:textId="77777777" w:rsidR="0069056F" w:rsidRPr="00767DBC" w:rsidRDefault="0069056F" w:rsidP="00266D1B">
            <w:pPr>
              <w:spacing w:before="120" w:after="120"/>
              <w:jc w:val="center"/>
              <w:rPr>
                <w:b/>
                <w:sz w:val="18"/>
                <w:lang w:val="es-ES"/>
              </w:rPr>
            </w:pPr>
            <w:r w:rsidRPr="00767DBC">
              <w:rPr>
                <w:b/>
                <w:sz w:val="18"/>
                <w:lang w:val="es-ES"/>
              </w:rPr>
              <w:t>-------</w:t>
            </w:r>
          </w:p>
        </w:tc>
        <w:tc>
          <w:tcPr>
            <w:tcW w:w="580" w:type="pct"/>
          </w:tcPr>
          <w:p w14:paraId="491BE855" w14:textId="77777777" w:rsidR="0069056F" w:rsidRPr="00767DBC" w:rsidRDefault="0069056F" w:rsidP="00266D1B">
            <w:pPr>
              <w:spacing w:before="120" w:after="120"/>
              <w:jc w:val="center"/>
              <w:rPr>
                <w:b/>
                <w:sz w:val="18"/>
                <w:lang w:val="es-ES"/>
              </w:rPr>
            </w:pPr>
            <w:r w:rsidRPr="00767DBC">
              <w:rPr>
                <w:b/>
                <w:sz w:val="18"/>
                <w:lang w:val="es-ES"/>
              </w:rPr>
              <w:t>181,644.9</w:t>
            </w:r>
          </w:p>
        </w:tc>
      </w:tr>
      <w:tr w:rsidR="0069056F" w:rsidRPr="00B0737D" w14:paraId="04E542AC" w14:textId="77777777" w:rsidTr="00266D1B">
        <w:tc>
          <w:tcPr>
            <w:tcW w:w="491" w:type="pct"/>
          </w:tcPr>
          <w:p w14:paraId="59872367" w14:textId="77777777" w:rsidR="0069056F" w:rsidRPr="00767DBC" w:rsidRDefault="0069056F" w:rsidP="00266D1B">
            <w:pPr>
              <w:spacing w:before="120" w:after="120"/>
              <w:jc w:val="both"/>
              <w:rPr>
                <w:sz w:val="18"/>
                <w:lang w:val="es-ES"/>
              </w:rPr>
            </w:pPr>
            <w:r w:rsidRPr="00767DBC">
              <w:rPr>
                <w:sz w:val="18"/>
                <w:lang w:val="es-ES"/>
              </w:rPr>
              <w:t>GLP</w:t>
            </w:r>
          </w:p>
        </w:tc>
        <w:tc>
          <w:tcPr>
            <w:tcW w:w="721" w:type="pct"/>
            <w:vAlign w:val="center"/>
          </w:tcPr>
          <w:p w14:paraId="30660355" w14:textId="77777777" w:rsidR="0069056F" w:rsidRPr="00767DBC" w:rsidRDefault="0069056F" w:rsidP="00266D1B">
            <w:pPr>
              <w:spacing w:before="120" w:after="120"/>
              <w:jc w:val="center"/>
              <w:rPr>
                <w:sz w:val="18"/>
                <w:lang w:val="es-ES"/>
              </w:rPr>
            </w:pPr>
            <w:r w:rsidRPr="00767DBC">
              <w:rPr>
                <w:sz w:val="18"/>
                <w:lang w:val="es-ES"/>
              </w:rPr>
              <w:t>1.912</w:t>
            </w:r>
          </w:p>
        </w:tc>
        <w:tc>
          <w:tcPr>
            <w:tcW w:w="770" w:type="pct"/>
            <w:vAlign w:val="center"/>
          </w:tcPr>
          <w:p w14:paraId="549A9058" w14:textId="77777777" w:rsidR="0069056F" w:rsidRPr="00767DBC" w:rsidRDefault="0069056F" w:rsidP="00266D1B">
            <w:pPr>
              <w:spacing w:before="120" w:after="120"/>
              <w:jc w:val="center"/>
              <w:rPr>
                <w:sz w:val="18"/>
                <w:lang w:val="es-ES"/>
              </w:rPr>
            </w:pPr>
            <w:r w:rsidRPr="00767DBC">
              <w:rPr>
                <w:sz w:val="18"/>
                <w:lang w:val="es-ES"/>
              </w:rPr>
              <w:t>7,023</w:t>
            </w:r>
          </w:p>
        </w:tc>
        <w:tc>
          <w:tcPr>
            <w:tcW w:w="721" w:type="pct"/>
            <w:vAlign w:val="center"/>
          </w:tcPr>
          <w:p w14:paraId="48A07036" w14:textId="77777777" w:rsidR="0069056F" w:rsidRPr="00767DBC" w:rsidRDefault="0069056F" w:rsidP="00266D1B">
            <w:pPr>
              <w:spacing w:before="120" w:after="120"/>
              <w:jc w:val="center"/>
              <w:rPr>
                <w:sz w:val="18"/>
                <w:lang w:val="es-ES"/>
              </w:rPr>
            </w:pPr>
            <w:r w:rsidRPr="00767DBC">
              <w:rPr>
                <w:sz w:val="18"/>
                <w:lang w:val="es-ES"/>
              </w:rPr>
              <w:t>8,935</w:t>
            </w:r>
          </w:p>
        </w:tc>
        <w:tc>
          <w:tcPr>
            <w:tcW w:w="721" w:type="pct"/>
            <w:vAlign w:val="center"/>
          </w:tcPr>
          <w:p w14:paraId="4DFDA534" w14:textId="77777777" w:rsidR="0069056F" w:rsidRPr="00767DBC" w:rsidRDefault="0069056F" w:rsidP="00266D1B">
            <w:pPr>
              <w:spacing w:before="120" w:after="120"/>
              <w:jc w:val="center"/>
              <w:rPr>
                <w:sz w:val="18"/>
                <w:lang w:val="es-ES"/>
              </w:rPr>
            </w:pPr>
            <w:r w:rsidRPr="00767DBC">
              <w:rPr>
                <w:sz w:val="18"/>
                <w:lang w:val="es-ES"/>
              </w:rPr>
              <w:t>37.59</w:t>
            </w:r>
          </w:p>
        </w:tc>
        <w:tc>
          <w:tcPr>
            <w:tcW w:w="464" w:type="pct"/>
            <w:vAlign w:val="center"/>
          </w:tcPr>
          <w:p w14:paraId="16B790B6" w14:textId="77777777" w:rsidR="0069056F" w:rsidRPr="00767DBC" w:rsidRDefault="0069056F" w:rsidP="00266D1B">
            <w:pPr>
              <w:spacing w:before="120" w:after="120"/>
              <w:jc w:val="center"/>
              <w:rPr>
                <w:sz w:val="18"/>
                <w:lang w:val="es-ES"/>
              </w:rPr>
            </w:pPr>
            <w:r w:rsidRPr="00767DBC">
              <w:rPr>
                <w:sz w:val="18"/>
                <w:lang w:val="es-ES"/>
              </w:rPr>
              <w:t>78.94</w:t>
            </w:r>
          </w:p>
        </w:tc>
        <w:tc>
          <w:tcPr>
            <w:tcW w:w="532" w:type="pct"/>
            <w:vAlign w:val="center"/>
          </w:tcPr>
          <w:p w14:paraId="1B376146" w14:textId="77777777" w:rsidR="0069056F" w:rsidRPr="00767DBC" w:rsidRDefault="0069056F" w:rsidP="00266D1B">
            <w:pPr>
              <w:spacing w:before="120" w:after="120"/>
              <w:jc w:val="center"/>
              <w:rPr>
                <w:sz w:val="18"/>
                <w:lang w:val="es-ES"/>
              </w:rPr>
            </w:pPr>
            <w:r w:rsidRPr="00767DBC">
              <w:rPr>
                <w:sz w:val="18"/>
                <w:lang w:val="es-ES"/>
              </w:rPr>
              <w:t>12.11</w:t>
            </w:r>
          </w:p>
        </w:tc>
        <w:tc>
          <w:tcPr>
            <w:tcW w:w="580" w:type="pct"/>
            <w:vAlign w:val="center"/>
          </w:tcPr>
          <w:p w14:paraId="369B7506" w14:textId="77777777" w:rsidR="0069056F" w:rsidRPr="00767DBC" w:rsidRDefault="0069056F" w:rsidP="00266D1B">
            <w:pPr>
              <w:spacing w:before="120" w:after="120"/>
              <w:jc w:val="center"/>
              <w:rPr>
                <w:sz w:val="18"/>
                <w:lang w:val="es-ES"/>
              </w:rPr>
            </w:pPr>
            <w:r w:rsidRPr="00767DBC">
              <w:rPr>
                <w:sz w:val="18"/>
                <w:lang w:val="es-ES"/>
              </w:rPr>
              <w:t>656,885</w:t>
            </w:r>
          </w:p>
        </w:tc>
      </w:tr>
      <w:tr w:rsidR="0069056F" w:rsidRPr="00B0737D" w14:paraId="5FCB0877" w14:textId="77777777" w:rsidTr="00266D1B">
        <w:tc>
          <w:tcPr>
            <w:tcW w:w="491" w:type="pct"/>
          </w:tcPr>
          <w:p w14:paraId="6A3B6BA4" w14:textId="77777777" w:rsidR="0069056F" w:rsidRPr="00767DBC" w:rsidRDefault="0069056F" w:rsidP="00266D1B">
            <w:pPr>
              <w:spacing w:before="120" w:after="120"/>
              <w:jc w:val="both"/>
              <w:rPr>
                <w:sz w:val="18"/>
                <w:lang w:val="es-ES"/>
              </w:rPr>
            </w:pPr>
            <w:r w:rsidRPr="00767DBC">
              <w:rPr>
                <w:sz w:val="18"/>
                <w:lang w:val="es-ES"/>
              </w:rPr>
              <w:t xml:space="preserve">Gen. Diésel </w:t>
            </w:r>
            <w:proofErr w:type="spellStart"/>
            <w:r w:rsidRPr="00767DBC">
              <w:rPr>
                <w:sz w:val="18"/>
                <w:lang w:val="es-ES"/>
              </w:rPr>
              <w:t>Hidrocarb</w:t>
            </w:r>
            <w:proofErr w:type="spellEnd"/>
            <w:r w:rsidRPr="00767DBC">
              <w:rPr>
                <w:sz w:val="18"/>
                <w:lang w:val="es-ES"/>
              </w:rPr>
              <w:t>.</w:t>
            </w:r>
          </w:p>
        </w:tc>
        <w:tc>
          <w:tcPr>
            <w:tcW w:w="721" w:type="pct"/>
            <w:vAlign w:val="center"/>
          </w:tcPr>
          <w:p w14:paraId="049D6466" w14:textId="77777777" w:rsidR="0069056F" w:rsidRPr="00767DBC" w:rsidRDefault="0069056F" w:rsidP="00266D1B">
            <w:pPr>
              <w:spacing w:before="120" w:after="120"/>
              <w:jc w:val="center"/>
              <w:rPr>
                <w:sz w:val="18"/>
                <w:lang w:val="es-ES"/>
              </w:rPr>
            </w:pPr>
            <w:r w:rsidRPr="00767DBC">
              <w:rPr>
                <w:sz w:val="18"/>
                <w:lang w:val="es-ES"/>
              </w:rPr>
              <w:t>----</w:t>
            </w:r>
          </w:p>
        </w:tc>
        <w:tc>
          <w:tcPr>
            <w:tcW w:w="770" w:type="pct"/>
            <w:vAlign w:val="center"/>
          </w:tcPr>
          <w:p w14:paraId="25214D29" w14:textId="77777777" w:rsidR="0069056F" w:rsidRPr="00767DBC" w:rsidRDefault="0069056F" w:rsidP="00266D1B">
            <w:pPr>
              <w:spacing w:before="120" w:after="120"/>
              <w:jc w:val="center"/>
              <w:rPr>
                <w:sz w:val="18"/>
                <w:lang w:val="es-ES"/>
              </w:rPr>
            </w:pPr>
            <w:r w:rsidRPr="00767DBC">
              <w:rPr>
                <w:sz w:val="18"/>
                <w:lang w:val="es-ES"/>
              </w:rPr>
              <w:t>----</w:t>
            </w:r>
          </w:p>
        </w:tc>
        <w:tc>
          <w:tcPr>
            <w:tcW w:w="721" w:type="pct"/>
            <w:vAlign w:val="center"/>
          </w:tcPr>
          <w:p w14:paraId="0999E8E7" w14:textId="77777777" w:rsidR="0069056F" w:rsidRPr="00767DBC" w:rsidRDefault="0069056F" w:rsidP="00266D1B">
            <w:pPr>
              <w:spacing w:before="120" w:after="120"/>
              <w:jc w:val="center"/>
              <w:rPr>
                <w:sz w:val="18"/>
                <w:lang w:val="es-ES"/>
              </w:rPr>
            </w:pPr>
            <w:r w:rsidRPr="00767DBC">
              <w:rPr>
                <w:sz w:val="18"/>
                <w:lang w:val="es-ES"/>
              </w:rPr>
              <w:t>8,923</w:t>
            </w:r>
          </w:p>
        </w:tc>
        <w:tc>
          <w:tcPr>
            <w:tcW w:w="721" w:type="pct"/>
            <w:vAlign w:val="center"/>
          </w:tcPr>
          <w:p w14:paraId="70889293" w14:textId="77777777" w:rsidR="0069056F" w:rsidRPr="00767DBC" w:rsidRDefault="0069056F" w:rsidP="00266D1B">
            <w:pPr>
              <w:spacing w:before="120" w:after="120"/>
              <w:jc w:val="center"/>
              <w:rPr>
                <w:sz w:val="18"/>
                <w:lang w:val="es-ES"/>
              </w:rPr>
            </w:pPr>
            <w:r w:rsidRPr="00767DBC">
              <w:rPr>
                <w:sz w:val="18"/>
                <w:lang w:val="es-ES"/>
              </w:rPr>
              <w:t>----</w:t>
            </w:r>
          </w:p>
        </w:tc>
        <w:tc>
          <w:tcPr>
            <w:tcW w:w="464" w:type="pct"/>
            <w:vAlign w:val="center"/>
          </w:tcPr>
          <w:p w14:paraId="426BF522" w14:textId="77777777" w:rsidR="0069056F" w:rsidRPr="00767DBC" w:rsidRDefault="0069056F" w:rsidP="00266D1B">
            <w:pPr>
              <w:spacing w:before="120" w:after="120"/>
              <w:jc w:val="center"/>
              <w:rPr>
                <w:sz w:val="18"/>
                <w:lang w:val="es-ES"/>
              </w:rPr>
            </w:pPr>
            <w:r w:rsidRPr="00767DBC">
              <w:rPr>
                <w:sz w:val="18"/>
                <w:lang w:val="es-ES"/>
              </w:rPr>
              <w:t>133.22</w:t>
            </w:r>
          </w:p>
        </w:tc>
        <w:tc>
          <w:tcPr>
            <w:tcW w:w="532" w:type="pct"/>
            <w:vAlign w:val="center"/>
          </w:tcPr>
          <w:p w14:paraId="42A7EA33" w14:textId="77777777" w:rsidR="0069056F" w:rsidRPr="00767DBC" w:rsidRDefault="0069056F" w:rsidP="00266D1B">
            <w:pPr>
              <w:spacing w:before="120" w:after="120"/>
              <w:jc w:val="center"/>
              <w:rPr>
                <w:sz w:val="18"/>
                <w:lang w:val="es-ES"/>
              </w:rPr>
            </w:pPr>
          </w:p>
        </w:tc>
        <w:tc>
          <w:tcPr>
            <w:tcW w:w="580" w:type="pct"/>
            <w:vAlign w:val="center"/>
          </w:tcPr>
          <w:p w14:paraId="3ED07FFE" w14:textId="77777777" w:rsidR="0069056F" w:rsidRPr="00767DBC" w:rsidRDefault="0069056F" w:rsidP="00266D1B">
            <w:pPr>
              <w:spacing w:before="120" w:after="120"/>
              <w:jc w:val="center"/>
              <w:rPr>
                <w:sz w:val="18"/>
                <w:lang w:val="es-ES"/>
              </w:rPr>
            </w:pPr>
            <w:r w:rsidRPr="00767DBC">
              <w:rPr>
                <w:sz w:val="18"/>
                <w:lang w:val="es-ES"/>
              </w:rPr>
              <w:t>578,139</w:t>
            </w:r>
          </w:p>
        </w:tc>
      </w:tr>
    </w:tbl>
    <w:p w14:paraId="0B10AB3B" w14:textId="77777777" w:rsidR="0069056F" w:rsidRPr="00767DBC" w:rsidRDefault="0069056F" w:rsidP="0069056F">
      <w:pPr>
        <w:pStyle w:val="ListParagraph"/>
        <w:spacing w:before="120" w:after="120" w:line="360" w:lineRule="auto"/>
        <w:jc w:val="both"/>
        <w:rPr>
          <w:lang w:val="es-ES"/>
        </w:rPr>
      </w:pPr>
    </w:p>
    <w:p w14:paraId="19859C6D" w14:textId="77777777" w:rsidR="0069056F" w:rsidRPr="00767DBC" w:rsidRDefault="0069056F" w:rsidP="0069056F">
      <w:pPr>
        <w:pStyle w:val="ListParagraph"/>
        <w:numPr>
          <w:ilvl w:val="0"/>
          <w:numId w:val="28"/>
        </w:numPr>
        <w:spacing w:before="120" w:after="120" w:line="360" w:lineRule="auto"/>
        <w:jc w:val="both"/>
        <w:rPr>
          <w:lang w:val="es-ES"/>
        </w:rPr>
      </w:pPr>
      <w:r w:rsidRPr="00767DBC">
        <w:rPr>
          <w:lang w:val="es-ES"/>
        </w:rPr>
        <w:t xml:space="preserve">La iniciativa </w:t>
      </w:r>
      <w:r>
        <w:rPr>
          <w:szCs w:val="20"/>
          <w:lang w:val="es-ES"/>
        </w:rPr>
        <w:t xml:space="preserve">- </w:t>
      </w:r>
      <w:r w:rsidRPr="00767DBC">
        <w:rPr>
          <w:i/>
          <w:lang w:val="es-ES"/>
        </w:rPr>
        <w:t>Cambio de la Matriz Energética del Ecuador</w:t>
      </w:r>
      <w:r>
        <w:rPr>
          <w:i/>
          <w:szCs w:val="20"/>
          <w:lang w:val="es-ES"/>
        </w:rPr>
        <w:t xml:space="preserve"> </w:t>
      </w:r>
      <w:r w:rsidRPr="00767DBC">
        <w:rPr>
          <w:lang w:val="es-ES"/>
        </w:rPr>
        <w:t xml:space="preserve">- anunciada en los documentos rectores del Gobierno y del sector, pretende sentar las bases para la </w:t>
      </w:r>
      <w:r w:rsidRPr="00767DBC">
        <w:rPr>
          <w:lang w:val="es-ES"/>
        </w:rPr>
        <w:lastRenderedPageBreak/>
        <w:t xml:space="preserve">reducción del consumo e importación de derivados, la sustitución de subsidios asociados al GLP y la mejora de la producción local de derivados. </w:t>
      </w:r>
    </w:p>
    <w:p w14:paraId="35CEB899" w14:textId="77777777" w:rsidR="0069056F" w:rsidRPr="00767DBC" w:rsidRDefault="0069056F" w:rsidP="0069056F">
      <w:pPr>
        <w:pStyle w:val="ListParagraph"/>
        <w:numPr>
          <w:ilvl w:val="0"/>
          <w:numId w:val="28"/>
        </w:numPr>
        <w:spacing w:before="120" w:after="120" w:line="360" w:lineRule="auto"/>
        <w:jc w:val="both"/>
        <w:rPr>
          <w:lang w:val="es-ES"/>
        </w:rPr>
      </w:pPr>
      <w:r w:rsidRPr="00767DBC">
        <w:rPr>
          <w:lang w:val="es-ES"/>
        </w:rPr>
        <w:t xml:space="preserve">El proceso de cambio de la matriz energética implica inversiones cuantiosas en generación, transmisión y distribución, esperando los primeros resultados al 2017 y al final del periodo de análisis, 2022. Al analizar los escenarios sin cambio de la matriz energética y con cambio al 2017,  la contribución neta de la iniciativa es la siguiente: </w:t>
      </w:r>
    </w:p>
    <w:p w14:paraId="568C857F" w14:textId="77777777" w:rsidR="0069056F" w:rsidRPr="00767DBC" w:rsidRDefault="0069056F" w:rsidP="0069056F">
      <w:pPr>
        <w:pStyle w:val="ListParagraph"/>
        <w:spacing w:before="120" w:after="120"/>
        <w:rPr>
          <w:lang w:val="es-ES"/>
        </w:rPr>
      </w:pPr>
    </w:p>
    <w:p w14:paraId="67EA30A7" w14:textId="77777777" w:rsidR="0069056F" w:rsidRPr="00767DBC" w:rsidRDefault="0069056F" w:rsidP="0069056F">
      <w:pPr>
        <w:pStyle w:val="ListParagraph"/>
        <w:numPr>
          <w:ilvl w:val="1"/>
          <w:numId w:val="28"/>
        </w:numPr>
        <w:spacing w:before="120" w:after="120" w:line="360" w:lineRule="auto"/>
        <w:jc w:val="both"/>
        <w:rPr>
          <w:lang w:val="es-ES"/>
        </w:rPr>
      </w:pPr>
      <w:r w:rsidRPr="00767DBC">
        <w:rPr>
          <w:b/>
          <w:lang w:val="es-ES"/>
        </w:rPr>
        <w:t>Contribución neta por reducción de las importaciones de derivados usados en la generación</w:t>
      </w:r>
      <w:r w:rsidRPr="007E07CA">
        <w:rPr>
          <w:szCs w:val="20"/>
          <w:lang w:val="es-ES"/>
        </w:rPr>
        <w:t>.</w:t>
      </w:r>
      <w:r w:rsidRPr="00767DBC">
        <w:rPr>
          <w:lang w:val="es-ES"/>
        </w:rPr>
        <w:t xml:space="preserve"> Con la implementación de la iniciativa, se dejaría de importar 8 millones BEP de derivados, se contaría con la posibilidad de exportar excedentes ya no utilizados por 15 millones BEP, generando una contribución neta igual a US$2.542 millones en 2017.</w:t>
      </w:r>
    </w:p>
    <w:p w14:paraId="1E595681" w14:textId="77777777" w:rsidR="0069056F" w:rsidRPr="00767DBC" w:rsidRDefault="0069056F" w:rsidP="0069056F">
      <w:pPr>
        <w:pStyle w:val="ListParagraph"/>
        <w:numPr>
          <w:ilvl w:val="1"/>
          <w:numId w:val="28"/>
        </w:numPr>
        <w:spacing w:before="120" w:after="120" w:line="360" w:lineRule="auto"/>
        <w:jc w:val="both"/>
        <w:rPr>
          <w:lang w:val="es-ES"/>
        </w:rPr>
      </w:pPr>
      <w:r w:rsidRPr="00767DBC">
        <w:rPr>
          <w:b/>
          <w:lang w:val="es-ES"/>
        </w:rPr>
        <w:t>Contribución neta en la reducción del déficit fiscal por reducción del consumo de derivados y sustitución de subsidios</w:t>
      </w:r>
      <w:r w:rsidRPr="007E07CA">
        <w:rPr>
          <w:szCs w:val="20"/>
          <w:lang w:val="es-ES"/>
        </w:rPr>
        <w:t>.</w:t>
      </w:r>
      <w:r w:rsidRPr="00767DBC">
        <w:rPr>
          <w:lang w:val="es-ES"/>
        </w:rPr>
        <w:t xml:space="preserve"> Con la implementación de la iniciativa se generaría ahorros fiscales netos por US$573 millones en 2017.</w:t>
      </w:r>
    </w:p>
    <w:p w14:paraId="6458528D" w14:textId="77777777" w:rsidR="0069056F" w:rsidRPr="00767DBC" w:rsidRDefault="0069056F" w:rsidP="0069056F">
      <w:pPr>
        <w:pStyle w:val="ListParagraph"/>
        <w:numPr>
          <w:ilvl w:val="1"/>
          <w:numId w:val="28"/>
        </w:numPr>
        <w:spacing w:before="120" w:after="120" w:line="360" w:lineRule="auto"/>
        <w:jc w:val="both"/>
        <w:rPr>
          <w:lang w:val="es-ES"/>
        </w:rPr>
      </w:pPr>
      <w:r w:rsidRPr="00767DBC">
        <w:rPr>
          <w:b/>
          <w:lang w:val="es-ES"/>
        </w:rPr>
        <w:t>Contribución por reducción de GLP en la Balanza comercial y en la reducción de déficit fiscal.</w:t>
      </w:r>
      <w:r w:rsidRPr="00767DBC">
        <w:rPr>
          <w:lang w:val="es-ES"/>
        </w:rPr>
        <w:t xml:space="preserve"> La reducción del consumo de GLP en el sector residencial resultaría en disminución neta de las importaciones por 5,4 millones BEP, equivalente a US$390 millones. El impacto fiscal neto equivale a US$502 millones en 2017.</w:t>
      </w:r>
    </w:p>
    <w:p w14:paraId="2B63D433" w14:textId="77777777" w:rsidR="0069056F" w:rsidRPr="00767DBC" w:rsidRDefault="0069056F" w:rsidP="0069056F">
      <w:pPr>
        <w:pStyle w:val="ListParagraph"/>
        <w:numPr>
          <w:ilvl w:val="1"/>
          <w:numId w:val="28"/>
        </w:numPr>
        <w:spacing w:before="120" w:after="120" w:line="360" w:lineRule="auto"/>
        <w:jc w:val="both"/>
        <w:rPr>
          <w:lang w:val="es-ES"/>
        </w:rPr>
      </w:pPr>
      <w:r w:rsidRPr="00767DBC">
        <w:rPr>
          <w:b/>
          <w:lang w:val="es-ES"/>
        </w:rPr>
        <w:t>Impacto del incremento tarifario</w:t>
      </w:r>
      <w:r>
        <w:rPr>
          <w:b/>
          <w:szCs w:val="20"/>
          <w:lang w:val="es-ES"/>
        </w:rPr>
        <w:t>.</w:t>
      </w:r>
      <w:r w:rsidRPr="00767DBC">
        <w:rPr>
          <w:lang w:val="es-ES"/>
        </w:rPr>
        <w:t xml:space="preserve"> El </w:t>
      </w:r>
      <w:proofErr w:type="spellStart"/>
      <w:r w:rsidRPr="00767DBC">
        <w:rPr>
          <w:lang w:val="es-ES"/>
        </w:rPr>
        <w:t>GdE</w:t>
      </w:r>
      <w:proofErr w:type="spellEnd"/>
      <w:r w:rsidRPr="00767DBC">
        <w:rPr>
          <w:lang w:val="es-ES"/>
        </w:rPr>
        <w:t xml:space="preserve"> anunció el incremento generalizado de la tarifa eléctrica en 2014, lo cual se espera genere ahorros fiscales netos de US$149 millones anuales hasta el 2018. Los ahorros serán superiores una vez que el subsidio temporal de transición que implicará el desplazamiento de GLP a electricidad expire. </w:t>
      </w:r>
    </w:p>
    <w:p w14:paraId="6A26A459" w14:textId="77777777" w:rsidR="0069056F" w:rsidRPr="00767DBC" w:rsidRDefault="0069056F" w:rsidP="0069056F">
      <w:pPr>
        <w:pStyle w:val="ListParagraph"/>
        <w:spacing w:before="120" w:after="120"/>
        <w:jc w:val="center"/>
        <w:rPr>
          <w:lang w:val="es-ES"/>
        </w:rPr>
      </w:pPr>
      <w:r w:rsidRPr="00767DBC">
        <w:rPr>
          <w:b/>
          <w:lang w:val="es-ES"/>
        </w:rPr>
        <w:t>Tabla 3. Contribución neta de la generación a la Balanza</w:t>
      </w:r>
    </w:p>
    <w:tbl>
      <w:tblPr>
        <w:tblStyle w:val="TableGrid"/>
        <w:tblW w:w="0" w:type="auto"/>
        <w:jc w:val="center"/>
        <w:tblLook w:val="04A0" w:firstRow="1" w:lastRow="0" w:firstColumn="1" w:lastColumn="0" w:noHBand="0" w:noVBand="1"/>
      </w:tblPr>
      <w:tblGrid>
        <w:gridCol w:w="1379"/>
        <w:gridCol w:w="1696"/>
        <w:gridCol w:w="1065"/>
        <w:gridCol w:w="1297"/>
        <w:gridCol w:w="1170"/>
        <w:gridCol w:w="1714"/>
      </w:tblGrid>
      <w:tr w:rsidR="0069056F" w:rsidRPr="00CF7759" w14:paraId="389D8625" w14:textId="77777777" w:rsidTr="00266D1B">
        <w:trPr>
          <w:trHeight w:val="1277"/>
          <w:jc w:val="center"/>
        </w:trPr>
        <w:tc>
          <w:tcPr>
            <w:tcW w:w="1379" w:type="dxa"/>
            <w:vAlign w:val="center"/>
          </w:tcPr>
          <w:p w14:paraId="677BDDDF" w14:textId="77777777" w:rsidR="0069056F" w:rsidRPr="00767DBC" w:rsidRDefault="0069056F" w:rsidP="00266D1B">
            <w:pPr>
              <w:spacing w:before="120" w:after="120"/>
              <w:jc w:val="center"/>
              <w:rPr>
                <w:b/>
                <w:sz w:val="18"/>
                <w:lang w:val="es-ES"/>
              </w:rPr>
            </w:pPr>
            <w:r w:rsidRPr="00767DBC">
              <w:rPr>
                <w:b/>
                <w:sz w:val="18"/>
                <w:lang w:val="es-ES"/>
              </w:rPr>
              <w:t>2017</w:t>
            </w:r>
          </w:p>
        </w:tc>
        <w:tc>
          <w:tcPr>
            <w:tcW w:w="1696" w:type="dxa"/>
          </w:tcPr>
          <w:p w14:paraId="15FB914D" w14:textId="77777777" w:rsidR="0069056F" w:rsidRPr="00767DBC" w:rsidRDefault="0069056F" w:rsidP="00266D1B">
            <w:pPr>
              <w:spacing w:before="120" w:after="120"/>
              <w:jc w:val="center"/>
              <w:rPr>
                <w:b/>
                <w:sz w:val="18"/>
                <w:lang w:val="es-ES"/>
              </w:rPr>
            </w:pPr>
            <w:r w:rsidRPr="00767DBC">
              <w:rPr>
                <w:b/>
                <w:sz w:val="18"/>
                <w:lang w:val="es-ES"/>
              </w:rPr>
              <w:t>Se deja de importar Miles BEP</w:t>
            </w:r>
          </w:p>
        </w:tc>
        <w:tc>
          <w:tcPr>
            <w:tcW w:w="1065" w:type="dxa"/>
          </w:tcPr>
          <w:p w14:paraId="6F01EFEA" w14:textId="77777777" w:rsidR="0069056F" w:rsidRPr="00767DBC" w:rsidRDefault="0069056F" w:rsidP="00266D1B">
            <w:pPr>
              <w:spacing w:before="120" w:after="120"/>
              <w:jc w:val="center"/>
              <w:rPr>
                <w:b/>
                <w:sz w:val="18"/>
                <w:lang w:val="es-ES"/>
              </w:rPr>
            </w:pPr>
            <w:r w:rsidRPr="00767DBC">
              <w:rPr>
                <w:b/>
                <w:sz w:val="18"/>
                <w:lang w:val="es-ES"/>
              </w:rPr>
              <w:t xml:space="preserve">Se </w:t>
            </w:r>
            <w:proofErr w:type="spellStart"/>
            <w:r w:rsidRPr="00767DBC">
              <w:rPr>
                <w:b/>
                <w:sz w:val="18"/>
                <w:lang w:val="es-ES"/>
              </w:rPr>
              <w:t>export</w:t>
            </w:r>
            <w:proofErr w:type="spellEnd"/>
            <w:r w:rsidRPr="00767DBC">
              <w:rPr>
                <w:b/>
                <w:sz w:val="18"/>
                <w:lang w:val="es-ES"/>
              </w:rPr>
              <w:t>.</w:t>
            </w:r>
          </w:p>
          <w:p w14:paraId="385DE602" w14:textId="77777777" w:rsidR="0069056F" w:rsidRPr="00767DBC" w:rsidRDefault="0069056F" w:rsidP="00266D1B">
            <w:pPr>
              <w:spacing w:before="120" w:after="120"/>
              <w:jc w:val="center"/>
              <w:rPr>
                <w:b/>
                <w:sz w:val="18"/>
                <w:lang w:val="es-ES"/>
              </w:rPr>
            </w:pPr>
            <w:r w:rsidRPr="00767DBC">
              <w:rPr>
                <w:b/>
                <w:sz w:val="18"/>
                <w:lang w:val="es-ES"/>
              </w:rPr>
              <w:t>Miles BEP</w:t>
            </w:r>
          </w:p>
        </w:tc>
        <w:tc>
          <w:tcPr>
            <w:tcW w:w="1297" w:type="dxa"/>
          </w:tcPr>
          <w:p w14:paraId="054DBA44" w14:textId="77777777" w:rsidR="0069056F" w:rsidRPr="00767DBC" w:rsidRDefault="0069056F" w:rsidP="00266D1B">
            <w:pPr>
              <w:spacing w:before="120" w:after="120"/>
              <w:jc w:val="center"/>
              <w:rPr>
                <w:b/>
                <w:sz w:val="18"/>
                <w:lang w:val="es-ES"/>
              </w:rPr>
            </w:pPr>
            <w:r w:rsidRPr="00767DBC">
              <w:rPr>
                <w:b/>
                <w:sz w:val="18"/>
                <w:lang w:val="es-ES"/>
              </w:rPr>
              <w:t xml:space="preserve">Se deja </w:t>
            </w:r>
            <w:proofErr w:type="spellStart"/>
            <w:r w:rsidRPr="00767DBC">
              <w:rPr>
                <w:b/>
                <w:sz w:val="18"/>
                <w:lang w:val="es-ES"/>
              </w:rPr>
              <w:t>import</w:t>
            </w:r>
            <w:proofErr w:type="spellEnd"/>
            <w:r w:rsidRPr="00767DBC">
              <w:rPr>
                <w:b/>
                <w:sz w:val="18"/>
                <w:lang w:val="es-ES"/>
              </w:rPr>
              <w:t>.</w:t>
            </w:r>
          </w:p>
          <w:p w14:paraId="11EF6686" w14:textId="77777777" w:rsidR="0069056F" w:rsidRPr="00767DBC" w:rsidRDefault="0069056F" w:rsidP="00266D1B">
            <w:pPr>
              <w:spacing w:before="120" w:after="120"/>
              <w:jc w:val="center"/>
              <w:rPr>
                <w:b/>
                <w:sz w:val="18"/>
                <w:lang w:val="es-ES"/>
              </w:rPr>
            </w:pPr>
            <w:r w:rsidRPr="00767DBC">
              <w:rPr>
                <w:b/>
                <w:sz w:val="18"/>
                <w:lang w:val="es-ES"/>
              </w:rPr>
              <w:t>US$/BEP</w:t>
            </w:r>
          </w:p>
        </w:tc>
        <w:tc>
          <w:tcPr>
            <w:tcW w:w="1170" w:type="dxa"/>
          </w:tcPr>
          <w:p w14:paraId="283CCF6A" w14:textId="77777777" w:rsidR="0069056F" w:rsidRPr="00767DBC" w:rsidRDefault="0069056F" w:rsidP="00266D1B">
            <w:pPr>
              <w:spacing w:before="120" w:after="120"/>
              <w:jc w:val="center"/>
              <w:rPr>
                <w:b/>
                <w:sz w:val="18"/>
                <w:lang w:val="es-ES"/>
              </w:rPr>
            </w:pPr>
            <w:r w:rsidRPr="00767DBC">
              <w:rPr>
                <w:b/>
                <w:sz w:val="18"/>
                <w:lang w:val="es-ES"/>
              </w:rPr>
              <w:t xml:space="preserve">Se </w:t>
            </w:r>
            <w:proofErr w:type="spellStart"/>
            <w:r w:rsidRPr="00767DBC">
              <w:rPr>
                <w:b/>
                <w:sz w:val="18"/>
                <w:lang w:val="es-ES"/>
              </w:rPr>
              <w:t>export</w:t>
            </w:r>
            <w:proofErr w:type="spellEnd"/>
          </w:p>
          <w:p w14:paraId="3FEDD9D8" w14:textId="77777777" w:rsidR="0069056F" w:rsidRPr="00767DBC" w:rsidRDefault="0069056F" w:rsidP="00266D1B">
            <w:pPr>
              <w:spacing w:before="120" w:after="120"/>
              <w:jc w:val="center"/>
              <w:rPr>
                <w:b/>
                <w:sz w:val="18"/>
                <w:lang w:val="es-ES"/>
              </w:rPr>
            </w:pPr>
            <w:r w:rsidRPr="00767DBC">
              <w:rPr>
                <w:b/>
                <w:sz w:val="18"/>
                <w:lang w:val="es-ES"/>
              </w:rPr>
              <w:t>Miles US$</w:t>
            </w:r>
          </w:p>
        </w:tc>
        <w:tc>
          <w:tcPr>
            <w:tcW w:w="1714" w:type="dxa"/>
          </w:tcPr>
          <w:p w14:paraId="22CB001F" w14:textId="77777777" w:rsidR="0069056F" w:rsidRPr="00767DBC" w:rsidRDefault="0069056F" w:rsidP="00266D1B">
            <w:pPr>
              <w:spacing w:before="120" w:after="120"/>
              <w:jc w:val="center"/>
              <w:rPr>
                <w:b/>
                <w:sz w:val="18"/>
                <w:lang w:val="es-ES"/>
              </w:rPr>
            </w:pPr>
            <w:r w:rsidRPr="00767DBC">
              <w:rPr>
                <w:b/>
                <w:sz w:val="18"/>
                <w:lang w:val="es-ES"/>
              </w:rPr>
              <w:t>Contribución neta Balanza</w:t>
            </w:r>
          </w:p>
          <w:p w14:paraId="60D07821" w14:textId="77777777" w:rsidR="0069056F" w:rsidRPr="00767DBC" w:rsidRDefault="0069056F" w:rsidP="00266D1B">
            <w:pPr>
              <w:spacing w:before="120" w:after="120"/>
              <w:jc w:val="center"/>
              <w:rPr>
                <w:b/>
                <w:sz w:val="18"/>
                <w:lang w:val="es-ES"/>
              </w:rPr>
            </w:pPr>
            <w:r w:rsidRPr="00767DBC">
              <w:rPr>
                <w:b/>
                <w:sz w:val="18"/>
                <w:lang w:val="es-ES"/>
              </w:rPr>
              <w:t>Miles US$</w:t>
            </w:r>
          </w:p>
        </w:tc>
      </w:tr>
      <w:tr w:rsidR="0069056F" w:rsidRPr="00B0737D" w14:paraId="38B32894" w14:textId="77777777" w:rsidTr="00266D1B">
        <w:trPr>
          <w:trHeight w:val="458"/>
          <w:jc w:val="center"/>
        </w:trPr>
        <w:tc>
          <w:tcPr>
            <w:tcW w:w="1379" w:type="dxa"/>
          </w:tcPr>
          <w:p w14:paraId="0E301276" w14:textId="77777777" w:rsidR="0069056F" w:rsidRPr="00767DBC" w:rsidRDefault="0069056F" w:rsidP="00266D1B">
            <w:pPr>
              <w:spacing w:before="120" w:after="120"/>
              <w:jc w:val="both"/>
              <w:rPr>
                <w:sz w:val="18"/>
                <w:lang w:val="es-ES"/>
              </w:rPr>
            </w:pPr>
            <w:r w:rsidRPr="00767DBC">
              <w:rPr>
                <w:sz w:val="18"/>
                <w:lang w:val="es-ES"/>
              </w:rPr>
              <w:t xml:space="preserve">Fuel </w:t>
            </w:r>
            <w:proofErr w:type="spellStart"/>
            <w:r w:rsidRPr="00767DBC">
              <w:rPr>
                <w:sz w:val="18"/>
                <w:lang w:val="es-ES"/>
              </w:rPr>
              <w:t>oil</w:t>
            </w:r>
            <w:proofErr w:type="spellEnd"/>
            <w:r w:rsidRPr="00767DBC">
              <w:rPr>
                <w:sz w:val="18"/>
                <w:lang w:val="es-ES"/>
              </w:rPr>
              <w:t xml:space="preserve"> 4</w:t>
            </w:r>
          </w:p>
        </w:tc>
        <w:tc>
          <w:tcPr>
            <w:tcW w:w="1696" w:type="dxa"/>
          </w:tcPr>
          <w:p w14:paraId="6540E440" w14:textId="77777777" w:rsidR="0069056F" w:rsidRPr="00767DBC" w:rsidRDefault="0069056F" w:rsidP="00266D1B">
            <w:pPr>
              <w:spacing w:before="120" w:after="120"/>
              <w:jc w:val="center"/>
              <w:rPr>
                <w:sz w:val="18"/>
                <w:lang w:val="es-ES"/>
              </w:rPr>
            </w:pPr>
            <w:r w:rsidRPr="00767DBC">
              <w:rPr>
                <w:sz w:val="18"/>
                <w:lang w:val="es-ES"/>
              </w:rPr>
              <w:t>3,139</w:t>
            </w:r>
          </w:p>
        </w:tc>
        <w:tc>
          <w:tcPr>
            <w:tcW w:w="1065" w:type="dxa"/>
          </w:tcPr>
          <w:p w14:paraId="05814B9D" w14:textId="77777777" w:rsidR="0069056F" w:rsidRPr="00767DBC" w:rsidRDefault="0069056F" w:rsidP="00266D1B">
            <w:pPr>
              <w:spacing w:before="120" w:after="120"/>
              <w:jc w:val="center"/>
              <w:rPr>
                <w:sz w:val="18"/>
                <w:lang w:val="es-ES"/>
              </w:rPr>
            </w:pPr>
            <w:r w:rsidRPr="00767DBC">
              <w:rPr>
                <w:sz w:val="18"/>
                <w:lang w:val="es-ES"/>
              </w:rPr>
              <w:t>4,590</w:t>
            </w:r>
          </w:p>
        </w:tc>
        <w:tc>
          <w:tcPr>
            <w:tcW w:w="1297" w:type="dxa"/>
          </w:tcPr>
          <w:p w14:paraId="4C3E69C7" w14:textId="77777777" w:rsidR="0069056F" w:rsidRPr="00767DBC" w:rsidRDefault="0069056F" w:rsidP="00266D1B">
            <w:pPr>
              <w:spacing w:before="120" w:after="120"/>
              <w:jc w:val="center"/>
              <w:rPr>
                <w:sz w:val="18"/>
                <w:lang w:val="es-ES"/>
              </w:rPr>
            </w:pPr>
            <w:r w:rsidRPr="00767DBC">
              <w:rPr>
                <w:sz w:val="18"/>
                <w:lang w:val="es-ES"/>
              </w:rPr>
              <w:t>375,769</w:t>
            </w:r>
          </w:p>
        </w:tc>
        <w:tc>
          <w:tcPr>
            <w:tcW w:w="1170" w:type="dxa"/>
          </w:tcPr>
          <w:p w14:paraId="116CC36C" w14:textId="77777777" w:rsidR="0069056F" w:rsidRPr="00767DBC" w:rsidRDefault="0069056F" w:rsidP="00266D1B">
            <w:pPr>
              <w:spacing w:before="120" w:after="120"/>
              <w:jc w:val="center"/>
              <w:rPr>
                <w:sz w:val="18"/>
                <w:lang w:val="es-ES"/>
              </w:rPr>
            </w:pPr>
            <w:r w:rsidRPr="00767DBC">
              <w:rPr>
                <w:sz w:val="18"/>
                <w:lang w:val="es-ES"/>
              </w:rPr>
              <w:t>549,469</w:t>
            </w:r>
          </w:p>
        </w:tc>
        <w:tc>
          <w:tcPr>
            <w:tcW w:w="1714" w:type="dxa"/>
          </w:tcPr>
          <w:p w14:paraId="1491CEB1" w14:textId="77777777" w:rsidR="0069056F" w:rsidRPr="00767DBC" w:rsidRDefault="0069056F" w:rsidP="00266D1B">
            <w:pPr>
              <w:spacing w:before="120" w:after="120"/>
              <w:jc w:val="center"/>
              <w:rPr>
                <w:sz w:val="18"/>
                <w:lang w:val="es-ES"/>
              </w:rPr>
            </w:pPr>
            <w:r w:rsidRPr="00767DBC">
              <w:rPr>
                <w:sz w:val="18"/>
                <w:lang w:val="es-ES"/>
              </w:rPr>
              <w:t>925,238</w:t>
            </w:r>
          </w:p>
        </w:tc>
      </w:tr>
      <w:tr w:rsidR="0069056F" w:rsidRPr="00B0737D" w14:paraId="12437748" w14:textId="77777777" w:rsidTr="00266D1B">
        <w:trPr>
          <w:trHeight w:val="458"/>
          <w:jc w:val="center"/>
        </w:trPr>
        <w:tc>
          <w:tcPr>
            <w:tcW w:w="1379" w:type="dxa"/>
          </w:tcPr>
          <w:p w14:paraId="4C288C28" w14:textId="77777777" w:rsidR="0069056F" w:rsidRPr="00767DBC" w:rsidRDefault="0069056F" w:rsidP="00266D1B">
            <w:pPr>
              <w:spacing w:before="120" w:after="120"/>
              <w:jc w:val="both"/>
              <w:rPr>
                <w:sz w:val="18"/>
                <w:lang w:val="es-ES"/>
              </w:rPr>
            </w:pPr>
            <w:r w:rsidRPr="00767DBC">
              <w:rPr>
                <w:sz w:val="18"/>
                <w:lang w:val="es-ES"/>
              </w:rPr>
              <w:lastRenderedPageBreak/>
              <w:t xml:space="preserve">Fuel </w:t>
            </w:r>
            <w:proofErr w:type="spellStart"/>
            <w:r w:rsidRPr="00767DBC">
              <w:rPr>
                <w:sz w:val="18"/>
                <w:lang w:val="es-ES"/>
              </w:rPr>
              <w:t>oil</w:t>
            </w:r>
            <w:proofErr w:type="spellEnd"/>
            <w:r w:rsidRPr="00767DBC">
              <w:rPr>
                <w:sz w:val="18"/>
                <w:lang w:val="es-ES"/>
              </w:rPr>
              <w:t xml:space="preserve"> 6</w:t>
            </w:r>
          </w:p>
        </w:tc>
        <w:tc>
          <w:tcPr>
            <w:tcW w:w="1696" w:type="dxa"/>
          </w:tcPr>
          <w:p w14:paraId="4A95C4EE" w14:textId="77777777" w:rsidR="0069056F" w:rsidRPr="00767DBC" w:rsidRDefault="0069056F" w:rsidP="00266D1B">
            <w:pPr>
              <w:spacing w:before="120" w:after="120"/>
              <w:jc w:val="center"/>
              <w:rPr>
                <w:sz w:val="18"/>
                <w:lang w:val="es-ES"/>
              </w:rPr>
            </w:pPr>
            <w:r w:rsidRPr="00767DBC">
              <w:rPr>
                <w:sz w:val="18"/>
                <w:lang w:val="es-ES"/>
              </w:rPr>
              <w:t>516</w:t>
            </w:r>
          </w:p>
        </w:tc>
        <w:tc>
          <w:tcPr>
            <w:tcW w:w="1065" w:type="dxa"/>
          </w:tcPr>
          <w:p w14:paraId="6EB0B59A" w14:textId="77777777" w:rsidR="0069056F" w:rsidRPr="00767DBC" w:rsidRDefault="0069056F" w:rsidP="00266D1B">
            <w:pPr>
              <w:spacing w:before="120" w:after="120"/>
              <w:jc w:val="center"/>
              <w:rPr>
                <w:sz w:val="18"/>
                <w:lang w:val="es-ES"/>
              </w:rPr>
            </w:pPr>
            <w:r w:rsidRPr="00767DBC">
              <w:rPr>
                <w:sz w:val="18"/>
                <w:lang w:val="es-ES"/>
              </w:rPr>
              <w:t>10,306</w:t>
            </w:r>
          </w:p>
        </w:tc>
        <w:tc>
          <w:tcPr>
            <w:tcW w:w="1297" w:type="dxa"/>
          </w:tcPr>
          <w:p w14:paraId="0C33B84E" w14:textId="77777777" w:rsidR="0069056F" w:rsidRPr="00767DBC" w:rsidRDefault="0069056F" w:rsidP="00266D1B">
            <w:pPr>
              <w:spacing w:before="120" w:after="120"/>
              <w:jc w:val="center"/>
              <w:rPr>
                <w:sz w:val="18"/>
                <w:lang w:val="es-ES"/>
              </w:rPr>
            </w:pPr>
            <w:r w:rsidRPr="00767DBC">
              <w:rPr>
                <w:sz w:val="18"/>
                <w:lang w:val="es-ES"/>
              </w:rPr>
              <w:t>47,544</w:t>
            </w:r>
          </w:p>
        </w:tc>
        <w:tc>
          <w:tcPr>
            <w:tcW w:w="1170" w:type="dxa"/>
          </w:tcPr>
          <w:p w14:paraId="37323645" w14:textId="77777777" w:rsidR="0069056F" w:rsidRPr="00767DBC" w:rsidRDefault="0069056F" w:rsidP="00266D1B">
            <w:pPr>
              <w:spacing w:before="120" w:after="120"/>
              <w:jc w:val="center"/>
              <w:rPr>
                <w:sz w:val="18"/>
                <w:lang w:val="es-ES"/>
              </w:rPr>
            </w:pPr>
            <w:r w:rsidRPr="00767DBC">
              <w:rPr>
                <w:sz w:val="18"/>
                <w:lang w:val="es-ES"/>
              </w:rPr>
              <w:t>949,595</w:t>
            </w:r>
          </w:p>
        </w:tc>
        <w:tc>
          <w:tcPr>
            <w:tcW w:w="1714" w:type="dxa"/>
          </w:tcPr>
          <w:p w14:paraId="1C58B5CF" w14:textId="77777777" w:rsidR="0069056F" w:rsidRPr="00767DBC" w:rsidRDefault="0069056F" w:rsidP="00266D1B">
            <w:pPr>
              <w:spacing w:before="120" w:after="120"/>
              <w:jc w:val="center"/>
              <w:rPr>
                <w:sz w:val="18"/>
                <w:lang w:val="es-ES"/>
              </w:rPr>
            </w:pPr>
            <w:r w:rsidRPr="00767DBC">
              <w:rPr>
                <w:sz w:val="18"/>
                <w:lang w:val="es-ES"/>
              </w:rPr>
              <w:t>997,139</w:t>
            </w:r>
          </w:p>
        </w:tc>
      </w:tr>
      <w:tr w:rsidR="0069056F" w:rsidRPr="00B0737D" w14:paraId="558FEE0F" w14:textId="77777777" w:rsidTr="00266D1B">
        <w:trPr>
          <w:trHeight w:val="458"/>
          <w:jc w:val="center"/>
        </w:trPr>
        <w:tc>
          <w:tcPr>
            <w:tcW w:w="1379" w:type="dxa"/>
          </w:tcPr>
          <w:p w14:paraId="4143B7A8" w14:textId="77777777" w:rsidR="0069056F" w:rsidRPr="00767DBC" w:rsidRDefault="0069056F" w:rsidP="00266D1B">
            <w:pPr>
              <w:spacing w:before="120" w:after="120"/>
              <w:jc w:val="both"/>
              <w:rPr>
                <w:sz w:val="18"/>
                <w:lang w:val="es-ES"/>
              </w:rPr>
            </w:pPr>
            <w:r w:rsidRPr="00767DBC">
              <w:rPr>
                <w:sz w:val="18"/>
                <w:lang w:val="es-ES"/>
              </w:rPr>
              <w:t xml:space="preserve">Diésel </w:t>
            </w:r>
          </w:p>
        </w:tc>
        <w:tc>
          <w:tcPr>
            <w:tcW w:w="1696" w:type="dxa"/>
          </w:tcPr>
          <w:p w14:paraId="5DE99234" w14:textId="77777777" w:rsidR="0069056F" w:rsidRPr="00767DBC" w:rsidRDefault="0069056F" w:rsidP="00266D1B">
            <w:pPr>
              <w:spacing w:before="120" w:after="120"/>
              <w:jc w:val="center"/>
              <w:rPr>
                <w:sz w:val="18"/>
                <w:lang w:val="es-ES"/>
              </w:rPr>
            </w:pPr>
            <w:r w:rsidRPr="00767DBC">
              <w:rPr>
                <w:sz w:val="18"/>
                <w:lang w:val="es-ES"/>
              </w:rPr>
              <w:t>4,835</w:t>
            </w:r>
          </w:p>
        </w:tc>
        <w:tc>
          <w:tcPr>
            <w:tcW w:w="1065" w:type="dxa"/>
          </w:tcPr>
          <w:p w14:paraId="649ABD7D" w14:textId="77777777" w:rsidR="0069056F" w:rsidRPr="00767DBC" w:rsidRDefault="0069056F" w:rsidP="00266D1B">
            <w:pPr>
              <w:spacing w:before="120" w:after="120"/>
              <w:jc w:val="center"/>
              <w:rPr>
                <w:sz w:val="18"/>
                <w:lang w:val="es-ES"/>
              </w:rPr>
            </w:pPr>
          </w:p>
        </w:tc>
        <w:tc>
          <w:tcPr>
            <w:tcW w:w="1297" w:type="dxa"/>
          </w:tcPr>
          <w:p w14:paraId="1F645421" w14:textId="77777777" w:rsidR="0069056F" w:rsidRPr="00767DBC" w:rsidRDefault="0069056F" w:rsidP="00266D1B">
            <w:pPr>
              <w:spacing w:before="120" w:after="120"/>
              <w:jc w:val="center"/>
              <w:rPr>
                <w:sz w:val="18"/>
                <w:lang w:val="es-ES"/>
              </w:rPr>
            </w:pPr>
            <w:r w:rsidRPr="00767DBC">
              <w:rPr>
                <w:sz w:val="18"/>
                <w:lang w:val="es-ES"/>
              </w:rPr>
              <w:t>620,572</w:t>
            </w:r>
          </w:p>
        </w:tc>
        <w:tc>
          <w:tcPr>
            <w:tcW w:w="1170" w:type="dxa"/>
          </w:tcPr>
          <w:p w14:paraId="66FC4928" w14:textId="77777777" w:rsidR="0069056F" w:rsidRPr="00767DBC" w:rsidRDefault="0069056F" w:rsidP="00266D1B">
            <w:pPr>
              <w:spacing w:before="120" w:after="120"/>
              <w:jc w:val="center"/>
              <w:rPr>
                <w:sz w:val="18"/>
                <w:lang w:val="es-ES"/>
              </w:rPr>
            </w:pPr>
          </w:p>
        </w:tc>
        <w:tc>
          <w:tcPr>
            <w:tcW w:w="1714" w:type="dxa"/>
          </w:tcPr>
          <w:p w14:paraId="778F7532" w14:textId="77777777" w:rsidR="0069056F" w:rsidRPr="00767DBC" w:rsidRDefault="0069056F" w:rsidP="00266D1B">
            <w:pPr>
              <w:spacing w:before="120" w:after="120"/>
              <w:jc w:val="center"/>
              <w:rPr>
                <w:sz w:val="18"/>
                <w:lang w:val="es-ES"/>
              </w:rPr>
            </w:pPr>
            <w:r w:rsidRPr="00767DBC">
              <w:rPr>
                <w:sz w:val="18"/>
                <w:lang w:val="es-ES"/>
              </w:rPr>
              <w:t>520,572</w:t>
            </w:r>
          </w:p>
        </w:tc>
      </w:tr>
      <w:tr w:rsidR="0069056F" w:rsidRPr="00B0737D" w14:paraId="506918E1" w14:textId="77777777" w:rsidTr="00266D1B">
        <w:trPr>
          <w:trHeight w:val="475"/>
          <w:jc w:val="center"/>
        </w:trPr>
        <w:tc>
          <w:tcPr>
            <w:tcW w:w="1379" w:type="dxa"/>
          </w:tcPr>
          <w:p w14:paraId="0DAC88B3" w14:textId="77777777" w:rsidR="0069056F" w:rsidRPr="00767DBC" w:rsidRDefault="0069056F" w:rsidP="00266D1B">
            <w:pPr>
              <w:spacing w:before="120" w:after="120"/>
              <w:jc w:val="both"/>
              <w:rPr>
                <w:sz w:val="18"/>
                <w:lang w:val="es-ES"/>
              </w:rPr>
            </w:pPr>
            <w:r w:rsidRPr="00767DBC">
              <w:rPr>
                <w:sz w:val="18"/>
                <w:lang w:val="es-ES"/>
              </w:rPr>
              <w:t>Nafta</w:t>
            </w:r>
          </w:p>
        </w:tc>
        <w:tc>
          <w:tcPr>
            <w:tcW w:w="1696" w:type="dxa"/>
          </w:tcPr>
          <w:p w14:paraId="2F04E6F0" w14:textId="77777777" w:rsidR="0069056F" w:rsidRPr="00767DBC" w:rsidRDefault="0069056F" w:rsidP="00266D1B">
            <w:pPr>
              <w:spacing w:before="120" w:after="120"/>
              <w:jc w:val="center"/>
              <w:rPr>
                <w:sz w:val="18"/>
                <w:lang w:val="es-ES"/>
              </w:rPr>
            </w:pPr>
            <w:r w:rsidRPr="00767DBC">
              <w:rPr>
                <w:sz w:val="18"/>
                <w:lang w:val="es-ES"/>
              </w:rPr>
              <w:t>152</w:t>
            </w:r>
          </w:p>
        </w:tc>
        <w:tc>
          <w:tcPr>
            <w:tcW w:w="1065" w:type="dxa"/>
          </w:tcPr>
          <w:p w14:paraId="6A1C4998" w14:textId="77777777" w:rsidR="0069056F" w:rsidRPr="00767DBC" w:rsidRDefault="0069056F" w:rsidP="00266D1B">
            <w:pPr>
              <w:spacing w:before="120" w:after="120"/>
              <w:jc w:val="center"/>
              <w:rPr>
                <w:sz w:val="18"/>
                <w:lang w:val="es-ES"/>
              </w:rPr>
            </w:pPr>
          </w:p>
        </w:tc>
        <w:tc>
          <w:tcPr>
            <w:tcW w:w="1297" w:type="dxa"/>
          </w:tcPr>
          <w:p w14:paraId="5A404633" w14:textId="77777777" w:rsidR="0069056F" w:rsidRPr="00767DBC" w:rsidRDefault="0069056F" w:rsidP="00266D1B">
            <w:pPr>
              <w:spacing w:before="120" w:after="120"/>
              <w:jc w:val="center"/>
              <w:rPr>
                <w:sz w:val="18"/>
                <w:lang w:val="es-ES"/>
              </w:rPr>
            </w:pPr>
            <w:r w:rsidRPr="00767DBC">
              <w:rPr>
                <w:sz w:val="18"/>
                <w:lang w:val="es-ES"/>
              </w:rPr>
              <w:t>14,342</w:t>
            </w:r>
          </w:p>
        </w:tc>
        <w:tc>
          <w:tcPr>
            <w:tcW w:w="1170" w:type="dxa"/>
          </w:tcPr>
          <w:p w14:paraId="6ED207A3" w14:textId="77777777" w:rsidR="0069056F" w:rsidRPr="00767DBC" w:rsidRDefault="0069056F" w:rsidP="00266D1B">
            <w:pPr>
              <w:spacing w:before="120" w:after="120"/>
              <w:jc w:val="center"/>
              <w:rPr>
                <w:sz w:val="18"/>
                <w:lang w:val="es-ES"/>
              </w:rPr>
            </w:pPr>
          </w:p>
        </w:tc>
        <w:tc>
          <w:tcPr>
            <w:tcW w:w="1714" w:type="dxa"/>
          </w:tcPr>
          <w:p w14:paraId="0A7BF4C0" w14:textId="77777777" w:rsidR="0069056F" w:rsidRPr="00767DBC" w:rsidRDefault="0069056F" w:rsidP="00266D1B">
            <w:pPr>
              <w:spacing w:before="120" w:after="120"/>
              <w:jc w:val="center"/>
              <w:rPr>
                <w:sz w:val="18"/>
                <w:lang w:val="es-ES"/>
              </w:rPr>
            </w:pPr>
            <w:r w:rsidRPr="00767DBC">
              <w:rPr>
                <w:sz w:val="18"/>
                <w:lang w:val="es-ES"/>
              </w:rPr>
              <w:t>14,342</w:t>
            </w:r>
          </w:p>
        </w:tc>
      </w:tr>
      <w:tr w:rsidR="0069056F" w:rsidRPr="00B0737D" w14:paraId="4EA822FE" w14:textId="77777777" w:rsidTr="00266D1B">
        <w:trPr>
          <w:trHeight w:val="458"/>
          <w:jc w:val="center"/>
        </w:trPr>
        <w:tc>
          <w:tcPr>
            <w:tcW w:w="1379" w:type="dxa"/>
          </w:tcPr>
          <w:p w14:paraId="6AEC533E" w14:textId="77777777" w:rsidR="0069056F" w:rsidRPr="00767DBC" w:rsidRDefault="0069056F" w:rsidP="00266D1B">
            <w:pPr>
              <w:spacing w:before="120" w:after="120"/>
              <w:jc w:val="both"/>
              <w:rPr>
                <w:b/>
                <w:sz w:val="18"/>
                <w:lang w:val="es-ES"/>
              </w:rPr>
            </w:pPr>
            <w:r w:rsidRPr="00767DBC">
              <w:rPr>
                <w:b/>
                <w:sz w:val="18"/>
                <w:lang w:val="es-ES"/>
              </w:rPr>
              <w:t>TOTAL</w:t>
            </w:r>
          </w:p>
        </w:tc>
        <w:tc>
          <w:tcPr>
            <w:tcW w:w="1696" w:type="dxa"/>
          </w:tcPr>
          <w:p w14:paraId="074253C2" w14:textId="77777777" w:rsidR="0069056F" w:rsidRPr="00767DBC" w:rsidRDefault="0069056F" w:rsidP="00266D1B">
            <w:pPr>
              <w:spacing w:before="120" w:after="120"/>
              <w:jc w:val="center"/>
              <w:rPr>
                <w:b/>
                <w:sz w:val="18"/>
                <w:lang w:val="es-ES"/>
              </w:rPr>
            </w:pPr>
            <w:r w:rsidRPr="00767DBC">
              <w:rPr>
                <w:b/>
                <w:sz w:val="18"/>
                <w:lang w:val="es-ES"/>
              </w:rPr>
              <w:t>8,088</w:t>
            </w:r>
          </w:p>
        </w:tc>
        <w:tc>
          <w:tcPr>
            <w:tcW w:w="1065" w:type="dxa"/>
          </w:tcPr>
          <w:p w14:paraId="1693F20D" w14:textId="77777777" w:rsidR="0069056F" w:rsidRPr="00767DBC" w:rsidRDefault="0069056F" w:rsidP="00266D1B">
            <w:pPr>
              <w:spacing w:before="120" w:after="120"/>
              <w:jc w:val="center"/>
              <w:rPr>
                <w:b/>
                <w:sz w:val="18"/>
                <w:lang w:val="es-ES"/>
              </w:rPr>
            </w:pPr>
            <w:r w:rsidRPr="00767DBC">
              <w:rPr>
                <w:b/>
                <w:sz w:val="18"/>
                <w:lang w:val="es-ES"/>
              </w:rPr>
              <w:t>14,896</w:t>
            </w:r>
          </w:p>
        </w:tc>
        <w:tc>
          <w:tcPr>
            <w:tcW w:w="1297" w:type="dxa"/>
          </w:tcPr>
          <w:p w14:paraId="44B99585" w14:textId="77777777" w:rsidR="0069056F" w:rsidRPr="00767DBC" w:rsidRDefault="0069056F" w:rsidP="00266D1B">
            <w:pPr>
              <w:spacing w:before="120" w:after="120"/>
              <w:jc w:val="center"/>
              <w:rPr>
                <w:b/>
                <w:sz w:val="18"/>
                <w:lang w:val="es-ES"/>
              </w:rPr>
            </w:pPr>
            <w:r w:rsidRPr="00767DBC">
              <w:rPr>
                <w:b/>
                <w:sz w:val="18"/>
                <w:lang w:val="es-ES"/>
              </w:rPr>
              <w:t>1,043,591</w:t>
            </w:r>
          </w:p>
        </w:tc>
        <w:tc>
          <w:tcPr>
            <w:tcW w:w="1170" w:type="dxa"/>
          </w:tcPr>
          <w:p w14:paraId="1EA9DD05" w14:textId="77777777" w:rsidR="0069056F" w:rsidRPr="00767DBC" w:rsidRDefault="0069056F" w:rsidP="00266D1B">
            <w:pPr>
              <w:spacing w:before="120" w:after="120"/>
              <w:jc w:val="center"/>
              <w:rPr>
                <w:b/>
                <w:sz w:val="18"/>
                <w:lang w:val="es-ES"/>
              </w:rPr>
            </w:pPr>
            <w:r w:rsidRPr="00767DBC">
              <w:rPr>
                <w:b/>
                <w:sz w:val="18"/>
                <w:lang w:val="es-ES"/>
              </w:rPr>
              <w:t>1,499,064</w:t>
            </w:r>
          </w:p>
        </w:tc>
        <w:tc>
          <w:tcPr>
            <w:tcW w:w="1714" w:type="dxa"/>
          </w:tcPr>
          <w:p w14:paraId="7590CA27" w14:textId="77777777" w:rsidR="0069056F" w:rsidRPr="00767DBC" w:rsidRDefault="0069056F" w:rsidP="00266D1B">
            <w:pPr>
              <w:spacing w:before="120" w:after="120"/>
              <w:jc w:val="center"/>
              <w:rPr>
                <w:b/>
                <w:sz w:val="18"/>
                <w:lang w:val="es-ES"/>
              </w:rPr>
            </w:pPr>
            <w:r w:rsidRPr="00767DBC">
              <w:rPr>
                <w:b/>
                <w:sz w:val="18"/>
                <w:lang w:val="es-ES"/>
              </w:rPr>
              <w:t>2,542,655</w:t>
            </w:r>
          </w:p>
        </w:tc>
      </w:tr>
      <w:tr w:rsidR="0069056F" w:rsidRPr="00B0737D" w14:paraId="1E3A4859" w14:textId="77777777" w:rsidTr="00266D1B">
        <w:trPr>
          <w:trHeight w:val="458"/>
          <w:jc w:val="center"/>
        </w:trPr>
        <w:tc>
          <w:tcPr>
            <w:tcW w:w="1379" w:type="dxa"/>
          </w:tcPr>
          <w:p w14:paraId="2353489C" w14:textId="77777777" w:rsidR="0069056F" w:rsidRPr="00767DBC" w:rsidRDefault="0069056F" w:rsidP="00266D1B">
            <w:pPr>
              <w:spacing w:before="120" w:after="120"/>
              <w:jc w:val="both"/>
              <w:rPr>
                <w:sz w:val="18"/>
                <w:lang w:val="es-ES"/>
              </w:rPr>
            </w:pPr>
            <w:r w:rsidRPr="00767DBC">
              <w:rPr>
                <w:sz w:val="18"/>
                <w:lang w:val="es-ES"/>
              </w:rPr>
              <w:t>GLP</w:t>
            </w:r>
          </w:p>
        </w:tc>
        <w:tc>
          <w:tcPr>
            <w:tcW w:w="1696" w:type="dxa"/>
          </w:tcPr>
          <w:p w14:paraId="4D155672" w14:textId="77777777" w:rsidR="0069056F" w:rsidRPr="00767DBC" w:rsidRDefault="0069056F" w:rsidP="00266D1B">
            <w:pPr>
              <w:spacing w:before="120" w:after="120"/>
              <w:jc w:val="center"/>
              <w:rPr>
                <w:sz w:val="18"/>
                <w:lang w:val="es-ES"/>
              </w:rPr>
            </w:pPr>
            <w:r w:rsidRPr="00767DBC">
              <w:rPr>
                <w:sz w:val="18"/>
                <w:lang w:val="es-ES"/>
              </w:rPr>
              <w:t>5,473</w:t>
            </w:r>
          </w:p>
        </w:tc>
        <w:tc>
          <w:tcPr>
            <w:tcW w:w="1065" w:type="dxa"/>
          </w:tcPr>
          <w:p w14:paraId="46A24215" w14:textId="77777777" w:rsidR="0069056F" w:rsidRPr="00767DBC" w:rsidRDefault="0069056F" w:rsidP="00266D1B">
            <w:pPr>
              <w:spacing w:before="120" w:after="120"/>
              <w:jc w:val="center"/>
              <w:rPr>
                <w:sz w:val="18"/>
                <w:lang w:val="es-ES"/>
              </w:rPr>
            </w:pPr>
          </w:p>
        </w:tc>
        <w:tc>
          <w:tcPr>
            <w:tcW w:w="1297" w:type="dxa"/>
          </w:tcPr>
          <w:p w14:paraId="59CE0455" w14:textId="77777777" w:rsidR="0069056F" w:rsidRPr="00767DBC" w:rsidRDefault="0069056F" w:rsidP="00266D1B">
            <w:pPr>
              <w:spacing w:before="120" w:after="120"/>
              <w:jc w:val="center"/>
              <w:rPr>
                <w:sz w:val="18"/>
                <w:lang w:val="es-ES"/>
              </w:rPr>
            </w:pPr>
            <w:r w:rsidRPr="00767DBC">
              <w:rPr>
                <w:sz w:val="18"/>
                <w:lang w:val="es-ES"/>
              </w:rPr>
              <w:t>389,787</w:t>
            </w:r>
          </w:p>
        </w:tc>
        <w:tc>
          <w:tcPr>
            <w:tcW w:w="1170" w:type="dxa"/>
          </w:tcPr>
          <w:p w14:paraId="4F890F83" w14:textId="77777777" w:rsidR="0069056F" w:rsidRPr="00767DBC" w:rsidRDefault="0069056F" w:rsidP="00266D1B">
            <w:pPr>
              <w:spacing w:before="120" w:after="120"/>
              <w:jc w:val="center"/>
              <w:rPr>
                <w:sz w:val="18"/>
                <w:lang w:val="es-ES"/>
              </w:rPr>
            </w:pPr>
          </w:p>
        </w:tc>
        <w:tc>
          <w:tcPr>
            <w:tcW w:w="1714" w:type="dxa"/>
          </w:tcPr>
          <w:p w14:paraId="5824FE3D" w14:textId="77777777" w:rsidR="0069056F" w:rsidRPr="00767DBC" w:rsidRDefault="0069056F" w:rsidP="00266D1B">
            <w:pPr>
              <w:spacing w:before="120" w:after="120"/>
              <w:jc w:val="center"/>
              <w:rPr>
                <w:sz w:val="18"/>
                <w:lang w:val="es-ES"/>
              </w:rPr>
            </w:pPr>
            <w:r w:rsidRPr="00767DBC">
              <w:rPr>
                <w:sz w:val="18"/>
                <w:lang w:val="es-ES"/>
              </w:rPr>
              <w:t>389,787</w:t>
            </w:r>
          </w:p>
        </w:tc>
      </w:tr>
      <w:tr w:rsidR="0069056F" w:rsidRPr="00B0737D" w14:paraId="5140EEF2" w14:textId="77777777" w:rsidTr="00266D1B">
        <w:trPr>
          <w:trHeight w:val="933"/>
          <w:jc w:val="center"/>
        </w:trPr>
        <w:tc>
          <w:tcPr>
            <w:tcW w:w="1379" w:type="dxa"/>
          </w:tcPr>
          <w:p w14:paraId="3CF63E2C" w14:textId="77777777" w:rsidR="0069056F" w:rsidRPr="00767DBC" w:rsidRDefault="0069056F" w:rsidP="00266D1B">
            <w:pPr>
              <w:spacing w:before="120" w:after="120"/>
              <w:jc w:val="both"/>
              <w:rPr>
                <w:sz w:val="18"/>
                <w:lang w:val="es-ES"/>
              </w:rPr>
            </w:pPr>
            <w:r w:rsidRPr="00767DBC">
              <w:rPr>
                <w:sz w:val="18"/>
                <w:lang w:val="es-ES"/>
              </w:rPr>
              <w:t xml:space="preserve">Gen. Diésel </w:t>
            </w:r>
            <w:proofErr w:type="spellStart"/>
            <w:r w:rsidRPr="00767DBC">
              <w:rPr>
                <w:sz w:val="18"/>
                <w:lang w:val="es-ES"/>
              </w:rPr>
              <w:t>Hidrocarb</w:t>
            </w:r>
            <w:proofErr w:type="spellEnd"/>
            <w:r w:rsidRPr="00767DBC">
              <w:rPr>
                <w:sz w:val="18"/>
                <w:lang w:val="es-ES"/>
              </w:rPr>
              <w:t>.</w:t>
            </w:r>
          </w:p>
        </w:tc>
        <w:tc>
          <w:tcPr>
            <w:tcW w:w="1696" w:type="dxa"/>
          </w:tcPr>
          <w:p w14:paraId="4DBBEE88" w14:textId="77777777" w:rsidR="0069056F" w:rsidRPr="00767DBC" w:rsidRDefault="0069056F" w:rsidP="00266D1B">
            <w:pPr>
              <w:spacing w:before="120" w:after="120"/>
              <w:jc w:val="center"/>
              <w:rPr>
                <w:sz w:val="18"/>
                <w:lang w:val="es-ES"/>
              </w:rPr>
            </w:pPr>
            <w:r w:rsidRPr="00767DBC">
              <w:rPr>
                <w:sz w:val="18"/>
                <w:lang w:val="es-ES"/>
              </w:rPr>
              <w:t>3,099</w:t>
            </w:r>
          </w:p>
        </w:tc>
        <w:tc>
          <w:tcPr>
            <w:tcW w:w="1065" w:type="dxa"/>
          </w:tcPr>
          <w:p w14:paraId="3DBABB5C" w14:textId="77777777" w:rsidR="0069056F" w:rsidRPr="00767DBC" w:rsidRDefault="0069056F" w:rsidP="00266D1B">
            <w:pPr>
              <w:spacing w:before="120" w:after="120"/>
              <w:jc w:val="center"/>
              <w:rPr>
                <w:sz w:val="18"/>
                <w:lang w:val="es-ES"/>
              </w:rPr>
            </w:pPr>
            <w:r w:rsidRPr="00767DBC">
              <w:rPr>
                <w:sz w:val="18"/>
                <w:lang w:val="es-ES"/>
              </w:rPr>
              <w:t>0,0</w:t>
            </w:r>
          </w:p>
        </w:tc>
        <w:tc>
          <w:tcPr>
            <w:tcW w:w="1297" w:type="dxa"/>
          </w:tcPr>
          <w:p w14:paraId="3FB29E1A" w14:textId="77777777" w:rsidR="0069056F" w:rsidRPr="00767DBC" w:rsidRDefault="0069056F" w:rsidP="00266D1B">
            <w:pPr>
              <w:spacing w:before="120" w:after="120"/>
              <w:jc w:val="center"/>
              <w:rPr>
                <w:sz w:val="18"/>
                <w:lang w:val="es-ES"/>
              </w:rPr>
            </w:pPr>
            <w:r w:rsidRPr="00767DBC">
              <w:rPr>
                <w:sz w:val="18"/>
                <w:lang w:val="es-ES"/>
              </w:rPr>
              <w:t>397,756</w:t>
            </w:r>
          </w:p>
        </w:tc>
        <w:tc>
          <w:tcPr>
            <w:tcW w:w="1170" w:type="dxa"/>
          </w:tcPr>
          <w:p w14:paraId="42681194" w14:textId="77777777" w:rsidR="0069056F" w:rsidRPr="00767DBC" w:rsidRDefault="0069056F" w:rsidP="00266D1B">
            <w:pPr>
              <w:spacing w:before="120" w:after="120"/>
              <w:jc w:val="center"/>
              <w:rPr>
                <w:sz w:val="18"/>
                <w:lang w:val="es-ES"/>
              </w:rPr>
            </w:pPr>
            <w:r w:rsidRPr="00767DBC">
              <w:rPr>
                <w:sz w:val="18"/>
                <w:lang w:val="es-ES"/>
              </w:rPr>
              <w:t>0,0</w:t>
            </w:r>
          </w:p>
        </w:tc>
        <w:tc>
          <w:tcPr>
            <w:tcW w:w="1714" w:type="dxa"/>
          </w:tcPr>
          <w:p w14:paraId="2D773535" w14:textId="77777777" w:rsidR="0069056F" w:rsidRPr="00767DBC" w:rsidRDefault="0069056F" w:rsidP="00266D1B">
            <w:pPr>
              <w:spacing w:before="120" w:after="120"/>
              <w:jc w:val="center"/>
              <w:rPr>
                <w:sz w:val="18"/>
                <w:lang w:val="es-ES"/>
              </w:rPr>
            </w:pPr>
            <w:r w:rsidRPr="00767DBC">
              <w:rPr>
                <w:sz w:val="18"/>
                <w:lang w:val="es-ES"/>
              </w:rPr>
              <w:t>397,756</w:t>
            </w:r>
          </w:p>
        </w:tc>
      </w:tr>
    </w:tbl>
    <w:p w14:paraId="431B98B3" w14:textId="77777777" w:rsidR="0069056F" w:rsidRPr="00767DBC" w:rsidRDefault="0069056F" w:rsidP="0069056F">
      <w:pPr>
        <w:spacing w:before="120" w:after="120"/>
        <w:jc w:val="center"/>
        <w:rPr>
          <w:b/>
          <w:lang w:val="es-ES"/>
        </w:rPr>
      </w:pPr>
      <w:r w:rsidRPr="00767DBC">
        <w:rPr>
          <w:b/>
          <w:lang w:val="es-ES"/>
        </w:rPr>
        <w:t>Tabla 4. Contribución neta de la generación a reducción subsidio</w:t>
      </w:r>
    </w:p>
    <w:tbl>
      <w:tblPr>
        <w:tblStyle w:val="TableGrid"/>
        <w:tblW w:w="0" w:type="auto"/>
        <w:jc w:val="center"/>
        <w:tblLook w:val="04A0" w:firstRow="1" w:lastRow="0" w:firstColumn="1" w:lastColumn="0" w:noHBand="0" w:noVBand="1"/>
      </w:tblPr>
      <w:tblGrid>
        <w:gridCol w:w="1271"/>
        <w:gridCol w:w="1590"/>
        <w:gridCol w:w="1287"/>
        <w:gridCol w:w="1866"/>
      </w:tblGrid>
      <w:tr w:rsidR="0069056F" w:rsidRPr="00CF7759" w14:paraId="6C2FD049" w14:textId="77777777" w:rsidTr="00266D1B">
        <w:trPr>
          <w:trHeight w:val="1011"/>
          <w:jc w:val="center"/>
        </w:trPr>
        <w:tc>
          <w:tcPr>
            <w:tcW w:w="1271" w:type="dxa"/>
            <w:vAlign w:val="center"/>
          </w:tcPr>
          <w:p w14:paraId="14BDDC41" w14:textId="77777777" w:rsidR="0069056F" w:rsidRPr="00767DBC" w:rsidRDefault="0069056F" w:rsidP="00266D1B">
            <w:pPr>
              <w:spacing w:before="120" w:after="120"/>
              <w:jc w:val="center"/>
              <w:rPr>
                <w:b/>
                <w:sz w:val="18"/>
                <w:lang w:val="es-ES"/>
              </w:rPr>
            </w:pPr>
            <w:r w:rsidRPr="00767DBC">
              <w:rPr>
                <w:b/>
                <w:sz w:val="18"/>
                <w:lang w:val="es-ES"/>
              </w:rPr>
              <w:t>2017</w:t>
            </w:r>
          </w:p>
        </w:tc>
        <w:tc>
          <w:tcPr>
            <w:tcW w:w="1590" w:type="dxa"/>
          </w:tcPr>
          <w:p w14:paraId="52B75931" w14:textId="77777777" w:rsidR="0069056F" w:rsidRPr="00767DBC" w:rsidRDefault="0069056F" w:rsidP="00266D1B">
            <w:pPr>
              <w:spacing w:before="120" w:after="120"/>
              <w:jc w:val="center"/>
              <w:rPr>
                <w:b/>
                <w:sz w:val="18"/>
                <w:lang w:val="es-ES"/>
              </w:rPr>
            </w:pPr>
            <w:r w:rsidRPr="00767DBC">
              <w:rPr>
                <w:b/>
                <w:sz w:val="18"/>
                <w:lang w:val="es-ES"/>
              </w:rPr>
              <w:t>Subsidio 1-C/Proyecto</w:t>
            </w:r>
          </w:p>
        </w:tc>
        <w:tc>
          <w:tcPr>
            <w:tcW w:w="1287" w:type="dxa"/>
          </w:tcPr>
          <w:p w14:paraId="5EE593C0" w14:textId="77777777" w:rsidR="0069056F" w:rsidRPr="00767DBC" w:rsidRDefault="0069056F" w:rsidP="00266D1B">
            <w:pPr>
              <w:spacing w:before="120" w:after="120"/>
              <w:jc w:val="center"/>
              <w:rPr>
                <w:b/>
                <w:sz w:val="18"/>
                <w:lang w:val="es-ES"/>
              </w:rPr>
            </w:pPr>
            <w:r w:rsidRPr="00767DBC">
              <w:rPr>
                <w:b/>
                <w:sz w:val="18"/>
                <w:lang w:val="es-ES"/>
              </w:rPr>
              <w:t>Subsidio 2-S/Proyecto</w:t>
            </w:r>
          </w:p>
        </w:tc>
        <w:tc>
          <w:tcPr>
            <w:tcW w:w="1866" w:type="dxa"/>
          </w:tcPr>
          <w:p w14:paraId="28621C9F" w14:textId="77777777" w:rsidR="0069056F" w:rsidRPr="00767DBC" w:rsidRDefault="0069056F" w:rsidP="00266D1B">
            <w:pPr>
              <w:spacing w:before="120" w:after="120"/>
              <w:jc w:val="center"/>
              <w:rPr>
                <w:b/>
                <w:sz w:val="18"/>
                <w:lang w:val="es-ES"/>
              </w:rPr>
            </w:pPr>
            <w:r w:rsidRPr="00767DBC">
              <w:rPr>
                <w:b/>
                <w:sz w:val="18"/>
                <w:lang w:val="es-ES"/>
              </w:rPr>
              <w:t>Contribución neta subsidio</w:t>
            </w:r>
          </w:p>
          <w:p w14:paraId="56F0BA81" w14:textId="77777777" w:rsidR="0069056F" w:rsidRPr="00767DBC" w:rsidRDefault="0069056F" w:rsidP="00266D1B">
            <w:pPr>
              <w:spacing w:before="120" w:after="120"/>
              <w:jc w:val="center"/>
              <w:rPr>
                <w:b/>
                <w:sz w:val="18"/>
                <w:lang w:val="es-ES"/>
              </w:rPr>
            </w:pPr>
            <w:r w:rsidRPr="00767DBC">
              <w:rPr>
                <w:b/>
                <w:sz w:val="18"/>
                <w:lang w:val="es-ES"/>
              </w:rPr>
              <w:t>Miles US$</w:t>
            </w:r>
          </w:p>
        </w:tc>
      </w:tr>
      <w:tr w:rsidR="0069056F" w:rsidRPr="00B0737D" w14:paraId="1A3E9445" w14:textId="77777777" w:rsidTr="00266D1B">
        <w:trPr>
          <w:trHeight w:val="442"/>
          <w:jc w:val="center"/>
        </w:trPr>
        <w:tc>
          <w:tcPr>
            <w:tcW w:w="1271" w:type="dxa"/>
          </w:tcPr>
          <w:p w14:paraId="0156702B" w14:textId="77777777" w:rsidR="0069056F" w:rsidRPr="00767DBC" w:rsidRDefault="0069056F" w:rsidP="00266D1B">
            <w:pPr>
              <w:spacing w:before="120" w:after="120"/>
              <w:jc w:val="both"/>
              <w:rPr>
                <w:sz w:val="18"/>
                <w:lang w:val="es-ES"/>
              </w:rPr>
            </w:pPr>
            <w:proofErr w:type="spellStart"/>
            <w:r w:rsidRPr="007E07CA">
              <w:rPr>
                <w:sz w:val="18"/>
                <w:szCs w:val="18"/>
                <w:lang w:val="es-ES"/>
              </w:rPr>
              <w:t>uel</w:t>
            </w:r>
            <w:proofErr w:type="spellEnd"/>
            <w:r w:rsidRPr="00767DBC">
              <w:rPr>
                <w:sz w:val="18"/>
                <w:lang w:val="es-ES"/>
              </w:rPr>
              <w:t xml:space="preserve"> </w:t>
            </w:r>
            <w:proofErr w:type="spellStart"/>
            <w:r w:rsidRPr="00767DBC">
              <w:rPr>
                <w:sz w:val="18"/>
                <w:lang w:val="es-ES"/>
              </w:rPr>
              <w:t>oil</w:t>
            </w:r>
            <w:proofErr w:type="spellEnd"/>
            <w:r w:rsidRPr="00767DBC">
              <w:rPr>
                <w:sz w:val="18"/>
                <w:lang w:val="es-ES"/>
              </w:rPr>
              <w:t xml:space="preserve"> 4</w:t>
            </w:r>
          </w:p>
        </w:tc>
        <w:tc>
          <w:tcPr>
            <w:tcW w:w="1590" w:type="dxa"/>
          </w:tcPr>
          <w:p w14:paraId="6C19C775" w14:textId="77777777" w:rsidR="0069056F" w:rsidRPr="00767DBC" w:rsidRDefault="0069056F" w:rsidP="00266D1B">
            <w:pPr>
              <w:spacing w:before="120" w:after="120"/>
              <w:jc w:val="center"/>
              <w:rPr>
                <w:sz w:val="18"/>
                <w:lang w:val="es-ES"/>
              </w:rPr>
            </w:pPr>
            <w:r w:rsidRPr="00767DBC">
              <w:rPr>
                <w:sz w:val="18"/>
                <w:lang w:val="es-ES"/>
              </w:rPr>
              <w:t>6,812</w:t>
            </w:r>
          </w:p>
        </w:tc>
        <w:tc>
          <w:tcPr>
            <w:tcW w:w="1287" w:type="dxa"/>
          </w:tcPr>
          <w:p w14:paraId="3405C94B" w14:textId="77777777" w:rsidR="0069056F" w:rsidRPr="00767DBC" w:rsidRDefault="0069056F" w:rsidP="00266D1B">
            <w:pPr>
              <w:spacing w:before="120" w:after="120"/>
              <w:jc w:val="center"/>
              <w:rPr>
                <w:sz w:val="18"/>
                <w:lang w:val="es-ES"/>
              </w:rPr>
            </w:pPr>
            <w:r w:rsidRPr="00767DBC">
              <w:rPr>
                <w:sz w:val="18"/>
                <w:lang w:val="es-ES"/>
              </w:rPr>
              <w:t>37,343</w:t>
            </w:r>
          </w:p>
        </w:tc>
        <w:tc>
          <w:tcPr>
            <w:tcW w:w="1866" w:type="dxa"/>
          </w:tcPr>
          <w:p w14:paraId="5D0815F1" w14:textId="77777777" w:rsidR="0069056F" w:rsidRPr="00767DBC" w:rsidRDefault="0069056F" w:rsidP="00266D1B">
            <w:pPr>
              <w:spacing w:before="120" w:after="120"/>
              <w:jc w:val="center"/>
              <w:rPr>
                <w:sz w:val="18"/>
                <w:lang w:val="es-ES"/>
              </w:rPr>
            </w:pPr>
            <w:r w:rsidRPr="00767DBC">
              <w:rPr>
                <w:sz w:val="18"/>
                <w:lang w:val="es-ES"/>
              </w:rPr>
              <w:t>30,531</w:t>
            </w:r>
          </w:p>
        </w:tc>
      </w:tr>
      <w:tr w:rsidR="0069056F" w:rsidRPr="00B0737D" w14:paraId="0B3819BB" w14:textId="77777777" w:rsidTr="00266D1B">
        <w:trPr>
          <w:trHeight w:val="442"/>
          <w:jc w:val="center"/>
        </w:trPr>
        <w:tc>
          <w:tcPr>
            <w:tcW w:w="1271" w:type="dxa"/>
          </w:tcPr>
          <w:p w14:paraId="6DCAED1C" w14:textId="77777777" w:rsidR="0069056F" w:rsidRPr="00767DBC" w:rsidRDefault="0069056F" w:rsidP="00266D1B">
            <w:pPr>
              <w:spacing w:before="120" w:after="120"/>
              <w:jc w:val="both"/>
              <w:rPr>
                <w:sz w:val="18"/>
                <w:lang w:val="es-ES"/>
              </w:rPr>
            </w:pPr>
            <w:r w:rsidRPr="00767DBC">
              <w:rPr>
                <w:sz w:val="18"/>
                <w:lang w:val="es-ES"/>
              </w:rPr>
              <w:t xml:space="preserve">Fuel </w:t>
            </w:r>
            <w:proofErr w:type="spellStart"/>
            <w:r w:rsidRPr="00767DBC">
              <w:rPr>
                <w:sz w:val="18"/>
                <w:lang w:val="es-ES"/>
              </w:rPr>
              <w:t>oil</w:t>
            </w:r>
            <w:proofErr w:type="spellEnd"/>
            <w:r w:rsidRPr="00767DBC">
              <w:rPr>
                <w:sz w:val="18"/>
                <w:lang w:val="es-ES"/>
              </w:rPr>
              <w:t xml:space="preserve"> 6</w:t>
            </w:r>
          </w:p>
        </w:tc>
        <w:tc>
          <w:tcPr>
            <w:tcW w:w="1590" w:type="dxa"/>
          </w:tcPr>
          <w:p w14:paraId="1CF74768" w14:textId="77777777" w:rsidR="0069056F" w:rsidRPr="00767DBC" w:rsidRDefault="0069056F" w:rsidP="00266D1B">
            <w:pPr>
              <w:spacing w:before="120" w:after="120"/>
              <w:jc w:val="center"/>
              <w:rPr>
                <w:sz w:val="18"/>
                <w:lang w:val="es-ES"/>
              </w:rPr>
            </w:pPr>
            <w:r w:rsidRPr="00767DBC">
              <w:rPr>
                <w:sz w:val="18"/>
                <w:lang w:val="es-ES"/>
              </w:rPr>
              <w:t>23,991</w:t>
            </w:r>
          </w:p>
        </w:tc>
        <w:tc>
          <w:tcPr>
            <w:tcW w:w="1287" w:type="dxa"/>
          </w:tcPr>
          <w:p w14:paraId="557B1A66" w14:textId="77777777" w:rsidR="0069056F" w:rsidRPr="00767DBC" w:rsidRDefault="0069056F" w:rsidP="00266D1B">
            <w:pPr>
              <w:spacing w:before="120" w:after="120"/>
              <w:jc w:val="center"/>
              <w:rPr>
                <w:sz w:val="18"/>
                <w:lang w:val="es-ES"/>
              </w:rPr>
            </w:pPr>
            <w:r w:rsidRPr="00767DBC">
              <w:rPr>
                <w:sz w:val="18"/>
                <w:lang w:val="es-ES"/>
              </w:rPr>
              <w:t>145,528</w:t>
            </w:r>
          </w:p>
        </w:tc>
        <w:tc>
          <w:tcPr>
            <w:tcW w:w="1866" w:type="dxa"/>
          </w:tcPr>
          <w:p w14:paraId="6EB0AF0B" w14:textId="77777777" w:rsidR="0069056F" w:rsidRPr="00767DBC" w:rsidRDefault="0069056F" w:rsidP="00266D1B">
            <w:pPr>
              <w:spacing w:before="120" w:after="120"/>
              <w:jc w:val="center"/>
              <w:rPr>
                <w:sz w:val="18"/>
                <w:lang w:val="es-ES"/>
              </w:rPr>
            </w:pPr>
            <w:r w:rsidRPr="00767DBC">
              <w:rPr>
                <w:sz w:val="18"/>
                <w:lang w:val="es-ES"/>
              </w:rPr>
              <w:t>121,537</w:t>
            </w:r>
          </w:p>
        </w:tc>
      </w:tr>
      <w:tr w:rsidR="0069056F" w:rsidRPr="00B0737D" w14:paraId="2061E82F" w14:textId="77777777" w:rsidTr="00266D1B">
        <w:trPr>
          <w:trHeight w:val="442"/>
          <w:jc w:val="center"/>
        </w:trPr>
        <w:tc>
          <w:tcPr>
            <w:tcW w:w="1271" w:type="dxa"/>
          </w:tcPr>
          <w:p w14:paraId="023FE198" w14:textId="77777777" w:rsidR="0069056F" w:rsidRPr="00767DBC" w:rsidRDefault="0069056F" w:rsidP="00266D1B">
            <w:pPr>
              <w:spacing w:before="120" w:after="120"/>
              <w:jc w:val="both"/>
              <w:rPr>
                <w:sz w:val="18"/>
                <w:lang w:val="es-ES"/>
              </w:rPr>
            </w:pPr>
            <w:r w:rsidRPr="00767DBC">
              <w:rPr>
                <w:sz w:val="18"/>
                <w:lang w:val="es-ES"/>
              </w:rPr>
              <w:t xml:space="preserve">Diésel </w:t>
            </w:r>
          </w:p>
        </w:tc>
        <w:tc>
          <w:tcPr>
            <w:tcW w:w="1590" w:type="dxa"/>
          </w:tcPr>
          <w:p w14:paraId="67BE42B5" w14:textId="77777777" w:rsidR="0069056F" w:rsidRPr="00767DBC" w:rsidRDefault="0069056F" w:rsidP="00266D1B">
            <w:pPr>
              <w:spacing w:before="120" w:after="120"/>
              <w:jc w:val="center"/>
              <w:rPr>
                <w:sz w:val="18"/>
                <w:lang w:val="es-ES"/>
              </w:rPr>
            </w:pPr>
            <w:r w:rsidRPr="00767DBC">
              <w:rPr>
                <w:sz w:val="18"/>
                <w:lang w:val="es-ES"/>
              </w:rPr>
              <w:t>8,454</w:t>
            </w:r>
          </w:p>
        </w:tc>
        <w:tc>
          <w:tcPr>
            <w:tcW w:w="1287" w:type="dxa"/>
          </w:tcPr>
          <w:p w14:paraId="09120655" w14:textId="77777777" w:rsidR="0069056F" w:rsidRPr="00767DBC" w:rsidRDefault="0069056F" w:rsidP="00266D1B">
            <w:pPr>
              <w:spacing w:before="120" w:after="120"/>
              <w:jc w:val="center"/>
              <w:rPr>
                <w:sz w:val="18"/>
                <w:lang w:val="es-ES"/>
              </w:rPr>
            </w:pPr>
            <w:r w:rsidRPr="00767DBC">
              <w:rPr>
                <w:sz w:val="18"/>
                <w:lang w:val="es-ES"/>
              </w:rPr>
              <w:t>415,290</w:t>
            </w:r>
          </w:p>
        </w:tc>
        <w:tc>
          <w:tcPr>
            <w:tcW w:w="1866" w:type="dxa"/>
          </w:tcPr>
          <w:p w14:paraId="13899691" w14:textId="77777777" w:rsidR="0069056F" w:rsidRPr="00767DBC" w:rsidRDefault="0069056F" w:rsidP="00266D1B">
            <w:pPr>
              <w:spacing w:before="120" w:after="120"/>
              <w:jc w:val="center"/>
              <w:rPr>
                <w:sz w:val="18"/>
                <w:lang w:val="es-ES"/>
              </w:rPr>
            </w:pPr>
            <w:r w:rsidRPr="00767DBC">
              <w:rPr>
                <w:sz w:val="18"/>
                <w:lang w:val="es-ES"/>
              </w:rPr>
              <w:t>406,836</w:t>
            </w:r>
          </w:p>
        </w:tc>
      </w:tr>
      <w:tr w:rsidR="0069056F" w:rsidRPr="00B0737D" w14:paraId="2DC65F12" w14:textId="77777777" w:rsidTr="00266D1B">
        <w:trPr>
          <w:trHeight w:val="442"/>
          <w:jc w:val="center"/>
        </w:trPr>
        <w:tc>
          <w:tcPr>
            <w:tcW w:w="1271" w:type="dxa"/>
          </w:tcPr>
          <w:p w14:paraId="67150CB1" w14:textId="77777777" w:rsidR="0069056F" w:rsidRPr="00767DBC" w:rsidRDefault="0069056F" w:rsidP="00266D1B">
            <w:pPr>
              <w:spacing w:before="120" w:after="120"/>
              <w:jc w:val="both"/>
              <w:rPr>
                <w:sz w:val="18"/>
                <w:lang w:val="es-ES"/>
              </w:rPr>
            </w:pPr>
            <w:r w:rsidRPr="00767DBC">
              <w:rPr>
                <w:sz w:val="18"/>
                <w:lang w:val="es-ES"/>
              </w:rPr>
              <w:t>Nafta</w:t>
            </w:r>
          </w:p>
        </w:tc>
        <w:tc>
          <w:tcPr>
            <w:tcW w:w="1590" w:type="dxa"/>
          </w:tcPr>
          <w:p w14:paraId="2D94D64B" w14:textId="77777777" w:rsidR="0069056F" w:rsidRPr="00767DBC" w:rsidRDefault="0069056F" w:rsidP="00266D1B">
            <w:pPr>
              <w:spacing w:before="120" w:after="120"/>
              <w:jc w:val="center"/>
              <w:rPr>
                <w:sz w:val="18"/>
                <w:lang w:val="es-ES"/>
              </w:rPr>
            </w:pPr>
            <w:r w:rsidRPr="00767DBC">
              <w:rPr>
                <w:sz w:val="18"/>
                <w:lang w:val="es-ES"/>
              </w:rPr>
              <w:t>-</w:t>
            </w:r>
          </w:p>
        </w:tc>
        <w:tc>
          <w:tcPr>
            <w:tcW w:w="1287" w:type="dxa"/>
          </w:tcPr>
          <w:p w14:paraId="41EDB59E" w14:textId="77777777" w:rsidR="0069056F" w:rsidRPr="00767DBC" w:rsidRDefault="0069056F" w:rsidP="00266D1B">
            <w:pPr>
              <w:spacing w:before="120" w:after="120"/>
              <w:jc w:val="center"/>
              <w:rPr>
                <w:sz w:val="18"/>
                <w:lang w:val="es-ES"/>
              </w:rPr>
            </w:pPr>
            <w:r w:rsidRPr="00767DBC">
              <w:rPr>
                <w:sz w:val="18"/>
                <w:lang w:val="es-ES"/>
              </w:rPr>
              <w:t>14,372</w:t>
            </w:r>
          </w:p>
        </w:tc>
        <w:tc>
          <w:tcPr>
            <w:tcW w:w="1866" w:type="dxa"/>
          </w:tcPr>
          <w:p w14:paraId="575D34FB" w14:textId="77777777" w:rsidR="0069056F" w:rsidRPr="00767DBC" w:rsidRDefault="0069056F" w:rsidP="00266D1B">
            <w:pPr>
              <w:spacing w:before="120" w:after="120"/>
              <w:jc w:val="center"/>
              <w:rPr>
                <w:sz w:val="18"/>
                <w:lang w:val="es-ES"/>
              </w:rPr>
            </w:pPr>
            <w:r w:rsidRPr="00767DBC">
              <w:rPr>
                <w:sz w:val="18"/>
                <w:lang w:val="es-ES"/>
              </w:rPr>
              <w:t>14,372</w:t>
            </w:r>
          </w:p>
        </w:tc>
      </w:tr>
      <w:tr w:rsidR="0069056F" w:rsidRPr="00B0737D" w14:paraId="127CD583" w14:textId="77777777" w:rsidTr="00266D1B">
        <w:trPr>
          <w:trHeight w:val="442"/>
          <w:jc w:val="center"/>
        </w:trPr>
        <w:tc>
          <w:tcPr>
            <w:tcW w:w="1271" w:type="dxa"/>
          </w:tcPr>
          <w:p w14:paraId="2E39FFDF" w14:textId="77777777" w:rsidR="0069056F" w:rsidRPr="00767DBC" w:rsidRDefault="0069056F" w:rsidP="00266D1B">
            <w:pPr>
              <w:spacing w:before="120" w:after="120"/>
              <w:jc w:val="both"/>
              <w:rPr>
                <w:b/>
                <w:sz w:val="18"/>
                <w:lang w:val="es-ES"/>
              </w:rPr>
            </w:pPr>
            <w:r w:rsidRPr="00767DBC">
              <w:rPr>
                <w:b/>
                <w:sz w:val="18"/>
                <w:lang w:val="es-ES"/>
              </w:rPr>
              <w:t>TOTAL</w:t>
            </w:r>
          </w:p>
        </w:tc>
        <w:tc>
          <w:tcPr>
            <w:tcW w:w="1590" w:type="dxa"/>
          </w:tcPr>
          <w:p w14:paraId="0219C8AF" w14:textId="77777777" w:rsidR="0069056F" w:rsidRPr="00767DBC" w:rsidRDefault="0069056F" w:rsidP="00266D1B">
            <w:pPr>
              <w:spacing w:before="120" w:after="120"/>
              <w:jc w:val="center"/>
              <w:rPr>
                <w:b/>
                <w:sz w:val="18"/>
                <w:lang w:val="es-ES"/>
              </w:rPr>
            </w:pPr>
            <w:r w:rsidRPr="00767DBC">
              <w:rPr>
                <w:b/>
                <w:sz w:val="18"/>
                <w:lang w:val="es-ES"/>
              </w:rPr>
              <w:t>39,257</w:t>
            </w:r>
          </w:p>
        </w:tc>
        <w:tc>
          <w:tcPr>
            <w:tcW w:w="1287" w:type="dxa"/>
          </w:tcPr>
          <w:p w14:paraId="32349DAB" w14:textId="77777777" w:rsidR="0069056F" w:rsidRPr="00767DBC" w:rsidRDefault="0069056F" w:rsidP="00266D1B">
            <w:pPr>
              <w:spacing w:before="120" w:after="120"/>
              <w:jc w:val="center"/>
              <w:rPr>
                <w:b/>
                <w:sz w:val="18"/>
                <w:lang w:val="es-ES"/>
              </w:rPr>
            </w:pPr>
            <w:r w:rsidRPr="00767DBC">
              <w:rPr>
                <w:b/>
                <w:sz w:val="18"/>
                <w:lang w:val="es-ES"/>
              </w:rPr>
              <w:t>612,533</w:t>
            </w:r>
          </w:p>
        </w:tc>
        <w:tc>
          <w:tcPr>
            <w:tcW w:w="1866" w:type="dxa"/>
          </w:tcPr>
          <w:p w14:paraId="27917687" w14:textId="77777777" w:rsidR="0069056F" w:rsidRPr="00767DBC" w:rsidRDefault="0069056F" w:rsidP="00266D1B">
            <w:pPr>
              <w:spacing w:before="120" w:after="120"/>
              <w:jc w:val="center"/>
              <w:rPr>
                <w:b/>
                <w:sz w:val="18"/>
                <w:lang w:val="es-ES"/>
              </w:rPr>
            </w:pPr>
            <w:r w:rsidRPr="00767DBC">
              <w:rPr>
                <w:b/>
                <w:sz w:val="18"/>
                <w:lang w:val="es-ES"/>
              </w:rPr>
              <w:t>573,276</w:t>
            </w:r>
          </w:p>
        </w:tc>
      </w:tr>
      <w:tr w:rsidR="0069056F" w:rsidRPr="00B0737D" w14:paraId="586C54E8" w14:textId="77777777" w:rsidTr="00266D1B">
        <w:trPr>
          <w:trHeight w:val="458"/>
          <w:jc w:val="center"/>
        </w:trPr>
        <w:tc>
          <w:tcPr>
            <w:tcW w:w="1271" w:type="dxa"/>
          </w:tcPr>
          <w:p w14:paraId="5A17CC78" w14:textId="77777777" w:rsidR="0069056F" w:rsidRPr="00767DBC" w:rsidRDefault="0069056F" w:rsidP="00266D1B">
            <w:pPr>
              <w:spacing w:before="120" w:after="120"/>
              <w:jc w:val="both"/>
              <w:rPr>
                <w:sz w:val="18"/>
                <w:lang w:val="es-ES"/>
              </w:rPr>
            </w:pPr>
            <w:r w:rsidRPr="00767DBC">
              <w:rPr>
                <w:sz w:val="18"/>
                <w:lang w:val="es-ES"/>
              </w:rPr>
              <w:t>GLP</w:t>
            </w:r>
          </w:p>
        </w:tc>
        <w:tc>
          <w:tcPr>
            <w:tcW w:w="1590" w:type="dxa"/>
          </w:tcPr>
          <w:p w14:paraId="5E0BF52D" w14:textId="77777777" w:rsidR="0069056F" w:rsidRPr="00767DBC" w:rsidRDefault="0069056F" w:rsidP="00266D1B">
            <w:pPr>
              <w:spacing w:before="120" w:after="120"/>
              <w:jc w:val="center"/>
              <w:rPr>
                <w:sz w:val="18"/>
                <w:lang w:val="es-ES"/>
              </w:rPr>
            </w:pPr>
            <w:r w:rsidRPr="00767DBC">
              <w:rPr>
                <w:sz w:val="18"/>
                <w:lang w:val="es-ES"/>
              </w:rPr>
              <w:t>0,0</w:t>
            </w:r>
          </w:p>
        </w:tc>
        <w:tc>
          <w:tcPr>
            <w:tcW w:w="1287" w:type="dxa"/>
          </w:tcPr>
          <w:p w14:paraId="0BC9BA89" w14:textId="77777777" w:rsidR="0069056F" w:rsidRPr="00767DBC" w:rsidRDefault="0069056F" w:rsidP="00266D1B">
            <w:pPr>
              <w:spacing w:before="120" w:after="120"/>
              <w:jc w:val="center"/>
              <w:rPr>
                <w:sz w:val="18"/>
                <w:lang w:val="es-ES"/>
              </w:rPr>
            </w:pPr>
            <w:r w:rsidRPr="00767DBC">
              <w:rPr>
                <w:sz w:val="18"/>
                <w:lang w:val="es-ES"/>
              </w:rPr>
              <w:t>502,817</w:t>
            </w:r>
          </w:p>
        </w:tc>
        <w:tc>
          <w:tcPr>
            <w:tcW w:w="1866" w:type="dxa"/>
          </w:tcPr>
          <w:p w14:paraId="5505BE8F" w14:textId="77777777" w:rsidR="0069056F" w:rsidRPr="00767DBC" w:rsidRDefault="0069056F" w:rsidP="00266D1B">
            <w:pPr>
              <w:spacing w:before="120" w:after="120"/>
              <w:jc w:val="center"/>
              <w:rPr>
                <w:sz w:val="18"/>
                <w:lang w:val="es-ES"/>
              </w:rPr>
            </w:pPr>
            <w:r w:rsidRPr="00767DBC">
              <w:rPr>
                <w:sz w:val="18"/>
                <w:lang w:val="es-ES"/>
              </w:rPr>
              <w:t>502,817</w:t>
            </w:r>
          </w:p>
        </w:tc>
      </w:tr>
      <w:tr w:rsidR="0069056F" w:rsidRPr="00B0737D" w14:paraId="49FF2520" w14:textId="77777777" w:rsidTr="00266D1B">
        <w:trPr>
          <w:trHeight w:val="900"/>
          <w:jc w:val="center"/>
        </w:trPr>
        <w:tc>
          <w:tcPr>
            <w:tcW w:w="1271" w:type="dxa"/>
          </w:tcPr>
          <w:p w14:paraId="4F0223C5" w14:textId="77777777" w:rsidR="0069056F" w:rsidRPr="00767DBC" w:rsidRDefault="0069056F" w:rsidP="00266D1B">
            <w:pPr>
              <w:spacing w:before="120" w:after="120"/>
              <w:jc w:val="both"/>
              <w:rPr>
                <w:sz w:val="18"/>
                <w:lang w:val="es-ES"/>
              </w:rPr>
            </w:pPr>
            <w:r w:rsidRPr="00767DBC">
              <w:rPr>
                <w:sz w:val="18"/>
                <w:lang w:val="es-ES"/>
              </w:rPr>
              <w:t xml:space="preserve">Gen. Diésel </w:t>
            </w:r>
            <w:proofErr w:type="spellStart"/>
            <w:r w:rsidRPr="00767DBC">
              <w:rPr>
                <w:sz w:val="18"/>
                <w:lang w:val="es-ES"/>
              </w:rPr>
              <w:t>Hidrocarb</w:t>
            </w:r>
            <w:proofErr w:type="spellEnd"/>
            <w:r w:rsidRPr="00767DBC">
              <w:rPr>
                <w:sz w:val="18"/>
                <w:lang w:val="es-ES"/>
              </w:rPr>
              <w:t>.</w:t>
            </w:r>
          </w:p>
        </w:tc>
        <w:tc>
          <w:tcPr>
            <w:tcW w:w="1590" w:type="dxa"/>
            <w:vAlign w:val="center"/>
          </w:tcPr>
          <w:p w14:paraId="20230E17" w14:textId="77777777" w:rsidR="0069056F" w:rsidRPr="00767DBC" w:rsidRDefault="0069056F" w:rsidP="00266D1B">
            <w:pPr>
              <w:spacing w:before="120" w:after="120"/>
              <w:jc w:val="center"/>
              <w:rPr>
                <w:sz w:val="18"/>
                <w:lang w:val="es-ES"/>
              </w:rPr>
            </w:pPr>
            <w:r w:rsidRPr="00767DBC">
              <w:rPr>
                <w:sz w:val="18"/>
                <w:lang w:val="es-ES"/>
              </w:rPr>
              <w:t>291,945</w:t>
            </w:r>
          </w:p>
        </w:tc>
        <w:tc>
          <w:tcPr>
            <w:tcW w:w="1287" w:type="dxa"/>
            <w:vAlign w:val="center"/>
          </w:tcPr>
          <w:p w14:paraId="7BE053CE" w14:textId="77777777" w:rsidR="0069056F" w:rsidRPr="00767DBC" w:rsidRDefault="0069056F" w:rsidP="00266D1B">
            <w:pPr>
              <w:spacing w:before="120" w:after="120"/>
              <w:jc w:val="center"/>
              <w:rPr>
                <w:sz w:val="18"/>
                <w:lang w:val="es-ES"/>
              </w:rPr>
            </w:pPr>
            <w:r w:rsidRPr="00767DBC">
              <w:rPr>
                <w:sz w:val="18"/>
                <w:lang w:val="es-ES"/>
              </w:rPr>
              <w:t>563,749</w:t>
            </w:r>
          </w:p>
        </w:tc>
        <w:tc>
          <w:tcPr>
            <w:tcW w:w="1866" w:type="dxa"/>
            <w:vAlign w:val="center"/>
          </w:tcPr>
          <w:p w14:paraId="67FC02AA" w14:textId="77777777" w:rsidR="0069056F" w:rsidRPr="00767DBC" w:rsidRDefault="0069056F" w:rsidP="00266D1B">
            <w:pPr>
              <w:spacing w:before="120" w:after="120"/>
              <w:jc w:val="center"/>
              <w:rPr>
                <w:sz w:val="18"/>
                <w:lang w:val="es-ES"/>
              </w:rPr>
            </w:pPr>
            <w:r w:rsidRPr="00767DBC">
              <w:rPr>
                <w:sz w:val="18"/>
                <w:lang w:val="es-ES"/>
              </w:rPr>
              <w:t>271,804</w:t>
            </w:r>
          </w:p>
        </w:tc>
      </w:tr>
    </w:tbl>
    <w:p w14:paraId="5C400FA5" w14:textId="77777777" w:rsidR="0069056F" w:rsidRPr="00767DBC" w:rsidRDefault="0069056F" w:rsidP="0069056F">
      <w:pPr>
        <w:pStyle w:val="ListParagraph"/>
        <w:spacing w:before="120" w:after="120"/>
        <w:rPr>
          <w:b/>
          <w:lang w:val="es-ES"/>
        </w:rPr>
      </w:pPr>
    </w:p>
    <w:p w14:paraId="20A510AC" w14:textId="77777777" w:rsidR="0069056F" w:rsidRPr="00767DBC" w:rsidRDefault="0069056F" w:rsidP="0069056F">
      <w:pPr>
        <w:spacing w:before="120" w:after="120"/>
        <w:ind w:left="360"/>
        <w:jc w:val="center"/>
        <w:rPr>
          <w:b/>
          <w:lang w:val="es-ES"/>
        </w:rPr>
      </w:pPr>
      <w:r w:rsidRPr="00767DBC">
        <w:rPr>
          <w:b/>
          <w:lang w:val="es-ES"/>
        </w:rPr>
        <w:t>Tabla 5. Subsidio por uso de cocinas de inducción</w:t>
      </w:r>
    </w:p>
    <w:tbl>
      <w:tblPr>
        <w:tblStyle w:val="TableGrid"/>
        <w:tblW w:w="0" w:type="auto"/>
        <w:jc w:val="center"/>
        <w:tblLook w:val="04A0" w:firstRow="1" w:lastRow="0" w:firstColumn="1" w:lastColumn="0" w:noHBand="0" w:noVBand="1"/>
      </w:tblPr>
      <w:tblGrid>
        <w:gridCol w:w="1103"/>
        <w:gridCol w:w="1379"/>
        <w:gridCol w:w="1315"/>
        <w:gridCol w:w="1441"/>
        <w:gridCol w:w="1900"/>
        <w:gridCol w:w="1335"/>
      </w:tblGrid>
      <w:tr w:rsidR="0069056F" w:rsidRPr="00B0737D" w14:paraId="7BBB933D" w14:textId="77777777" w:rsidTr="00266D1B">
        <w:trPr>
          <w:trHeight w:val="1439"/>
          <w:jc w:val="center"/>
        </w:trPr>
        <w:tc>
          <w:tcPr>
            <w:tcW w:w="1103" w:type="dxa"/>
            <w:vAlign w:val="center"/>
          </w:tcPr>
          <w:p w14:paraId="777D6741" w14:textId="77777777" w:rsidR="0069056F" w:rsidRPr="00767DBC" w:rsidRDefault="0069056F" w:rsidP="00266D1B">
            <w:pPr>
              <w:spacing w:before="120" w:after="120"/>
              <w:jc w:val="center"/>
              <w:rPr>
                <w:b/>
                <w:sz w:val="18"/>
                <w:lang w:val="es-ES"/>
              </w:rPr>
            </w:pPr>
            <w:r w:rsidRPr="00767DBC">
              <w:rPr>
                <w:b/>
                <w:sz w:val="18"/>
                <w:lang w:val="es-ES"/>
              </w:rPr>
              <w:t>2017</w:t>
            </w:r>
          </w:p>
        </w:tc>
        <w:tc>
          <w:tcPr>
            <w:tcW w:w="1379" w:type="dxa"/>
            <w:vAlign w:val="center"/>
          </w:tcPr>
          <w:p w14:paraId="20EF217A" w14:textId="77777777" w:rsidR="0069056F" w:rsidRPr="00767DBC" w:rsidRDefault="0069056F" w:rsidP="00266D1B">
            <w:pPr>
              <w:spacing w:before="120" w:after="120"/>
              <w:jc w:val="center"/>
              <w:rPr>
                <w:b/>
                <w:sz w:val="18"/>
                <w:lang w:val="es-ES"/>
              </w:rPr>
            </w:pPr>
            <w:r w:rsidRPr="00767DBC">
              <w:rPr>
                <w:b/>
                <w:sz w:val="18"/>
                <w:lang w:val="es-ES"/>
              </w:rPr>
              <w:t xml:space="preserve">Consumo subsidiado </w:t>
            </w:r>
            <w:proofErr w:type="spellStart"/>
            <w:r w:rsidRPr="00767DBC">
              <w:rPr>
                <w:b/>
                <w:sz w:val="18"/>
                <w:lang w:val="es-ES"/>
              </w:rPr>
              <w:t>kWh</w:t>
            </w:r>
            <w:proofErr w:type="spellEnd"/>
            <w:r w:rsidRPr="00767DBC">
              <w:rPr>
                <w:b/>
                <w:sz w:val="18"/>
                <w:lang w:val="es-ES"/>
              </w:rPr>
              <w:t>*</w:t>
            </w:r>
          </w:p>
        </w:tc>
        <w:tc>
          <w:tcPr>
            <w:tcW w:w="1315" w:type="dxa"/>
            <w:vAlign w:val="center"/>
          </w:tcPr>
          <w:p w14:paraId="10E3F85A" w14:textId="77777777" w:rsidR="0069056F" w:rsidRPr="00767DBC" w:rsidRDefault="0069056F" w:rsidP="00266D1B">
            <w:pPr>
              <w:spacing w:before="120" w:after="120"/>
              <w:jc w:val="center"/>
              <w:rPr>
                <w:b/>
                <w:sz w:val="18"/>
                <w:lang w:val="es-ES"/>
              </w:rPr>
            </w:pPr>
            <w:r w:rsidRPr="00767DBC">
              <w:rPr>
                <w:b/>
                <w:sz w:val="18"/>
                <w:lang w:val="es-ES"/>
              </w:rPr>
              <w:t>Diferencial tarifa subsidiada US$/</w:t>
            </w:r>
            <w:proofErr w:type="spellStart"/>
            <w:r w:rsidRPr="00767DBC">
              <w:rPr>
                <w:b/>
                <w:sz w:val="18"/>
                <w:lang w:val="es-ES"/>
              </w:rPr>
              <w:t>kWh</w:t>
            </w:r>
            <w:proofErr w:type="spellEnd"/>
          </w:p>
        </w:tc>
        <w:tc>
          <w:tcPr>
            <w:tcW w:w="1441" w:type="dxa"/>
            <w:vAlign w:val="center"/>
          </w:tcPr>
          <w:p w14:paraId="14BB3C8F" w14:textId="77777777" w:rsidR="0069056F" w:rsidRPr="00767DBC" w:rsidRDefault="0069056F" w:rsidP="00266D1B">
            <w:pPr>
              <w:spacing w:before="120" w:after="120"/>
              <w:jc w:val="center"/>
              <w:rPr>
                <w:b/>
                <w:sz w:val="18"/>
                <w:lang w:val="es-ES"/>
              </w:rPr>
            </w:pPr>
            <w:r w:rsidRPr="00767DBC">
              <w:rPr>
                <w:b/>
                <w:sz w:val="18"/>
                <w:lang w:val="es-ES"/>
              </w:rPr>
              <w:t>Total subsidio Miles US$</w:t>
            </w:r>
          </w:p>
        </w:tc>
        <w:tc>
          <w:tcPr>
            <w:tcW w:w="1900" w:type="dxa"/>
            <w:vAlign w:val="center"/>
          </w:tcPr>
          <w:p w14:paraId="6E0F05B3" w14:textId="77777777" w:rsidR="0069056F" w:rsidRPr="00767DBC" w:rsidRDefault="0069056F" w:rsidP="00266D1B">
            <w:pPr>
              <w:spacing w:before="120" w:after="120"/>
              <w:jc w:val="center"/>
              <w:rPr>
                <w:b/>
                <w:sz w:val="18"/>
                <w:lang w:val="es-ES"/>
              </w:rPr>
            </w:pPr>
            <w:r w:rsidRPr="00767DBC">
              <w:rPr>
                <w:b/>
                <w:sz w:val="18"/>
                <w:lang w:val="es-ES"/>
              </w:rPr>
              <w:t>Ingreso adicional país por incremento tarifario</w:t>
            </w:r>
          </w:p>
          <w:p w14:paraId="515A965E" w14:textId="77777777" w:rsidR="0069056F" w:rsidRPr="00767DBC" w:rsidRDefault="0069056F" w:rsidP="00266D1B">
            <w:pPr>
              <w:spacing w:before="120" w:after="120"/>
              <w:jc w:val="center"/>
              <w:rPr>
                <w:b/>
                <w:sz w:val="18"/>
                <w:lang w:val="es-ES"/>
              </w:rPr>
            </w:pPr>
            <w:r w:rsidRPr="00767DBC">
              <w:rPr>
                <w:b/>
                <w:sz w:val="18"/>
                <w:lang w:val="es-ES"/>
              </w:rPr>
              <w:t>Miles US$**</w:t>
            </w:r>
          </w:p>
        </w:tc>
        <w:tc>
          <w:tcPr>
            <w:tcW w:w="1335" w:type="dxa"/>
            <w:vAlign w:val="center"/>
          </w:tcPr>
          <w:p w14:paraId="1B477509" w14:textId="77777777" w:rsidR="0069056F" w:rsidRPr="00767DBC" w:rsidRDefault="0069056F" w:rsidP="00266D1B">
            <w:pPr>
              <w:spacing w:before="120" w:after="120"/>
              <w:jc w:val="center"/>
              <w:rPr>
                <w:b/>
                <w:sz w:val="18"/>
                <w:lang w:val="es-ES"/>
              </w:rPr>
            </w:pPr>
            <w:r w:rsidRPr="00767DBC">
              <w:rPr>
                <w:b/>
                <w:sz w:val="18"/>
                <w:lang w:val="es-ES"/>
              </w:rPr>
              <w:t>Beneficio neto</w:t>
            </w:r>
          </w:p>
          <w:p w14:paraId="1F61886D" w14:textId="77777777" w:rsidR="0069056F" w:rsidRPr="00767DBC" w:rsidRDefault="0069056F" w:rsidP="00266D1B">
            <w:pPr>
              <w:spacing w:before="120" w:after="120"/>
              <w:jc w:val="center"/>
              <w:rPr>
                <w:b/>
                <w:sz w:val="18"/>
                <w:lang w:val="es-ES"/>
              </w:rPr>
            </w:pPr>
            <w:r w:rsidRPr="00767DBC">
              <w:rPr>
                <w:b/>
                <w:sz w:val="18"/>
                <w:lang w:val="es-ES"/>
              </w:rPr>
              <w:t>Miles US$</w:t>
            </w:r>
          </w:p>
        </w:tc>
      </w:tr>
      <w:tr w:rsidR="0069056F" w:rsidRPr="00B0737D" w14:paraId="20A155E7" w14:textId="77777777" w:rsidTr="00266D1B">
        <w:trPr>
          <w:trHeight w:val="629"/>
          <w:jc w:val="center"/>
        </w:trPr>
        <w:tc>
          <w:tcPr>
            <w:tcW w:w="1103" w:type="dxa"/>
            <w:vAlign w:val="center"/>
          </w:tcPr>
          <w:p w14:paraId="660C7C99" w14:textId="77777777" w:rsidR="0069056F" w:rsidRPr="00767DBC" w:rsidRDefault="0069056F" w:rsidP="00266D1B">
            <w:pPr>
              <w:spacing w:before="120" w:after="120"/>
              <w:jc w:val="center"/>
              <w:rPr>
                <w:sz w:val="18"/>
                <w:lang w:val="es-ES"/>
              </w:rPr>
            </w:pPr>
            <w:r w:rsidRPr="00767DBC">
              <w:rPr>
                <w:sz w:val="18"/>
                <w:lang w:val="es-ES"/>
              </w:rPr>
              <w:t>GLP</w:t>
            </w:r>
          </w:p>
        </w:tc>
        <w:tc>
          <w:tcPr>
            <w:tcW w:w="1379" w:type="dxa"/>
            <w:vAlign w:val="center"/>
          </w:tcPr>
          <w:p w14:paraId="0814F9F0" w14:textId="77777777" w:rsidR="0069056F" w:rsidRPr="00767DBC" w:rsidRDefault="0069056F" w:rsidP="00266D1B">
            <w:pPr>
              <w:spacing w:before="120" w:after="120"/>
              <w:jc w:val="center"/>
              <w:rPr>
                <w:sz w:val="18"/>
                <w:lang w:val="es-ES"/>
              </w:rPr>
            </w:pPr>
            <w:r w:rsidRPr="00767DBC">
              <w:rPr>
                <w:sz w:val="18"/>
                <w:lang w:val="es-ES"/>
              </w:rPr>
              <w:t>2,886,583,200</w:t>
            </w:r>
          </w:p>
        </w:tc>
        <w:tc>
          <w:tcPr>
            <w:tcW w:w="1315" w:type="dxa"/>
            <w:vAlign w:val="center"/>
          </w:tcPr>
          <w:p w14:paraId="27C5256F" w14:textId="77777777" w:rsidR="0069056F" w:rsidRPr="00767DBC" w:rsidRDefault="0069056F" w:rsidP="00266D1B">
            <w:pPr>
              <w:spacing w:before="120" w:after="120"/>
              <w:jc w:val="center"/>
              <w:rPr>
                <w:sz w:val="18"/>
                <w:lang w:val="es-ES"/>
              </w:rPr>
            </w:pPr>
            <w:r w:rsidRPr="00767DBC">
              <w:rPr>
                <w:sz w:val="18"/>
                <w:lang w:val="es-ES"/>
              </w:rPr>
              <w:t>0.0595</w:t>
            </w:r>
          </w:p>
        </w:tc>
        <w:tc>
          <w:tcPr>
            <w:tcW w:w="1441" w:type="dxa"/>
            <w:vAlign w:val="center"/>
          </w:tcPr>
          <w:p w14:paraId="5139E479" w14:textId="77777777" w:rsidR="0069056F" w:rsidRPr="00767DBC" w:rsidRDefault="0069056F" w:rsidP="00266D1B">
            <w:pPr>
              <w:spacing w:before="120" w:after="120"/>
              <w:jc w:val="center"/>
              <w:rPr>
                <w:sz w:val="18"/>
                <w:lang w:val="es-ES"/>
              </w:rPr>
            </w:pPr>
            <w:r w:rsidRPr="00767DBC">
              <w:rPr>
                <w:sz w:val="18"/>
                <w:lang w:val="es-ES"/>
              </w:rPr>
              <w:t>171,752</w:t>
            </w:r>
          </w:p>
        </w:tc>
        <w:tc>
          <w:tcPr>
            <w:tcW w:w="1900" w:type="dxa"/>
            <w:vAlign w:val="center"/>
          </w:tcPr>
          <w:p w14:paraId="34FEC4EF" w14:textId="77777777" w:rsidR="0069056F" w:rsidRPr="00767DBC" w:rsidRDefault="0069056F" w:rsidP="00266D1B">
            <w:pPr>
              <w:spacing w:before="120" w:after="120"/>
              <w:jc w:val="center"/>
              <w:rPr>
                <w:sz w:val="18"/>
                <w:lang w:val="es-ES"/>
              </w:rPr>
            </w:pPr>
            <w:r w:rsidRPr="00767DBC">
              <w:rPr>
                <w:sz w:val="18"/>
                <w:lang w:val="es-ES"/>
              </w:rPr>
              <w:t>321,130</w:t>
            </w:r>
          </w:p>
        </w:tc>
        <w:tc>
          <w:tcPr>
            <w:tcW w:w="1335" w:type="dxa"/>
            <w:vAlign w:val="center"/>
          </w:tcPr>
          <w:p w14:paraId="2CD5C989" w14:textId="77777777" w:rsidR="0069056F" w:rsidRPr="00767DBC" w:rsidRDefault="0069056F" w:rsidP="00266D1B">
            <w:pPr>
              <w:spacing w:before="120" w:after="120"/>
              <w:jc w:val="center"/>
              <w:rPr>
                <w:sz w:val="18"/>
                <w:lang w:val="es-ES"/>
              </w:rPr>
            </w:pPr>
            <w:r w:rsidRPr="00767DBC">
              <w:rPr>
                <w:sz w:val="18"/>
                <w:lang w:val="es-ES"/>
              </w:rPr>
              <w:t>149,378</w:t>
            </w:r>
          </w:p>
        </w:tc>
      </w:tr>
    </w:tbl>
    <w:p w14:paraId="68693D2E" w14:textId="77777777" w:rsidR="0069056F" w:rsidRPr="00767DBC" w:rsidRDefault="0069056F" w:rsidP="0069056F">
      <w:pPr>
        <w:pStyle w:val="ListParagraph"/>
        <w:spacing w:before="120" w:after="120"/>
        <w:rPr>
          <w:sz w:val="20"/>
          <w:lang w:val="es-ES"/>
        </w:rPr>
      </w:pPr>
      <w:r w:rsidRPr="00767DBC">
        <w:rPr>
          <w:sz w:val="20"/>
          <w:lang w:val="es-ES"/>
        </w:rPr>
        <w:t>*equivale al 80% del consumo eléctrico por cocinas de inducción a US$0.04/</w:t>
      </w:r>
      <w:proofErr w:type="spellStart"/>
      <w:r w:rsidRPr="00767DBC">
        <w:rPr>
          <w:sz w:val="20"/>
          <w:lang w:val="es-ES"/>
        </w:rPr>
        <w:t>kWh</w:t>
      </w:r>
      <w:proofErr w:type="spellEnd"/>
    </w:p>
    <w:p w14:paraId="285D0BBE" w14:textId="77777777" w:rsidR="0069056F" w:rsidRDefault="0069056F" w:rsidP="0069056F">
      <w:pPr>
        <w:pStyle w:val="ListParagraph"/>
        <w:spacing w:before="120" w:after="120"/>
        <w:rPr>
          <w:sz w:val="20"/>
          <w:lang w:val="es-ES"/>
        </w:rPr>
      </w:pPr>
      <w:r w:rsidRPr="00767DBC">
        <w:rPr>
          <w:sz w:val="20"/>
          <w:lang w:val="es-ES"/>
        </w:rPr>
        <w:t>**Se refiere a todo el ingreso por consumo eléctrico en el país a partir del incremento tarifario en junio 2014.</w:t>
      </w:r>
    </w:p>
    <w:p w14:paraId="14983F6F" w14:textId="77777777" w:rsidR="0069056F" w:rsidRDefault="0069056F" w:rsidP="0069056F">
      <w:pPr>
        <w:pStyle w:val="ListParagraph"/>
        <w:spacing w:before="120" w:after="120"/>
        <w:rPr>
          <w:sz w:val="20"/>
          <w:lang w:val="es-ES"/>
        </w:rPr>
      </w:pPr>
    </w:p>
    <w:p w14:paraId="2FC63CC6" w14:textId="77777777" w:rsidR="0069056F" w:rsidRDefault="0069056F" w:rsidP="0069056F">
      <w:pPr>
        <w:pStyle w:val="ListParagraph"/>
        <w:spacing w:before="120" w:after="120"/>
        <w:rPr>
          <w:sz w:val="20"/>
          <w:lang w:val="es-ES"/>
        </w:rPr>
      </w:pPr>
    </w:p>
    <w:p w14:paraId="63163B4A" w14:textId="77777777" w:rsidR="0069056F" w:rsidRPr="00767DBC" w:rsidRDefault="0069056F" w:rsidP="0069056F">
      <w:pPr>
        <w:pStyle w:val="ListParagraph"/>
        <w:spacing w:before="120" w:after="120"/>
        <w:rPr>
          <w:sz w:val="20"/>
          <w:lang w:val="es-ES"/>
        </w:rPr>
      </w:pPr>
    </w:p>
    <w:p w14:paraId="66ED6B09" w14:textId="77777777" w:rsidR="0069056F" w:rsidRPr="007E07CA" w:rsidRDefault="0069056F" w:rsidP="0069056F">
      <w:pPr>
        <w:spacing w:before="120" w:after="120" w:line="360" w:lineRule="auto"/>
        <w:jc w:val="both"/>
        <w:rPr>
          <w:b/>
          <w:szCs w:val="20"/>
          <w:lang w:val="es-ES"/>
        </w:rPr>
      </w:pPr>
      <w:r w:rsidRPr="007E07CA">
        <w:rPr>
          <w:b/>
          <w:szCs w:val="20"/>
          <w:lang w:val="es-ES"/>
        </w:rPr>
        <w:t xml:space="preserve">Análisis Costo-Beneficio ex-ante (CBA). </w:t>
      </w:r>
    </w:p>
    <w:p w14:paraId="3D301A5A" w14:textId="77777777" w:rsidR="0069056F" w:rsidRDefault="0069056F" w:rsidP="0069056F">
      <w:pPr>
        <w:spacing w:before="120" w:after="120" w:line="360" w:lineRule="auto"/>
        <w:jc w:val="both"/>
        <w:rPr>
          <w:szCs w:val="20"/>
          <w:lang w:val="es-ES"/>
        </w:rPr>
      </w:pPr>
      <w:r w:rsidRPr="007E07CA">
        <w:rPr>
          <w:szCs w:val="20"/>
          <w:lang w:val="es-ES"/>
        </w:rPr>
        <w:t xml:space="preserve">De la misma manera, el Banco preparó una </w:t>
      </w:r>
      <w:r w:rsidRPr="00767DBC">
        <w:rPr>
          <w:lang w:val="es-ES"/>
        </w:rPr>
        <w:t xml:space="preserve">evaluación económica de Análisis </w:t>
      </w:r>
      <w:r w:rsidRPr="007E07CA">
        <w:rPr>
          <w:szCs w:val="20"/>
          <w:lang w:val="es-ES"/>
        </w:rPr>
        <w:t>Costo</w:t>
      </w:r>
      <w:r>
        <w:rPr>
          <w:szCs w:val="20"/>
          <w:lang w:val="es-ES"/>
        </w:rPr>
        <w:t>-</w:t>
      </w:r>
      <w:r w:rsidRPr="00767DBC">
        <w:rPr>
          <w:lang w:val="es-ES"/>
        </w:rPr>
        <w:t>Beneficio ex</w:t>
      </w:r>
      <w:r>
        <w:rPr>
          <w:szCs w:val="20"/>
          <w:lang w:val="es-ES"/>
        </w:rPr>
        <w:t>-</w:t>
      </w:r>
      <w:r w:rsidRPr="00767DBC">
        <w:rPr>
          <w:lang w:val="es-ES"/>
        </w:rPr>
        <w:t xml:space="preserve">ante (CBA) durante la preparación de esta operación. La evaluación económica se </w:t>
      </w:r>
      <w:r w:rsidRPr="00C54F31">
        <w:rPr>
          <w:szCs w:val="20"/>
          <w:lang w:val="es-ES"/>
        </w:rPr>
        <w:t xml:space="preserve">hizo para dos componentes: </w:t>
      </w:r>
    </w:p>
    <w:p w14:paraId="796FBF9D" w14:textId="77777777" w:rsidR="0069056F" w:rsidRPr="007E07CA" w:rsidRDefault="0069056F" w:rsidP="0069056F">
      <w:pPr>
        <w:pStyle w:val="ListParagraph"/>
        <w:numPr>
          <w:ilvl w:val="0"/>
          <w:numId w:val="40"/>
        </w:numPr>
        <w:spacing w:before="120" w:after="120" w:line="360" w:lineRule="auto"/>
        <w:jc w:val="both"/>
        <w:rPr>
          <w:szCs w:val="20"/>
          <w:lang w:val="es-ES"/>
        </w:rPr>
      </w:pPr>
      <w:r>
        <w:rPr>
          <w:szCs w:val="20"/>
          <w:lang w:val="es-ES"/>
        </w:rPr>
        <w:t>L</w:t>
      </w:r>
      <w:r w:rsidRPr="009B5CF7">
        <w:rPr>
          <w:szCs w:val="20"/>
          <w:lang w:val="es-ES"/>
        </w:rPr>
        <w:t xml:space="preserve">as inversiones necesarias para transformar la matriz energética mediante la sustitución de combustibles líquidos; y </w:t>
      </w:r>
    </w:p>
    <w:p w14:paraId="4F16F0D5" w14:textId="77777777" w:rsidR="0069056F" w:rsidRDefault="0069056F" w:rsidP="0069056F">
      <w:pPr>
        <w:pStyle w:val="ListParagraph"/>
        <w:numPr>
          <w:ilvl w:val="0"/>
          <w:numId w:val="40"/>
        </w:numPr>
        <w:spacing w:before="120" w:after="120" w:line="360" w:lineRule="auto"/>
        <w:jc w:val="both"/>
        <w:rPr>
          <w:szCs w:val="20"/>
          <w:lang w:val="es-ES"/>
        </w:rPr>
      </w:pPr>
      <w:r>
        <w:rPr>
          <w:szCs w:val="20"/>
          <w:lang w:val="es-ES"/>
        </w:rPr>
        <w:t>L</w:t>
      </w:r>
      <w:r w:rsidRPr="009B5CF7">
        <w:rPr>
          <w:szCs w:val="20"/>
          <w:lang w:val="es-ES"/>
        </w:rPr>
        <w:t xml:space="preserve">a racionalización del consumo de GLP. </w:t>
      </w:r>
    </w:p>
    <w:p w14:paraId="367BC605" w14:textId="77777777" w:rsidR="0069056F" w:rsidRPr="007E07CA" w:rsidRDefault="0069056F" w:rsidP="0069056F">
      <w:pPr>
        <w:spacing w:before="120" w:after="120" w:line="360" w:lineRule="auto"/>
        <w:jc w:val="both"/>
        <w:rPr>
          <w:szCs w:val="20"/>
          <w:lang w:val="es-ES"/>
        </w:rPr>
      </w:pPr>
      <w:r w:rsidRPr="007E07CA">
        <w:rPr>
          <w:i/>
          <w:szCs w:val="20"/>
          <w:u w:val="single"/>
          <w:lang w:val="es-ES"/>
        </w:rPr>
        <w:t>Evaluación de la transformación de la matriz energética.</w:t>
      </w:r>
      <w:r w:rsidRPr="007E07CA">
        <w:rPr>
          <w:szCs w:val="20"/>
          <w:lang w:val="es-ES"/>
        </w:rPr>
        <w:t xml:space="preserve">  Dicha transformación lleva al parque generador de una proporción de 54% entre </w:t>
      </w:r>
      <w:proofErr w:type="spellStart"/>
      <w:r w:rsidRPr="007E07CA">
        <w:rPr>
          <w:szCs w:val="20"/>
          <w:lang w:val="es-ES"/>
        </w:rPr>
        <w:t>hidro</w:t>
      </w:r>
      <w:proofErr w:type="spellEnd"/>
      <w:r w:rsidRPr="007E07CA">
        <w:rPr>
          <w:szCs w:val="20"/>
          <w:lang w:val="es-ES"/>
        </w:rPr>
        <w:t xml:space="preserve"> y renovables</w:t>
      </w:r>
      <w:r w:rsidRPr="00767DBC">
        <w:rPr>
          <w:lang w:val="es-ES"/>
        </w:rPr>
        <w:t xml:space="preserve"> en </w:t>
      </w:r>
      <w:r w:rsidRPr="007E07CA">
        <w:rPr>
          <w:szCs w:val="20"/>
          <w:lang w:val="es-ES"/>
        </w:rPr>
        <w:t xml:space="preserve">2012 a 85% entre </w:t>
      </w:r>
      <w:proofErr w:type="spellStart"/>
      <w:r w:rsidRPr="007E07CA">
        <w:rPr>
          <w:szCs w:val="20"/>
          <w:lang w:val="es-ES"/>
        </w:rPr>
        <w:t>hidro</w:t>
      </w:r>
      <w:proofErr w:type="spellEnd"/>
      <w:r w:rsidRPr="007E07CA">
        <w:rPr>
          <w:szCs w:val="20"/>
          <w:lang w:val="es-ES"/>
        </w:rPr>
        <w:t xml:space="preserve"> y renovables en 2022.  Los beneficios asociados con la transformación de la matriz incluyen</w:t>
      </w:r>
      <w:r w:rsidRPr="00767DBC">
        <w:rPr>
          <w:lang w:val="es-ES"/>
        </w:rPr>
        <w:t xml:space="preserve">: (i) </w:t>
      </w:r>
      <w:r w:rsidRPr="007E07CA">
        <w:rPr>
          <w:szCs w:val="20"/>
          <w:lang w:val="es-ES"/>
        </w:rPr>
        <w:t xml:space="preserve">los ahorros de combustible por sustitución de </w:t>
      </w:r>
      <w:r w:rsidRPr="00767DBC">
        <w:rPr>
          <w:lang w:val="es-ES"/>
        </w:rPr>
        <w:t>generación</w:t>
      </w:r>
      <w:r w:rsidRPr="007E07CA">
        <w:rPr>
          <w:szCs w:val="20"/>
          <w:lang w:val="es-ES"/>
        </w:rPr>
        <w:t xml:space="preserve"> térmica,</w:t>
      </w:r>
      <w:r w:rsidRPr="00767DBC">
        <w:rPr>
          <w:lang w:val="es-ES"/>
        </w:rPr>
        <w:t xml:space="preserve"> (ii) los ahorros en </w:t>
      </w:r>
      <w:r w:rsidRPr="007E07CA">
        <w:rPr>
          <w:szCs w:val="20"/>
          <w:lang w:val="es-ES"/>
        </w:rPr>
        <w:t xml:space="preserve">costos de administración, operación y </w:t>
      </w:r>
      <w:r w:rsidRPr="00767DBC">
        <w:rPr>
          <w:lang w:val="es-ES"/>
        </w:rPr>
        <w:t>mantenimiento</w:t>
      </w:r>
      <w:r w:rsidRPr="007E07CA">
        <w:rPr>
          <w:szCs w:val="20"/>
          <w:lang w:val="es-ES"/>
        </w:rPr>
        <w:t xml:space="preserve">, (iii) los ahorros por </w:t>
      </w:r>
      <w:r w:rsidRPr="00767DBC">
        <w:rPr>
          <w:lang w:val="es-ES"/>
        </w:rPr>
        <w:t>sustitución de GLP por electricidad</w:t>
      </w:r>
      <w:r w:rsidRPr="007E07CA">
        <w:rPr>
          <w:szCs w:val="20"/>
          <w:lang w:val="es-ES"/>
        </w:rPr>
        <w:t>, y (iv) los ahorros asociados con las emisiones de carbono.  La Tabla 6 resume los beneficios brutos del programa de transformación de la matriz.</w:t>
      </w:r>
    </w:p>
    <w:p w14:paraId="45687287" w14:textId="77777777" w:rsidR="0069056F" w:rsidRPr="00D71273" w:rsidRDefault="0069056F" w:rsidP="0069056F">
      <w:pPr>
        <w:keepNext/>
        <w:jc w:val="center"/>
        <w:rPr>
          <w:rFonts w:asciiTheme="minorHAnsi" w:hAnsiTheme="minorHAnsi"/>
          <w:sz w:val="22"/>
          <w:lang w:val="es-ES"/>
        </w:rPr>
      </w:pPr>
      <w:r>
        <w:rPr>
          <w:rFonts w:asciiTheme="minorHAnsi" w:hAnsiTheme="minorHAnsi"/>
          <w:sz w:val="22"/>
          <w:lang w:val="es-ES"/>
        </w:rPr>
        <w:t>Tabla 6. Resumen de Beneficios Brutos de la Transformación de la Matriz Energética (M$)</w:t>
      </w:r>
    </w:p>
    <w:p w14:paraId="52FE6E2C" w14:textId="77777777" w:rsidR="0069056F" w:rsidRPr="00CE12C7" w:rsidRDefault="0069056F" w:rsidP="0069056F">
      <w:pPr>
        <w:spacing w:after="120" w:line="360" w:lineRule="auto"/>
        <w:jc w:val="both"/>
        <w:rPr>
          <w:szCs w:val="20"/>
          <w:highlight w:val="green"/>
          <w:lang w:val="es-ES"/>
        </w:rPr>
      </w:pPr>
      <w:r>
        <w:rPr>
          <w:noProof/>
        </w:rPr>
        <w:drawing>
          <wp:inline distT="0" distB="0" distL="0" distR="0" wp14:anchorId="4B35C22A" wp14:editId="6866A769">
            <wp:extent cx="6342984" cy="1201479"/>
            <wp:effectExtent l="0" t="0" r="1270" b="0"/>
            <wp:docPr id="14"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341039" cy="1201111"/>
                    </a:xfrm>
                    <a:prstGeom prst="rect">
                      <a:avLst/>
                    </a:prstGeom>
                    <a:noFill/>
                    <a:ln>
                      <a:noFill/>
                    </a:ln>
                  </pic:spPr>
                </pic:pic>
              </a:graphicData>
            </a:graphic>
          </wp:inline>
        </w:drawing>
      </w:r>
    </w:p>
    <w:p w14:paraId="05D5729E" w14:textId="77777777" w:rsidR="0069056F" w:rsidRDefault="0069056F" w:rsidP="0069056F">
      <w:pPr>
        <w:spacing w:before="120" w:after="120" w:line="360" w:lineRule="auto"/>
        <w:jc w:val="both"/>
        <w:rPr>
          <w:szCs w:val="20"/>
          <w:lang w:val="es-ES"/>
        </w:rPr>
      </w:pPr>
      <w:r w:rsidRPr="007E07CA">
        <w:rPr>
          <w:szCs w:val="20"/>
          <w:lang w:val="es-ES"/>
        </w:rPr>
        <w:t>Los costos asociados con la transformación de la matriz energética incluyen: (i) costos de inversión en nuevas centrales de generación, (ii) costos incrementales de transmisión y distribución asociados con la transformación de la matriz,</w:t>
      </w:r>
      <w:r w:rsidRPr="00767DBC">
        <w:rPr>
          <w:lang w:val="es-ES"/>
        </w:rPr>
        <w:t xml:space="preserve"> y (iii) </w:t>
      </w:r>
      <w:r w:rsidRPr="007E07CA">
        <w:rPr>
          <w:szCs w:val="20"/>
          <w:lang w:val="es-ES"/>
        </w:rPr>
        <w:t>costos de cocinas de inducción.  La Tabla 7 resume los costos correspondientes.</w:t>
      </w:r>
    </w:p>
    <w:p w14:paraId="689AC8B3" w14:textId="77777777" w:rsidR="0069056F" w:rsidRDefault="0069056F" w:rsidP="0069056F">
      <w:pPr>
        <w:keepNext/>
        <w:jc w:val="center"/>
        <w:rPr>
          <w:rFonts w:ascii="Calibri" w:hAnsi="Calibri"/>
          <w:sz w:val="20"/>
          <w:szCs w:val="20"/>
          <w:lang w:val="es-ES"/>
        </w:rPr>
      </w:pPr>
      <w:r>
        <w:rPr>
          <w:rFonts w:ascii="Calibri" w:hAnsi="Calibri"/>
          <w:sz w:val="20"/>
          <w:szCs w:val="20"/>
          <w:lang w:val="es-ES"/>
        </w:rPr>
        <w:lastRenderedPageBreak/>
        <w:t xml:space="preserve">Tabla 7. </w:t>
      </w:r>
      <w:r w:rsidRPr="00F57FC2">
        <w:rPr>
          <w:rFonts w:ascii="Calibri" w:hAnsi="Calibri"/>
          <w:sz w:val="20"/>
          <w:szCs w:val="20"/>
          <w:lang w:val="es-ES"/>
        </w:rPr>
        <w:t xml:space="preserve">Costos de Inversión </w:t>
      </w:r>
      <w:r>
        <w:rPr>
          <w:rFonts w:ascii="Calibri" w:hAnsi="Calibri"/>
          <w:sz w:val="20"/>
          <w:szCs w:val="20"/>
          <w:lang w:val="es-ES"/>
        </w:rPr>
        <w:t xml:space="preserve">Asociados con la Transformación de la Matriz Energética </w:t>
      </w:r>
      <w:r w:rsidRPr="00F57FC2">
        <w:rPr>
          <w:rFonts w:ascii="Calibri" w:hAnsi="Calibri"/>
          <w:sz w:val="20"/>
          <w:szCs w:val="20"/>
          <w:lang w:val="es-ES"/>
        </w:rPr>
        <w:t>(M$)</w:t>
      </w:r>
    </w:p>
    <w:p w14:paraId="151268CD" w14:textId="77777777" w:rsidR="0069056F" w:rsidRPr="007E07CA" w:rsidRDefault="0069056F" w:rsidP="0069056F">
      <w:pPr>
        <w:spacing w:before="120" w:after="120" w:line="360" w:lineRule="auto"/>
        <w:jc w:val="both"/>
        <w:rPr>
          <w:szCs w:val="20"/>
          <w:lang w:val="es-ES"/>
        </w:rPr>
      </w:pPr>
      <w:r>
        <w:rPr>
          <w:rFonts w:ascii="Calibri" w:hAnsi="Calibri"/>
          <w:noProof/>
          <w:sz w:val="20"/>
          <w:szCs w:val="20"/>
        </w:rPr>
        <w:drawing>
          <wp:inline distT="0" distB="0" distL="0" distR="0" wp14:anchorId="45316566" wp14:editId="130BD65F">
            <wp:extent cx="5824855" cy="1199366"/>
            <wp:effectExtent l="0" t="0" r="0" b="0"/>
            <wp:docPr id="15"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824855" cy="1199366"/>
                    </a:xfrm>
                    <a:prstGeom prst="rect">
                      <a:avLst/>
                    </a:prstGeom>
                    <a:noFill/>
                    <a:ln>
                      <a:noFill/>
                    </a:ln>
                  </pic:spPr>
                </pic:pic>
              </a:graphicData>
            </a:graphic>
          </wp:inline>
        </w:drawing>
      </w:r>
    </w:p>
    <w:p w14:paraId="7E4B37EB" w14:textId="77777777" w:rsidR="0069056F" w:rsidRPr="00767DBC" w:rsidRDefault="0069056F" w:rsidP="0069056F">
      <w:pPr>
        <w:spacing w:before="120" w:after="120" w:line="360" w:lineRule="auto"/>
        <w:jc w:val="both"/>
        <w:rPr>
          <w:lang w:val="es-ES"/>
        </w:rPr>
      </w:pPr>
      <w:r w:rsidRPr="00767DBC">
        <w:rPr>
          <w:lang w:val="es-ES"/>
        </w:rPr>
        <w:t xml:space="preserve">El resultado del caso base de la evaluación estima una Tasa Interna de Retorno (TIR) de </w:t>
      </w:r>
      <w:r w:rsidRPr="007E07CA">
        <w:rPr>
          <w:szCs w:val="20"/>
          <w:lang w:val="es-ES"/>
        </w:rPr>
        <w:t>23</w:t>
      </w:r>
      <w:r w:rsidRPr="00767DBC">
        <w:rPr>
          <w:lang w:val="es-ES"/>
        </w:rPr>
        <w:t xml:space="preserve">% y un Valor Presente Neto (VPN) de </w:t>
      </w:r>
      <w:r w:rsidRPr="007E07CA">
        <w:rPr>
          <w:szCs w:val="20"/>
          <w:lang w:val="es-ES"/>
        </w:rPr>
        <w:t>US$7.136</w:t>
      </w:r>
      <w:r w:rsidRPr="00767DBC">
        <w:rPr>
          <w:lang w:val="es-ES"/>
        </w:rPr>
        <w:t xml:space="preserve"> millones</w:t>
      </w:r>
      <w:r w:rsidRPr="007E07CA">
        <w:rPr>
          <w:szCs w:val="20"/>
          <w:lang w:val="es-ES"/>
        </w:rPr>
        <w:t xml:space="preserve"> con una tasa de descuento de 12%.</w:t>
      </w:r>
      <w:r w:rsidRPr="00767DBC">
        <w:rPr>
          <w:lang w:val="es-ES"/>
        </w:rPr>
        <w:t xml:space="preserve"> Un análisis de sensibilidad modificando parámetros como costos de inversión y el costo térmico </w:t>
      </w:r>
      <w:r w:rsidRPr="007E07CA">
        <w:rPr>
          <w:szCs w:val="20"/>
          <w:lang w:val="es-ES"/>
        </w:rPr>
        <w:t>arrojó</w:t>
      </w:r>
      <w:r w:rsidRPr="00767DBC">
        <w:rPr>
          <w:lang w:val="es-ES"/>
        </w:rPr>
        <w:t xml:space="preserve"> </w:t>
      </w:r>
      <w:proofErr w:type="spellStart"/>
      <w:r w:rsidRPr="00767DBC">
        <w:rPr>
          <w:lang w:val="es-ES"/>
        </w:rPr>
        <w:t>TIRs</w:t>
      </w:r>
      <w:proofErr w:type="spellEnd"/>
      <w:r w:rsidRPr="00767DBC">
        <w:rPr>
          <w:lang w:val="es-ES"/>
        </w:rPr>
        <w:t xml:space="preserve"> que van desde 20% hasta </w:t>
      </w:r>
      <w:r w:rsidRPr="007E07CA">
        <w:rPr>
          <w:szCs w:val="20"/>
          <w:lang w:val="es-ES"/>
        </w:rPr>
        <w:t>23%. Los beneficios asociados con los ahorros de combustible constituyen entre 65% y 70% de los beneficios totales, seguidos por los beneficios asociados con la sustitución de GLP (22% a 30%); los ahorros asociados con los costos de AOM y de emisiones de carbono son relativamente modestos. A continuación se presenta un resumen de los beneficios netos esperados:</w:t>
      </w:r>
    </w:p>
    <w:p w14:paraId="26AD1C19" w14:textId="77777777" w:rsidR="0069056F" w:rsidRPr="007E07CA" w:rsidRDefault="0069056F" w:rsidP="0069056F">
      <w:pPr>
        <w:pStyle w:val="Banknumbered"/>
        <w:numPr>
          <w:ilvl w:val="0"/>
          <w:numId w:val="0"/>
        </w:numPr>
        <w:rPr>
          <w:lang w:val="es-ES"/>
        </w:rPr>
      </w:pPr>
      <w:r w:rsidRPr="007E07CA">
        <w:rPr>
          <w:lang w:val="es-ES"/>
        </w:rPr>
        <w:t>Tabla 8.  Secuencia de beneficios netos M$)</w:t>
      </w:r>
    </w:p>
    <w:p w14:paraId="5A1BA9F2" w14:textId="77777777" w:rsidR="0069056F" w:rsidRDefault="0069056F" w:rsidP="0069056F">
      <w:pPr>
        <w:spacing w:before="120" w:after="120" w:line="360" w:lineRule="auto"/>
        <w:jc w:val="both"/>
        <w:rPr>
          <w:szCs w:val="20"/>
          <w:lang w:val="es-ES"/>
        </w:rPr>
      </w:pPr>
      <w:r w:rsidRPr="007E07CA">
        <w:rPr>
          <w:noProof/>
        </w:rPr>
        <w:drawing>
          <wp:inline distT="0" distB="0" distL="0" distR="0" wp14:anchorId="482BA598" wp14:editId="4D7CA311">
            <wp:extent cx="5816298" cy="723014"/>
            <wp:effectExtent l="0" t="0" r="0" b="1270"/>
            <wp:docPr id="2"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824855" cy="724078"/>
                    </a:xfrm>
                    <a:prstGeom prst="rect">
                      <a:avLst/>
                    </a:prstGeom>
                    <a:noFill/>
                    <a:ln>
                      <a:noFill/>
                    </a:ln>
                  </pic:spPr>
                </pic:pic>
              </a:graphicData>
            </a:graphic>
          </wp:inline>
        </w:drawing>
      </w:r>
    </w:p>
    <w:p w14:paraId="725391F6" w14:textId="77777777" w:rsidR="0069056F" w:rsidRDefault="0069056F" w:rsidP="0069056F">
      <w:pPr>
        <w:spacing w:before="120" w:after="120" w:line="360" w:lineRule="auto"/>
        <w:jc w:val="both"/>
        <w:rPr>
          <w:szCs w:val="20"/>
          <w:lang w:val="es-ES"/>
        </w:rPr>
      </w:pPr>
      <w:r w:rsidRPr="007E07CA">
        <w:rPr>
          <w:i/>
          <w:szCs w:val="20"/>
          <w:u w:val="single"/>
          <w:lang w:val="es-ES"/>
        </w:rPr>
        <w:t>Evaluación de la racionalización del consumo de GLP</w:t>
      </w:r>
      <w:r w:rsidRPr="007E07CA">
        <w:rPr>
          <w:i/>
          <w:szCs w:val="20"/>
          <w:lang w:val="es-ES"/>
        </w:rPr>
        <w:t>.</w:t>
      </w:r>
      <w:r w:rsidRPr="007E07CA">
        <w:rPr>
          <w:b/>
          <w:szCs w:val="20"/>
          <w:lang w:val="es-ES"/>
        </w:rPr>
        <w:t xml:space="preserve">  </w:t>
      </w:r>
      <w:r w:rsidRPr="007E07CA">
        <w:rPr>
          <w:szCs w:val="20"/>
          <w:lang w:val="es-ES"/>
        </w:rPr>
        <w:t>De igual manera, se demostró que el programa de reemplazo de GLP por electricidad tiene beneficios como: la reducción del consumo ineficiente inducido por el subsidio al GLP, la optimización de las cantidades de electricidad consumidas y la eliminación del contrabando. Los costos asociados con la racionalización del uso de GLP comprenden (i) las inversiones en equipos de los usuarios (cocinas e instalaciones internas) para sustituir el GLP por electricidad, y (ii) el costo de la energía eléctrica necesaria para sustituir el GLP (generación, transmisión y distribución).  La Tabla 9 resume los beneficios y costos correspondientes.</w:t>
      </w:r>
    </w:p>
    <w:p w14:paraId="0B137D89" w14:textId="77777777" w:rsidR="0069056F" w:rsidRPr="007E07CA" w:rsidRDefault="0069056F" w:rsidP="0069056F">
      <w:pPr>
        <w:keepNext/>
        <w:spacing w:before="120" w:after="120" w:line="360" w:lineRule="auto"/>
        <w:jc w:val="both"/>
        <w:rPr>
          <w:szCs w:val="20"/>
          <w:lang w:val="es-ES"/>
        </w:rPr>
      </w:pPr>
      <w:r w:rsidRPr="007E07CA">
        <w:rPr>
          <w:szCs w:val="20"/>
          <w:lang w:val="es-ES"/>
        </w:rPr>
        <w:lastRenderedPageBreak/>
        <w:t>Tabla 9. Beneficios y Costos de la Política de Sustitución de GLP</w:t>
      </w:r>
    </w:p>
    <w:p w14:paraId="05C3AB4B" w14:textId="77777777" w:rsidR="0069056F" w:rsidRPr="00C54F31" w:rsidRDefault="0069056F" w:rsidP="0069056F">
      <w:pPr>
        <w:spacing w:before="120" w:after="120" w:line="360" w:lineRule="auto"/>
        <w:jc w:val="center"/>
        <w:rPr>
          <w:szCs w:val="20"/>
          <w:lang w:val="es-ES"/>
        </w:rPr>
      </w:pPr>
      <w:r w:rsidRPr="007E07CA">
        <w:rPr>
          <w:noProof/>
        </w:rPr>
        <w:drawing>
          <wp:inline distT="0" distB="0" distL="0" distR="0" wp14:anchorId="41889DC4" wp14:editId="311932D5">
            <wp:extent cx="5890437" cy="2264735"/>
            <wp:effectExtent l="0" t="0" r="0" b="2540"/>
            <wp:docPr id="4"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893380" cy="2265867"/>
                    </a:xfrm>
                    <a:prstGeom prst="rect">
                      <a:avLst/>
                    </a:prstGeom>
                    <a:noFill/>
                    <a:ln>
                      <a:noFill/>
                    </a:ln>
                  </pic:spPr>
                </pic:pic>
              </a:graphicData>
            </a:graphic>
          </wp:inline>
        </w:drawing>
      </w:r>
    </w:p>
    <w:p w14:paraId="3E8F0A67" w14:textId="77777777" w:rsidR="0069056F" w:rsidRDefault="0069056F" w:rsidP="0069056F">
      <w:pPr>
        <w:spacing w:before="120" w:after="120" w:line="360" w:lineRule="auto"/>
        <w:jc w:val="both"/>
        <w:rPr>
          <w:szCs w:val="20"/>
          <w:lang w:val="es-ES"/>
        </w:rPr>
      </w:pPr>
      <w:r w:rsidRPr="007E07CA">
        <w:rPr>
          <w:szCs w:val="20"/>
          <w:lang w:val="es-ES"/>
        </w:rPr>
        <w:t>El resultado del caso base de la evaluación arroja una TIR de 14% y un VPN de US$16 millones. Un análisis de sensibilidad modificando parámetros como la elasticidad-precio del GLP, la electricidad y la reducción parcial del contrabando muestra una TIR que va hasta 26%.</w:t>
      </w:r>
    </w:p>
    <w:p w14:paraId="0A91D3D2" w14:textId="77777777" w:rsidR="0069056F" w:rsidRDefault="0069056F" w:rsidP="0069056F">
      <w:pPr>
        <w:spacing w:before="120" w:after="120" w:line="360" w:lineRule="auto"/>
        <w:jc w:val="center"/>
        <w:rPr>
          <w:szCs w:val="20"/>
          <w:lang w:val="es-ES"/>
        </w:rPr>
      </w:pPr>
      <w:r>
        <w:rPr>
          <w:noProof/>
        </w:rPr>
        <w:drawing>
          <wp:inline distT="0" distB="0" distL="0" distR="0" wp14:anchorId="2EBFEBEC" wp14:editId="13CA8EB5">
            <wp:extent cx="5513674" cy="1938136"/>
            <wp:effectExtent l="0" t="0" r="0" b="5080"/>
            <wp:docPr id="30"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513663" cy="1938132"/>
                    </a:xfrm>
                    <a:prstGeom prst="rect">
                      <a:avLst/>
                    </a:prstGeom>
                    <a:noFill/>
                    <a:ln>
                      <a:noFill/>
                    </a:ln>
                  </pic:spPr>
                </pic:pic>
              </a:graphicData>
            </a:graphic>
          </wp:inline>
        </w:drawing>
      </w:r>
    </w:p>
    <w:p w14:paraId="1777D889" w14:textId="77777777" w:rsidR="0069056F" w:rsidRPr="00767DBC" w:rsidRDefault="0069056F" w:rsidP="0069056F">
      <w:pPr>
        <w:pStyle w:val="Heading2"/>
        <w:spacing w:before="120" w:after="120"/>
        <w:rPr>
          <w:rStyle w:val="SubtleEmphasis"/>
          <w:color w:val="auto"/>
          <w:lang w:val="es-ES"/>
        </w:rPr>
      </w:pPr>
      <w:r w:rsidRPr="00767DBC">
        <w:rPr>
          <w:rStyle w:val="SubtleEmphasis"/>
          <w:color w:val="auto"/>
          <w:lang w:val="es-ES"/>
        </w:rPr>
        <w:t xml:space="preserve">Principales indicadores de </w:t>
      </w:r>
      <w:r w:rsidRPr="007E07CA">
        <w:rPr>
          <w:rStyle w:val="SubtleEmphasis"/>
          <w:color w:val="auto"/>
          <w:lang w:val="es-ES"/>
        </w:rPr>
        <w:t>resultado</w:t>
      </w:r>
      <w:r>
        <w:rPr>
          <w:rStyle w:val="SubtleEmphasis"/>
          <w:color w:val="auto"/>
          <w:lang w:val="es-ES"/>
        </w:rPr>
        <w:t>s</w:t>
      </w:r>
    </w:p>
    <w:p w14:paraId="6BBAD0EA" w14:textId="6B9E2CA9" w:rsidR="0069056F" w:rsidRDefault="0069056F" w:rsidP="0069056F">
      <w:pPr>
        <w:autoSpaceDE w:val="0"/>
        <w:autoSpaceDN w:val="0"/>
        <w:adjustRightInd w:val="0"/>
        <w:spacing w:before="120" w:after="120"/>
        <w:jc w:val="both"/>
        <w:rPr>
          <w:lang w:val="es-ES"/>
        </w:rPr>
      </w:pPr>
      <w:r w:rsidRPr="00767DBC">
        <w:rPr>
          <w:lang w:val="es-ES"/>
        </w:rPr>
        <w:t>Los principales indicadores de resultados a ser evaluados se presentan en la Tabla</w:t>
      </w:r>
      <w:r>
        <w:rPr>
          <w:lang w:val="es-ES"/>
        </w:rPr>
        <w:t> 10</w:t>
      </w:r>
      <w:r w:rsidRPr="00767DBC">
        <w:rPr>
          <w:lang w:val="es-ES"/>
        </w:rPr>
        <w:t xml:space="preserve">. </w:t>
      </w:r>
    </w:p>
    <w:p w14:paraId="4DAD990A" w14:textId="2E243586" w:rsidR="0069056F" w:rsidRDefault="0069056F" w:rsidP="0069056F">
      <w:pPr>
        <w:pStyle w:val="Caption"/>
        <w:keepNext/>
        <w:spacing w:before="120" w:after="120"/>
        <w:jc w:val="center"/>
        <w:rPr>
          <w:u w:val="none"/>
          <w:lang w:val="es-ES"/>
        </w:rPr>
      </w:pPr>
      <w:bookmarkStart w:id="13" w:name="_Ref323827233"/>
      <w:r w:rsidRPr="00767DBC">
        <w:rPr>
          <w:u w:val="none"/>
          <w:lang w:val="es-ES"/>
        </w:rPr>
        <w:t xml:space="preserve">Tabla </w:t>
      </w:r>
      <w:r>
        <w:rPr>
          <w:u w:val="none"/>
          <w:lang w:val="es-ES"/>
        </w:rPr>
        <w:t>10</w:t>
      </w:r>
      <w:r w:rsidRPr="00767DBC">
        <w:rPr>
          <w:u w:val="none"/>
          <w:lang w:val="es-ES"/>
        </w:rPr>
        <w:t xml:space="preserve">: </w:t>
      </w:r>
      <w:bookmarkEnd w:id="13"/>
      <w:r w:rsidRPr="00767DBC">
        <w:rPr>
          <w:u w:val="none"/>
          <w:lang w:val="es-ES"/>
        </w:rPr>
        <w:t>Indicadores de resultados</w:t>
      </w:r>
    </w:p>
    <w:tbl>
      <w:tblPr>
        <w:tblW w:w="532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76"/>
        <w:gridCol w:w="2285"/>
        <w:gridCol w:w="2495"/>
        <w:gridCol w:w="1028"/>
        <w:gridCol w:w="957"/>
        <w:gridCol w:w="1361"/>
      </w:tblGrid>
      <w:tr w:rsidR="0069056F" w:rsidRPr="00CF4837" w14:paraId="2940F809" w14:textId="77777777" w:rsidTr="0069056F">
        <w:trPr>
          <w:trHeight w:val="141"/>
          <w:tblHeader/>
        </w:trPr>
        <w:tc>
          <w:tcPr>
            <w:tcW w:w="1017" w:type="pct"/>
            <w:shd w:val="pct25" w:color="auto" w:fill="auto"/>
            <w:vAlign w:val="center"/>
          </w:tcPr>
          <w:p w14:paraId="17D50434" w14:textId="77777777" w:rsidR="0069056F" w:rsidRPr="00CF4837" w:rsidRDefault="0069056F" w:rsidP="00266D1B">
            <w:pPr>
              <w:jc w:val="center"/>
              <w:rPr>
                <w:b/>
                <w:sz w:val="18"/>
                <w:szCs w:val="18"/>
              </w:rPr>
            </w:pPr>
            <w:r w:rsidRPr="003164C2">
              <w:rPr>
                <w:b/>
                <w:sz w:val="18"/>
                <w:szCs w:val="18"/>
                <w:lang w:val="es-ES_tradnl"/>
              </w:rPr>
              <w:t>Objetivos</w:t>
            </w:r>
          </w:p>
        </w:tc>
        <w:tc>
          <w:tcPr>
            <w:tcW w:w="1120" w:type="pct"/>
            <w:shd w:val="pct25" w:color="auto" w:fill="auto"/>
            <w:vAlign w:val="center"/>
          </w:tcPr>
          <w:p w14:paraId="620F041F" w14:textId="77777777" w:rsidR="0069056F" w:rsidRPr="00CF4837" w:rsidRDefault="0069056F" w:rsidP="00266D1B">
            <w:pPr>
              <w:jc w:val="center"/>
              <w:rPr>
                <w:b/>
                <w:sz w:val="18"/>
                <w:szCs w:val="18"/>
              </w:rPr>
            </w:pPr>
            <w:proofErr w:type="spellStart"/>
            <w:r w:rsidRPr="00CF4837">
              <w:rPr>
                <w:b/>
                <w:sz w:val="18"/>
                <w:szCs w:val="18"/>
              </w:rPr>
              <w:t>Resultados</w:t>
            </w:r>
            <w:proofErr w:type="spellEnd"/>
          </w:p>
        </w:tc>
        <w:tc>
          <w:tcPr>
            <w:tcW w:w="1223" w:type="pct"/>
            <w:shd w:val="pct25" w:color="auto" w:fill="auto"/>
            <w:vAlign w:val="center"/>
          </w:tcPr>
          <w:p w14:paraId="751E132B" w14:textId="77777777" w:rsidR="0069056F" w:rsidRPr="00CF4837" w:rsidRDefault="0069056F" w:rsidP="00266D1B">
            <w:pPr>
              <w:jc w:val="center"/>
              <w:rPr>
                <w:b/>
                <w:sz w:val="18"/>
                <w:szCs w:val="18"/>
              </w:rPr>
            </w:pPr>
            <w:r w:rsidRPr="003164C2">
              <w:rPr>
                <w:b/>
                <w:sz w:val="18"/>
                <w:szCs w:val="18"/>
                <w:lang w:val="es-ES"/>
              </w:rPr>
              <w:t>Indicador</w:t>
            </w:r>
          </w:p>
        </w:tc>
        <w:tc>
          <w:tcPr>
            <w:tcW w:w="504" w:type="pct"/>
            <w:shd w:val="pct25" w:color="auto" w:fill="auto"/>
            <w:vAlign w:val="center"/>
          </w:tcPr>
          <w:p w14:paraId="1DD246C5" w14:textId="77777777" w:rsidR="0069056F" w:rsidRPr="00CF4837" w:rsidRDefault="0069056F" w:rsidP="00266D1B">
            <w:pPr>
              <w:jc w:val="center"/>
              <w:rPr>
                <w:b/>
                <w:sz w:val="18"/>
                <w:szCs w:val="18"/>
              </w:rPr>
            </w:pPr>
            <w:r w:rsidRPr="003164C2">
              <w:rPr>
                <w:b/>
                <w:sz w:val="18"/>
                <w:szCs w:val="18"/>
                <w:lang w:val="es-ES"/>
              </w:rPr>
              <w:t>Línea</w:t>
            </w:r>
            <w:r>
              <w:rPr>
                <w:b/>
                <w:sz w:val="18"/>
                <w:szCs w:val="18"/>
              </w:rPr>
              <w:t xml:space="preserve"> base (2013)</w:t>
            </w:r>
          </w:p>
        </w:tc>
        <w:tc>
          <w:tcPr>
            <w:tcW w:w="469" w:type="pct"/>
            <w:shd w:val="pct25" w:color="auto" w:fill="auto"/>
            <w:vAlign w:val="center"/>
          </w:tcPr>
          <w:p w14:paraId="26F1A77E" w14:textId="77777777" w:rsidR="0069056F" w:rsidRDefault="0069056F" w:rsidP="00266D1B">
            <w:pPr>
              <w:jc w:val="center"/>
              <w:rPr>
                <w:b/>
                <w:sz w:val="18"/>
                <w:szCs w:val="18"/>
              </w:rPr>
            </w:pPr>
            <w:r>
              <w:rPr>
                <w:b/>
                <w:sz w:val="18"/>
                <w:szCs w:val="18"/>
              </w:rPr>
              <w:t>Meta</w:t>
            </w:r>
          </w:p>
          <w:p w14:paraId="1FB361E5" w14:textId="77777777" w:rsidR="0069056F" w:rsidRPr="00CF4837" w:rsidRDefault="0069056F" w:rsidP="00266D1B">
            <w:pPr>
              <w:jc w:val="center"/>
              <w:rPr>
                <w:b/>
                <w:sz w:val="18"/>
                <w:szCs w:val="18"/>
              </w:rPr>
            </w:pPr>
            <w:r>
              <w:rPr>
                <w:b/>
                <w:sz w:val="18"/>
                <w:szCs w:val="18"/>
              </w:rPr>
              <w:t>(2018)</w:t>
            </w:r>
          </w:p>
        </w:tc>
        <w:tc>
          <w:tcPr>
            <w:tcW w:w="667" w:type="pct"/>
            <w:shd w:val="pct25" w:color="auto" w:fill="auto"/>
            <w:vAlign w:val="center"/>
          </w:tcPr>
          <w:p w14:paraId="3FBF4EDB" w14:textId="77777777" w:rsidR="0069056F" w:rsidRDefault="0069056F" w:rsidP="00266D1B">
            <w:pPr>
              <w:jc w:val="center"/>
              <w:rPr>
                <w:b/>
                <w:sz w:val="18"/>
                <w:szCs w:val="18"/>
              </w:rPr>
            </w:pPr>
            <w:r w:rsidRPr="000072AB">
              <w:rPr>
                <w:b/>
                <w:sz w:val="18"/>
                <w:szCs w:val="18"/>
                <w:lang w:val="es-ES"/>
              </w:rPr>
              <w:t>Medios</w:t>
            </w:r>
            <w:r>
              <w:rPr>
                <w:b/>
                <w:sz w:val="18"/>
                <w:szCs w:val="18"/>
              </w:rPr>
              <w:t xml:space="preserve"> de </w:t>
            </w:r>
            <w:r w:rsidRPr="000072AB">
              <w:rPr>
                <w:b/>
                <w:sz w:val="18"/>
                <w:szCs w:val="18"/>
                <w:lang w:val="es-ES_tradnl"/>
              </w:rPr>
              <w:t>verificación</w:t>
            </w:r>
          </w:p>
        </w:tc>
      </w:tr>
      <w:tr w:rsidR="0069056F" w:rsidRPr="009A3419" w14:paraId="689F3FA0" w14:textId="77777777" w:rsidTr="00266D1B">
        <w:trPr>
          <w:trHeight w:val="141"/>
        </w:trPr>
        <w:tc>
          <w:tcPr>
            <w:tcW w:w="5000" w:type="pct"/>
            <w:gridSpan w:val="6"/>
            <w:vAlign w:val="center"/>
          </w:tcPr>
          <w:p w14:paraId="3C7827E5" w14:textId="77777777" w:rsidR="0069056F" w:rsidRPr="00CF4837" w:rsidRDefault="0069056F" w:rsidP="00266D1B">
            <w:pPr>
              <w:rPr>
                <w:color w:val="000000"/>
                <w:sz w:val="18"/>
                <w:szCs w:val="18"/>
                <w:lang w:val="es-ES_tradnl"/>
              </w:rPr>
            </w:pPr>
            <w:r w:rsidRPr="00CF4837">
              <w:rPr>
                <w:b/>
                <w:color w:val="000000"/>
                <w:sz w:val="18"/>
                <w:szCs w:val="18"/>
                <w:lang w:val="es-ES_tradnl"/>
              </w:rPr>
              <w:t>I. Marco General de Políticos Macroeconómicas</w:t>
            </w:r>
          </w:p>
        </w:tc>
      </w:tr>
      <w:tr w:rsidR="0069056F" w:rsidRPr="00CF7759" w14:paraId="3B429BED" w14:textId="77777777" w:rsidTr="0069056F">
        <w:trPr>
          <w:trHeight w:val="141"/>
        </w:trPr>
        <w:tc>
          <w:tcPr>
            <w:tcW w:w="1017" w:type="pct"/>
            <w:vAlign w:val="center"/>
          </w:tcPr>
          <w:p w14:paraId="4058C93F" w14:textId="77777777" w:rsidR="0069056F" w:rsidRPr="007E0583" w:rsidRDefault="0069056F" w:rsidP="00266D1B">
            <w:pPr>
              <w:rPr>
                <w:sz w:val="18"/>
                <w:szCs w:val="18"/>
                <w:lang w:val="es-CO"/>
              </w:rPr>
            </w:pPr>
            <w:r w:rsidRPr="00CF4837">
              <w:rPr>
                <w:color w:val="000000"/>
                <w:sz w:val="18"/>
                <w:szCs w:val="18"/>
                <w:lang w:val="es-ES_tradnl"/>
              </w:rPr>
              <w:t>Marco General de Políticas Macroeconómicas estable.</w:t>
            </w:r>
          </w:p>
        </w:tc>
        <w:tc>
          <w:tcPr>
            <w:tcW w:w="1120" w:type="pct"/>
            <w:vAlign w:val="center"/>
          </w:tcPr>
          <w:p w14:paraId="292D53D9" w14:textId="77777777" w:rsidR="0069056F" w:rsidRPr="00CF4837" w:rsidRDefault="0069056F" w:rsidP="00266D1B">
            <w:pPr>
              <w:rPr>
                <w:sz w:val="18"/>
                <w:szCs w:val="18"/>
                <w:lang w:val="es-ES_tradnl"/>
              </w:rPr>
            </w:pPr>
            <w:r w:rsidRPr="00CF4837">
              <w:rPr>
                <w:color w:val="000000"/>
                <w:sz w:val="18"/>
                <w:szCs w:val="18"/>
                <w:lang w:val="es-ES_tradnl"/>
              </w:rPr>
              <w:t xml:space="preserve">Marco macroeconómico consistente con los objetivos del Programa y con los lineamientos establecidos en </w:t>
            </w:r>
            <w:r w:rsidRPr="00CF4837">
              <w:rPr>
                <w:color w:val="000000"/>
                <w:sz w:val="18"/>
                <w:szCs w:val="18"/>
                <w:lang w:val="es-ES_tradnl"/>
              </w:rPr>
              <w:lastRenderedPageBreak/>
              <w:t>la carta de política sectorial.</w:t>
            </w:r>
          </w:p>
        </w:tc>
        <w:tc>
          <w:tcPr>
            <w:tcW w:w="1223" w:type="pct"/>
            <w:shd w:val="clear" w:color="auto" w:fill="auto"/>
            <w:vAlign w:val="center"/>
          </w:tcPr>
          <w:p w14:paraId="4AF67D21" w14:textId="77777777" w:rsidR="0069056F" w:rsidRPr="00CF4837" w:rsidRDefault="0069056F" w:rsidP="00266D1B">
            <w:pPr>
              <w:rPr>
                <w:color w:val="000000"/>
                <w:sz w:val="18"/>
                <w:szCs w:val="18"/>
                <w:lang w:val="es-ES_tradnl"/>
              </w:rPr>
            </w:pPr>
            <w:r>
              <w:rPr>
                <w:color w:val="000000"/>
                <w:sz w:val="18"/>
                <w:szCs w:val="18"/>
                <w:lang w:val="es-ES_tradnl"/>
              </w:rPr>
              <w:lastRenderedPageBreak/>
              <w:t>Opinión técnica FMI - Marco macroeconómico estable.</w:t>
            </w:r>
          </w:p>
        </w:tc>
        <w:tc>
          <w:tcPr>
            <w:tcW w:w="504" w:type="pct"/>
            <w:shd w:val="clear" w:color="auto" w:fill="auto"/>
            <w:vAlign w:val="center"/>
          </w:tcPr>
          <w:p w14:paraId="6D2B37E6" w14:textId="77777777" w:rsidR="0069056F" w:rsidRPr="00CF4837" w:rsidRDefault="0069056F" w:rsidP="00266D1B">
            <w:pPr>
              <w:jc w:val="center"/>
              <w:rPr>
                <w:color w:val="000000"/>
                <w:sz w:val="18"/>
                <w:szCs w:val="18"/>
                <w:lang w:val="es-ES_tradnl"/>
              </w:rPr>
            </w:pPr>
            <w:r>
              <w:rPr>
                <w:color w:val="000000"/>
                <w:sz w:val="18"/>
                <w:szCs w:val="18"/>
                <w:lang w:val="es-ES_tradnl"/>
              </w:rPr>
              <w:t>1</w:t>
            </w:r>
          </w:p>
        </w:tc>
        <w:tc>
          <w:tcPr>
            <w:tcW w:w="469" w:type="pct"/>
            <w:shd w:val="clear" w:color="auto" w:fill="auto"/>
            <w:vAlign w:val="center"/>
          </w:tcPr>
          <w:p w14:paraId="2E0C5563" w14:textId="77777777" w:rsidR="0069056F" w:rsidRPr="00CF4837" w:rsidRDefault="0069056F" w:rsidP="00266D1B">
            <w:pPr>
              <w:jc w:val="center"/>
              <w:rPr>
                <w:color w:val="000000"/>
                <w:sz w:val="18"/>
                <w:szCs w:val="18"/>
                <w:lang w:val="es-ES_tradnl"/>
              </w:rPr>
            </w:pPr>
            <w:r>
              <w:rPr>
                <w:color w:val="000000"/>
                <w:sz w:val="18"/>
                <w:szCs w:val="18"/>
                <w:lang w:val="es-ES_tradnl"/>
              </w:rPr>
              <w:t>1</w:t>
            </w:r>
          </w:p>
        </w:tc>
        <w:tc>
          <w:tcPr>
            <w:tcW w:w="667" w:type="pct"/>
            <w:shd w:val="clear" w:color="auto" w:fill="auto"/>
            <w:vAlign w:val="center"/>
          </w:tcPr>
          <w:p w14:paraId="2A3480EC" w14:textId="77777777" w:rsidR="0069056F" w:rsidRPr="00CF4837" w:rsidRDefault="0069056F" w:rsidP="00266D1B">
            <w:pPr>
              <w:jc w:val="center"/>
              <w:rPr>
                <w:color w:val="000000"/>
                <w:sz w:val="18"/>
                <w:szCs w:val="18"/>
                <w:lang w:val="es-ES_tradnl"/>
              </w:rPr>
            </w:pPr>
            <w:r>
              <w:rPr>
                <w:color w:val="000000"/>
                <w:sz w:val="18"/>
                <w:szCs w:val="18"/>
                <w:lang w:val="es-ES_tradnl"/>
              </w:rPr>
              <w:t>Consulta Artículo IV del FMI</w:t>
            </w:r>
          </w:p>
        </w:tc>
      </w:tr>
      <w:tr w:rsidR="0069056F" w:rsidRPr="007E0583" w14:paraId="00EC94A4" w14:textId="77777777" w:rsidTr="00266D1B">
        <w:trPr>
          <w:trHeight w:val="141"/>
        </w:trPr>
        <w:tc>
          <w:tcPr>
            <w:tcW w:w="5000" w:type="pct"/>
            <w:gridSpan w:val="6"/>
            <w:vAlign w:val="center"/>
          </w:tcPr>
          <w:p w14:paraId="0564A3CD" w14:textId="77777777" w:rsidR="0069056F" w:rsidRDefault="0069056F" w:rsidP="00266D1B">
            <w:pPr>
              <w:rPr>
                <w:sz w:val="18"/>
                <w:szCs w:val="18"/>
                <w:lang w:val="es-ES_tradnl"/>
              </w:rPr>
            </w:pPr>
            <w:r w:rsidRPr="00CF4837">
              <w:rPr>
                <w:b/>
                <w:color w:val="000000"/>
                <w:sz w:val="18"/>
                <w:szCs w:val="18"/>
                <w:lang w:val="es-ES_tradnl"/>
              </w:rPr>
              <w:lastRenderedPageBreak/>
              <w:t xml:space="preserve">II. </w:t>
            </w:r>
            <w:r w:rsidRPr="007313DA">
              <w:rPr>
                <w:b/>
                <w:color w:val="000000"/>
                <w:sz w:val="18"/>
                <w:szCs w:val="18"/>
                <w:lang w:val="es-ES_tradnl"/>
              </w:rPr>
              <w:t>Sector energético sostenible</w:t>
            </w:r>
          </w:p>
        </w:tc>
      </w:tr>
      <w:tr w:rsidR="0069056F" w:rsidRPr="00CF7759" w14:paraId="1287CF46" w14:textId="77777777" w:rsidTr="0069056F">
        <w:trPr>
          <w:trHeight w:val="476"/>
        </w:trPr>
        <w:tc>
          <w:tcPr>
            <w:tcW w:w="1017" w:type="pct"/>
            <w:vMerge w:val="restart"/>
            <w:vAlign w:val="center"/>
          </w:tcPr>
          <w:p w14:paraId="0F0F0EA7" w14:textId="77777777" w:rsidR="0069056F" w:rsidRPr="007313DA" w:rsidRDefault="0069056F" w:rsidP="00266D1B">
            <w:pPr>
              <w:autoSpaceDE w:val="0"/>
              <w:autoSpaceDN w:val="0"/>
              <w:adjustRightInd w:val="0"/>
              <w:rPr>
                <w:sz w:val="18"/>
                <w:szCs w:val="18"/>
                <w:lang w:val="es-ES_tradnl"/>
              </w:rPr>
            </w:pPr>
            <w:r w:rsidRPr="002A2D18">
              <w:rPr>
                <w:bCs/>
                <w:color w:val="000000"/>
                <w:sz w:val="18"/>
                <w:lang w:val="es-MX"/>
              </w:rPr>
              <w:t>Definición de una estrategia</w:t>
            </w:r>
            <w:r>
              <w:rPr>
                <w:bCs/>
                <w:color w:val="000000"/>
                <w:sz w:val="18"/>
                <w:lang w:val="es-MX"/>
              </w:rPr>
              <w:t xml:space="preserve"> e implementación de acciones</w:t>
            </w:r>
            <w:r w:rsidRPr="002A2D18">
              <w:rPr>
                <w:bCs/>
                <w:color w:val="000000"/>
                <w:sz w:val="18"/>
                <w:lang w:val="es-MX"/>
              </w:rPr>
              <w:t xml:space="preserve"> encaminada</w:t>
            </w:r>
            <w:r>
              <w:rPr>
                <w:bCs/>
                <w:color w:val="000000"/>
                <w:sz w:val="18"/>
                <w:lang w:val="es-MX"/>
              </w:rPr>
              <w:t>s</w:t>
            </w:r>
            <w:r w:rsidRPr="002A2D18">
              <w:rPr>
                <w:bCs/>
                <w:color w:val="000000"/>
                <w:sz w:val="18"/>
                <w:lang w:val="es-MX"/>
              </w:rPr>
              <w:t xml:space="preserve"> a la reducción del consumo y </w:t>
            </w:r>
            <w:r>
              <w:rPr>
                <w:bCs/>
                <w:color w:val="000000"/>
                <w:sz w:val="18"/>
                <w:lang w:val="es-MX"/>
              </w:rPr>
              <w:t xml:space="preserve">sustitución de </w:t>
            </w:r>
            <w:r w:rsidRPr="002A2D18">
              <w:rPr>
                <w:bCs/>
                <w:color w:val="000000"/>
                <w:sz w:val="18"/>
                <w:lang w:val="es-MX"/>
              </w:rPr>
              <w:t>subsidios asociados a combustibles fósiles</w:t>
            </w:r>
            <w:r>
              <w:rPr>
                <w:bCs/>
                <w:color w:val="000000"/>
                <w:sz w:val="18"/>
                <w:lang w:val="es-MX"/>
              </w:rPr>
              <w:t xml:space="preserve"> en el sector residencial y en la generación eléctrica.</w:t>
            </w:r>
          </w:p>
        </w:tc>
        <w:tc>
          <w:tcPr>
            <w:tcW w:w="1120" w:type="pct"/>
            <w:vAlign w:val="center"/>
          </w:tcPr>
          <w:p w14:paraId="4FB1E38D" w14:textId="77777777" w:rsidR="0069056F" w:rsidRPr="00CF4837" w:rsidRDefault="0069056F" w:rsidP="00266D1B">
            <w:pPr>
              <w:rPr>
                <w:sz w:val="18"/>
                <w:szCs w:val="18"/>
                <w:lang w:val="es-ES_tradnl"/>
              </w:rPr>
            </w:pPr>
            <w:r>
              <w:rPr>
                <w:sz w:val="18"/>
                <w:szCs w:val="18"/>
                <w:lang w:val="es-ES_tradnl"/>
              </w:rPr>
              <w:t xml:space="preserve">Reducción de las importaciones de derivados de petróleo. </w:t>
            </w:r>
          </w:p>
        </w:tc>
        <w:tc>
          <w:tcPr>
            <w:tcW w:w="1223" w:type="pct"/>
            <w:vAlign w:val="center"/>
          </w:tcPr>
          <w:p w14:paraId="7673771E" w14:textId="77777777" w:rsidR="0069056F" w:rsidRPr="0074099D" w:rsidRDefault="0069056F" w:rsidP="00266D1B">
            <w:pPr>
              <w:rPr>
                <w:sz w:val="18"/>
                <w:szCs w:val="18"/>
                <w:lang w:val="es-ES_tradnl"/>
              </w:rPr>
            </w:pPr>
            <w:r>
              <w:rPr>
                <w:sz w:val="18"/>
                <w:szCs w:val="18"/>
                <w:lang w:val="es-AR"/>
              </w:rPr>
              <w:t xml:space="preserve">Barriles Equivalentes de Petróleo (BEP) de combustibles derivados del petróleo importado anualmente (Millones BEP). </w:t>
            </w:r>
          </w:p>
        </w:tc>
        <w:tc>
          <w:tcPr>
            <w:tcW w:w="504" w:type="pct"/>
            <w:vAlign w:val="center"/>
          </w:tcPr>
          <w:p w14:paraId="46ADA8CB" w14:textId="77777777" w:rsidR="0069056F" w:rsidRPr="00CF4837" w:rsidRDefault="0069056F" w:rsidP="00266D1B">
            <w:pPr>
              <w:jc w:val="center"/>
              <w:rPr>
                <w:color w:val="000000"/>
                <w:sz w:val="18"/>
                <w:szCs w:val="18"/>
                <w:lang w:val="es-ES_tradnl"/>
              </w:rPr>
            </w:pPr>
            <w:r>
              <w:rPr>
                <w:sz w:val="18"/>
                <w:szCs w:val="18"/>
                <w:lang w:val="es-ES_tradnl"/>
              </w:rPr>
              <w:t>36,8</w:t>
            </w:r>
          </w:p>
        </w:tc>
        <w:tc>
          <w:tcPr>
            <w:tcW w:w="469" w:type="pct"/>
            <w:vAlign w:val="center"/>
          </w:tcPr>
          <w:p w14:paraId="0F3146FF" w14:textId="77777777" w:rsidR="0069056F" w:rsidRPr="00CF4837" w:rsidRDefault="0069056F" w:rsidP="00266D1B">
            <w:pPr>
              <w:jc w:val="center"/>
              <w:rPr>
                <w:sz w:val="18"/>
                <w:szCs w:val="18"/>
                <w:lang w:val="es-ES_tradnl"/>
              </w:rPr>
            </w:pPr>
            <w:r>
              <w:rPr>
                <w:sz w:val="18"/>
                <w:szCs w:val="18"/>
                <w:lang w:val="es-ES_tradnl"/>
              </w:rPr>
              <w:t>25</w:t>
            </w:r>
          </w:p>
        </w:tc>
        <w:tc>
          <w:tcPr>
            <w:tcW w:w="667" w:type="pct"/>
            <w:shd w:val="clear" w:color="auto" w:fill="auto"/>
            <w:vAlign w:val="center"/>
          </w:tcPr>
          <w:p w14:paraId="707D508B" w14:textId="77777777" w:rsidR="0069056F" w:rsidRDefault="0069056F" w:rsidP="00266D1B">
            <w:pPr>
              <w:jc w:val="center"/>
              <w:rPr>
                <w:sz w:val="18"/>
                <w:szCs w:val="18"/>
                <w:lang w:val="es-ES_tradnl"/>
              </w:rPr>
            </w:pPr>
            <w:r>
              <w:rPr>
                <w:sz w:val="18"/>
                <w:szCs w:val="18"/>
                <w:lang w:val="es-ES_tradnl"/>
              </w:rPr>
              <w:t>Estadísticas Banco Central del Ecuador</w:t>
            </w:r>
          </w:p>
        </w:tc>
      </w:tr>
      <w:tr w:rsidR="0069056F" w:rsidRPr="002F7376" w14:paraId="74C5E5B2" w14:textId="77777777" w:rsidTr="0069056F">
        <w:trPr>
          <w:trHeight w:val="476"/>
        </w:trPr>
        <w:tc>
          <w:tcPr>
            <w:tcW w:w="1017" w:type="pct"/>
            <w:vMerge/>
            <w:vAlign w:val="center"/>
          </w:tcPr>
          <w:p w14:paraId="7F275DC2" w14:textId="77777777" w:rsidR="0069056F" w:rsidRPr="002A2D18" w:rsidRDefault="0069056F" w:rsidP="00266D1B">
            <w:pPr>
              <w:autoSpaceDE w:val="0"/>
              <w:autoSpaceDN w:val="0"/>
              <w:adjustRightInd w:val="0"/>
              <w:rPr>
                <w:bCs/>
                <w:color w:val="000000"/>
                <w:sz w:val="18"/>
                <w:lang w:val="es-MX"/>
              </w:rPr>
            </w:pPr>
          </w:p>
        </w:tc>
        <w:tc>
          <w:tcPr>
            <w:tcW w:w="1120" w:type="pct"/>
            <w:vAlign w:val="center"/>
          </w:tcPr>
          <w:p w14:paraId="2444D78F" w14:textId="77777777" w:rsidR="0069056F" w:rsidRPr="007F579E" w:rsidRDefault="0069056F" w:rsidP="00266D1B">
            <w:pPr>
              <w:rPr>
                <w:sz w:val="18"/>
                <w:szCs w:val="18"/>
                <w:lang w:val="es-ES_tradnl"/>
              </w:rPr>
            </w:pPr>
            <w:r>
              <w:rPr>
                <w:sz w:val="18"/>
                <w:szCs w:val="18"/>
                <w:lang w:val="es-ES_tradnl"/>
              </w:rPr>
              <w:t xml:space="preserve">Reducción </w:t>
            </w:r>
            <w:r w:rsidRPr="007F579E">
              <w:rPr>
                <w:sz w:val="18"/>
                <w:szCs w:val="18"/>
                <w:lang w:val="es-ES_tradnl"/>
              </w:rPr>
              <w:t xml:space="preserve"> de CO</w:t>
            </w:r>
            <w:r w:rsidRPr="007F579E">
              <w:rPr>
                <w:sz w:val="18"/>
                <w:szCs w:val="18"/>
                <w:vertAlign w:val="subscript"/>
                <w:lang w:val="es-ES_tradnl"/>
              </w:rPr>
              <w:t>2.</w:t>
            </w:r>
          </w:p>
        </w:tc>
        <w:tc>
          <w:tcPr>
            <w:tcW w:w="1223" w:type="pct"/>
            <w:vAlign w:val="center"/>
          </w:tcPr>
          <w:p w14:paraId="000E5B00" w14:textId="77777777" w:rsidR="0069056F" w:rsidRPr="007F579E" w:rsidRDefault="0069056F" w:rsidP="00266D1B">
            <w:pPr>
              <w:rPr>
                <w:sz w:val="18"/>
                <w:szCs w:val="18"/>
                <w:lang w:val="es-AR"/>
              </w:rPr>
            </w:pPr>
            <w:r w:rsidRPr="007F579E">
              <w:rPr>
                <w:sz w:val="18"/>
                <w:szCs w:val="18"/>
                <w:lang w:val="es-AR"/>
              </w:rPr>
              <w:t>Emisiones de CO</w:t>
            </w:r>
            <w:r w:rsidRPr="007F579E">
              <w:rPr>
                <w:sz w:val="18"/>
                <w:szCs w:val="18"/>
                <w:vertAlign w:val="subscript"/>
                <w:lang w:val="es-AR"/>
              </w:rPr>
              <w:t>2</w:t>
            </w:r>
            <w:r w:rsidRPr="007F579E">
              <w:rPr>
                <w:sz w:val="18"/>
                <w:szCs w:val="18"/>
                <w:lang w:val="es-AR"/>
              </w:rPr>
              <w:t xml:space="preserve"> anuales (Ton</w:t>
            </w:r>
            <w:r>
              <w:rPr>
                <w:sz w:val="18"/>
                <w:szCs w:val="18"/>
                <w:lang w:val="es-AR"/>
              </w:rPr>
              <w:t xml:space="preserve"> </w:t>
            </w:r>
            <w:proofErr w:type="spellStart"/>
            <w:r>
              <w:rPr>
                <w:sz w:val="18"/>
                <w:szCs w:val="18"/>
                <w:lang w:val="es-AR"/>
              </w:rPr>
              <w:t>eq</w:t>
            </w:r>
            <w:proofErr w:type="spellEnd"/>
            <w:r>
              <w:rPr>
                <w:sz w:val="18"/>
                <w:szCs w:val="18"/>
                <w:lang w:val="es-AR"/>
              </w:rPr>
              <w:t>.</w:t>
            </w:r>
            <w:r w:rsidRPr="007F579E">
              <w:rPr>
                <w:sz w:val="18"/>
                <w:szCs w:val="18"/>
                <w:lang w:val="es-AR"/>
              </w:rPr>
              <w:t xml:space="preserve"> CO</w:t>
            </w:r>
            <w:r w:rsidRPr="007F579E">
              <w:rPr>
                <w:sz w:val="18"/>
                <w:szCs w:val="18"/>
                <w:vertAlign w:val="subscript"/>
                <w:lang w:val="es-AR"/>
              </w:rPr>
              <w:t>2</w:t>
            </w:r>
            <w:r w:rsidRPr="007F579E">
              <w:rPr>
                <w:sz w:val="18"/>
                <w:szCs w:val="18"/>
                <w:lang w:val="es-AR"/>
              </w:rPr>
              <w:t>).</w:t>
            </w:r>
          </w:p>
        </w:tc>
        <w:tc>
          <w:tcPr>
            <w:tcW w:w="504" w:type="pct"/>
            <w:vAlign w:val="center"/>
          </w:tcPr>
          <w:p w14:paraId="41C5BE81" w14:textId="77777777" w:rsidR="0069056F" w:rsidRPr="007F579E" w:rsidRDefault="0069056F" w:rsidP="00266D1B">
            <w:pPr>
              <w:jc w:val="center"/>
              <w:rPr>
                <w:sz w:val="18"/>
                <w:szCs w:val="18"/>
                <w:lang w:val="es-ES_tradnl"/>
              </w:rPr>
            </w:pPr>
            <w:r w:rsidRPr="007F579E">
              <w:rPr>
                <w:sz w:val="18"/>
                <w:szCs w:val="18"/>
                <w:lang w:val="es-AR"/>
              </w:rPr>
              <w:t xml:space="preserve">3,7 </w:t>
            </w:r>
          </w:p>
        </w:tc>
        <w:tc>
          <w:tcPr>
            <w:tcW w:w="469" w:type="pct"/>
            <w:vAlign w:val="center"/>
          </w:tcPr>
          <w:p w14:paraId="5A2A3AD9" w14:textId="77777777" w:rsidR="0069056F" w:rsidRPr="007F579E" w:rsidRDefault="0069056F" w:rsidP="00266D1B">
            <w:pPr>
              <w:jc w:val="center"/>
              <w:rPr>
                <w:sz w:val="18"/>
                <w:szCs w:val="18"/>
                <w:lang w:val="es-ES_tradnl"/>
              </w:rPr>
            </w:pPr>
            <w:r w:rsidRPr="007F579E">
              <w:rPr>
                <w:sz w:val="18"/>
                <w:szCs w:val="18"/>
                <w:lang w:val="es-AR"/>
              </w:rPr>
              <w:t>2,0</w:t>
            </w:r>
          </w:p>
        </w:tc>
        <w:tc>
          <w:tcPr>
            <w:tcW w:w="667" w:type="pct"/>
            <w:shd w:val="clear" w:color="auto" w:fill="auto"/>
            <w:vAlign w:val="center"/>
          </w:tcPr>
          <w:p w14:paraId="21207219" w14:textId="77777777" w:rsidR="0069056F" w:rsidRDefault="0069056F" w:rsidP="00266D1B">
            <w:pPr>
              <w:jc w:val="center"/>
              <w:rPr>
                <w:sz w:val="18"/>
                <w:szCs w:val="18"/>
                <w:lang w:val="es-ES_tradnl"/>
              </w:rPr>
            </w:pPr>
            <w:r w:rsidRPr="00D446EA">
              <w:rPr>
                <w:sz w:val="18"/>
                <w:szCs w:val="18"/>
                <w:lang w:val="es-ES_tradnl"/>
              </w:rPr>
              <w:t>Ba</w:t>
            </w:r>
            <w:r>
              <w:rPr>
                <w:sz w:val="18"/>
                <w:szCs w:val="18"/>
                <w:lang w:val="es-ES_tradnl"/>
              </w:rPr>
              <w:t>lance Energético Nacional - MISE</w:t>
            </w:r>
          </w:p>
        </w:tc>
      </w:tr>
      <w:tr w:rsidR="0069056F" w:rsidRPr="00CF7759" w14:paraId="260339D7" w14:textId="77777777" w:rsidTr="0069056F">
        <w:trPr>
          <w:trHeight w:val="476"/>
        </w:trPr>
        <w:tc>
          <w:tcPr>
            <w:tcW w:w="1017" w:type="pct"/>
            <w:vMerge/>
            <w:vAlign w:val="center"/>
          </w:tcPr>
          <w:p w14:paraId="6709DBD7" w14:textId="77777777" w:rsidR="0069056F" w:rsidRPr="002A2D18" w:rsidRDefault="0069056F" w:rsidP="00266D1B">
            <w:pPr>
              <w:autoSpaceDE w:val="0"/>
              <w:autoSpaceDN w:val="0"/>
              <w:adjustRightInd w:val="0"/>
              <w:rPr>
                <w:bCs/>
                <w:color w:val="000000"/>
                <w:sz w:val="18"/>
                <w:lang w:val="es-MX"/>
              </w:rPr>
            </w:pPr>
          </w:p>
        </w:tc>
        <w:tc>
          <w:tcPr>
            <w:tcW w:w="1120" w:type="pct"/>
            <w:vAlign w:val="center"/>
          </w:tcPr>
          <w:p w14:paraId="0043C2D1" w14:textId="77777777" w:rsidR="0069056F" w:rsidRPr="007F579E" w:rsidRDefault="0069056F" w:rsidP="00266D1B">
            <w:pPr>
              <w:rPr>
                <w:sz w:val="18"/>
                <w:szCs w:val="18"/>
                <w:lang w:val="es-ES_tradnl"/>
              </w:rPr>
            </w:pPr>
            <w:r w:rsidRPr="007F579E">
              <w:rPr>
                <w:sz w:val="18"/>
                <w:szCs w:val="18"/>
                <w:lang w:val="es-ES_tradnl"/>
              </w:rPr>
              <w:t>Reducción de los subsid</w:t>
            </w:r>
            <w:r>
              <w:rPr>
                <w:sz w:val="18"/>
                <w:szCs w:val="18"/>
                <w:lang w:val="es-ES_tradnl"/>
              </w:rPr>
              <w:t>i</w:t>
            </w:r>
            <w:r w:rsidRPr="007F579E">
              <w:rPr>
                <w:sz w:val="18"/>
                <w:szCs w:val="18"/>
                <w:lang w:val="es-ES_tradnl"/>
              </w:rPr>
              <w:t>os asociados al consumo de GLP.</w:t>
            </w:r>
          </w:p>
        </w:tc>
        <w:tc>
          <w:tcPr>
            <w:tcW w:w="1223" w:type="pct"/>
            <w:vAlign w:val="center"/>
          </w:tcPr>
          <w:p w14:paraId="42957B21" w14:textId="77777777" w:rsidR="0069056F" w:rsidRPr="007F579E" w:rsidRDefault="0069056F" w:rsidP="00266D1B">
            <w:pPr>
              <w:rPr>
                <w:sz w:val="18"/>
                <w:szCs w:val="18"/>
                <w:lang w:val="es-AR"/>
              </w:rPr>
            </w:pPr>
            <w:r>
              <w:rPr>
                <w:sz w:val="18"/>
                <w:szCs w:val="18"/>
                <w:lang w:val="es-AR"/>
              </w:rPr>
              <w:t xml:space="preserve">Subsidio anual asociado al consumo de GLP en el país (US$ millones) </w:t>
            </w:r>
          </w:p>
        </w:tc>
        <w:tc>
          <w:tcPr>
            <w:tcW w:w="504" w:type="pct"/>
            <w:vAlign w:val="center"/>
          </w:tcPr>
          <w:p w14:paraId="7BA18B76" w14:textId="77777777" w:rsidR="0069056F" w:rsidRPr="007F579E" w:rsidRDefault="0069056F" w:rsidP="00266D1B">
            <w:pPr>
              <w:jc w:val="center"/>
              <w:rPr>
                <w:sz w:val="18"/>
                <w:szCs w:val="18"/>
                <w:lang w:val="es-AR"/>
              </w:rPr>
            </w:pPr>
            <w:r>
              <w:rPr>
                <w:sz w:val="18"/>
                <w:szCs w:val="18"/>
                <w:lang w:val="es-MX"/>
              </w:rPr>
              <w:t>676,807</w:t>
            </w:r>
          </w:p>
        </w:tc>
        <w:tc>
          <w:tcPr>
            <w:tcW w:w="469" w:type="pct"/>
            <w:vAlign w:val="center"/>
          </w:tcPr>
          <w:p w14:paraId="7F701A5C" w14:textId="77777777" w:rsidR="0069056F" w:rsidRPr="007F579E" w:rsidRDefault="0069056F" w:rsidP="00266D1B">
            <w:pPr>
              <w:jc w:val="center"/>
              <w:rPr>
                <w:sz w:val="18"/>
                <w:szCs w:val="18"/>
                <w:lang w:val="es-AR"/>
              </w:rPr>
            </w:pPr>
            <w:r>
              <w:rPr>
                <w:sz w:val="18"/>
                <w:szCs w:val="18"/>
                <w:lang w:val="es-AR"/>
              </w:rPr>
              <w:t>406.084</w:t>
            </w:r>
            <w:r>
              <w:rPr>
                <w:rStyle w:val="FootnoteReference"/>
                <w:sz w:val="18"/>
                <w:szCs w:val="18"/>
                <w:lang w:val="es-AR"/>
              </w:rPr>
              <w:footnoteReference w:id="9"/>
            </w:r>
          </w:p>
        </w:tc>
        <w:tc>
          <w:tcPr>
            <w:tcW w:w="667" w:type="pct"/>
            <w:shd w:val="clear" w:color="auto" w:fill="auto"/>
            <w:vAlign w:val="center"/>
          </w:tcPr>
          <w:p w14:paraId="0AB03C3A" w14:textId="77777777" w:rsidR="0069056F" w:rsidRPr="004E34AE" w:rsidRDefault="0069056F" w:rsidP="00266D1B">
            <w:pPr>
              <w:jc w:val="center"/>
              <w:rPr>
                <w:sz w:val="18"/>
                <w:szCs w:val="18"/>
                <w:highlight w:val="yellow"/>
                <w:lang w:val="es-ES_tradnl"/>
              </w:rPr>
            </w:pPr>
            <w:r w:rsidRPr="00CD0BE2">
              <w:rPr>
                <w:sz w:val="18"/>
                <w:szCs w:val="18"/>
                <w:lang w:val="es-ES_tradnl"/>
              </w:rPr>
              <w:t>Estadísticas Banco Central del Ecuador</w:t>
            </w:r>
          </w:p>
        </w:tc>
      </w:tr>
      <w:tr w:rsidR="0069056F" w:rsidRPr="00CF7759" w14:paraId="67BC513C" w14:textId="77777777" w:rsidTr="00266D1B">
        <w:trPr>
          <w:trHeight w:val="141"/>
        </w:trPr>
        <w:tc>
          <w:tcPr>
            <w:tcW w:w="5000" w:type="pct"/>
            <w:gridSpan w:val="6"/>
            <w:vAlign w:val="center"/>
          </w:tcPr>
          <w:p w14:paraId="64CEAC7E" w14:textId="77777777" w:rsidR="0069056F" w:rsidRPr="009D4610" w:rsidRDefault="0069056F" w:rsidP="00266D1B">
            <w:pPr>
              <w:rPr>
                <w:sz w:val="18"/>
                <w:szCs w:val="18"/>
                <w:lang w:val="es-ES_tradnl"/>
              </w:rPr>
            </w:pPr>
            <w:r w:rsidRPr="009D4610">
              <w:rPr>
                <w:b/>
                <w:color w:val="000000"/>
                <w:sz w:val="18"/>
                <w:szCs w:val="18"/>
                <w:lang w:val="es-ES_tradnl"/>
              </w:rPr>
              <w:t>III. Fortalecimiento del subsector eléctrico</w:t>
            </w:r>
          </w:p>
        </w:tc>
      </w:tr>
      <w:tr w:rsidR="0069056F" w:rsidRPr="008431CB" w14:paraId="2F6DAC49" w14:textId="77777777" w:rsidTr="0069056F">
        <w:trPr>
          <w:trHeight w:val="141"/>
        </w:trPr>
        <w:tc>
          <w:tcPr>
            <w:tcW w:w="1017" w:type="pct"/>
            <w:vMerge w:val="restart"/>
            <w:vAlign w:val="center"/>
          </w:tcPr>
          <w:p w14:paraId="3E85677A" w14:textId="77777777" w:rsidR="0069056F" w:rsidRPr="00CF4837" w:rsidRDefault="0069056F" w:rsidP="00266D1B">
            <w:pPr>
              <w:autoSpaceDE w:val="0"/>
              <w:autoSpaceDN w:val="0"/>
              <w:adjustRightInd w:val="0"/>
              <w:rPr>
                <w:b/>
                <w:bCs/>
                <w:color w:val="000000"/>
                <w:sz w:val="18"/>
                <w:szCs w:val="18"/>
                <w:lang w:val="es-ES_tradnl"/>
              </w:rPr>
            </w:pPr>
            <w:r>
              <w:rPr>
                <w:bCs/>
                <w:color w:val="000000"/>
                <w:sz w:val="18"/>
                <w:lang w:val="es-ES"/>
              </w:rPr>
              <w:t>Reducción del consumo de combustibles líquidos para la generación y expansión de la capacidad de generación con fuentes renovables y gas natural.</w:t>
            </w:r>
          </w:p>
        </w:tc>
        <w:tc>
          <w:tcPr>
            <w:tcW w:w="1120" w:type="pct"/>
            <w:vAlign w:val="center"/>
          </w:tcPr>
          <w:p w14:paraId="1EDF96C1" w14:textId="77777777" w:rsidR="0069056F" w:rsidRPr="001A530C" w:rsidRDefault="0069056F" w:rsidP="00266D1B">
            <w:pPr>
              <w:rPr>
                <w:sz w:val="18"/>
                <w:szCs w:val="18"/>
                <w:lang w:val="es-ES_tradnl"/>
              </w:rPr>
            </w:pPr>
            <w:r>
              <w:rPr>
                <w:sz w:val="18"/>
                <w:szCs w:val="18"/>
                <w:lang w:val="es-ES_tradnl"/>
              </w:rPr>
              <w:t xml:space="preserve">Reducción del consumo de hidrocarburos líquidos en la generación eléctrica. </w:t>
            </w:r>
          </w:p>
        </w:tc>
        <w:tc>
          <w:tcPr>
            <w:tcW w:w="1223" w:type="pct"/>
            <w:vAlign w:val="center"/>
          </w:tcPr>
          <w:p w14:paraId="02A71F04" w14:textId="77777777" w:rsidR="0069056F" w:rsidRPr="003C3C7C" w:rsidRDefault="0069056F" w:rsidP="00266D1B">
            <w:pPr>
              <w:rPr>
                <w:b/>
                <w:color w:val="000000"/>
                <w:sz w:val="18"/>
                <w:szCs w:val="18"/>
                <w:lang w:val="es-ES_tradnl"/>
              </w:rPr>
            </w:pPr>
            <w:r>
              <w:rPr>
                <w:bCs/>
                <w:color w:val="000000"/>
                <w:sz w:val="18"/>
                <w:lang w:val="es-MX"/>
              </w:rPr>
              <w:t>Volumen anual de combustibles líquidos utilizados en la generación eléctrica (Millones BEP).</w:t>
            </w:r>
          </w:p>
        </w:tc>
        <w:tc>
          <w:tcPr>
            <w:tcW w:w="504" w:type="pct"/>
            <w:vAlign w:val="center"/>
          </w:tcPr>
          <w:p w14:paraId="605D9912" w14:textId="77777777" w:rsidR="0069056F" w:rsidRPr="00F243CB" w:rsidRDefault="0069056F" w:rsidP="00266D1B">
            <w:pPr>
              <w:jc w:val="center"/>
              <w:rPr>
                <w:sz w:val="18"/>
                <w:szCs w:val="18"/>
                <w:lang w:val="es-ES_tradnl"/>
              </w:rPr>
            </w:pPr>
            <w:r>
              <w:rPr>
                <w:sz w:val="18"/>
                <w:szCs w:val="18"/>
                <w:lang w:val="es-ES_tradnl"/>
              </w:rPr>
              <w:t>37</w:t>
            </w:r>
          </w:p>
        </w:tc>
        <w:tc>
          <w:tcPr>
            <w:tcW w:w="469" w:type="pct"/>
            <w:vAlign w:val="center"/>
          </w:tcPr>
          <w:p w14:paraId="01C61F5D" w14:textId="77777777" w:rsidR="0069056F" w:rsidRPr="009D4610" w:rsidRDefault="0069056F" w:rsidP="00266D1B">
            <w:pPr>
              <w:jc w:val="center"/>
              <w:rPr>
                <w:sz w:val="18"/>
                <w:szCs w:val="18"/>
                <w:lang w:val="es-ES_tradnl"/>
              </w:rPr>
            </w:pPr>
            <w:r>
              <w:rPr>
                <w:sz w:val="18"/>
                <w:szCs w:val="18"/>
                <w:lang w:val="es-ES_tradnl"/>
              </w:rPr>
              <w:t>22</w:t>
            </w:r>
            <w:r>
              <w:rPr>
                <w:rStyle w:val="FootnoteReference"/>
                <w:sz w:val="18"/>
                <w:szCs w:val="18"/>
                <w:lang w:val="es-ES_tradnl"/>
              </w:rPr>
              <w:footnoteReference w:id="10"/>
            </w:r>
          </w:p>
        </w:tc>
        <w:tc>
          <w:tcPr>
            <w:tcW w:w="667" w:type="pct"/>
            <w:shd w:val="clear" w:color="auto" w:fill="auto"/>
            <w:vAlign w:val="center"/>
          </w:tcPr>
          <w:p w14:paraId="28ADD268" w14:textId="77777777" w:rsidR="0069056F" w:rsidRPr="00CF4837" w:rsidRDefault="0069056F" w:rsidP="00266D1B">
            <w:pPr>
              <w:jc w:val="center"/>
              <w:rPr>
                <w:color w:val="000000"/>
                <w:sz w:val="18"/>
                <w:szCs w:val="18"/>
                <w:lang w:val="es-ES_tradnl"/>
              </w:rPr>
            </w:pPr>
            <w:r>
              <w:rPr>
                <w:sz w:val="18"/>
                <w:szCs w:val="18"/>
                <w:lang w:val="es-ES_tradnl"/>
              </w:rPr>
              <w:t xml:space="preserve">Informe  </w:t>
            </w:r>
            <w:r>
              <w:rPr>
                <w:color w:val="000000"/>
                <w:sz w:val="18"/>
                <w:szCs w:val="18"/>
                <w:lang w:val="es-MX"/>
              </w:rPr>
              <w:t>CENACE</w:t>
            </w:r>
          </w:p>
        </w:tc>
      </w:tr>
      <w:tr w:rsidR="0069056F" w:rsidRPr="00CF7759" w14:paraId="49B4AB8E" w14:textId="77777777" w:rsidTr="0069056F">
        <w:trPr>
          <w:trHeight w:val="141"/>
        </w:trPr>
        <w:tc>
          <w:tcPr>
            <w:tcW w:w="1017" w:type="pct"/>
            <w:vMerge/>
            <w:vAlign w:val="center"/>
          </w:tcPr>
          <w:p w14:paraId="1D774875" w14:textId="77777777" w:rsidR="0069056F" w:rsidRPr="001C0273" w:rsidRDefault="0069056F" w:rsidP="00266D1B">
            <w:pPr>
              <w:autoSpaceDE w:val="0"/>
              <w:autoSpaceDN w:val="0"/>
              <w:adjustRightInd w:val="0"/>
              <w:rPr>
                <w:sz w:val="18"/>
                <w:szCs w:val="18"/>
                <w:lang w:val="es-MX"/>
              </w:rPr>
            </w:pPr>
          </w:p>
        </w:tc>
        <w:tc>
          <w:tcPr>
            <w:tcW w:w="1120" w:type="pct"/>
            <w:vMerge w:val="restart"/>
            <w:vAlign w:val="center"/>
          </w:tcPr>
          <w:p w14:paraId="0423857A" w14:textId="77777777" w:rsidR="0069056F" w:rsidRDefault="0069056F" w:rsidP="00266D1B">
            <w:pPr>
              <w:rPr>
                <w:sz w:val="18"/>
                <w:szCs w:val="18"/>
                <w:lang w:val="es-ES_tradnl"/>
              </w:rPr>
            </w:pPr>
            <w:r>
              <w:rPr>
                <w:sz w:val="18"/>
                <w:szCs w:val="18"/>
                <w:lang w:val="es-ES_tradnl"/>
              </w:rPr>
              <w:t xml:space="preserve">Matriz de generación eléctrica diversificada y con mayor participación de energías renovables. </w:t>
            </w:r>
          </w:p>
        </w:tc>
        <w:tc>
          <w:tcPr>
            <w:tcW w:w="1223" w:type="pct"/>
            <w:vAlign w:val="center"/>
          </w:tcPr>
          <w:p w14:paraId="61C44C0C" w14:textId="77777777" w:rsidR="0069056F" w:rsidRDefault="0069056F" w:rsidP="00266D1B">
            <w:pPr>
              <w:rPr>
                <w:bCs/>
                <w:color w:val="000000"/>
                <w:sz w:val="18"/>
                <w:lang w:val="es-MX"/>
              </w:rPr>
            </w:pPr>
            <w:r>
              <w:rPr>
                <w:color w:val="000000"/>
                <w:sz w:val="18"/>
                <w:szCs w:val="18"/>
                <w:lang w:val="es-ES_tradnl"/>
              </w:rPr>
              <w:t>% de energía eléctrica generada a partir de fuentes renovables</w:t>
            </w:r>
            <w:r>
              <w:rPr>
                <w:rStyle w:val="FootnoteReference"/>
                <w:color w:val="000000"/>
                <w:sz w:val="18"/>
                <w:szCs w:val="18"/>
                <w:lang w:val="es-ES_tradnl"/>
              </w:rPr>
              <w:footnoteReference w:id="11"/>
            </w:r>
            <w:r>
              <w:rPr>
                <w:color w:val="000000"/>
                <w:sz w:val="18"/>
                <w:szCs w:val="18"/>
                <w:lang w:val="es-ES_tradnl"/>
              </w:rPr>
              <w:t xml:space="preserve"> .</w:t>
            </w:r>
          </w:p>
        </w:tc>
        <w:tc>
          <w:tcPr>
            <w:tcW w:w="504" w:type="pct"/>
            <w:vAlign w:val="center"/>
          </w:tcPr>
          <w:p w14:paraId="42A64113" w14:textId="77777777" w:rsidR="0069056F" w:rsidRDefault="0069056F" w:rsidP="00266D1B">
            <w:pPr>
              <w:jc w:val="center"/>
              <w:rPr>
                <w:sz w:val="18"/>
                <w:szCs w:val="18"/>
                <w:lang w:val="es-ES_tradnl"/>
              </w:rPr>
            </w:pPr>
            <w:r>
              <w:rPr>
                <w:sz w:val="18"/>
                <w:szCs w:val="18"/>
                <w:lang w:val="es-ES_tradnl"/>
              </w:rPr>
              <w:t>62</w:t>
            </w:r>
          </w:p>
        </w:tc>
        <w:tc>
          <w:tcPr>
            <w:tcW w:w="469" w:type="pct"/>
            <w:vAlign w:val="center"/>
          </w:tcPr>
          <w:p w14:paraId="7F1B5223" w14:textId="77777777" w:rsidR="0069056F" w:rsidRDefault="0069056F" w:rsidP="00266D1B">
            <w:pPr>
              <w:jc w:val="center"/>
              <w:rPr>
                <w:sz w:val="18"/>
                <w:szCs w:val="18"/>
                <w:lang w:val="es-ES_tradnl"/>
              </w:rPr>
            </w:pPr>
            <w:r>
              <w:rPr>
                <w:sz w:val="18"/>
                <w:szCs w:val="18"/>
                <w:lang w:val="es-ES_tradnl"/>
              </w:rPr>
              <w:t>75</w:t>
            </w:r>
          </w:p>
        </w:tc>
        <w:tc>
          <w:tcPr>
            <w:tcW w:w="667" w:type="pct"/>
            <w:shd w:val="clear" w:color="auto" w:fill="auto"/>
            <w:vAlign w:val="center"/>
          </w:tcPr>
          <w:p w14:paraId="562AF98E" w14:textId="77777777" w:rsidR="0069056F" w:rsidRDefault="0069056F" w:rsidP="00266D1B">
            <w:pPr>
              <w:jc w:val="center"/>
              <w:rPr>
                <w:sz w:val="18"/>
                <w:szCs w:val="18"/>
                <w:lang w:val="es-ES_tradnl"/>
              </w:rPr>
            </w:pPr>
            <w:r>
              <w:rPr>
                <w:sz w:val="18"/>
                <w:szCs w:val="18"/>
                <w:lang w:val="es-ES_tradnl"/>
              </w:rPr>
              <w:t>Plan Maestro de Electrificación vigente – CONELC</w:t>
            </w:r>
          </w:p>
        </w:tc>
      </w:tr>
      <w:tr w:rsidR="0069056F" w:rsidRPr="00CF7759" w14:paraId="7AF0A3A9" w14:textId="77777777" w:rsidTr="0069056F">
        <w:trPr>
          <w:trHeight w:val="141"/>
        </w:trPr>
        <w:tc>
          <w:tcPr>
            <w:tcW w:w="1017" w:type="pct"/>
            <w:vMerge/>
            <w:vAlign w:val="center"/>
          </w:tcPr>
          <w:p w14:paraId="332640CD" w14:textId="77777777" w:rsidR="0069056F" w:rsidRPr="001C0273" w:rsidRDefault="0069056F" w:rsidP="00266D1B">
            <w:pPr>
              <w:autoSpaceDE w:val="0"/>
              <w:autoSpaceDN w:val="0"/>
              <w:adjustRightInd w:val="0"/>
              <w:rPr>
                <w:sz w:val="18"/>
                <w:szCs w:val="18"/>
                <w:lang w:val="es-MX"/>
              </w:rPr>
            </w:pPr>
          </w:p>
        </w:tc>
        <w:tc>
          <w:tcPr>
            <w:tcW w:w="1120" w:type="pct"/>
            <w:vMerge/>
            <w:vAlign w:val="center"/>
          </w:tcPr>
          <w:p w14:paraId="5D90C69F" w14:textId="77777777" w:rsidR="0069056F" w:rsidRDefault="0069056F" w:rsidP="00266D1B">
            <w:pPr>
              <w:rPr>
                <w:sz w:val="18"/>
                <w:szCs w:val="18"/>
                <w:lang w:val="es-ES_tradnl"/>
              </w:rPr>
            </w:pPr>
          </w:p>
        </w:tc>
        <w:tc>
          <w:tcPr>
            <w:tcW w:w="1223" w:type="pct"/>
            <w:vAlign w:val="center"/>
          </w:tcPr>
          <w:p w14:paraId="1620ACE9" w14:textId="77777777" w:rsidR="0069056F" w:rsidRDefault="0069056F" w:rsidP="00266D1B">
            <w:pPr>
              <w:rPr>
                <w:bCs/>
                <w:color w:val="000000"/>
                <w:sz w:val="18"/>
                <w:lang w:val="es-MX"/>
              </w:rPr>
            </w:pPr>
            <w:r w:rsidRPr="00A15F7D">
              <w:rPr>
                <w:color w:val="000000"/>
                <w:sz w:val="18"/>
                <w:szCs w:val="18"/>
                <w:lang w:val="es-ES_tradnl"/>
              </w:rPr>
              <w:t xml:space="preserve">% de energía eléctrica generada a partir de </w:t>
            </w:r>
            <w:r w:rsidRPr="001C0273">
              <w:rPr>
                <w:color w:val="000000"/>
                <w:sz w:val="18"/>
                <w:szCs w:val="18"/>
                <w:lang w:val="es-ES_tradnl"/>
              </w:rPr>
              <w:t>gas natural</w:t>
            </w:r>
            <w:r>
              <w:rPr>
                <w:color w:val="000000"/>
                <w:sz w:val="18"/>
                <w:szCs w:val="18"/>
                <w:lang w:val="es-ES_tradnl"/>
              </w:rPr>
              <w:t>.</w:t>
            </w:r>
            <w:r w:rsidRPr="001C0273">
              <w:rPr>
                <w:color w:val="000000"/>
                <w:sz w:val="18"/>
                <w:szCs w:val="18"/>
                <w:lang w:val="es-ES_tradnl"/>
              </w:rPr>
              <w:t xml:space="preserve"> </w:t>
            </w:r>
          </w:p>
        </w:tc>
        <w:tc>
          <w:tcPr>
            <w:tcW w:w="504" w:type="pct"/>
            <w:vAlign w:val="center"/>
          </w:tcPr>
          <w:p w14:paraId="7E9636BD" w14:textId="77777777" w:rsidR="0069056F" w:rsidRDefault="0069056F" w:rsidP="00266D1B">
            <w:pPr>
              <w:jc w:val="center"/>
              <w:rPr>
                <w:sz w:val="18"/>
                <w:szCs w:val="18"/>
                <w:lang w:val="es-ES_tradnl"/>
              </w:rPr>
            </w:pPr>
            <w:r w:rsidRPr="001C0273">
              <w:rPr>
                <w:sz w:val="18"/>
                <w:szCs w:val="18"/>
                <w:lang w:val="es-ES_tradnl"/>
              </w:rPr>
              <w:t>9.9</w:t>
            </w:r>
          </w:p>
        </w:tc>
        <w:tc>
          <w:tcPr>
            <w:tcW w:w="469" w:type="pct"/>
            <w:vAlign w:val="center"/>
          </w:tcPr>
          <w:p w14:paraId="63BEF787" w14:textId="77777777" w:rsidR="0069056F" w:rsidRDefault="0069056F" w:rsidP="00266D1B">
            <w:pPr>
              <w:jc w:val="center"/>
              <w:rPr>
                <w:sz w:val="18"/>
                <w:szCs w:val="18"/>
                <w:lang w:val="es-ES_tradnl"/>
              </w:rPr>
            </w:pPr>
            <w:r>
              <w:rPr>
                <w:sz w:val="18"/>
                <w:szCs w:val="18"/>
                <w:lang w:val="es-ES_tradnl"/>
              </w:rPr>
              <w:t>15</w:t>
            </w:r>
          </w:p>
        </w:tc>
        <w:tc>
          <w:tcPr>
            <w:tcW w:w="667" w:type="pct"/>
            <w:shd w:val="clear" w:color="auto" w:fill="auto"/>
            <w:vAlign w:val="center"/>
          </w:tcPr>
          <w:p w14:paraId="302AF473" w14:textId="77777777" w:rsidR="0069056F" w:rsidRDefault="0069056F" w:rsidP="00266D1B">
            <w:pPr>
              <w:jc w:val="center"/>
              <w:rPr>
                <w:sz w:val="18"/>
                <w:szCs w:val="18"/>
                <w:lang w:val="es-ES_tradnl"/>
              </w:rPr>
            </w:pPr>
            <w:r>
              <w:rPr>
                <w:sz w:val="18"/>
                <w:szCs w:val="18"/>
                <w:lang w:val="es-ES_tradnl"/>
              </w:rPr>
              <w:t>Plan Maestro de Electrificación vigente – CONELC</w:t>
            </w:r>
          </w:p>
        </w:tc>
      </w:tr>
      <w:tr w:rsidR="0069056F" w:rsidRPr="003F35B4" w14:paraId="710FF8A8" w14:textId="77777777" w:rsidTr="0069056F">
        <w:trPr>
          <w:trHeight w:val="856"/>
        </w:trPr>
        <w:tc>
          <w:tcPr>
            <w:tcW w:w="1017" w:type="pct"/>
            <w:vMerge w:val="restart"/>
            <w:vAlign w:val="center"/>
          </w:tcPr>
          <w:p w14:paraId="7CC379F6" w14:textId="77777777" w:rsidR="0069056F" w:rsidRDefault="0069056F" w:rsidP="00266D1B">
            <w:pPr>
              <w:jc w:val="center"/>
              <w:rPr>
                <w:bCs/>
                <w:color w:val="000000"/>
                <w:sz w:val="18"/>
                <w:lang w:val="es-MX"/>
              </w:rPr>
            </w:pPr>
            <w:r>
              <w:rPr>
                <w:bCs/>
                <w:color w:val="000000"/>
                <w:sz w:val="18"/>
                <w:lang w:val="es-MX"/>
              </w:rPr>
              <w:lastRenderedPageBreak/>
              <w:t>Modernización del subsector eléctrico para mejorar su sostenibilidad, confiabilidad y facilitar la incorporación de nuevas cargas que resultan del cambio de la matriz energética.</w:t>
            </w:r>
          </w:p>
          <w:p w14:paraId="722ABE09" w14:textId="77777777" w:rsidR="0069056F" w:rsidRDefault="0069056F" w:rsidP="00266D1B">
            <w:pPr>
              <w:rPr>
                <w:bCs/>
                <w:color w:val="000000"/>
                <w:sz w:val="18"/>
                <w:lang w:val="es-MX"/>
              </w:rPr>
            </w:pPr>
            <w:r>
              <w:rPr>
                <w:bCs/>
                <w:color w:val="000000"/>
                <w:sz w:val="18"/>
                <w:lang w:val="es-MX"/>
              </w:rPr>
              <w:t xml:space="preserve"> </w:t>
            </w:r>
          </w:p>
        </w:tc>
        <w:tc>
          <w:tcPr>
            <w:tcW w:w="1120" w:type="pct"/>
            <w:vAlign w:val="center"/>
          </w:tcPr>
          <w:p w14:paraId="6CC96038" w14:textId="77777777" w:rsidR="0069056F" w:rsidRDefault="0069056F" w:rsidP="00266D1B">
            <w:pPr>
              <w:rPr>
                <w:sz w:val="18"/>
                <w:szCs w:val="18"/>
                <w:lang w:val="es-ES_tradnl"/>
              </w:rPr>
            </w:pPr>
            <w:r>
              <w:rPr>
                <w:sz w:val="18"/>
                <w:szCs w:val="18"/>
                <w:lang w:val="es-ES_tradnl"/>
              </w:rPr>
              <w:t xml:space="preserve">Reducir las pérdidas de energía eléctricas en el Sistema Nacional de Distribución Eléctrica </w:t>
            </w:r>
          </w:p>
        </w:tc>
        <w:tc>
          <w:tcPr>
            <w:tcW w:w="1223" w:type="pct"/>
            <w:vAlign w:val="center"/>
          </w:tcPr>
          <w:p w14:paraId="047D356A" w14:textId="77777777" w:rsidR="0069056F" w:rsidRDefault="0069056F" w:rsidP="00266D1B">
            <w:pPr>
              <w:rPr>
                <w:sz w:val="18"/>
                <w:szCs w:val="18"/>
                <w:lang w:val="es-ES_tradnl"/>
              </w:rPr>
            </w:pPr>
            <w:r>
              <w:rPr>
                <w:sz w:val="18"/>
                <w:szCs w:val="18"/>
                <w:lang w:val="es-ES_tradnl"/>
              </w:rPr>
              <w:t xml:space="preserve">Índice  de pérdidas totales de energía  eléctricas  (%).  </w:t>
            </w:r>
          </w:p>
        </w:tc>
        <w:tc>
          <w:tcPr>
            <w:tcW w:w="504" w:type="pct"/>
            <w:vAlign w:val="center"/>
          </w:tcPr>
          <w:p w14:paraId="5276DABB" w14:textId="77777777" w:rsidR="0069056F" w:rsidDel="00861D39" w:rsidRDefault="0069056F" w:rsidP="00266D1B">
            <w:pPr>
              <w:jc w:val="center"/>
              <w:rPr>
                <w:sz w:val="18"/>
                <w:szCs w:val="18"/>
                <w:lang w:val="es-ES_tradnl"/>
              </w:rPr>
            </w:pPr>
            <w:r>
              <w:rPr>
                <w:sz w:val="18"/>
                <w:szCs w:val="18"/>
                <w:lang w:val="es-ES_tradnl"/>
              </w:rPr>
              <w:t>12.7</w:t>
            </w:r>
          </w:p>
        </w:tc>
        <w:tc>
          <w:tcPr>
            <w:tcW w:w="469" w:type="pct"/>
            <w:vAlign w:val="center"/>
          </w:tcPr>
          <w:p w14:paraId="34B20CC1" w14:textId="77777777" w:rsidR="0069056F" w:rsidRPr="001C0273" w:rsidDel="00861D39" w:rsidRDefault="0069056F" w:rsidP="00266D1B">
            <w:pPr>
              <w:jc w:val="center"/>
              <w:rPr>
                <w:sz w:val="18"/>
                <w:szCs w:val="18"/>
                <w:lang w:val="es-ES_tradnl"/>
              </w:rPr>
            </w:pPr>
            <w:r>
              <w:rPr>
                <w:sz w:val="18"/>
                <w:szCs w:val="18"/>
                <w:lang w:val="es-ES_tradnl"/>
              </w:rPr>
              <w:t>12.1</w:t>
            </w:r>
          </w:p>
        </w:tc>
        <w:tc>
          <w:tcPr>
            <w:tcW w:w="667" w:type="pct"/>
            <w:shd w:val="clear" w:color="auto" w:fill="auto"/>
            <w:vAlign w:val="center"/>
          </w:tcPr>
          <w:p w14:paraId="2DA01345" w14:textId="77777777" w:rsidR="0069056F" w:rsidRDefault="0069056F" w:rsidP="00266D1B">
            <w:pPr>
              <w:jc w:val="center"/>
              <w:rPr>
                <w:sz w:val="18"/>
                <w:szCs w:val="18"/>
                <w:lang w:val="es-ES_tradnl"/>
              </w:rPr>
            </w:pPr>
            <w:r>
              <w:rPr>
                <w:sz w:val="18"/>
                <w:szCs w:val="18"/>
                <w:lang w:val="es-ES_tradnl"/>
              </w:rPr>
              <w:t xml:space="preserve">Informe </w:t>
            </w:r>
            <w:r>
              <w:rPr>
                <w:color w:val="000000"/>
                <w:sz w:val="18"/>
                <w:szCs w:val="18"/>
                <w:lang w:val="es-MX"/>
              </w:rPr>
              <w:t>MEER</w:t>
            </w:r>
          </w:p>
        </w:tc>
      </w:tr>
      <w:tr w:rsidR="0069056F" w:rsidRPr="0067228F" w14:paraId="37805169" w14:textId="77777777" w:rsidTr="0069056F">
        <w:trPr>
          <w:trHeight w:val="856"/>
        </w:trPr>
        <w:tc>
          <w:tcPr>
            <w:tcW w:w="1017" w:type="pct"/>
            <w:vMerge/>
            <w:vAlign w:val="center"/>
          </w:tcPr>
          <w:p w14:paraId="0CC346E3" w14:textId="77777777" w:rsidR="0069056F" w:rsidRDefault="0069056F" w:rsidP="00266D1B">
            <w:pPr>
              <w:jc w:val="center"/>
              <w:rPr>
                <w:bCs/>
                <w:color w:val="000000"/>
                <w:sz w:val="18"/>
                <w:lang w:val="es-MX"/>
              </w:rPr>
            </w:pPr>
          </w:p>
        </w:tc>
        <w:tc>
          <w:tcPr>
            <w:tcW w:w="1120" w:type="pct"/>
            <w:vAlign w:val="center"/>
          </w:tcPr>
          <w:p w14:paraId="3A831DB3" w14:textId="77777777" w:rsidR="0069056F" w:rsidRDefault="0069056F" w:rsidP="00266D1B">
            <w:pPr>
              <w:rPr>
                <w:sz w:val="18"/>
                <w:szCs w:val="18"/>
                <w:lang w:val="es-ES_tradnl"/>
              </w:rPr>
            </w:pPr>
            <w:r>
              <w:rPr>
                <w:color w:val="000000"/>
                <w:sz w:val="18"/>
                <w:szCs w:val="18"/>
                <w:lang w:val="es-ES_tradnl"/>
              </w:rPr>
              <w:t>Aumentar la sostenibilidad del servicio eléctrico</w:t>
            </w:r>
          </w:p>
        </w:tc>
        <w:tc>
          <w:tcPr>
            <w:tcW w:w="1223" w:type="pct"/>
            <w:vAlign w:val="center"/>
          </w:tcPr>
          <w:p w14:paraId="53172E73" w14:textId="77777777" w:rsidR="0069056F" w:rsidRDefault="0069056F" w:rsidP="00266D1B">
            <w:pPr>
              <w:rPr>
                <w:sz w:val="18"/>
                <w:szCs w:val="18"/>
                <w:lang w:val="es-ES_tradnl"/>
              </w:rPr>
            </w:pPr>
            <w:r>
              <w:rPr>
                <w:color w:val="000000"/>
                <w:sz w:val="18"/>
                <w:szCs w:val="18"/>
                <w:lang w:val="es-ES_tradnl"/>
              </w:rPr>
              <w:t>Índice nacional de recuperación de efectivo (CRI)</w:t>
            </w:r>
            <w:r>
              <w:rPr>
                <w:rStyle w:val="FootnoteReference"/>
                <w:color w:val="000000"/>
                <w:sz w:val="18"/>
                <w:szCs w:val="18"/>
                <w:lang w:val="es-ES_tradnl"/>
              </w:rPr>
              <w:footnoteReference w:id="12"/>
            </w:r>
          </w:p>
        </w:tc>
        <w:tc>
          <w:tcPr>
            <w:tcW w:w="504" w:type="pct"/>
            <w:vAlign w:val="center"/>
          </w:tcPr>
          <w:p w14:paraId="3B5DC420" w14:textId="77777777" w:rsidR="0069056F" w:rsidRDefault="0069056F" w:rsidP="00266D1B">
            <w:pPr>
              <w:jc w:val="center"/>
              <w:rPr>
                <w:sz w:val="18"/>
                <w:szCs w:val="18"/>
                <w:lang w:val="es-ES_tradnl"/>
              </w:rPr>
            </w:pPr>
            <w:r>
              <w:rPr>
                <w:sz w:val="18"/>
                <w:szCs w:val="18"/>
                <w:lang w:val="es-ES_tradnl"/>
              </w:rPr>
              <w:t>78</w:t>
            </w:r>
          </w:p>
        </w:tc>
        <w:tc>
          <w:tcPr>
            <w:tcW w:w="469" w:type="pct"/>
            <w:vAlign w:val="center"/>
          </w:tcPr>
          <w:p w14:paraId="1739CB01" w14:textId="77777777" w:rsidR="0069056F" w:rsidRDefault="0069056F" w:rsidP="00266D1B">
            <w:pPr>
              <w:jc w:val="center"/>
              <w:rPr>
                <w:sz w:val="18"/>
                <w:szCs w:val="18"/>
                <w:lang w:val="es-ES_tradnl"/>
              </w:rPr>
            </w:pPr>
            <w:r>
              <w:rPr>
                <w:sz w:val="18"/>
                <w:szCs w:val="18"/>
                <w:lang w:val="es-ES_tradnl"/>
              </w:rPr>
              <w:t>80</w:t>
            </w:r>
          </w:p>
        </w:tc>
        <w:tc>
          <w:tcPr>
            <w:tcW w:w="667" w:type="pct"/>
            <w:shd w:val="clear" w:color="auto" w:fill="auto"/>
            <w:vAlign w:val="center"/>
          </w:tcPr>
          <w:p w14:paraId="1F2DB4DD" w14:textId="77777777" w:rsidR="0069056F" w:rsidRDefault="0069056F" w:rsidP="00266D1B">
            <w:pPr>
              <w:jc w:val="center"/>
              <w:rPr>
                <w:sz w:val="18"/>
                <w:szCs w:val="18"/>
                <w:lang w:val="es-ES_tradnl"/>
              </w:rPr>
            </w:pPr>
            <w:r>
              <w:rPr>
                <w:sz w:val="18"/>
                <w:szCs w:val="18"/>
                <w:lang w:val="es-ES_tradnl"/>
              </w:rPr>
              <w:t>Informe MEER</w:t>
            </w:r>
          </w:p>
        </w:tc>
      </w:tr>
      <w:tr w:rsidR="0069056F" w:rsidRPr="00FB6A23" w14:paraId="4970543B" w14:textId="77777777" w:rsidTr="0069056F">
        <w:trPr>
          <w:trHeight w:val="856"/>
        </w:trPr>
        <w:tc>
          <w:tcPr>
            <w:tcW w:w="1017" w:type="pct"/>
            <w:vMerge/>
            <w:vAlign w:val="center"/>
          </w:tcPr>
          <w:p w14:paraId="50BFFBCA" w14:textId="77777777" w:rsidR="0069056F" w:rsidRDefault="0069056F" w:rsidP="00266D1B">
            <w:pPr>
              <w:jc w:val="center"/>
              <w:rPr>
                <w:bCs/>
                <w:color w:val="000000"/>
                <w:sz w:val="18"/>
                <w:lang w:val="es-MX"/>
              </w:rPr>
            </w:pPr>
          </w:p>
        </w:tc>
        <w:tc>
          <w:tcPr>
            <w:tcW w:w="1120" w:type="pct"/>
            <w:vAlign w:val="center"/>
          </w:tcPr>
          <w:p w14:paraId="702B5BA2" w14:textId="77777777" w:rsidR="0069056F" w:rsidRDefault="0069056F" w:rsidP="00266D1B">
            <w:pPr>
              <w:rPr>
                <w:color w:val="000000"/>
                <w:sz w:val="18"/>
                <w:szCs w:val="18"/>
                <w:lang w:val="es-ES_tradnl"/>
              </w:rPr>
            </w:pPr>
            <w:r>
              <w:rPr>
                <w:color w:val="000000"/>
                <w:sz w:val="18"/>
                <w:szCs w:val="18"/>
                <w:lang w:val="es-ES_tradnl"/>
              </w:rPr>
              <w:t>Aumentar el acceso a la energía eléctrica en zonas rurales</w:t>
            </w:r>
          </w:p>
        </w:tc>
        <w:tc>
          <w:tcPr>
            <w:tcW w:w="1223" w:type="pct"/>
            <w:vAlign w:val="center"/>
          </w:tcPr>
          <w:p w14:paraId="4A673B3B" w14:textId="77777777" w:rsidR="0069056F" w:rsidRDefault="0069056F" w:rsidP="00266D1B">
            <w:pPr>
              <w:rPr>
                <w:color w:val="000000"/>
                <w:sz w:val="18"/>
                <w:szCs w:val="18"/>
                <w:lang w:val="es-ES_tradnl"/>
              </w:rPr>
            </w:pPr>
            <w:r>
              <w:rPr>
                <w:color w:val="000000"/>
                <w:sz w:val="18"/>
                <w:szCs w:val="18"/>
                <w:lang w:val="es-ES_tradnl"/>
              </w:rPr>
              <w:t xml:space="preserve">Número de nuevas familias beneficiadas con acceso o mejoras del  servicio eléctrico en </w:t>
            </w:r>
            <w:proofErr w:type="gramStart"/>
            <w:r>
              <w:rPr>
                <w:color w:val="000000"/>
                <w:sz w:val="18"/>
                <w:szCs w:val="18"/>
                <w:lang w:val="es-ES_tradnl"/>
              </w:rPr>
              <w:t>zonas rurales y urbano marginales</w:t>
            </w:r>
            <w:proofErr w:type="gramEnd"/>
            <w:r>
              <w:rPr>
                <w:color w:val="000000"/>
                <w:sz w:val="18"/>
                <w:szCs w:val="18"/>
                <w:lang w:val="es-ES_tradnl"/>
              </w:rPr>
              <w:t xml:space="preserve">.  </w:t>
            </w:r>
          </w:p>
        </w:tc>
        <w:tc>
          <w:tcPr>
            <w:tcW w:w="504" w:type="pct"/>
            <w:vAlign w:val="center"/>
          </w:tcPr>
          <w:p w14:paraId="75581721" w14:textId="77777777" w:rsidR="0069056F" w:rsidRDefault="0069056F" w:rsidP="00266D1B">
            <w:pPr>
              <w:jc w:val="center"/>
              <w:rPr>
                <w:sz w:val="18"/>
                <w:szCs w:val="18"/>
                <w:lang w:val="es-ES_tradnl"/>
              </w:rPr>
            </w:pPr>
            <w:r>
              <w:rPr>
                <w:sz w:val="18"/>
                <w:szCs w:val="18"/>
                <w:lang w:val="es-ES_tradnl"/>
              </w:rPr>
              <w:t>0,0</w:t>
            </w:r>
          </w:p>
        </w:tc>
        <w:tc>
          <w:tcPr>
            <w:tcW w:w="469" w:type="pct"/>
            <w:vAlign w:val="center"/>
          </w:tcPr>
          <w:p w14:paraId="4F7C3EE1" w14:textId="77777777" w:rsidR="0069056F" w:rsidRDefault="0069056F" w:rsidP="00266D1B">
            <w:pPr>
              <w:jc w:val="center"/>
              <w:rPr>
                <w:sz w:val="18"/>
                <w:szCs w:val="18"/>
                <w:lang w:val="es-ES_tradnl"/>
              </w:rPr>
            </w:pPr>
            <w:r>
              <w:rPr>
                <w:sz w:val="18"/>
                <w:szCs w:val="18"/>
                <w:lang w:val="es-ES_tradnl"/>
              </w:rPr>
              <w:t>89,314</w:t>
            </w:r>
          </w:p>
        </w:tc>
        <w:tc>
          <w:tcPr>
            <w:tcW w:w="667" w:type="pct"/>
            <w:shd w:val="clear" w:color="auto" w:fill="auto"/>
            <w:vAlign w:val="center"/>
          </w:tcPr>
          <w:p w14:paraId="6C851B2C" w14:textId="77777777" w:rsidR="0069056F" w:rsidRDefault="0069056F" w:rsidP="00266D1B">
            <w:pPr>
              <w:jc w:val="center"/>
              <w:rPr>
                <w:sz w:val="18"/>
                <w:szCs w:val="18"/>
                <w:lang w:val="es-ES_tradnl"/>
              </w:rPr>
            </w:pPr>
            <w:r>
              <w:rPr>
                <w:sz w:val="18"/>
                <w:szCs w:val="18"/>
                <w:lang w:val="es-ES_tradnl"/>
              </w:rPr>
              <w:t>Informe MEER</w:t>
            </w:r>
          </w:p>
        </w:tc>
      </w:tr>
      <w:tr w:rsidR="0069056F" w:rsidRPr="00BB2EA4" w14:paraId="2CCEDF01" w14:textId="77777777" w:rsidTr="0069056F">
        <w:trPr>
          <w:trHeight w:val="856"/>
        </w:trPr>
        <w:tc>
          <w:tcPr>
            <w:tcW w:w="1017" w:type="pct"/>
            <w:vMerge/>
            <w:vAlign w:val="center"/>
          </w:tcPr>
          <w:p w14:paraId="755C2ED3" w14:textId="77777777" w:rsidR="0069056F" w:rsidRDefault="0069056F" w:rsidP="00266D1B">
            <w:pPr>
              <w:jc w:val="center"/>
              <w:rPr>
                <w:bCs/>
                <w:color w:val="000000"/>
                <w:sz w:val="18"/>
                <w:lang w:val="es-MX"/>
              </w:rPr>
            </w:pPr>
          </w:p>
        </w:tc>
        <w:tc>
          <w:tcPr>
            <w:tcW w:w="1120" w:type="pct"/>
            <w:vAlign w:val="center"/>
          </w:tcPr>
          <w:p w14:paraId="6C7D5B39" w14:textId="77777777" w:rsidR="0069056F" w:rsidRDefault="0069056F" w:rsidP="00266D1B">
            <w:pPr>
              <w:rPr>
                <w:color w:val="000000"/>
                <w:sz w:val="18"/>
                <w:szCs w:val="18"/>
                <w:lang w:val="es-ES_tradnl"/>
              </w:rPr>
            </w:pPr>
            <w:r>
              <w:rPr>
                <w:color w:val="000000"/>
                <w:sz w:val="18"/>
                <w:szCs w:val="18"/>
                <w:lang w:val="es-ES_tradnl"/>
              </w:rPr>
              <w:t>Aumentar la confiabilidad del Sistema Nacional de Distribución Eléctrica (SND)</w:t>
            </w:r>
          </w:p>
        </w:tc>
        <w:tc>
          <w:tcPr>
            <w:tcW w:w="1223" w:type="pct"/>
            <w:vAlign w:val="center"/>
          </w:tcPr>
          <w:p w14:paraId="20217C3D" w14:textId="77777777" w:rsidR="0069056F" w:rsidRDefault="0069056F" w:rsidP="00266D1B">
            <w:pPr>
              <w:rPr>
                <w:color w:val="000000"/>
                <w:sz w:val="18"/>
                <w:szCs w:val="18"/>
                <w:lang w:val="es-ES_tradnl"/>
              </w:rPr>
            </w:pPr>
            <w:r w:rsidRPr="00BB2EA4">
              <w:rPr>
                <w:color w:val="000000"/>
                <w:sz w:val="18"/>
                <w:szCs w:val="18"/>
                <w:lang w:val="es-ES_tradnl"/>
              </w:rPr>
              <w:t>Frecuencia Media de Interrupciones</w:t>
            </w:r>
            <w:r>
              <w:rPr>
                <w:color w:val="000000"/>
                <w:sz w:val="18"/>
                <w:szCs w:val="18"/>
                <w:lang w:val="es-ES_tradnl"/>
              </w:rPr>
              <w:t xml:space="preserve"> (</w:t>
            </w:r>
            <w:proofErr w:type="spellStart"/>
            <w:r>
              <w:rPr>
                <w:color w:val="000000"/>
                <w:sz w:val="18"/>
                <w:szCs w:val="18"/>
                <w:lang w:val="es-ES_tradnl"/>
              </w:rPr>
              <w:t>FMIk</w:t>
            </w:r>
            <w:proofErr w:type="spellEnd"/>
            <w:r>
              <w:rPr>
                <w:color w:val="000000"/>
                <w:sz w:val="18"/>
                <w:szCs w:val="18"/>
                <w:lang w:val="es-ES_tradnl"/>
              </w:rPr>
              <w:t>)</w:t>
            </w:r>
            <w:r w:rsidRPr="00BB2EA4">
              <w:rPr>
                <w:color w:val="000000"/>
                <w:sz w:val="18"/>
                <w:szCs w:val="18"/>
                <w:lang w:val="es-ES_tradnl"/>
              </w:rPr>
              <w:t xml:space="preserve"> del SND (</w:t>
            </w:r>
            <w:r w:rsidRPr="00326588">
              <w:rPr>
                <w:i/>
                <w:color w:val="000000"/>
                <w:sz w:val="18"/>
                <w:szCs w:val="18"/>
                <w:lang w:val="es-ES_tradnl"/>
              </w:rPr>
              <w:t xml:space="preserve">Número de fallas por </w:t>
            </w:r>
            <w:proofErr w:type="spellStart"/>
            <w:r w:rsidRPr="00326588">
              <w:rPr>
                <w:i/>
                <w:color w:val="000000"/>
                <w:sz w:val="18"/>
                <w:szCs w:val="18"/>
                <w:lang w:val="es-ES_tradnl"/>
              </w:rPr>
              <w:t>kVA</w:t>
            </w:r>
            <w:proofErr w:type="spellEnd"/>
            <w:r w:rsidRPr="00BB2EA4">
              <w:rPr>
                <w:color w:val="000000"/>
                <w:sz w:val="18"/>
                <w:szCs w:val="18"/>
                <w:lang w:val="es-ES_tradnl"/>
              </w:rPr>
              <w:t>).</w:t>
            </w:r>
          </w:p>
        </w:tc>
        <w:tc>
          <w:tcPr>
            <w:tcW w:w="504" w:type="pct"/>
            <w:vAlign w:val="center"/>
          </w:tcPr>
          <w:p w14:paraId="3FA8049B" w14:textId="77777777" w:rsidR="0069056F" w:rsidRDefault="0069056F" w:rsidP="00266D1B">
            <w:pPr>
              <w:jc w:val="center"/>
              <w:rPr>
                <w:sz w:val="18"/>
                <w:szCs w:val="18"/>
                <w:lang w:val="es-ES_tradnl"/>
              </w:rPr>
            </w:pPr>
            <w:r>
              <w:rPr>
                <w:sz w:val="18"/>
                <w:szCs w:val="18"/>
                <w:lang w:val="es-ES_tradnl"/>
              </w:rPr>
              <w:t>13,72</w:t>
            </w:r>
          </w:p>
        </w:tc>
        <w:tc>
          <w:tcPr>
            <w:tcW w:w="469" w:type="pct"/>
            <w:vAlign w:val="center"/>
          </w:tcPr>
          <w:p w14:paraId="2BC57CFC" w14:textId="77777777" w:rsidR="0069056F" w:rsidRDefault="0069056F" w:rsidP="00266D1B">
            <w:pPr>
              <w:jc w:val="center"/>
              <w:rPr>
                <w:sz w:val="18"/>
                <w:szCs w:val="18"/>
                <w:lang w:val="es-ES_tradnl"/>
              </w:rPr>
            </w:pPr>
            <w:r>
              <w:rPr>
                <w:sz w:val="18"/>
                <w:szCs w:val="18"/>
                <w:lang w:val="es-ES_tradnl"/>
              </w:rPr>
              <w:t>9,6</w:t>
            </w:r>
          </w:p>
        </w:tc>
        <w:tc>
          <w:tcPr>
            <w:tcW w:w="667" w:type="pct"/>
            <w:shd w:val="clear" w:color="auto" w:fill="auto"/>
            <w:vAlign w:val="center"/>
          </w:tcPr>
          <w:p w14:paraId="52589EBF" w14:textId="77777777" w:rsidR="0069056F" w:rsidRDefault="0069056F" w:rsidP="00266D1B">
            <w:pPr>
              <w:jc w:val="center"/>
              <w:rPr>
                <w:sz w:val="18"/>
                <w:szCs w:val="18"/>
                <w:lang w:val="es-ES_tradnl"/>
              </w:rPr>
            </w:pPr>
            <w:r>
              <w:rPr>
                <w:sz w:val="18"/>
                <w:szCs w:val="18"/>
                <w:lang w:val="es-ES_tradnl"/>
              </w:rPr>
              <w:t>Informe MEER</w:t>
            </w:r>
          </w:p>
        </w:tc>
      </w:tr>
      <w:tr w:rsidR="0069056F" w:rsidRPr="00CF7759" w14:paraId="228265BE" w14:textId="77777777" w:rsidTr="00266D1B">
        <w:trPr>
          <w:trHeight w:val="344"/>
        </w:trPr>
        <w:tc>
          <w:tcPr>
            <w:tcW w:w="5000" w:type="pct"/>
            <w:gridSpan w:val="6"/>
            <w:vAlign w:val="center"/>
          </w:tcPr>
          <w:p w14:paraId="174DE622" w14:textId="77777777" w:rsidR="0069056F" w:rsidRPr="009D4610" w:rsidRDefault="0069056F" w:rsidP="00266D1B">
            <w:pPr>
              <w:rPr>
                <w:color w:val="000000"/>
                <w:sz w:val="18"/>
                <w:szCs w:val="18"/>
                <w:lang w:val="es-ES_tradnl"/>
              </w:rPr>
            </w:pPr>
            <w:r w:rsidRPr="009D4610">
              <w:rPr>
                <w:b/>
                <w:color w:val="000000"/>
                <w:sz w:val="18"/>
                <w:szCs w:val="18"/>
                <w:lang w:val="es-ES_tradnl"/>
              </w:rPr>
              <w:t>IV. Apoyo a la integración eléctrica regional</w:t>
            </w:r>
          </w:p>
        </w:tc>
      </w:tr>
      <w:tr w:rsidR="0069056F" w:rsidRPr="008431CB" w14:paraId="65165E91" w14:textId="77777777" w:rsidTr="0069056F">
        <w:trPr>
          <w:trHeight w:val="723"/>
        </w:trPr>
        <w:tc>
          <w:tcPr>
            <w:tcW w:w="1017" w:type="pct"/>
            <w:vAlign w:val="center"/>
          </w:tcPr>
          <w:p w14:paraId="7F85F71F" w14:textId="77777777" w:rsidR="0069056F" w:rsidRPr="00A204F6" w:rsidRDefault="0069056F" w:rsidP="00266D1B">
            <w:pPr>
              <w:rPr>
                <w:bCs/>
                <w:color w:val="000000"/>
                <w:sz w:val="18"/>
                <w:lang w:val="es-MX"/>
              </w:rPr>
            </w:pPr>
            <w:r w:rsidRPr="00233AB8">
              <w:rPr>
                <w:sz w:val="18"/>
                <w:szCs w:val="18"/>
                <w:lang w:val="es-ES_tradnl"/>
              </w:rPr>
              <w:t>Desarrollo del marco regulatorio que facilite las transacciones comerciales en la región</w:t>
            </w:r>
            <w:r>
              <w:rPr>
                <w:bCs/>
                <w:color w:val="000000"/>
                <w:sz w:val="18"/>
                <w:lang w:val="es-MX"/>
              </w:rPr>
              <w:t>.</w:t>
            </w:r>
          </w:p>
        </w:tc>
        <w:tc>
          <w:tcPr>
            <w:tcW w:w="1120" w:type="pct"/>
            <w:vAlign w:val="center"/>
          </w:tcPr>
          <w:p w14:paraId="51665CF1" w14:textId="77777777" w:rsidR="0069056F" w:rsidRPr="00B13796" w:rsidRDefault="0069056F" w:rsidP="00266D1B">
            <w:pPr>
              <w:rPr>
                <w:sz w:val="18"/>
                <w:szCs w:val="18"/>
                <w:lang w:val="es-MX"/>
              </w:rPr>
            </w:pPr>
            <w:r w:rsidRPr="000E001A">
              <w:rPr>
                <w:bCs/>
                <w:color w:val="000000"/>
                <w:sz w:val="18"/>
                <w:lang w:val="es-MX"/>
              </w:rPr>
              <w:t xml:space="preserve">Incremento de las exportaciones de electricidad Ecuador a Perú </w:t>
            </w:r>
          </w:p>
        </w:tc>
        <w:tc>
          <w:tcPr>
            <w:tcW w:w="1223" w:type="pct"/>
            <w:vAlign w:val="center"/>
          </w:tcPr>
          <w:p w14:paraId="5F086CFB" w14:textId="77777777" w:rsidR="0069056F" w:rsidRDefault="0069056F" w:rsidP="00266D1B">
            <w:pPr>
              <w:rPr>
                <w:sz w:val="18"/>
                <w:szCs w:val="18"/>
                <w:lang w:val="es-ES_tradnl"/>
              </w:rPr>
            </w:pPr>
            <w:r>
              <w:rPr>
                <w:bCs/>
                <w:color w:val="000000"/>
                <w:sz w:val="18"/>
                <w:lang w:val="es-MX"/>
              </w:rPr>
              <w:t>Electricidad exportada  anualmente de Ecuador a Perú (</w:t>
            </w:r>
            <w:proofErr w:type="spellStart"/>
            <w:r w:rsidRPr="000E001A">
              <w:rPr>
                <w:bCs/>
                <w:color w:val="000000"/>
                <w:sz w:val="18"/>
                <w:lang w:val="es-MX"/>
              </w:rPr>
              <w:t>GWh</w:t>
            </w:r>
            <w:proofErr w:type="spellEnd"/>
            <w:r>
              <w:rPr>
                <w:bCs/>
                <w:color w:val="000000"/>
                <w:sz w:val="18"/>
                <w:lang w:val="es-MX"/>
              </w:rPr>
              <w:t>)</w:t>
            </w:r>
          </w:p>
        </w:tc>
        <w:tc>
          <w:tcPr>
            <w:tcW w:w="504" w:type="pct"/>
            <w:vAlign w:val="center"/>
          </w:tcPr>
          <w:p w14:paraId="6149B472" w14:textId="77777777" w:rsidR="0069056F" w:rsidRDefault="0069056F" w:rsidP="00266D1B">
            <w:pPr>
              <w:jc w:val="center"/>
              <w:rPr>
                <w:sz w:val="18"/>
                <w:szCs w:val="18"/>
                <w:lang w:val="es-ES_tradnl"/>
              </w:rPr>
            </w:pPr>
            <w:r>
              <w:rPr>
                <w:sz w:val="18"/>
                <w:szCs w:val="18"/>
                <w:lang w:val="es-ES_tradnl"/>
              </w:rPr>
              <w:t>0.5</w:t>
            </w:r>
          </w:p>
        </w:tc>
        <w:tc>
          <w:tcPr>
            <w:tcW w:w="469" w:type="pct"/>
            <w:vAlign w:val="center"/>
          </w:tcPr>
          <w:p w14:paraId="639C5C64" w14:textId="77777777" w:rsidR="0069056F" w:rsidRPr="001C0273" w:rsidRDefault="0069056F" w:rsidP="00266D1B">
            <w:pPr>
              <w:jc w:val="center"/>
              <w:rPr>
                <w:sz w:val="18"/>
                <w:szCs w:val="18"/>
                <w:lang w:val="es-ES_tradnl"/>
              </w:rPr>
            </w:pPr>
            <w:r>
              <w:rPr>
                <w:sz w:val="18"/>
                <w:szCs w:val="18"/>
                <w:lang w:val="es-ES_tradnl"/>
              </w:rPr>
              <w:t>2.0</w:t>
            </w:r>
          </w:p>
        </w:tc>
        <w:tc>
          <w:tcPr>
            <w:tcW w:w="667" w:type="pct"/>
            <w:shd w:val="clear" w:color="auto" w:fill="auto"/>
            <w:vAlign w:val="center"/>
          </w:tcPr>
          <w:p w14:paraId="00916683" w14:textId="77777777" w:rsidR="0069056F" w:rsidRPr="00CF4837" w:rsidRDefault="0069056F" w:rsidP="00266D1B">
            <w:pPr>
              <w:jc w:val="center"/>
              <w:rPr>
                <w:color w:val="000000"/>
                <w:sz w:val="18"/>
                <w:szCs w:val="18"/>
                <w:lang w:val="es-ES_tradnl"/>
              </w:rPr>
            </w:pPr>
            <w:r>
              <w:rPr>
                <w:sz w:val="18"/>
                <w:szCs w:val="18"/>
                <w:lang w:val="es-ES_tradnl"/>
              </w:rPr>
              <w:t>Informe CONELEC</w:t>
            </w:r>
          </w:p>
        </w:tc>
      </w:tr>
    </w:tbl>
    <w:p w14:paraId="4F595FB0" w14:textId="77777777" w:rsidR="0069056F" w:rsidRPr="00767DBC" w:rsidRDefault="0069056F" w:rsidP="0069056F">
      <w:pPr>
        <w:rPr>
          <w:lang w:val="es-ES"/>
        </w:rPr>
      </w:pPr>
    </w:p>
    <w:p w14:paraId="32B8CD30" w14:textId="77777777" w:rsidR="0069056F" w:rsidRPr="00767DBC" w:rsidRDefault="0069056F" w:rsidP="0069056F">
      <w:pPr>
        <w:pStyle w:val="Heading2"/>
        <w:spacing w:before="120" w:after="120"/>
        <w:rPr>
          <w:rStyle w:val="SubtleEmphasis"/>
          <w:color w:val="auto"/>
          <w:lang w:val="es-ES"/>
        </w:rPr>
      </w:pPr>
      <w:r w:rsidRPr="00B0737D">
        <w:rPr>
          <w:rStyle w:val="SubtleEmphasis"/>
          <w:color w:val="auto"/>
          <w:lang w:val="es-ES"/>
        </w:rPr>
        <w:t>Metodología</w:t>
      </w:r>
      <w:r w:rsidRPr="00767DBC">
        <w:rPr>
          <w:rStyle w:val="SubtleEmphasis"/>
          <w:color w:val="auto"/>
          <w:lang w:val="es-ES"/>
        </w:rPr>
        <w:t xml:space="preserve"> de </w:t>
      </w:r>
      <w:r w:rsidRPr="00B0737D">
        <w:rPr>
          <w:rStyle w:val="SubtleEmphasis"/>
          <w:color w:val="auto"/>
          <w:lang w:val="es-ES"/>
        </w:rPr>
        <w:t>evaluación</w:t>
      </w:r>
    </w:p>
    <w:p w14:paraId="76A473A4" w14:textId="77777777" w:rsidR="0069056F" w:rsidRPr="00767DBC" w:rsidRDefault="0069056F" w:rsidP="0069056F">
      <w:pPr>
        <w:spacing w:before="120" w:after="120" w:line="360" w:lineRule="auto"/>
        <w:jc w:val="both"/>
        <w:rPr>
          <w:lang w:val="es-ES"/>
        </w:rPr>
      </w:pPr>
      <w:r w:rsidRPr="00767DBC">
        <w:rPr>
          <w:lang w:val="es-ES"/>
        </w:rPr>
        <w:t xml:space="preserve">Con el objetivo de evaluar el alcance de los resultados previstos para el Programa, el BID preparará una evaluación de los resultados a efectuarse durante el </w:t>
      </w:r>
      <w:r w:rsidRPr="007E07CA">
        <w:rPr>
          <w:szCs w:val="24"/>
          <w:lang w:val="es-ES"/>
        </w:rPr>
        <w:t>segundo</w:t>
      </w:r>
      <w:r w:rsidRPr="00767DBC">
        <w:rPr>
          <w:lang w:val="es-ES"/>
        </w:rPr>
        <w:t xml:space="preserve"> semestre de 2017. La evaluación realizará una revisión cualitativa de los resultados del </w:t>
      </w:r>
      <w:r w:rsidRPr="007E07CA">
        <w:rPr>
          <w:szCs w:val="24"/>
          <w:lang w:val="es-ES"/>
        </w:rPr>
        <w:t>Programa</w:t>
      </w:r>
      <w:r w:rsidRPr="00767DBC">
        <w:rPr>
          <w:lang w:val="es-ES"/>
        </w:rPr>
        <w:t xml:space="preserve"> siguiendo los lineamientos para la preparación de los Reportes de Finalización del Programa (PCR por sus siglas en inglés). La evaluación será preparada al término de la última fase del Programa y tomará como base las previsiones de la Matriz de Resultados y la Matriz de Compromisos de Políticas. </w:t>
      </w:r>
    </w:p>
    <w:p w14:paraId="1DF5462D" w14:textId="77777777" w:rsidR="0069056F" w:rsidRPr="00767DBC" w:rsidRDefault="0069056F" w:rsidP="0069056F">
      <w:pPr>
        <w:spacing w:before="120" w:after="120" w:line="360" w:lineRule="auto"/>
        <w:jc w:val="both"/>
        <w:rPr>
          <w:lang w:val="es-ES"/>
        </w:rPr>
      </w:pPr>
      <w:r w:rsidRPr="00767DBC">
        <w:rPr>
          <w:lang w:val="es-ES"/>
        </w:rPr>
        <w:t xml:space="preserve">Adicionalmente, </w:t>
      </w:r>
      <w:r w:rsidRPr="007E07CA">
        <w:rPr>
          <w:szCs w:val="24"/>
          <w:lang w:val="es-ES"/>
        </w:rPr>
        <w:t>el Banco llevará a cabo en el primer semestre de 2018,</w:t>
      </w:r>
      <w:r w:rsidRPr="00767DBC">
        <w:rPr>
          <w:lang w:val="es-ES"/>
        </w:rPr>
        <w:t xml:space="preserve"> un análisis económico de costo</w:t>
      </w:r>
      <w:r w:rsidRPr="007E07CA">
        <w:rPr>
          <w:szCs w:val="24"/>
          <w:lang w:val="es-ES"/>
        </w:rPr>
        <w:t>-</w:t>
      </w:r>
      <w:r w:rsidRPr="00767DBC">
        <w:rPr>
          <w:lang w:val="es-ES"/>
        </w:rPr>
        <w:t xml:space="preserve">beneficio ex–post que analizará los resultados del Programa a partir de los supuestos </w:t>
      </w:r>
      <w:r w:rsidRPr="00767DBC">
        <w:rPr>
          <w:lang w:val="es-ES"/>
        </w:rPr>
        <w:lastRenderedPageBreak/>
        <w:t>que determinaron su conveniencia durante el diseño. Para ello, al análisis económico usará como punto de partida el último análisis económico de costo</w:t>
      </w:r>
      <w:r w:rsidRPr="007E07CA">
        <w:rPr>
          <w:szCs w:val="24"/>
          <w:lang w:val="es-ES"/>
        </w:rPr>
        <w:t>-</w:t>
      </w:r>
      <w:r w:rsidRPr="00767DBC">
        <w:rPr>
          <w:lang w:val="es-ES"/>
        </w:rPr>
        <w:t>beneficio preparado para el último tramo del Programa</w:t>
      </w:r>
      <w:r w:rsidRPr="00767DBC">
        <w:footnoteReference w:id="13"/>
      </w:r>
      <w:r w:rsidRPr="00767DBC">
        <w:rPr>
          <w:vertAlign w:val="superscript"/>
          <w:lang w:val="es-ES"/>
        </w:rPr>
        <w:t>,</w:t>
      </w:r>
      <w:r w:rsidRPr="00767DBC">
        <w:rPr>
          <w:lang w:val="es-ES"/>
        </w:rPr>
        <w:t xml:space="preserve"> así como la información recopilada por el ejecutor durante la </w:t>
      </w:r>
      <w:r w:rsidRPr="007E07CA">
        <w:rPr>
          <w:szCs w:val="24"/>
          <w:lang w:val="es-ES"/>
        </w:rPr>
        <w:t>medición</w:t>
      </w:r>
      <w:r w:rsidRPr="00767DBC">
        <w:rPr>
          <w:lang w:val="es-ES"/>
        </w:rPr>
        <w:t xml:space="preserve"> del avance de indicadores de </w:t>
      </w:r>
      <w:r w:rsidRPr="007E07CA">
        <w:rPr>
          <w:szCs w:val="24"/>
          <w:lang w:val="es-ES"/>
        </w:rPr>
        <w:t xml:space="preserve">resultados. </w:t>
      </w:r>
    </w:p>
    <w:p w14:paraId="6591FFE4" w14:textId="77777777" w:rsidR="0069056F" w:rsidRPr="007E07CA" w:rsidRDefault="0069056F" w:rsidP="0069056F">
      <w:pPr>
        <w:spacing w:before="120" w:after="120" w:line="360" w:lineRule="auto"/>
        <w:jc w:val="both"/>
        <w:rPr>
          <w:szCs w:val="24"/>
          <w:lang w:val="es-ES"/>
        </w:rPr>
      </w:pPr>
      <w:r w:rsidRPr="007E07CA">
        <w:rPr>
          <w:szCs w:val="24"/>
          <w:lang w:val="es-ES"/>
        </w:rPr>
        <w:t xml:space="preserve">La </w:t>
      </w:r>
      <w:r w:rsidRPr="00767DBC">
        <w:rPr>
          <w:lang w:val="es-ES"/>
        </w:rPr>
        <w:t xml:space="preserve">evaluación </w:t>
      </w:r>
      <w:r w:rsidRPr="007E07CA">
        <w:rPr>
          <w:szCs w:val="24"/>
          <w:lang w:val="es-ES"/>
        </w:rPr>
        <w:t>económica será consistente con las matrices de política y de resultados y se concentrará en los siguientes puntos:</w:t>
      </w:r>
    </w:p>
    <w:p w14:paraId="2D12BBF9" w14:textId="77777777" w:rsidR="0069056F" w:rsidRPr="00767DBC" w:rsidRDefault="0069056F" w:rsidP="0069056F">
      <w:pPr>
        <w:pStyle w:val="ListParagraph"/>
        <w:numPr>
          <w:ilvl w:val="0"/>
          <w:numId w:val="29"/>
        </w:numPr>
        <w:spacing w:before="120" w:after="120" w:line="360" w:lineRule="auto"/>
        <w:jc w:val="both"/>
        <w:rPr>
          <w:lang w:val="es-ES"/>
        </w:rPr>
      </w:pPr>
      <w:r w:rsidRPr="007E07CA">
        <w:rPr>
          <w:b/>
          <w:lang w:val="es-ES"/>
        </w:rPr>
        <w:t>Evaluación de las inversiones en centrales hidroeléctricas orientadas a transformar la matriz energética con la sustitución de combustibles líquidos.</w:t>
      </w:r>
      <w:r w:rsidRPr="007E07CA">
        <w:rPr>
          <w:lang w:val="es-ES"/>
        </w:rPr>
        <w:t xml:space="preserve">  Los </w:t>
      </w:r>
      <w:r w:rsidRPr="00767DBC">
        <w:rPr>
          <w:lang w:val="es-ES"/>
        </w:rPr>
        <w:t xml:space="preserve">beneficios </w:t>
      </w:r>
      <w:r w:rsidRPr="007E07CA">
        <w:rPr>
          <w:lang w:val="es-ES"/>
        </w:rPr>
        <w:t>se evaluar</w:t>
      </w:r>
      <w:r w:rsidRPr="00CF0FBF">
        <w:rPr>
          <w:lang w:val="es-ES"/>
        </w:rPr>
        <w:t>á</w:t>
      </w:r>
      <w:r w:rsidRPr="007E07CA">
        <w:rPr>
          <w:lang w:val="es-ES"/>
        </w:rPr>
        <w:t>n con base en la diferencia</w:t>
      </w:r>
      <w:r w:rsidRPr="00767DBC">
        <w:rPr>
          <w:lang w:val="es-ES"/>
        </w:rPr>
        <w:t xml:space="preserve"> de </w:t>
      </w:r>
      <w:r w:rsidRPr="007E07CA">
        <w:rPr>
          <w:lang w:val="es-ES"/>
        </w:rPr>
        <w:t xml:space="preserve">costos asociados entre el escenario </w:t>
      </w:r>
      <w:proofErr w:type="spellStart"/>
      <w:r w:rsidRPr="007E07CA">
        <w:rPr>
          <w:lang w:val="es-ES"/>
        </w:rPr>
        <w:t>contrafactual</w:t>
      </w:r>
      <w:proofErr w:type="spellEnd"/>
      <w:r w:rsidRPr="007E07CA">
        <w:rPr>
          <w:lang w:val="es-ES"/>
        </w:rPr>
        <w:t xml:space="preserve"> definido durante la preparación del ACB ex ante (</w:t>
      </w:r>
      <w:r w:rsidRPr="007E07CA">
        <w:rPr>
          <w:b/>
          <w:lang w:val="es-ES"/>
        </w:rPr>
        <w:t xml:space="preserve">costos de combustible, operación y </w:t>
      </w:r>
      <w:r w:rsidRPr="00767DBC">
        <w:rPr>
          <w:b/>
          <w:lang w:val="es-ES"/>
        </w:rPr>
        <w:t>mantenimiento</w:t>
      </w:r>
      <w:r w:rsidRPr="007E07CA">
        <w:rPr>
          <w:b/>
          <w:lang w:val="es-ES"/>
        </w:rPr>
        <w:t>, emisiones, costos</w:t>
      </w:r>
      <w:r w:rsidRPr="00767DBC">
        <w:rPr>
          <w:b/>
          <w:lang w:val="es-ES"/>
        </w:rPr>
        <w:t xml:space="preserve"> de </w:t>
      </w:r>
      <w:r w:rsidRPr="007E07CA">
        <w:rPr>
          <w:b/>
          <w:lang w:val="es-ES"/>
        </w:rPr>
        <w:t>GLP no sustituidos</w:t>
      </w:r>
      <w:r w:rsidRPr="007E07CA">
        <w:rPr>
          <w:lang w:val="es-ES"/>
        </w:rPr>
        <w:t xml:space="preserve">) y los costos equivalentes arrojados por el escenario del </w:t>
      </w:r>
      <w:r w:rsidRPr="00CF0FBF">
        <w:rPr>
          <w:lang w:val="es-ES"/>
        </w:rPr>
        <w:t xml:space="preserve">Plan Maestro de Electrificación 2013-2022 (PME). </w:t>
      </w:r>
    </w:p>
    <w:p w14:paraId="2B628982" w14:textId="3E261F56" w:rsidR="0069056F" w:rsidRPr="007E07CA" w:rsidRDefault="0069056F" w:rsidP="0069056F">
      <w:pPr>
        <w:pStyle w:val="ListParagraph"/>
        <w:spacing w:before="120" w:after="120" w:line="360" w:lineRule="auto"/>
        <w:ind w:left="1080"/>
        <w:jc w:val="both"/>
        <w:rPr>
          <w:lang w:val="es-ES"/>
        </w:rPr>
      </w:pPr>
      <w:r w:rsidRPr="007E07CA">
        <w:rPr>
          <w:lang w:val="es-ES"/>
        </w:rPr>
        <w:t xml:space="preserve">Los costos estarán representados por: </w:t>
      </w:r>
      <w:r>
        <w:rPr>
          <w:lang w:val="es-ES"/>
        </w:rPr>
        <w:t>i)</w:t>
      </w:r>
      <w:r w:rsidRPr="007E07CA">
        <w:rPr>
          <w:lang w:val="es-ES"/>
        </w:rPr>
        <w:t xml:space="preserve"> costos de inversión del parque generador previsto en el PME; </w:t>
      </w:r>
      <w:r>
        <w:rPr>
          <w:lang w:val="es-ES"/>
        </w:rPr>
        <w:t>ii)</w:t>
      </w:r>
      <w:r w:rsidRPr="007E07CA">
        <w:rPr>
          <w:lang w:val="es-ES"/>
        </w:rPr>
        <w:t xml:space="preserve"> costos de inversión incrementales de transmisión del plan del PME con relación al escenario </w:t>
      </w:r>
      <w:proofErr w:type="spellStart"/>
      <w:r w:rsidRPr="007E07CA">
        <w:rPr>
          <w:lang w:val="es-ES"/>
        </w:rPr>
        <w:t>contrafactual</w:t>
      </w:r>
      <w:proofErr w:type="spellEnd"/>
      <w:r w:rsidRPr="007E07CA">
        <w:rPr>
          <w:lang w:val="es-ES"/>
        </w:rPr>
        <w:t xml:space="preserve">, los cuales están constituidos por las inversiones en las redes de 500kV y otras inversiones en transmisión asociadas con el aumento de demanda de la sustitución de GLP por electricidad; </w:t>
      </w:r>
      <w:r>
        <w:rPr>
          <w:lang w:val="es-ES"/>
        </w:rPr>
        <w:t>iii)</w:t>
      </w:r>
      <w:r w:rsidRPr="007E07CA">
        <w:rPr>
          <w:lang w:val="es-ES"/>
        </w:rPr>
        <w:t xml:space="preserve"> costos de inversión incrementales de distribución con relación al escenario </w:t>
      </w:r>
      <w:proofErr w:type="spellStart"/>
      <w:r w:rsidRPr="007E07CA">
        <w:rPr>
          <w:lang w:val="es-ES"/>
        </w:rPr>
        <w:t>contrafactual</w:t>
      </w:r>
      <w:proofErr w:type="spellEnd"/>
      <w:r w:rsidRPr="007E07CA">
        <w:rPr>
          <w:lang w:val="es-ES"/>
        </w:rPr>
        <w:t xml:space="preserve">, los cuales están constituidos por las inversiones necesarias para enfrentar el aumento de demanda de las cocinas de inducción; y </w:t>
      </w:r>
      <w:r>
        <w:rPr>
          <w:lang w:val="es-ES"/>
        </w:rPr>
        <w:t>iv)</w:t>
      </w:r>
      <w:r w:rsidRPr="007E07CA">
        <w:rPr>
          <w:lang w:val="es-ES"/>
        </w:rPr>
        <w:t xml:space="preserve"> los costos de las cocinas de inducción.</w:t>
      </w:r>
    </w:p>
    <w:p w14:paraId="7E4200E3" w14:textId="77777777" w:rsidR="0069056F" w:rsidRPr="007E07CA" w:rsidRDefault="0069056F" w:rsidP="0069056F">
      <w:pPr>
        <w:pStyle w:val="ListParagraph"/>
        <w:numPr>
          <w:ilvl w:val="0"/>
          <w:numId w:val="29"/>
        </w:numPr>
        <w:spacing w:before="120" w:after="120" w:line="360" w:lineRule="auto"/>
        <w:jc w:val="both"/>
        <w:rPr>
          <w:lang w:val="es-ES"/>
        </w:rPr>
      </w:pPr>
      <w:r w:rsidRPr="007E07CA">
        <w:rPr>
          <w:b/>
          <w:lang w:val="es-ES"/>
        </w:rPr>
        <w:t>Evaluación de la política de sustitución de GLP por electricidad.</w:t>
      </w:r>
      <w:r w:rsidRPr="007E07CA">
        <w:rPr>
          <w:lang w:val="es-ES"/>
        </w:rPr>
        <w:t xml:space="preserve"> Los beneficios a ser considerados en la evaluación d</w:t>
      </w:r>
      <w:r w:rsidRPr="00CF0FBF">
        <w:rPr>
          <w:lang w:val="es-ES"/>
        </w:rPr>
        <w:t>e</w:t>
      </w:r>
      <w:r w:rsidRPr="007E07CA">
        <w:rPr>
          <w:lang w:val="es-ES"/>
        </w:rPr>
        <w:t xml:space="preserve"> este punto serán: </w:t>
      </w:r>
      <w:r w:rsidRPr="00CF0FBF">
        <w:rPr>
          <w:lang w:val="es-ES"/>
        </w:rPr>
        <w:t>i)</w:t>
      </w:r>
      <w:r w:rsidRPr="007E07CA">
        <w:rPr>
          <w:lang w:val="es-ES"/>
        </w:rPr>
        <w:t xml:space="preserve"> la reducción del valor de consumo ineficiente inducido por el subsidio al GLP; </w:t>
      </w:r>
      <w:r w:rsidRPr="00CF0FBF">
        <w:rPr>
          <w:lang w:val="es-ES"/>
        </w:rPr>
        <w:t>ii)</w:t>
      </w:r>
      <w:r w:rsidRPr="007E07CA">
        <w:rPr>
          <w:lang w:val="es-ES"/>
        </w:rPr>
        <w:t xml:space="preserve"> el mayor excedente del consumidor asociado con el mayor suministro de electricidad; y </w:t>
      </w:r>
      <w:r w:rsidRPr="00CF0FBF">
        <w:rPr>
          <w:lang w:val="es-ES"/>
        </w:rPr>
        <w:t>ii)</w:t>
      </w:r>
      <w:r w:rsidRPr="007E07CA">
        <w:rPr>
          <w:lang w:val="es-ES"/>
        </w:rPr>
        <w:t xml:space="preserve"> la eliminación del contrabando. </w:t>
      </w:r>
    </w:p>
    <w:p w14:paraId="4528FB4D" w14:textId="77777777" w:rsidR="0069056F" w:rsidRPr="00044F60" w:rsidRDefault="0069056F" w:rsidP="0069056F">
      <w:pPr>
        <w:pStyle w:val="ListParagraph"/>
        <w:spacing w:before="120" w:after="120" w:line="360" w:lineRule="auto"/>
        <w:ind w:left="1080"/>
        <w:jc w:val="both"/>
        <w:rPr>
          <w:lang w:val="es-ES"/>
        </w:rPr>
      </w:pPr>
      <w:r w:rsidRPr="007E07CA">
        <w:rPr>
          <w:lang w:val="es-ES"/>
        </w:rPr>
        <w:t xml:space="preserve">Los costos asociados con la política a ser considerados comprenden, entre otros: </w:t>
      </w:r>
      <w:r>
        <w:rPr>
          <w:lang w:val="es-ES"/>
        </w:rPr>
        <w:t>i)</w:t>
      </w:r>
      <w:r w:rsidRPr="007E07CA">
        <w:rPr>
          <w:lang w:val="es-ES"/>
        </w:rPr>
        <w:t xml:space="preserve"> la inversión en cocinas de inducción y las inversiones en las instalaciones de los </w:t>
      </w:r>
      <w:r w:rsidRPr="007E07CA">
        <w:rPr>
          <w:lang w:val="es-ES"/>
        </w:rPr>
        <w:lastRenderedPageBreak/>
        <w:t xml:space="preserve">usuarios para instalar los nuevos equipos (instalación trifásica); </w:t>
      </w:r>
      <w:r>
        <w:rPr>
          <w:lang w:val="es-ES"/>
        </w:rPr>
        <w:t>ii)</w:t>
      </w:r>
      <w:r w:rsidRPr="007E07CA">
        <w:rPr>
          <w:lang w:val="es-ES"/>
        </w:rPr>
        <w:t xml:space="preserve"> los costos de generación asociados con la energía eléctrica necesaria para atender la demanda de las cocinas; y </w:t>
      </w:r>
      <w:r>
        <w:rPr>
          <w:lang w:val="es-ES"/>
        </w:rPr>
        <w:t>iii)</w:t>
      </w:r>
      <w:r w:rsidRPr="007E07CA">
        <w:rPr>
          <w:lang w:val="es-ES"/>
        </w:rPr>
        <w:t xml:space="preserve"> los costos de transmisión y distribución para atender la demanda adicional. Los costos </w:t>
      </w:r>
      <w:r>
        <w:rPr>
          <w:lang w:val="es-ES"/>
        </w:rPr>
        <w:t>incurridos en la</w:t>
      </w:r>
      <w:r w:rsidRPr="007E07CA">
        <w:rPr>
          <w:lang w:val="es-ES"/>
        </w:rPr>
        <w:t xml:space="preserve"> implementación de la política misma (estudios, decreto, reglamento) no se consideraron significativos en el ACB ex ante por lo que no serán considerados para la evaluación ex</w:t>
      </w:r>
      <w:r>
        <w:rPr>
          <w:lang w:val="es-ES"/>
        </w:rPr>
        <w:t>-</w:t>
      </w:r>
      <w:r w:rsidRPr="007E07CA">
        <w:rPr>
          <w:lang w:val="es-ES"/>
        </w:rPr>
        <w:t>post.</w:t>
      </w:r>
    </w:p>
    <w:p w14:paraId="503D95F5" w14:textId="77777777" w:rsidR="0069056F" w:rsidRDefault="0069056F" w:rsidP="0069056F">
      <w:pPr>
        <w:spacing w:before="120" w:after="120" w:line="360" w:lineRule="auto"/>
        <w:jc w:val="both"/>
        <w:rPr>
          <w:lang w:val="es-ES"/>
        </w:rPr>
      </w:pPr>
      <w:r>
        <w:rPr>
          <w:lang w:val="es-ES"/>
        </w:rPr>
        <w:t xml:space="preserve">Para ambos casos se llevará a cabo un análisis de sensibilidad que considerará, entre otros: (i)  la </w:t>
      </w:r>
      <w:r w:rsidRPr="006B0A10">
        <w:rPr>
          <w:lang w:val="es-ES"/>
        </w:rPr>
        <w:t>penetración efectiva del programa de cocinas eficientes</w:t>
      </w:r>
      <w:r>
        <w:rPr>
          <w:lang w:val="es-ES"/>
        </w:rPr>
        <w:t>; (ii) las variaciones presentadas y proyección de los precios de</w:t>
      </w:r>
      <w:r w:rsidRPr="006B0A10">
        <w:rPr>
          <w:lang w:val="es-ES"/>
        </w:rPr>
        <w:t xml:space="preserve"> los combustibles</w:t>
      </w:r>
      <w:r>
        <w:rPr>
          <w:lang w:val="es-ES"/>
        </w:rPr>
        <w:t xml:space="preserve"> fósiles</w:t>
      </w:r>
      <w:r w:rsidRPr="006B0A10">
        <w:rPr>
          <w:lang w:val="es-ES"/>
        </w:rPr>
        <w:t>,</w:t>
      </w:r>
      <w:r>
        <w:rPr>
          <w:lang w:val="es-ES"/>
        </w:rPr>
        <w:t xml:space="preserve"> (iii) el nivel de contrabando de GLP. </w:t>
      </w:r>
    </w:p>
    <w:p w14:paraId="65AEC1CD" w14:textId="77777777" w:rsidR="0069056F" w:rsidRDefault="0069056F" w:rsidP="0069056F">
      <w:pPr>
        <w:spacing w:before="120" w:after="120" w:line="360" w:lineRule="auto"/>
        <w:jc w:val="both"/>
        <w:rPr>
          <w:lang w:val="es-ES"/>
        </w:rPr>
      </w:pPr>
    </w:p>
    <w:p w14:paraId="7C4DC197" w14:textId="77777777" w:rsidR="0069056F" w:rsidRPr="007E07CA" w:rsidRDefault="0069056F" w:rsidP="0069056F">
      <w:pPr>
        <w:pStyle w:val="Heading2"/>
        <w:spacing w:before="120" w:after="120"/>
        <w:rPr>
          <w:rStyle w:val="SubtleEmphasis"/>
          <w:color w:val="auto"/>
          <w:lang w:val="es-ES"/>
        </w:rPr>
      </w:pPr>
      <w:r w:rsidRPr="007E07CA">
        <w:rPr>
          <w:lang w:val="es-ES"/>
        </w:rPr>
        <w:t>Recopilación de información</w:t>
      </w:r>
    </w:p>
    <w:p w14:paraId="4E08C22E" w14:textId="77777777" w:rsidR="0069056F" w:rsidRDefault="0069056F" w:rsidP="0069056F">
      <w:pPr>
        <w:spacing w:before="120" w:after="120" w:line="360" w:lineRule="auto"/>
        <w:jc w:val="both"/>
        <w:rPr>
          <w:lang w:val="es-ES"/>
        </w:rPr>
      </w:pPr>
      <w:bookmarkStart w:id="14" w:name="_Toc296958012"/>
      <w:r>
        <w:rPr>
          <w:lang w:val="es-ES"/>
        </w:rPr>
        <w:t>L</w:t>
      </w:r>
      <w:r w:rsidRPr="00BF1FCC">
        <w:rPr>
          <w:lang w:val="es-ES"/>
        </w:rPr>
        <w:t xml:space="preserve">a Agencia Ejecutora </w:t>
      </w:r>
      <w:r>
        <w:rPr>
          <w:lang w:val="es-ES"/>
        </w:rPr>
        <w:t xml:space="preserve">del Programa es el Ministerio de Finanzas (MF) </w:t>
      </w:r>
      <w:r w:rsidRPr="00BF1FCC">
        <w:rPr>
          <w:lang w:val="es-ES"/>
        </w:rPr>
        <w:t xml:space="preserve">el MF. El Ministerio de Electricidad y Energía Renovable </w:t>
      </w:r>
      <w:r>
        <w:rPr>
          <w:lang w:val="es-ES"/>
        </w:rPr>
        <w:t>(</w:t>
      </w:r>
      <w:r w:rsidRPr="00BF1FCC">
        <w:rPr>
          <w:lang w:val="es-ES"/>
        </w:rPr>
        <w:t>MEER</w:t>
      </w:r>
      <w:r>
        <w:rPr>
          <w:lang w:val="es-ES"/>
        </w:rPr>
        <w:t>)</w:t>
      </w:r>
      <w:r w:rsidRPr="00BF1FCC">
        <w:rPr>
          <w:lang w:val="es-ES"/>
        </w:rPr>
        <w:t xml:space="preserve"> y el Ministerio de Recursos Naturales No Renovables </w:t>
      </w:r>
      <w:r>
        <w:rPr>
          <w:lang w:val="es-ES"/>
        </w:rPr>
        <w:t>(</w:t>
      </w:r>
      <w:r w:rsidRPr="00BF1FCC">
        <w:rPr>
          <w:lang w:val="es-ES"/>
        </w:rPr>
        <w:t>MRNR</w:t>
      </w:r>
      <w:r>
        <w:rPr>
          <w:lang w:val="es-ES"/>
        </w:rPr>
        <w:t>)</w:t>
      </w:r>
      <w:r w:rsidRPr="00BF1FCC">
        <w:rPr>
          <w:lang w:val="es-ES"/>
        </w:rPr>
        <w:t xml:space="preserve"> son las instituciones responsables del sector. El Consejo Nacional de Electricidad </w:t>
      </w:r>
      <w:r>
        <w:rPr>
          <w:lang w:val="es-ES"/>
        </w:rPr>
        <w:t>(</w:t>
      </w:r>
      <w:r w:rsidRPr="00BF1FCC">
        <w:rPr>
          <w:lang w:val="es-ES"/>
        </w:rPr>
        <w:t>CONELEC</w:t>
      </w:r>
      <w:r>
        <w:rPr>
          <w:lang w:val="es-ES"/>
        </w:rPr>
        <w:t>)</w:t>
      </w:r>
      <w:r w:rsidRPr="00BF1FCC">
        <w:rPr>
          <w:lang w:val="es-ES"/>
        </w:rPr>
        <w:t xml:space="preserve"> es el organismo regulador del subsector eléctrico. El Ministerio Coordinador de Sectores Estratégicos </w:t>
      </w:r>
      <w:r>
        <w:rPr>
          <w:lang w:val="es-ES"/>
        </w:rPr>
        <w:t>(</w:t>
      </w:r>
      <w:r w:rsidRPr="00BF1FCC">
        <w:rPr>
          <w:lang w:val="es-ES"/>
        </w:rPr>
        <w:t>MICSE</w:t>
      </w:r>
      <w:r>
        <w:rPr>
          <w:lang w:val="es-ES"/>
        </w:rPr>
        <w:t>)</w:t>
      </w:r>
      <w:r w:rsidRPr="00BF1FCC">
        <w:rPr>
          <w:lang w:val="es-ES"/>
        </w:rPr>
        <w:t xml:space="preserve"> es la institución encargada de coordinar las acciones de política de éste y otros sectores estratégicos. </w:t>
      </w:r>
    </w:p>
    <w:p w14:paraId="410E3002" w14:textId="77777777" w:rsidR="0069056F" w:rsidRPr="00BF1FCC" w:rsidRDefault="0069056F" w:rsidP="0069056F">
      <w:pPr>
        <w:spacing w:before="120" w:after="120" w:line="360" w:lineRule="auto"/>
        <w:jc w:val="both"/>
        <w:rPr>
          <w:lang w:val="es-ES"/>
        </w:rPr>
      </w:pPr>
      <w:r w:rsidRPr="00BF1FCC">
        <w:rPr>
          <w:lang w:val="es-ES"/>
        </w:rPr>
        <w:t xml:space="preserve">Dadas las prioridades de los compromisos de política del programa para el sector y su impacto en el contexto nacional, el </w:t>
      </w:r>
      <w:proofErr w:type="spellStart"/>
      <w:r w:rsidRPr="00BF1FCC">
        <w:rPr>
          <w:lang w:val="es-ES"/>
        </w:rPr>
        <w:t>GdE</w:t>
      </w:r>
      <w:proofErr w:type="spellEnd"/>
      <w:r w:rsidRPr="00BF1FCC">
        <w:rPr>
          <w:lang w:val="es-ES"/>
        </w:rPr>
        <w:t xml:space="preserve"> a través del MF integró un equipo de coordinación sectorial  que acompaña el diseño del programa y el cumplimiento de los compromisos de política a través de sus medios de verificación. </w:t>
      </w:r>
    </w:p>
    <w:p w14:paraId="585499A3" w14:textId="77777777" w:rsidR="0069056F" w:rsidRPr="00767DBC" w:rsidRDefault="0069056F" w:rsidP="0069056F">
      <w:pPr>
        <w:spacing w:before="120" w:after="120" w:line="360" w:lineRule="auto"/>
        <w:jc w:val="both"/>
        <w:rPr>
          <w:lang w:val="es-ES"/>
        </w:rPr>
      </w:pPr>
      <w:r w:rsidRPr="00767DBC">
        <w:rPr>
          <w:lang w:val="es-ES"/>
        </w:rPr>
        <w:t xml:space="preserve">En su carácter de ejecutor, el Ministerio de Finanzas será responsable de: i) proveer evidencia de que los compromisos de política han sido cumplidos y cualquier otra evidencia relacionada con el Programa que el BID necesite para aprobar el desembolso respectivo; ii) apoyar las acciones que se requieran para la continuidad en el cumplimiento del Programa; iii) una vez que los desembolsos del Programa hayan sido asegurados, recabar la información de los indicadores de desempeño, de tal forma que el </w:t>
      </w:r>
      <w:proofErr w:type="spellStart"/>
      <w:r w:rsidRPr="00767DBC">
        <w:rPr>
          <w:lang w:val="es-ES"/>
        </w:rPr>
        <w:t>GdE</w:t>
      </w:r>
      <w:proofErr w:type="spellEnd"/>
      <w:r w:rsidRPr="00767DBC">
        <w:rPr>
          <w:lang w:val="es-ES"/>
        </w:rPr>
        <w:t xml:space="preserve"> y el BID puedan evaluar sus resultados.</w:t>
      </w:r>
    </w:p>
    <w:p w14:paraId="4096E50C" w14:textId="77777777" w:rsidR="0069056F" w:rsidRDefault="0069056F" w:rsidP="0069056F">
      <w:pPr>
        <w:spacing w:before="120" w:after="120" w:line="360" w:lineRule="auto"/>
        <w:jc w:val="both"/>
        <w:rPr>
          <w:lang w:val="es-ES_tradnl"/>
        </w:rPr>
      </w:pPr>
      <w:r w:rsidRPr="00767DBC">
        <w:rPr>
          <w:lang w:val="es-ES"/>
        </w:rPr>
        <w:lastRenderedPageBreak/>
        <w:t xml:space="preserve">Durante el </w:t>
      </w:r>
      <w:r>
        <w:rPr>
          <w:lang w:val="es-ES"/>
        </w:rPr>
        <w:t>segundo semestre</w:t>
      </w:r>
      <w:r w:rsidRPr="00767DBC">
        <w:rPr>
          <w:lang w:val="es-ES"/>
        </w:rPr>
        <w:t xml:space="preserve"> de </w:t>
      </w:r>
      <w:r w:rsidRPr="007E07CA">
        <w:rPr>
          <w:lang w:val="es-ES"/>
        </w:rPr>
        <w:t>201</w:t>
      </w:r>
      <w:r>
        <w:rPr>
          <w:lang w:val="es-ES"/>
        </w:rPr>
        <w:t>7</w:t>
      </w:r>
      <w:r w:rsidRPr="00767DBC">
        <w:rPr>
          <w:lang w:val="es-ES"/>
        </w:rPr>
        <w:t>, el BID contratará consultores individuales para la preparación de la evaluación final</w:t>
      </w:r>
      <w:r>
        <w:rPr>
          <w:lang w:val="es-ES_tradnl"/>
        </w:rPr>
        <w:t>.</w:t>
      </w:r>
      <w:r w:rsidRPr="00767DBC">
        <w:rPr>
          <w:lang w:val="es-ES"/>
        </w:rPr>
        <w:t xml:space="preserve"> El ACB </w:t>
      </w:r>
      <w:r>
        <w:rPr>
          <w:lang w:val="es-ES"/>
        </w:rPr>
        <w:t xml:space="preserve">ex post </w:t>
      </w:r>
      <w:r w:rsidRPr="00767DBC">
        <w:rPr>
          <w:lang w:val="es-ES"/>
        </w:rPr>
        <w:t xml:space="preserve">se desarrollará entre enero y marzo de </w:t>
      </w:r>
      <w:r w:rsidRPr="007E07CA">
        <w:rPr>
          <w:lang w:val="es-ES"/>
        </w:rPr>
        <w:t>201</w:t>
      </w:r>
      <w:r>
        <w:rPr>
          <w:lang w:val="es-ES"/>
        </w:rPr>
        <w:t>8</w:t>
      </w:r>
      <w:r w:rsidRPr="007E07CA">
        <w:rPr>
          <w:lang w:val="es-ES"/>
        </w:rPr>
        <w:t xml:space="preserve">, </w:t>
      </w:r>
      <w:r>
        <w:rPr>
          <w:lang w:val="es-ES_tradnl"/>
        </w:rPr>
        <w:t xml:space="preserve">con el financiamiento y </w:t>
      </w:r>
      <w:r w:rsidRPr="00767DBC">
        <w:rPr>
          <w:lang w:val="es-ES"/>
        </w:rPr>
        <w:t>siguiendo la metodología básica descrita previamente</w:t>
      </w:r>
      <w:r>
        <w:rPr>
          <w:lang w:val="es-ES_tradnl"/>
        </w:rPr>
        <w:t xml:space="preserve">. </w:t>
      </w:r>
    </w:p>
    <w:p w14:paraId="77DDC73C" w14:textId="77777777" w:rsidR="0069056F" w:rsidRPr="00767DBC" w:rsidRDefault="0069056F" w:rsidP="0069056F">
      <w:pPr>
        <w:spacing w:before="120" w:after="120" w:line="360" w:lineRule="auto"/>
        <w:jc w:val="both"/>
        <w:rPr>
          <w:lang w:val="es-ES"/>
        </w:rPr>
      </w:pPr>
      <w:r>
        <w:rPr>
          <w:lang w:val="es-ES"/>
        </w:rPr>
        <w:t>P</w:t>
      </w:r>
      <w:r>
        <w:rPr>
          <w:lang w:val="es-ES_tradnl"/>
        </w:rPr>
        <w:t xml:space="preserve">ara la preparación de la evaluación final y del ACB ex post, </w:t>
      </w:r>
      <w:r>
        <w:rPr>
          <w:lang w:val="es-ES"/>
        </w:rPr>
        <w:t>se usarán al menos</w:t>
      </w:r>
      <w:r w:rsidRPr="00767DBC">
        <w:rPr>
          <w:lang w:val="es-ES"/>
        </w:rPr>
        <w:t xml:space="preserve"> las siguientes fuentes de información:</w:t>
      </w:r>
    </w:p>
    <w:p w14:paraId="12314CC0" w14:textId="77777777" w:rsidR="0069056F" w:rsidRPr="00767DBC" w:rsidRDefault="0069056F" w:rsidP="0069056F">
      <w:pPr>
        <w:pStyle w:val="ListParagraph"/>
        <w:numPr>
          <w:ilvl w:val="0"/>
          <w:numId w:val="31"/>
        </w:numPr>
        <w:spacing w:before="120" w:after="120" w:line="360" w:lineRule="auto"/>
        <w:jc w:val="both"/>
        <w:rPr>
          <w:lang w:val="es-ES"/>
        </w:rPr>
      </w:pPr>
      <w:r w:rsidRPr="00767DBC">
        <w:rPr>
          <w:lang w:val="es-ES"/>
        </w:rPr>
        <w:t>Informes de cumplimiento de los compromisos de políticas para los tramos I, II y III del Programa</w:t>
      </w:r>
      <w:r w:rsidRPr="007E07CA">
        <w:rPr>
          <w:lang w:val="es-ES"/>
        </w:rPr>
        <w:t xml:space="preserve">. Estos informes será preparados por el Banco después </w:t>
      </w:r>
      <w:r>
        <w:rPr>
          <w:lang w:val="es-ES"/>
        </w:rPr>
        <w:t xml:space="preserve">de </w:t>
      </w:r>
      <w:r w:rsidRPr="007E07CA">
        <w:rPr>
          <w:lang w:val="es-ES"/>
        </w:rPr>
        <w:t xml:space="preserve">recibir por parte del </w:t>
      </w:r>
      <w:proofErr w:type="spellStart"/>
      <w:r>
        <w:rPr>
          <w:lang w:val="es-ES"/>
        </w:rPr>
        <w:t>GdE</w:t>
      </w:r>
      <w:proofErr w:type="spellEnd"/>
      <w:r w:rsidRPr="007E07CA">
        <w:rPr>
          <w:lang w:val="es-ES"/>
        </w:rPr>
        <w:t xml:space="preserve"> los medios de verificación considerados en la matriz de políticas</w:t>
      </w:r>
      <w:r w:rsidRPr="007E07CA">
        <w:rPr>
          <w:rStyle w:val="FootnoteReference"/>
          <w:lang w:val="es-ES"/>
        </w:rPr>
        <w:footnoteReference w:id="14"/>
      </w:r>
      <w:r w:rsidRPr="007E07CA">
        <w:rPr>
          <w:lang w:val="es-ES"/>
        </w:rPr>
        <w:t xml:space="preserve">.  </w:t>
      </w:r>
    </w:p>
    <w:p w14:paraId="085A1049" w14:textId="77777777" w:rsidR="0069056F" w:rsidRPr="00767DBC" w:rsidRDefault="0069056F" w:rsidP="0069056F">
      <w:pPr>
        <w:pStyle w:val="ListParagraph"/>
        <w:numPr>
          <w:ilvl w:val="0"/>
          <w:numId w:val="31"/>
        </w:numPr>
        <w:spacing w:before="120" w:after="120" w:line="360" w:lineRule="auto"/>
        <w:jc w:val="both"/>
        <w:rPr>
          <w:lang w:val="es-ES"/>
        </w:rPr>
      </w:pPr>
      <w:r>
        <w:rPr>
          <w:lang w:val="es-ES"/>
        </w:rPr>
        <w:t>Proyecciones del</w:t>
      </w:r>
      <w:r w:rsidRPr="00767DBC">
        <w:rPr>
          <w:lang w:val="es-ES"/>
        </w:rPr>
        <w:t xml:space="preserve"> impacto macroeconómico de la transformación de la matriz energética ecuatoriana</w:t>
      </w:r>
      <w:r>
        <w:rPr>
          <w:lang w:val="es-ES"/>
        </w:rPr>
        <w:t xml:space="preserve"> preparado por el </w:t>
      </w:r>
      <w:r w:rsidRPr="007E07CA">
        <w:rPr>
          <w:lang w:val="es-ES"/>
        </w:rPr>
        <w:t>Banco contrat</w:t>
      </w:r>
      <w:r>
        <w:rPr>
          <w:lang w:val="es-ES"/>
        </w:rPr>
        <w:t>ó en 2014</w:t>
      </w:r>
      <w:r w:rsidRPr="007E07CA">
        <w:rPr>
          <w:lang w:val="es-ES"/>
        </w:rPr>
        <w:t xml:space="preserve">. </w:t>
      </w:r>
    </w:p>
    <w:p w14:paraId="022F6C48" w14:textId="77777777" w:rsidR="0069056F" w:rsidRPr="007E07CA" w:rsidRDefault="0069056F" w:rsidP="0069056F">
      <w:pPr>
        <w:pStyle w:val="ListParagraph"/>
        <w:numPr>
          <w:ilvl w:val="0"/>
          <w:numId w:val="31"/>
        </w:numPr>
        <w:spacing w:before="120" w:after="120" w:line="360" w:lineRule="auto"/>
        <w:jc w:val="both"/>
        <w:rPr>
          <w:lang w:val="es-ES"/>
        </w:rPr>
      </w:pPr>
      <w:r w:rsidRPr="007E07CA">
        <w:rPr>
          <w:lang w:val="es-ES"/>
        </w:rPr>
        <w:t xml:space="preserve">Presentación del Ministerio de </w:t>
      </w:r>
      <w:r>
        <w:rPr>
          <w:lang w:val="es-ES"/>
        </w:rPr>
        <w:t>Electricidad y Energía Renovable</w:t>
      </w:r>
      <w:r w:rsidRPr="007E07CA">
        <w:rPr>
          <w:lang w:val="es-ES"/>
        </w:rPr>
        <w:t xml:space="preserve"> indicando los costos finales asociados a: i) las inversiones en centrales hidroeléctricas orientadas a transformar la matriz energética con la sustitución de combustibles líquidos; ii) los costos de inversión del parque generador; iii) los costos de inversión de transmisión; iv) los costos de inversión en distribución; y v) los costos de las cocinas de inducción. Esta información será presentada al Banco durante la preparación de la evaluación final del Programa.</w:t>
      </w:r>
    </w:p>
    <w:p w14:paraId="7059BCA0" w14:textId="77777777" w:rsidR="0069056F" w:rsidRDefault="0069056F" w:rsidP="0069056F">
      <w:pPr>
        <w:pStyle w:val="ListParagraph"/>
        <w:numPr>
          <w:ilvl w:val="0"/>
          <w:numId w:val="31"/>
        </w:numPr>
        <w:spacing w:before="120" w:after="120" w:line="360" w:lineRule="auto"/>
        <w:jc w:val="both"/>
        <w:rPr>
          <w:lang w:val="es-ES"/>
        </w:rPr>
      </w:pPr>
      <w:r w:rsidRPr="0096655E">
        <w:rPr>
          <w:lang w:val="es-ES"/>
        </w:rPr>
        <w:t xml:space="preserve">Estadísticas </w:t>
      </w:r>
      <w:r>
        <w:rPr>
          <w:lang w:val="es-ES"/>
        </w:rPr>
        <w:t xml:space="preserve">anuales del </w:t>
      </w:r>
      <w:r w:rsidRPr="0096655E">
        <w:rPr>
          <w:lang w:val="es-ES"/>
        </w:rPr>
        <w:t>Banco Central del Ecuador</w:t>
      </w:r>
      <w:r>
        <w:rPr>
          <w:lang w:val="es-ES"/>
        </w:rPr>
        <w:t xml:space="preserve"> con la información correspondientes a la reducción </w:t>
      </w:r>
      <w:r w:rsidRPr="0096655E">
        <w:rPr>
          <w:lang w:val="es-ES"/>
        </w:rPr>
        <w:t>de las importaciones de derivados de petróleo</w:t>
      </w:r>
      <w:r>
        <w:rPr>
          <w:lang w:val="es-ES"/>
        </w:rPr>
        <w:t xml:space="preserve"> y el valor de los </w:t>
      </w:r>
      <w:r w:rsidRPr="0096655E">
        <w:rPr>
          <w:lang w:val="es-ES"/>
        </w:rPr>
        <w:t>subsid</w:t>
      </w:r>
      <w:r>
        <w:rPr>
          <w:lang w:val="es-ES"/>
        </w:rPr>
        <w:t>ios asociados al consumo de GLP otorgados en 2014, 2015,  2016 y 2017</w:t>
      </w:r>
      <w:r w:rsidRPr="0096655E">
        <w:rPr>
          <w:lang w:val="es-ES"/>
        </w:rPr>
        <w:t>.</w:t>
      </w:r>
    </w:p>
    <w:p w14:paraId="3DA6485A" w14:textId="77777777" w:rsidR="0069056F" w:rsidRPr="007E07CA" w:rsidRDefault="0069056F" w:rsidP="0069056F">
      <w:pPr>
        <w:pStyle w:val="ListParagraph"/>
        <w:numPr>
          <w:ilvl w:val="0"/>
          <w:numId w:val="31"/>
        </w:numPr>
        <w:spacing w:before="120" w:after="120" w:line="360" w:lineRule="auto"/>
        <w:jc w:val="both"/>
        <w:rPr>
          <w:lang w:val="es-ES"/>
        </w:rPr>
      </w:pPr>
      <w:r w:rsidRPr="0096655E">
        <w:rPr>
          <w:lang w:val="es-ES"/>
        </w:rPr>
        <w:t>Balance Energético Nacional</w:t>
      </w:r>
      <w:r>
        <w:rPr>
          <w:lang w:val="es-ES"/>
        </w:rPr>
        <w:t xml:space="preserve"> para los años 2014,  2015, 2016 y 2017, en el cual se presenten datos sobre </w:t>
      </w:r>
      <w:r w:rsidRPr="0096655E">
        <w:rPr>
          <w:lang w:val="es-ES"/>
        </w:rPr>
        <w:t xml:space="preserve">Reducción de </w:t>
      </w:r>
      <w:r>
        <w:rPr>
          <w:lang w:val="es-ES"/>
        </w:rPr>
        <w:t xml:space="preserve">emisiones de CO2 y porcentaje de </w:t>
      </w:r>
      <w:r w:rsidRPr="0096655E">
        <w:rPr>
          <w:lang w:val="es-ES"/>
        </w:rPr>
        <w:t>energía eléctrica generada a partir de fuentes renovables</w:t>
      </w:r>
      <w:r>
        <w:rPr>
          <w:lang w:val="es-ES"/>
        </w:rPr>
        <w:t xml:space="preserve"> y Gas Natural. </w:t>
      </w:r>
    </w:p>
    <w:bookmarkEnd w:id="14"/>
    <w:p w14:paraId="2F3289A0" w14:textId="77777777" w:rsidR="0069056F" w:rsidRPr="00767DBC" w:rsidRDefault="0069056F" w:rsidP="0069056F">
      <w:pPr>
        <w:pStyle w:val="Heading2"/>
        <w:spacing w:before="120" w:after="120"/>
        <w:rPr>
          <w:rStyle w:val="SubtleEmphasis"/>
          <w:color w:val="auto"/>
          <w:lang w:val="es-ES"/>
        </w:rPr>
      </w:pPr>
      <w:r w:rsidRPr="00767DBC">
        <w:rPr>
          <w:rStyle w:val="SubtleEmphasis"/>
          <w:color w:val="auto"/>
          <w:lang w:val="es-ES"/>
        </w:rPr>
        <w:t>Información de los resultados</w:t>
      </w:r>
    </w:p>
    <w:p w14:paraId="40D68C4D" w14:textId="77777777" w:rsidR="0069056F" w:rsidRPr="00767DBC" w:rsidRDefault="0069056F" w:rsidP="0069056F">
      <w:pPr>
        <w:spacing w:before="120" w:after="120" w:line="360" w:lineRule="auto"/>
        <w:jc w:val="both"/>
        <w:rPr>
          <w:lang w:val="es-ES"/>
        </w:rPr>
      </w:pPr>
      <w:r>
        <w:rPr>
          <w:lang w:val="es-ES"/>
        </w:rPr>
        <w:t>Los resultados de l</w:t>
      </w:r>
      <w:r w:rsidRPr="007E07CA">
        <w:rPr>
          <w:lang w:val="es-ES"/>
        </w:rPr>
        <w:t>a</w:t>
      </w:r>
      <w:r w:rsidRPr="00767DBC">
        <w:rPr>
          <w:lang w:val="es-ES"/>
        </w:rPr>
        <w:t xml:space="preserve"> evaluación final y el ACB ex post serán publicados</w:t>
      </w:r>
      <w:r w:rsidRPr="007E07CA">
        <w:rPr>
          <w:lang w:val="es-ES"/>
        </w:rPr>
        <w:t xml:space="preserve"> </w:t>
      </w:r>
      <w:r>
        <w:rPr>
          <w:lang w:val="es-ES"/>
        </w:rPr>
        <w:t>en la página web del Banco con</w:t>
      </w:r>
      <w:r w:rsidRPr="00767DBC">
        <w:rPr>
          <w:lang w:val="es-ES"/>
        </w:rPr>
        <w:t xml:space="preserve"> previo consentimiento del MF, mientras que los informes de progreso serán publicados confidencialmente en </w:t>
      </w:r>
      <w:proofErr w:type="spellStart"/>
      <w:r w:rsidRPr="00767DBC">
        <w:rPr>
          <w:lang w:val="es-ES"/>
        </w:rPr>
        <w:t>IDBDOCs</w:t>
      </w:r>
      <w:proofErr w:type="spellEnd"/>
      <w:r w:rsidRPr="00767DBC">
        <w:rPr>
          <w:lang w:val="es-ES"/>
        </w:rPr>
        <w:t>.</w:t>
      </w:r>
    </w:p>
    <w:p w14:paraId="01D14343" w14:textId="77777777" w:rsidR="0069056F" w:rsidRDefault="0069056F" w:rsidP="0069056F">
      <w:pPr>
        <w:spacing w:before="120" w:after="120" w:line="360" w:lineRule="auto"/>
        <w:jc w:val="both"/>
        <w:rPr>
          <w:lang w:val="es-ES"/>
        </w:rPr>
        <w:sectPr w:rsidR="0069056F" w:rsidSect="007E07CA">
          <w:pgSz w:w="12240" w:h="15840"/>
          <w:pgMar w:top="1440" w:right="1440" w:bottom="1440" w:left="1440" w:header="720" w:footer="720" w:gutter="0"/>
          <w:cols w:space="720"/>
          <w:docGrid w:linePitch="360"/>
        </w:sectPr>
      </w:pPr>
    </w:p>
    <w:p w14:paraId="540E1A49" w14:textId="77777777" w:rsidR="0069056F" w:rsidRDefault="0069056F" w:rsidP="0069056F">
      <w:pPr>
        <w:spacing w:before="120" w:after="120" w:line="360" w:lineRule="auto"/>
        <w:jc w:val="both"/>
        <w:rPr>
          <w:lang w:val="es-ES"/>
        </w:rPr>
      </w:pPr>
    </w:p>
    <w:p w14:paraId="3C133E29" w14:textId="77777777" w:rsidR="0069056F" w:rsidRPr="00767DBC" w:rsidRDefault="0069056F" w:rsidP="0069056F">
      <w:pPr>
        <w:pStyle w:val="Heading2"/>
        <w:spacing w:before="120" w:after="120"/>
        <w:rPr>
          <w:rStyle w:val="SubtleEmphasis"/>
          <w:color w:val="auto"/>
          <w:lang w:val="es-ES"/>
        </w:rPr>
      </w:pPr>
      <w:r w:rsidRPr="00767DBC">
        <w:rPr>
          <w:rStyle w:val="SubtleEmphasis"/>
          <w:color w:val="auto"/>
          <w:lang w:val="es-ES"/>
        </w:rPr>
        <w:t>Coordinación, plan de trabajo y presupuesto.</w:t>
      </w:r>
    </w:p>
    <w:p w14:paraId="49447AFE" w14:textId="77777777" w:rsidR="0069056F" w:rsidRPr="00767DBC" w:rsidRDefault="0069056F" w:rsidP="0069056F">
      <w:pPr>
        <w:spacing w:before="120" w:after="120" w:line="360" w:lineRule="auto"/>
        <w:jc w:val="both"/>
        <w:rPr>
          <w:lang w:val="es-ES"/>
        </w:rPr>
      </w:pPr>
      <w:r w:rsidRPr="00767DBC">
        <w:rPr>
          <w:lang w:val="es-ES"/>
        </w:rPr>
        <w:t xml:space="preserve">El Costo total del plan de evaluación es US$140,000. El BID contratara un consultor independiente para la preparación del Informe de Terminación del </w:t>
      </w:r>
      <w:r>
        <w:rPr>
          <w:rFonts w:eastAsia="Times New Roman"/>
          <w:szCs w:val="20"/>
          <w:lang w:val="es-ES"/>
        </w:rPr>
        <w:t>Programa</w:t>
      </w:r>
      <w:r w:rsidRPr="007E07CA">
        <w:rPr>
          <w:rFonts w:eastAsia="Times New Roman"/>
          <w:szCs w:val="20"/>
          <w:lang w:val="es-ES"/>
        </w:rPr>
        <w:t>, un</w:t>
      </w:r>
      <w:r>
        <w:rPr>
          <w:rFonts w:eastAsia="Times New Roman"/>
          <w:szCs w:val="20"/>
          <w:lang w:val="es-ES"/>
        </w:rPr>
        <w:t xml:space="preserve">a firma consultora </w:t>
      </w:r>
      <w:r w:rsidRPr="007E07CA">
        <w:rPr>
          <w:rFonts w:eastAsia="Times New Roman"/>
          <w:szCs w:val="20"/>
          <w:lang w:val="es-ES"/>
        </w:rPr>
        <w:t xml:space="preserve">independiente </w:t>
      </w:r>
      <w:r>
        <w:rPr>
          <w:rFonts w:eastAsia="Times New Roman"/>
          <w:szCs w:val="20"/>
          <w:lang w:val="es-ES"/>
        </w:rPr>
        <w:t xml:space="preserve">para la actualización del </w:t>
      </w:r>
      <w:r w:rsidRPr="00411BD9">
        <w:rPr>
          <w:rFonts w:eastAsia="Times New Roman"/>
          <w:szCs w:val="20"/>
          <w:lang w:val="es-ES"/>
        </w:rPr>
        <w:t>Análisis del Impacto Macroeconómico de la Transformación de Matriz Ene</w:t>
      </w:r>
      <w:r>
        <w:rPr>
          <w:rFonts w:eastAsia="Times New Roman"/>
          <w:szCs w:val="20"/>
          <w:lang w:val="es-ES"/>
        </w:rPr>
        <w:t>rgética</w:t>
      </w:r>
      <w:r w:rsidRPr="00767DBC">
        <w:rPr>
          <w:lang w:val="es-ES"/>
        </w:rPr>
        <w:t xml:space="preserve">, y un consultor independiente </w:t>
      </w:r>
      <w:r>
        <w:rPr>
          <w:rFonts w:eastAsia="Times New Roman"/>
          <w:szCs w:val="20"/>
          <w:lang w:val="es-ES"/>
        </w:rPr>
        <w:t xml:space="preserve"> </w:t>
      </w:r>
      <w:r w:rsidRPr="00767DBC">
        <w:rPr>
          <w:lang w:val="es-ES"/>
        </w:rPr>
        <w:t>(economista) para la preparación del Análisis de Costo Beneficio ex post (ACB</w:t>
      </w:r>
      <w:r w:rsidRPr="007E07CA">
        <w:rPr>
          <w:rFonts w:eastAsia="Times New Roman"/>
          <w:szCs w:val="20"/>
          <w:lang w:val="es-ES"/>
        </w:rPr>
        <w:t>)</w:t>
      </w:r>
      <w:r>
        <w:rPr>
          <w:rFonts w:eastAsia="Times New Roman"/>
          <w:szCs w:val="20"/>
          <w:lang w:val="es-ES"/>
        </w:rPr>
        <w:t>.  Los costos asociados al monitoreo y evaluación del programa serán financiados con recursos de Cooperación Técnica (TC) gestionados por el Banco. Los resultados de las anteriores consultorías</w:t>
      </w:r>
      <w:r w:rsidRPr="00767DBC">
        <w:rPr>
          <w:lang w:val="es-ES"/>
        </w:rPr>
        <w:t xml:space="preserve"> serán validados </w:t>
      </w:r>
      <w:r>
        <w:rPr>
          <w:rFonts w:eastAsia="Times New Roman"/>
          <w:szCs w:val="20"/>
          <w:lang w:val="es-ES"/>
        </w:rPr>
        <w:t>en coordinación con</w:t>
      </w:r>
      <w:r w:rsidRPr="00767DBC">
        <w:rPr>
          <w:lang w:val="es-ES"/>
        </w:rPr>
        <w:t xml:space="preserve"> la Agencia Ejecutora.</w:t>
      </w:r>
      <w:r w:rsidRPr="00767DBC" w:rsidDel="002A5548">
        <w:rPr>
          <w:lang w:val="es-ES"/>
        </w:rPr>
        <w:t xml:space="preserve"> </w:t>
      </w:r>
    </w:p>
    <w:p w14:paraId="632F42C7" w14:textId="77777777" w:rsidR="0069056F" w:rsidRPr="00767DBC" w:rsidRDefault="0069056F" w:rsidP="0069056F">
      <w:pPr>
        <w:spacing w:before="120" w:after="120" w:line="360" w:lineRule="auto"/>
        <w:jc w:val="both"/>
        <w:rPr>
          <w:lang w:val="es-ES"/>
        </w:rPr>
      </w:pPr>
      <w:r w:rsidRPr="00767DBC">
        <w:rPr>
          <w:lang w:val="es-ES"/>
        </w:rPr>
        <w:t>El prestatario será responsable de cooperar en todos los asuntos relacionados con la evaluación del Programa por parte del BID.</w:t>
      </w:r>
      <w:bookmarkEnd w:id="0"/>
    </w:p>
    <w:tbl>
      <w:tblPr>
        <w:tblW w:w="5154" w:type="pct"/>
        <w:tblLook w:val="04A0" w:firstRow="1" w:lastRow="0" w:firstColumn="1" w:lastColumn="0" w:noHBand="0" w:noVBand="1"/>
      </w:tblPr>
      <w:tblGrid>
        <w:gridCol w:w="3669"/>
        <w:gridCol w:w="407"/>
        <w:gridCol w:w="407"/>
        <w:gridCol w:w="407"/>
        <w:gridCol w:w="407"/>
        <w:gridCol w:w="407"/>
        <w:gridCol w:w="407"/>
        <w:gridCol w:w="407"/>
        <w:gridCol w:w="407"/>
        <w:gridCol w:w="407"/>
        <w:gridCol w:w="407"/>
        <w:gridCol w:w="407"/>
        <w:gridCol w:w="407"/>
        <w:gridCol w:w="407"/>
        <w:gridCol w:w="407"/>
        <w:gridCol w:w="407"/>
        <w:gridCol w:w="407"/>
        <w:gridCol w:w="1191"/>
        <w:gridCol w:w="967"/>
        <w:gridCol w:w="1243"/>
      </w:tblGrid>
      <w:tr w:rsidR="0069056F" w:rsidRPr="00127372" w14:paraId="3F48FD26" w14:textId="77777777" w:rsidTr="00266D1B">
        <w:trPr>
          <w:trHeight w:val="300"/>
        </w:trPr>
        <w:tc>
          <w:tcPr>
            <w:tcW w:w="1351" w:type="pct"/>
            <w:vMerge w:val="restart"/>
            <w:tcBorders>
              <w:top w:val="single" w:sz="4" w:space="0" w:color="auto"/>
              <w:left w:val="single" w:sz="4" w:space="0" w:color="auto"/>
              <w:bottom w:val="single" w:sz="4" w:space="0" w:color="auto"/>
              <w:right w:val="single" w:sz="4" w:space="0" w:color="auto"/>
            </w:tcBorders>
            <w:shd w:val="clear" w:color="000000" w:fill="D9D9D9"/>
            <w:vAlign w:val="center"/>
            <w:hideMark/>
          </w:tcPr>
          <w:p w14:paraId="2721CAB3" w14:textId="77777777" w:rsidR="0069056F" w:rsidRPr="00127372" w:rsidRDefault="0069056F" w:rsidP="00266D1B">
            <w:pPr>
              <w:spacing w:after="0" w:line="240" w:lineRule="auto"/>
              <w:jc w:val="center"/>
              <w:rPr>
                <w:rFonts w:eastAsia="Times New Roman"/>
                <w:b/>
                <w:bCs/>
                <w:color w:val="000000"/>
                <w:sz w:val="16"/>
                <w:szCs w:val="16"/>
              </w:rPr>
            </w:pPr>
            <w:r w:rsidRPr="00127372">
              <w:rPr>
                <w:rFonts w:eastAsia="Times New Roman"/>
                <w:b/>
                <w:bCs/>
                <w:color w:val="000000"/>
                <w:sz w:val="16"/>
                <w:szCs w:val="16"/>
                <w:lang w:val="es-AR"/>
              </w:rPr>
              <w:t>Actividad</w:t>
            </w:r>
          </w:p>
        </w:tc>
        <w:tc>
          <w:tcPr>
            <w:tcW w:w="599" w:type="pct"/>
            <w:gridSpan w:val="4"/>
            <w:tcBorders>
              <w:top w:val="single" w:sz="4" w:space="0" w:color="auto"/>
              <w:left w:val="nil"/>
              <w:bottom w:val="single" w:sz="4" w:space="0" w:color="auto"/>
              <w:right w:val="single" w:sz="4" w:space="0" w:color="auto"/>
            </w:tcBorders>
            <w:shd w:val="clear" w:color="000000" w:fill="D9D9D9"/>
            <w:vAlign w:val="center"/>
            <w:hideMark/>
          </w:tcPr>
          <w:p w14:paraId="5669F8E9" w14:textId="77777777" w:rsidR="0069056F" w:rsidRPr="00127372" w:rsidRDefault="0069056F" w:rsidP="00266D1B">
            <w:pPr>
              <w:spacing w:after="0" w:line="240" w:lineRule="auto"/>
              <w:jc w:val="center"/>
              <w:rPr>
                <w:rFonts w:eastAsia="Times New Roman"/>
                <w:b/>
                <w:bCs/>
                <w:color w:val="000000"/>
                <w:sz w:val="16"/>
                <w:szCs w:val="16"/>
              </w:rPr>
            </w:pPr>
            <w:r w:rsidRPr="00127372">
              <w:rPr>
                <w:rFonts w:eastAsia="Times New Roman"/>
                <w:b/>
                <w:bCs/>
                <w:color w:val="000000"/>
                <w:sz w:val="16"/>
                <w:szCs w:val="16"/>
              </w:rPr>
              <w:t>2015</w:t>
            </w:r>
          </w:p>
        </w:tc>
        <w:tc>
          <w:tcPr>
            <w:tcW w:w="599" w:type="pct"/>
            <w:gridSpan w:val="4"/>
            <w:tcBorders>
              <w:top w:val="single" w:sz="4" w:space="0" w:color="auto"/>
              <w:left w:val="nil"/>
              <w:bottom w:val="single" w:sz="4" w:space="0" w:color="auto"/>
              <w:right w:val="single" w:sz="4" w:space="0" w:color="auto"/>
            </w:tcBorders>
            <w:shd w:val="clear" w:color="000000" w:fill="D9D9D9"/>
            <w:vAlign w:val="center"/>
            <w:hideMark/>
          </w:tcPr>
          <w:p w14:paraId="3A7EF237" w14:textId="77777777" w:rsidR="0069056F" w:rsidRPr="00127372" w:rsidRDefault="0069056F" w:rsidP="00266D1B">
            <w:pPr>
              <w:spacing w:after="0" w:line="240" w:lineRule="auto"/>
              <w:jc w:val="center"/>
              <w:rPr>
                <w:rFonts w:eastAsia="Times New Roman"/>
                <w:b/>
                <w:bCs/>
                <w:color w:val="000000"/>
                <w:sz w:val="16"/>
                <w:szCs w:val="16"/>
              </w:rPr>
            </w:pPr>
            <w:r w:rsidRPr="00127372">
              <w:rPr>
                <w:rFonts w:eastAsia="Times New Roman"/>
                <w:b/>
                <w:bCs/>
                <w:color w:val="000000"/>
                <w:sz w:val="16"/>
                <w:szCs w:val="16"/>
              </w:rPr>
              <w:t>2016</w:t>
            </w:r>
          </w:p>
        </w:tc>
        <w:tc>
          <w:tcPr>
            <w:tcW w:w="599" w:type="pct"/>
            <w:gridSpan w:val="4"/>
            <w:tcBorders>
              <w:top w:val="single" w:sz="4" w:space="0" w:color="auto"/>
              <w:left w:val="nil"/>
              <w:bottom w:val="single" w:sz="4" w:space="0" w:color="auto"/>
              <w:right w:val="single" w:sz="4" w:space="0" w:color="auto"/>
            </w:tcBorders>
            <w:shd w:val="clear" w:color="000000" w:fill="D9D9D9"/>
            <w:vAlign w:val="center"/>
            <w:hideMark/>
          </w:tcPr>
          <w:p w14:paraId="331EED37" w14:textId="77777777" w:rsidR="0069056F" w:rsidRPr="00127372" w:rsidRDefault="0069056F" w:rsidP="00266D1B">
            <w:pPr>
              <w:spacing w:after="0" w:line="240" w:lineRule="auto"/>
              <w:jc w:val="center"/>
              <w:rPr>
                <w:rFonts w:eastAsia="Times New Roman"/>
                <w:b/>
                <w:bCs/>
                <w:color w:val="000000"/>
                <w:sz w:val="16"/>
                <w:szCs w:val="16"/>
              </w:rPr>
            </w:pPr>
            <w:r w:rsidRPr="00127372">
              <w:rPr>
                <w:rFonts w:eastAsia="Times New Roman"/>
                <w:b/>
                <w:bCs/>
                <w:color w:val="000000"/>
                <w:sz w:val="16"/>
                <w:szCs w:val="16"/>
              </w:rPr>
              <w:t>2017</w:t>
            </w:r>
          </w:p>
        </w:tc>
        <w:tc>
          <w:tcPr>
            <w:tcW w:w="599" w:type="pct"/>
            <w:gridSpan w:val="4"/>
            <w:tcBorders>
              <w:top w:val="single" w:sz="4" w:space="0" w:color="auto"/>
              <w:left w:val="nil"/>
              <w:bottom w:val="single" w:sz="4" w:space="0" w:color="auto"/>
              <w:right w:val="single" w:sz="4" w:space="0" w:color="auto"/>
            </w:tcBorders>
            <w:shd w:val="clear" w:color="000000" w:fill="D9D9D9"/>
            <w:vAlign w:val="center"/>
            <w:hideMark/>
          </w:tcPr>
          <w:p w14:paraId="447F2A87" w14:textId="77777777" w:rsidR="0069056F" w:rsidRPr="00127372" w:rsidRDefault="0069056F" w:rsidP="00266D1B">
            <w:pPr>
              <w:spacing w:after="0" w:line="240" w:lineRule="auto"/>
              <w:jc w:val="center"/>
              <w:rPr>
                <w:rFonts w:eastAsia="Times New Roman"/>
                <w:b/>
                <w:bCs/>
                <w:color w:val="000000"/>
                <w:sz w:val="16"/>
                <w:szCs w:val="16"/>
              </w:rPr>
            </w:pPr>
            <w:r w:rsidRPr="00127372">
              <w:rPr>
                <w:rFonts w:eastAsia="Times New Roman"/>
                <w:b/>
                <w:bCs/>
                <w:color w:val="000000"/>
                <w:sz w:val="16"/>
                <w:szCs w:val="16"/>
              </w:rPr>
              <w:t>2018</w:t>
            </w:r>
          </w:p>
        </w:tc>
        <w:tc>
          <w:tcPr>
            <w:tcW w:w="439" w:type="pct"/>
            <w:vMerge w:val="restart"/>
            <w:tcBorders>
              <w:top w:val="single" w:sz="4" w:space="0" w:color="auto"/>
              <w:left w:val="single" w:sz="4" w:space="0" w:color="auto"/>
              <w:bottom w:val="single" w:sz="4" w:space="0" w:color="auto"/>
              <w:right w:val="single" w:sz="4" w:space="0" w:color="auto"/>
            </w:tcBorders>
            <w:shd w:val="clear" w:color="000000" w:fill="D9D9D9"/>
            <w:vAlign w:val="center"/>
            <w:hideMark/>
          </w:tcPr>
          <w:p w14:paraId="5D8F44D3" w14:textId="77777777" w:rsidR="0069056F" w:rsidRPr="00127372" w:rsidRDefault="0069056F" w:rsidP="00266D1B">
            <w:pPr>
              <w:spacing w:after="0" w:line="240" w:lineRule="auto"/>
              <w:jc w:val="center"/>
              <w:rPr>
                <w:rFonts w:eastAsia="Times New Roman"/>
                <w:b/>
                <w:bCs/>
                <w:color w:val="000000"/>
                <w:sz w:val="16"/>
                <w:szCs w:val="16"/>
              </w:rPr>
            </w:pPr>
            <w:r w:rsidRPr="00127372">
              <w:rPr>
                <w:rFonts w:eastAsia="Times New Roman"/>
                <w:b/>
                <w:bCs/>
                <w:color w:val="000000"/>
                <w:sz w:val="16"/>
                <w:szCs w:val="16"/>
                <w:lang w:val="es-ES"/>
              </w:rPr>
              <w:t>Responsable</w:t>
            </w:r>
          </w:p>
        </w:tc>
        <w:tc>
          <w:tcPr>
            <w:tcW w:w="356" w:type="pct"/>
            <w:vMerge w:val="restart"/>
            <w:tcBorders>
              <w:top w:val="single" w:sz="4" w:space="0" w:color="auto"/>
              <w:left w:val="single" w:sz="4" w:space="0" w:color="auto"/>
              <w:bottom w:val="single" w:sz="4" w:space="0" w:color="auto"/>
              <w:right w:val="single" w:sz="4" w:space="0" w:color="auto"/>
            </w:tcBorders>
            <w:shd w:val="clear" w:color="000000" w:fill="D9D9D9"/>
            <w:vAlign w:val="center"/>
            <w:hideMark/>
          </w:tcPr>
          <w:p w14:paraId="5C502CF1" w14:textId="77777777" w:rsidR="0069056F" w:rsidRPr="00127372" w:rsidRDefault="0069056F" w:rsidP="00266D1B">
            <w:pPr>
              <w:spacing w:after="0" w:line="240" w:lineRule="auto"/>
              <w:jc w:val="center"/>
              <w:rPr>
                <w:rFonts w:ascii="Calibri" w:eastAsia="Times New Roman" w:hAnsi="Calibri"/>
                <w:b/>
                <w:bCs/>
                <w:color w:val="000000"/>
                <w:sz w:val="16"/>
                <w:szCs w:val="16"/>
              </w:rPr>
            </w:pPr>
            <w:r w:rsidRPr="00127372">
              <w:rPr>
                <w:rFonts w:ascii="Calibri" w:eastAsia="Times New Roman" w:hAnsi="Calibri"/>
                <w:b/>
                <w:bCs/>
                <w:color w:val="000000"/>
                <w:sz w:val="16"/>
                <w:szCs w:val="16"/>
                <w:lang w:val="es-AR"/>
              </w:rPr>
              <w:t>Costo</w:t>
            </w:r>
          </w:p>
        </w:tc>
        <w:tc>
          <w:tcPr>
            <w:tcW w:w="458" w:type="pct"/>
            <w:vMerge w:val="restart"/>
            <w:tcBorders>
              <w:top w:val="single" w:sz="4" w:space="0" w:color="auto"/>
              <w:left w:val="single" w:sz="4" w:space="0" w:color="auto"/>
              <w:bottom w:val="single" w:sz="4" w:space="0" w:color="auto"/>
              <w:right w:val="single" w:sz="4" w:space="0" w:color="auto"/>
            </w:tcBorders>
            <w:shd w:val="clear" w:color="000000" w:fill="D9D9D9"/>
            <w:vAlign w:val="center"/>
            <w:hideMark/>
          </w:tcPr>
          <w:p w14:paraId="0AD8EEAC" w14:textId="77777777" w:rsidR="0069056F" w:rsidRPr="00127372" w:rsidRDefault="0069056F" w:rsidP="00266D1B">
            <w:pPr>
              <w:spacing w:after="0" w:line="240" w:lineRule="auto"/>
              <w:jc w:val="center"/>
              <w:rPr>
                <w:rFonts w:ascii="Calibri" w:eastAsia="Times New Roman" w:hAnsi="Calibri"/>
                <w:b/>
                <w:bCs/>
                <w:color w:val="000000"/>
                <w:sz w:val="16"/>
                <w:szCs w:val="16"/>
              </w:rPr>
            </w:pPr>
            <w:r w:rsidRPr="00127372">
              <w:rPr>
                <w:rFonts w:ascii="Calibri" w:eastAsia="Times New Roman" w:hAnsi="Calibri"/>
                <w:b/>
                <w:bCs/>
                <w:color w:val="000000"/>
                <w:sz w:val="16"/>
                <w:szCs w:val="16"/>
                <w:lang w:val="es-AR"/>
              </w:rPr>
              <w:t>Financiamiento</w:t>
            </w:r>
          </w:p>
        </w:tc>
      </w:tr>
      <w:tr w:rsidR="0069056F" w:rsidRPr="00127372" w14:paraId="269F0E51" w14:textId="77777777" w:rsidTr="00266D1B">
        <w:trPr>
          <w:trHeight w:val="300"/>
        </w:trPr>
        <w:tc>
          <w:tcPr>
            <w:tcW w:w="1351" w:type="pct"/>
            <w:vMerge/>
            <w:tcBorders>
              <w:top w:val="single" w:sz="4" w:space="0" w:color="auto"/>
              <w:left w:val="single" w:sz="4" w:space="0" w:color="auto"/>
              <w:bottom w:val="single" w:sz="4" w:space="0" w:color="auto"/>
              <w:right w:val="single" w:sz="4" w:space="0" w:color="auto"/>
            </w:tcBorders>
            <w:vAlign w:val="center"/>
            <w:hideMark/>
          </w:tcPr>
          <w:p w14:paraId="6E246B46" w14:textId="77777777" w:rsidR="0069056F" w:rsidRPr="00127372" w:rsidRDefault="0069056F" w:rsidP="00266D1B">
            <w:pPr>
              <w:spacing w:after="0" w:line="240" w:lineRule="auto"/>
              <w:rPr>
                <w:rFonts w:eastAsia="Times New Roman"/>
                <w:b/>
                <w:bCs/>
                <w:color w:val="000000"/>
                <w:sz w:val="16"/>
                <w:szCs w:val="16"/>
              </w:rPr>
            </w:pPr>
          </w:p>
        </w:tc>
        <w:tc>
          <w:tcPr>
            <w:tcW w:w="150" w:type="pct"/>
            <w:tcBorders>
              <w:top w:val="nil"/>
              <w:left w:val="nil"/>
              <w:bottom w:val="single" w:sz="4" w:space="0" w:color="auto"/>
              <w:right w:val="single" w:sz="4" w:space="0" w:color="auto"/>
            </w:tcBorders>
            <w:shd w:val="clear" w:color="000000" w:fill="D9D9D9"/>
            <w:vAlign w:val="center"/>
            <w:hideMark/>
          </w:tcPr>
          <w:p w14:paraId="06345FC8" w14:textId="77777777" w:rsidR="0069056F" w:rsidRPr="00127372" w:rsidRDefault="0069056F" w:rsidP="00266D1B">
            <w:pPr>
              <w:spacing w:after="0" w:line="240" w:lineRule="auto"/>
              <w:jc w:val="center"/>
              <w:rPr>
                <w:rFonts w:ascii="Calibri" w:eastAsia="Times New Roman" w:hAnsi="Calibri"/>
                <w:b/>
                <w:bCs/>
                <w:color w:val="000000"/>
                <w:sz w:val="16"/>
                <w:szCs w:val="16"/>
              </w:rPr>
            </w:pPr>
            <w:r w:rsidRPr="00127372">
              <w:rPr>
                <w:rFonts w:ascii="Calibri" w:eastAsia="Times New Roman" w:hAnsi="Calibri"/>
                <w:b/>
                <w:bCs/>
                <w:color w:val="000000"/>
                <w:sz w:val="16"/>
                <w:szCs w:val="16"/>
              </w:rPr>
              <w:t>Q1</w:t>
            </w:r>
          </w:p>
        </w:tc>
        <w:tc>
          <w:tcPr>
            <w:tcW w:w="150" w:type="pct"/>
            <w:tcBorders>
              <w:top w:val="nil"/>
              <w:left w:val="nil"/>
              <w:bottom w:val="single" w:sz="4" w:space="0" w:color="auto"/>
              <w:right w:val="single" w:sz="4" w:space="0" w:color="auto"/>
            </w:tcBorders>
            <w:shd w:val="clear" w:color="000000" w:fill="D9D9D9"/>
            <w:vAlign w:val="center"/>
            <w:hideMark/>
          </w:tcPr>
          <w:p w14:paraId="224B3F2B" w14:textId="77777777" w:rsidR="0069056F" w:rsidRPr="00127372" w:rsidRDefault="0069056F" w:rsidP="00266D1B">
            <w:pPr>
              <w:spacing w:after="0" w:line="240" w:lineRule="auto"/>
              <w:jc w:val="center"/>
              <w:rPr>
                <w:rFonts w:ascii="Calibri" w:eastAsia="Times New Roman" w:hAnsi="Calibri"/>
                <w:b/>
                <w:bCs/>
                <w:color w:val="000000"/>
                <w:sz w:val="16"/>
                <w:szCs w:val="16"/>
              </w:rPr>
            </w:pPr>
            <w:r w:rsidRPr="00127372">
              <w:rPr>
                <w:rFonts w:ascii="Calibri" w:eastAsia="Times New Roman" w:hAnsi="Calibri"/>
                <w:b/>
                <w:bCs/>
                <w:color w:val="000000"/>
                <w:sz w:val="16"/>
                <w:szCs w:val="16"/>
              </w:rPr>
              <w:t>Q2</w:t>
            </w:r>
          </w:p>
        </w:tc>
        <w:tc>
          <w:tcPr>
            <w:tcW w:w="150" w:type="pct"/>
            <w:tcBorders>
              <w:top w:val="nil"/>
              <w:left w:val="nil"/>
              <w:bottom w:val="single" w:sz="4" w:space="0" w:color="auto"/>
              <w:right w:val="single" w:sz="4" w:space="0" w:color="auto"/>
            </w:tcBorders>
            <w:shd w:val="clear" w:color="000000" w:fill="D9D9D9"/>
            <w:vAlign w:val="center"/>
            <w:hideMark/>
          </w:tcPr>
          <w:p w14:paraId="3BC32159" w14:textId="77777777" w:rsidR="0069056F" w:rsidRPr="00127372" w:rsidRDefault="0069056F" w:rsidP="00266D1B">
            <w:pPr>
              <w:spacing w:after="0" w:line="240" w:lineRule="auto"/>
              <w:jc w:val="center"/>
              <w:rPr>
                <w:rFonts w:ascii="Calibri" w:eastAsia="Times New Roman" w:hAnsi="Calibri"/>
                <w:b/>
                <w:bCs/>
                <w:color w:val="000000"/>
                <w:sz w:val="16"/>
                <w:szCs w:val="16"/>
              </w:rPr>
            </w:pPr>
            <w:r w:rsidRPr="00127372">
              <w:rPr>
                <w:rFonts w:ascii="Calibri" w:eastAsia="Times New Roman" w:hAnsi="Calibri"/>
                <w:b/>
                <w:bCs/>
                <w:color w:val="000000"/>
                <w:sz w:val="16"/>
                <w:szCs w:val="16"/>
              </w:rPr>
              <w:t>Q3</w:t>
            </w:r>
          </w:p>
        </w:tc>
        <w:tc>
          <w:tcPr>
            <w:tcW w:w="150" w:type="pct"/>
            <w:tcBorders>
              <w:top w:val="nil"/>
              <w:left w:val="nil"/>
              <w:bottom w:val="single" w:sz="4" w:space="0" w:color="auto"/>
              <w:right w:val="single" w:sz="4" w:space="0" w:color="auto"/>
            </w:tcBorders>
            <w:shd w:val="clear" w:color="000000" w:fill="D9D9D9"/>
            <w:vAlign w:val="center"/>
            <w:hideMark/>
          </w:tcPr>
          <w:p w14:paraId="47E32D2C" w14:textId="77777777" w:rsidR="0069056F" w:rsidRPr="00127372" w:rsidRDefault="0069056F" w:rsidP="00266D1B">
            <w:pPr>
              <w:spacing w:after="0" w:line="240" w:lineRule="auto"/>
              <w:jc w:val="center"/>
              <w:rPr>
                <w:rFonts w:ascii="Calibri" w:eastAsia="Times New Roman" w:hAnsi="Calibri"/>
                <w:b/>
                <w:bCs/>
                <w:color w:val="000000"/>
                <w:sz w:val="16"/>
                <w:szCs w:val="16"/>
              </w:rPr>
            </w:pPr>
            <w:r w:rsidRPr="00127372">
              <w:rPr>
                <w:rFonts w:ascii="Calibri" w:eastAsia="Times New Roman" w:hAnsi="Calibri"/>
                <w:b/>
                <w:bCs/>
                <w:color w:val="000000"/>
                <w:sz w:val="16"/>
                <w:szCs w:val="16"/>
              </w:rPr>
              <w:t>Q4</w:t>
            </w:r>
          </w:p>
        </w:tc>
        <w:tc>
          <w:tcPr>
            <w:tcW w:w="150" w:type="pct"/>
            <w:tcBorders>
              <w:top w:val="nil"/>
              <w:left w:val="nil"/>
              <w:bottom w:val="single" w:sz="4" w:space="0" w:color="auto"/>
              <w:right w:val="single" w:sz="4" w:space="0" w:color="auto"/>
            </w:tcBorders>
            <w:shd w:val="clear" w:color="000000" w:fill="D9D9D9"/>
            <w:vAlign w:val="center"/>
            <w:hideMark/>
          </w:tcPr>
          <w:p w14:paraId="7148C2A7" w14:textId="77777777" w:rsidR="0069056F" w:rsidRPr="00127372" w:rsidRDefault="0069056F" w:rsidP="00266D1B">
            <w:pPr>
              <w:spacing w:after="0" w:line="240" w:lineRule="auto"/>
              <w:jc w:val="center"/>
              <w:rPr>
                <w:rFonts w:ascii="Calibri" w:eastAsia="Times New Roman" w:hAnsi="Calibri"/>
                <w:b/>
                <w:bCs/>
                <w:color w:val="000000"/>
                <w:sz w:val="16"/>
                <w:szCs w:val="16"/>
              </w:rPr>
            </w:pPr>
            <w:r w:rsidRPr="00127372">
              <w:rPr>
                <w:rFonts w:ascii="Calibri" w:eastAsia="Times New Roman" w:hAnsi="Calibri"/>
                <w:b/>
                <w:bCs/>
                <w:color w:val="000000"/>
                <w:sz w:val="16"/>
                <w:szCs w:val="16"/>
              </w:rPr>
              <w:t>Q1</w:t>
            </w:r>
          </w:p>
        </w:tc>
        <w:tc>
          <w:tcPr>
            <w:tcW w:w="150" w:type="pct"/>
            <w:tcBorders>
              <w:top w:val="nil"/>
              <w:left w:val="nil"/>
              <w:bottom w:val="single" w:sz="4" w:space="0" w:color="auto"/>
              <w:right w:val="single" w:sz="4" w:space="0" w:color="auto"/>
            </w:tcBorders>
            <w:shd w:val="clear" w:color="000000" w:fill="D9D9D9"/>
            <w:vAlign w:val="center"/>
            <w:hideMark/>
          </w:tcPr>
          <w:p w14:paraId="0F60806D" w14:textId="77777777" w:rsidR="0069056F" w:rsidRPr="00127372" w:rsidRDefault="0069056F" w:rsidP="00266D1B">
            <w:pPr>
              <w:spacing w:after="0" w:line="240" w:lineRule="auto"/>
              <w:jc w:val="center"/>
              <w:rPr>
                <w:rFonts w:ascii="Calibri" w:eastAsia="Times New Roman" w:hAnsi="Calibri"/>
                <w:b/>
                <w:bCs/>
                <w:color w:val="000000"/>
                <w:sz w:val="16"/>
                <w:szCs w:val="16"/>
              </w:rPr>
            </w:pPr>
            <w:r w:rsidRPr="00127372">
              <w:rPr>
                <w:rFonts w:ascii="Calibri" w:eastAsia="Times New Roman" w:hAnsi="Calibri"/>
                <w:b/>
                <w:bCs/>
                <w:color w:val="000000"/>
                <w:sz w:val="16"/>
                <w:szCs w:val="16"/>
              </w:rPr>
              <w:t>Q2</w:t>
            </w:r>
          </w:p>
        </w:tc>
        <w:tc>
          <w:tcPr>
            <w:tcW w:w="150" w:type="pct"/>
            <w:tcBorders>
              <w:top w:val="nil"/>
              <w:left w:val="nil"/>
              <w:bottom w:val="single" w:sz="4" w:space="0" w:color="auto"/>
              <w:right w:val="single" w:sz="4" w:space="0" w:color="auto"/>
            </w:tcBorders>
            <w:shd w:val="clear" w:color="000000" w:fill="D9D9D9"/>
            <w:vAlign w:val="center"/>
            <w:hideMark/>
          </w:tcPr>
          <w:p w14:paraId="042B7D8A" w14:textId="77777777" w:rsidR="0069056F" w:rsidRPr="00127372" w:rsidRDefault="0069056F" w:rsidP="00266D1B">
            <w:pPr>
              <w:spacing w:after="0" w:line="240" w:lineRule="auto"/>
              <w:jc w:val="center"/>
              <w:rPr>
                <w:rFonts w:ascii="Calibri" w:eastAsia="Times New Roman" w:hAnsi="Calibri"/>
                <w:b/>
                <w:bCs/>
                <w:color w:val="000000"/>
                <w:sz w:val="16"/>
                <w:szCs w:val="16"/>
              </w:rPr>
            </w:pPr>
            <w:r w:rsidRPr="00127372">
              <w:rPr>
                <w:rFonts w:ascii="Calibri" w:eastAsia="Times New Roman" w:hAnsi="Calibri"/>
                <w:b/>
                <w:bCs/>
                <w:color w:val="000000"/>
                <w:sz w:val="16"/>
                <w:szCs w:val="16"/>
              </w:rPr>
              <w:t>Q3</w:t>
            </w:r>
          </w:p>
        </w:tc>
        <w:tc>
          <w:tcPr>
            <w:tcW w:w="150" w:type="pct"/>
            <w:tcBorders>
              <w:top w:val="nil"/>
              <w:left w:val="nil"/>
              <w:bottom w:val="single" w:sz="4" w:space="0" w:color="auto"/>
              <w:right w:val="single" w:sz="4" w:space="0" w:color="auto"/>
            </w:tcBorders>
            <w:shd w:val="clear" w:color="000000" w:fill="D9D9D9"/>
            <w:vAlign w:val="center"/>
            <w:hideMark/>
          </w:tcPr>
          <w:p w14:paraId="137BC37E" w14:textId="77777777" w:rsidR="0069056F" w:rsidRPr="00127372" w:rsidRDefault="0069056F" w:rsidP="00266D1B">
            <w:pPr>
              <w:spacing w:after="0" w:line="240" w:lineRule="auto"/>
              <w:jc w:val="center"/>
              <w:rPr>
                <w:rFonts w:ascii="Calibri" w:eastAsia="Times New Roman" w:hAnsi="Calibri"/>
                <w:b/>
                <w:bCs/>
                <w:color w:val="000000"/>
                <w:sz w:val="16"/>
                <w:szCs w:val="16"/>
              </w:rPr>
            </w:pPr>
            <w:r w:rsidRPr="00127372">
              <w:rPr>
                <w:rFonts w:ascii="Calibri" w:eastAsia="Times New Roman" w:hAnsi="Calibri"/>
                <w:b/>
                <w:bCs/>
                <w:color w:val="000000"/>
                <w:sz w:val="16"/>
                <w:szCs w:val="16"/>
              </w:rPr>
              <w:t>Q4</w:t>
            </w:r>
          </w:p>
        </w:tc>
        <w:tc>
          <w:tcPr>
            <w:tcW w:w="150" w:type="pct"/>
            <w:tcBorders>
              <w:top w:val="nil"/>
              <w:left w:val="nil"/>
              <w:bottom w:val="single" w:sz="4" w:space="0" w:color="auto"/>
              <w:right w:val="single" w:sz="4" w:space="0" w:color="auto"/>
            </w:tcBorders>
            <w:shd w:val="clear" w:color="000000" w:fill="D9D9D9"/>
            <w:vAlign w:val="center"/>
            <w:hideMark/>
          </w:tcPr>
          <w:p w14:paraId="0E0780A2" w14:textId="77777777" w:rsidR="0069056F" w:rsidRPr="00127372" w:rsidRDefault="0069056F" w:rsidP="00266D1B">
            <w:pPr>
              <w:spacing w:after="0" w:line="240" w:lineRule="auto"/>
              <w:jc w:val="center"/>
              <w:rPr>
                <w:rFonts w:ascii="Calibri" w:eastAsia="Times New Roman" w:hAnsi="Calibri"/>
                <w:b/>
                <w:bCs/>
                <w:color w:val="000000"/>
                <w:sz w:val="16"/>
                <w:szCs w:val="16"/>
              </w:rPr>
            </w:pPr>
            <w:r w:rsidRPr="00127372">
              <w:rPr>
                <w:rFonts w:ascii="Calibri" w:eastAsia="Times New Roman" w:hAnsi="Calibri"/>
                <w:b/>
                <w:bCs/>
                <w:color w:val="000000"/>
                <w:sz w:val="16"/>
                <w:szCs w:val="16"/>
              </w:rPr>
              <w:t>Q1</w:t>
            </w:r>
          </w:p>
        </w:tc>
        <w:tc>
          <w:tcPr>
            <w:tcW w:w="150" w:type="pct"/>
            <w:tcBorders>
              <w:top w:val="nil"/>
              <w:left w:val="nil"/>
              <w:bottom w:val="single" w:sz="4" w:space="0" w:color="auto"/>
              <w:right w:val="single" w:sz="4" w:space="0" w:color="auto"/>
            </w:tcBorders>
            <w:shd w:val="clear" w:color="000000" w:fill="D9D9D9"/>
            <w:vAlign w:val="center"/>
            <w:hideMark/>
          </w:tcPr>
          <w:p w14:paraId="50DE81BF" w14:textId="77777777" w:rsidR="0069056F" w:rsidRPr="00127372" w:rsidRDefault="0069056F" w:rsidP="00266D1B">
            <w:pPr>
              <w:spacing w:after="0" w:line="240" w:lineRule="auto"/>
              <w:jc w:val="center"/>
              <w:rPr>
                <w:rFonts w:ascii="Calibri" w:eastAsia="Times New Roman" w:hAnsi="Calibri"/>
                <w:b/>
                <w:bCs/>
                <w:color w:val="000000"/>
                <w:sz w:val="16"/>
                <w:szCs w:val="16"/>
              </w:rPr>
            </w:pPr>
            <w:r w:rsidRPr="00127372">
              <w:rPr>
                <w:rFonts w:ascii="Calibri" w:eastAsia="Times New Roman" w:hAnsi="Calibri"/>
                <w:b/>
                <w:bCs/>
                <w:color w:val="000000"/>
                <w:sz w:val="16"/>
                <w:szCs w:val="16"/>
              </w:rPr>
              <w:t>Q2</w:t>
            </w:r>
          </w:p>
        </w:tc>
        <w:tc>
          <w:tcPr>
            <w:tcW w:w="150" w:type="pct"/>
            <w:tcBorders>
              <w:top w:val="nil"/>
              <w:left w:val="nil"/>
              <w:bottom w:val="single" w:sz="4" w:space="0" w:color="auto"/>
              <w:right w:val="single" w:sz="4" w:space="0" w:color="auto"/>
            </w:tcBorders>
            <w:shd w:val="clear" w:color="000000" w:fill="D9D9D9"/>
            <w:vAlign w:val="center"/>
            <w:hideMark/>
          </w:tcPr>
          <w:p w14:paraId="03244D63" w14:textId="77777777" w:rsidR="0069056F" w:rsidRPr="00127372" w:rsidRDefault="0069056F" w:rsidP="00266D1B">
            <w:pPr>
              <w:spacing w:after="0" w:line="240" w:lineRule="auto"/>
              <w:jc w:val="center"/>
              <w:rPr>
                <w:rFonts w:ascii="Calibri" w:eastAsia="Times New Roman" w:hAnsi="Calibri"/>
                <w:b/>
                <w:bCs/>
                <w:color w:val="000000"/>
                <w:sz w:val="16"/>
                <w:szCs w:val="16"/>
              </w:rPr>
            </w:pPr>
            <w:r w:rsidRPr="00127372">
              <w:rPr>
                <w:rFonts w:ascii="Calibri" w:eastAsia="Times New Roman" w:hAnsi="Calibri"/>
                <w:b/>
                <w:bCs/>
                <w:color w:val="000000"/>
                <w:sz w:val="16"/>
                <w:szCs w:val="16"/>
              </w:rPr>
              <w:t>Q3</w:t>
            </w:r>
          </w:p>
        </w:tc>
        <w:tc>
          <w:tcPr>
            <w:tcW w:w="150" w:type="pct"/>
            <w:tcBorders>
              <w:top w:val="nil"/>
              <w:left w:val="nil"/>
              <w:bottom w:val="single" w:sz="4" w:space="0" w:color="auto"/>
              <w:right w:val="single" w:sz="4" w:space="0" w:color="auto"/>
            </w:tcBorders>
            <w:shd w:val="clear" w:color="000000" w:fill="D9D9D9"/>
            <w:vAlign w:val="center"/>
            <w:hideMark/>
          </w:tcPr>
          <w:p w14:paraId="22B99001" w14:textId="77777777" w:rsidR="0069056F" w:rsidRPr="00127372" w:rsidRDefault="0069056F" w:rsidP="00266D1B">
            <w:pPr>
              <w:spacing w:after="0" w:line="240" w:lineRule="auto"/>
              <w:jc w:val="center"/>
              <w:rPr>
                <w:rFonts w:ascii="Calibri" w:eastAsia="Times New Roman" w:hAnsi="Calibri"/>
                <w:b/>
                <w:bCs/>
                <w:color w:val="000000"/>
                <w:sz w:val="16"/>
                <w:szCs w:val="16"/>
              </w:rPr>
            </w:pPr>
            <w:r w:rsidRPr="00127372">
              <w:rPr>
                <w:rFonts w:ascii="Calibri" w:eastAsia="Times New Roman" w:hAnsi="Calibri"/>
                <w:b/>
                <w:bCs/>
                <w:color w:val="000000"/>
                <w:sz w:val="16"/>
                <w:szCs w:val="16"/>
              </w:rPr>
              <w:t>Q4</w:t>
            </w:r>
          </w:p>
        </w:tc>
        <w:tc>
          <w:tcPr>
            <w:tcW w:w="150" w:type="pct"/>
            <w:tcBorders>
              <w:top w:val="nil"/>
              <w:left w:val="nil"/>
              <w:bottom w:val="single" w:sz="4" w:space="0" w:color="auto"/>
              <w:right w:val="single" w:sz="4" w:space="0" w:color="auto"/>
            </w:tcBorders>
            <w:shd w:val="clear" w:color="000000" w:fill="D9D9D9"/>
            <w:vAlign w:val="center"/>
            <w:hideMark/>
          </w:tcPr>
          <w:p w14:paraId="43D64351" w14:textId="77777777" w:rsidR="0069056F" w:rsidRPr="00127372" w:rsidRDefault="0069056F" w:rsidP="00266D1B">
            <w:pPr>
              <w:spacing w:after="0" w:line="240" w:lineRule="auto"/>
              <w:jc w:val="center"/>
              <w:rPr>
                <w:rFonts w:ascii="Calibri" w:eastAsia="Times New Roman" w:hAnsi="Calibri"/>
                <w:b/>
                <w:bCs/>
                <w:color w:val="000000"/>
                <w:sz w:val="16"/>
                <w:szCs w:val="16"/>
              </w:rPr>
            </w:pPr>
            <w:r w:rsidRPr="00127372">
              <w:rPr>
                <w:rFonts w:ascii="Calibri" w:eastAsia="Times New Roman" w:hAnsi="Calibri"/>
                <w:b/>
                <w:bCs/>
                <w:color w:val="000000"/>
                <w:sz w:val="16"/>
                <w:szCs w:val="16"/>
              </w:rPr>
              <w:t>Q1</w:t>
            </w:r>
          </w:p>
        </w:tc>
        <w:tc>
          <w:tcPr>
            <w:tcW w:w="150" w:type="pct"/>
            <w:tcBorders>
              <w:top w:val="nil"/>
              <w:left w:val="nil"/>
              <w:bottom w:val="single" w:sz="4" w:space="0" w:color="auto"/>
              <w:right w:val="single" w:sz="4" w:space="0" w:color="auto"/>
            </w:tcBorders>
            <w:shd w:val="clear" w:color="000000" w:fill="D9D9D9"/>
            <w:vAlign w:val="center"/>
            <w:hideMark/>
          </w:tcPr>
          <w:p w14:paraId="0DE159D0" w14:textId="77777777" w:rsidR="0069056F" w:rsidRPr="00127372" w:rsidRDefault="0069056F" w:rsidP="00266D1B">
            <w:pPr>
              <w:spacing w:after="0" w:line="240" w:lineRule="auto"/>
              <w:jc w:val="center"/>
              <w:rPr>
                <w:rFonts w:ascii="Calibri" w:eastAsia="Times New Roman" w:hAnsi="Calibri"/>
                <w:b/>
                <w:bCs/>
                <w:color w:val="000000"/>
                <w:sz w:val="16"/>
                <w:szCs w:val="16"/>
              </w:rPr>
            </w:pPr>
            <w:r w:rsidRPr="00127372">
              <w:rPr>
                <w:rFonts w:ascii="Calibri" w:eastAsia="Times New Roman" w:hAnsi="Calibri"/>
                <w:b/>
                <w:bCs/>
                <w:color w:val="000000"/>
                <w:sz w:val="16"/>
                <w:szCs w:val="16"/>
              </w:rPr>
              <w:t>Q2</w:t>
            </w:r>
          </w:p>
        </w:tc>
        <w:tc>
          <w:tcPr>
            <w:tcW w:w="150" w:type="pct"/>
            <w:tcBorders>
              <w:top w:val="nil"/>
              <w:left w:val="nil"/>
              <w:bottom w:val="single" w:sz="4" w:space="0" w:color="auto"/>
              <w:right w:val="single" w:sz="4" w:space="0" w:color="auto"/>
            </w:tcBorders>
            <w:shd w:val="clear" w:color="000000" w:fill="D9D9D9"/>
            <w:vAlign w:val="center"/>
            <w:hideMark/>
          </w:tcPr>
          <w:p w14:paraId="193F3CCF" w14:textId="77777777" w:rsidR="0069056F" w:rsidRPr="00127372" w:rsidRDefault="0069056F" w:rsidP="00266D1B">
            <w:pPr>
              <w:spacing w:after="0" w:line="240" w:lineRule="auto"/>
              <w:jc w:val="center"/>
              <w:rPr>
                <w:rFonts w:ascii="Calibri" w:eastAsia="Times New Roman" w:hAnsi="Calibri"/>
                <w:b/>
                <w:bCs/>
                <w:color w:val="000000"/>
                <w:sz w:val="16"/>
                <w:szCs w:val="16"/>
              </w:rPr>
            </w:pPr>
            <w:r w:rsidRPr="00127372">
              <w:rPr>
                <w:rFonts w:ascii="Calibri" w:eastAsia="Times New Roman" w:hAnsi="Calibri"/>
                <w:b/>
                <w:bCs/>
                <w:color w:val="000000"/>
                <w:sz w:val="16"/>
                <w:szCs w:val="16"/>
              </w:rPr>
              <w:t>Q3</w:t>
            </w:r>
          </w:p>
        </w:tc>
        <w:tc>
          <w:tcPr>
            <w:tcW w:w="150" w:type="pct"/>
            <w:tcBorders>
              <w:top w:val="nil"/>
              <w:left w:val="nil"/>
              <w:bottom w:val="single" w:sz="4" w:space="0" w:color="auto"/>
              <w:right w:val="single" w:sz="4" w:space="0" w:color="auto"/>
            </w:tcBorders>
            <w:shd w:val="clear" w:color="000000" w:fill="D9D9D9"/>
            <w:vAlign w:val="center"/>
            <w:hideMark/>
          </w:tcPr>
          <w:p w14:paraId="2A0C862D" w14:textId="77777777" w:rsidR="0069056F" w:rsidRPr="00127372" w:rsidRDefault="0069056F" w:rsidP="00266D1B">
            <w:pPr>
              <w:spacing w:after="0" w:line="240" w:lineRule="auto"/>
              <w:jc w:val="center"/>
              <w:rPr>
                <w:rFonts w:ascii="Calibri" w:eastAsia="Times New Roman" w:hAnsi="Calibri"/>
                <w:b/>
                <w:bCs/>
                <w:color w:val="000000"/>
                <w:sz w:val="16"/>
                <w:szCs w:val="16"/>
              </w:rPr>
            </w:pPr>
            <w:r w:rsidRPr="00127372">
              <w:rPr>
                <w:rFonts w:ascii="Calibri" w:eastAsia="Times New Roman" w:hAnsi="Calibri"/>
                <w:b/>
                <w:bCs/>
                <w:color w:val="000000"/>
                <w:sz w:val="16"/>
                <w:szCs w:val="16"/>
              </w:rPr>
              <w:t>Q4</w:t>
            </w:r>
          </w:p>
        </w:tc>
        <w:tc>
          <w:tcPr>
            <w:tcW w:w="439" w:type="pct"/>
            <w:vMerge/>
            <w:tcBorders>
              <w:top w:val="single" w:sz="4" w:space="0" w:color="auto"/>
              <w:left w:val="single" w:sz="4" w:space="0" w:color="auto"/>
              <w:bottom w:val="single" w:sz="4" w:space="0" w:color="auto"/>
              <w:right w:val="single" w:sz="4" w:space="0" w:color="auto"/>
            </w:tcBorders>
            <w:vAlign w:val="center"/>
            <w:hideMark/>
          </w:tcPr>
          <w:p w14:paraId="3D842FEF" w14:textId="77777777" w:rsidR="0069056F" w:rsidRPr="00127372" w:rsidRDefault="0069056F" w:rsidP="00266D1B">
            <w:pPr>
              <w:spacing w:after="0" w:line="240" w:lineRule="auto"/>
              <w:rPr>
                <w:rFonts w:eastAsia="Times New Roman"/>
                <w:b/>
                <w:bCs/>
                <w:color w:val="000000"/>
                <w:sz w:val="16"/>
                <w:szCs w:val="16"/>
              </w:rPr>
            </w:pPr>
          </w:p>
        </w:tc>
        <w:tc>
          <w:tcPr>
            <w:tcW w:w="356" w:type="pct"/>
            <w:vMerge/>
            <w:tcBorders>
              <w:top w:val="single" w:sz="4" w:space="0" w:color="auto"/>
              <w:left w:val="single" w:sz="4" w:space="0" w:color="auto"/>
              <w:bottom w:val="single" w:sz="4" w:space="0" w:color="auto"/>
              <w:right w:val="single" w:sz="4" w:space="0" w:color="auto"/>
            </w:tcBorders>
            <w:vAlign w:val="center"/>
            <w:hideMark/>
          </w:tcPr>
          <w:p w14:paraId="132FB786" w14:textId="77777777" w:rsidR="0069056F" w:rsidRPr="00127372" w:rsidRDefault="0069056F" w:rsidP="00266D1B">
            <w:pPr>
              <w:spacing w:after="0" w:line="240" w:lineRule="auto"/>
              <w:rPr>
                <w:rFonts w:ascii="Calibri" w:eastAsia="Times New Roman" w:hAnsi="Calibri"/>
                <w:b/>
                <w:bCs/>
                <w:color w:val="000000"/>
                <w:sz w:val="16"/>
                <w:szCs w:val="16"/>
              </w:rPr>
            </w:pPr>
          </w:p>
        </w:tc>
        <w:tc>
          <w:tcPr>
            <w:tcW w:w="458" w:type="pct"/>
            <w:vMerge/>
            <w:tcBorders>
              <w:top w:val="single" w:sz="4" w:space="0" w:color="auto"/>
              <w:left w:val="single" w:sz="4" w:space="0" w:color="auto"/>
              <w:bottom w:val="single" w:sz="4" w:space="0" w:color="auto"/>
              <w:right w:val="single" w:sz="4" w:space="0" w:color="auto"/>
            </w:tcBorders>
            <w:vAlign w:val="center"/>
            <w:hideMark/>
          </w:tcPr>
          <w:p w14:paraId="28A03F09" w14:textId="77777777" w:rsidR="0069056F" w:rsidRPr="00127372" w:rsidRDefault="0069056F" w:rsidP="00266D1B">
            <w:pPr>
              <w:spacing w:after="0" w:line="240" w:lineRule="auto"/>
              <w:rPr>
                <w:rFonts w:ascii="Calibri" w:eastAsia="Times New Roman" w:hAnsi="Calibri"/>
                <w:b/>
                <w:bCs/>
                <w:color w:val="000000"/>
                <w:sz w:val="16"/>
                <w:szCs w:val="16"/>
              </w:rPr>
            </w:pPr>
          </w:p>
        </w:tc>
      </w:tr>
      <w:tr w:rsidR="0069056F" w:rsidRPr="00127372" w14:paraId="63869E2A" w14:textId="77777777" w:rsidTr="00266D1B">
        <w:trPr>
          <w:trHeight w:val="285"/>
        </w:trPr>
        <w:tc>
          <w:tcPr>
            <w:tcW w:w="1351" w:type="pct"/>
            <w:tcBorders>
              <w:top w:val="nil"/>
              <w:left w:val="single" w:sz="4" w:space="0" w:color="auto"/>
              <w:bottom w:val="single" w:sz="4" w:space="0" w:color="auto"/>
              <w:right w:val="single" w:sz="4" w:space="0" w:color="auto"/>
            </w:tcBorders>
            <w:shd w:val="clear" w:color="auto" w:fill="auto"/>
            <w:vAlign w:val="center"/>
            <w:hideMark/>
          </w:tcPr>
          <w:p w14:paraId="3EF50F4B" w14:textId="77777777" w:rsidR="0069056F" w:rsidRPr="007E07CA" w:rsidRDefault="0069056F" w:rsidP="00266D1B">
            <w:pPr>
              <w:spacing w:after="0" w:line="240" w:lineRule="auto"/>
              <w:rPr>
                <w:rFonts w:ascii="Calibri" w:eastAsia="Times New Roman" w:hAnsi="Calibri"/>
                <w:color w:val="000000"/>
                <w:sz w:val="15"/>
                <w:szCs w:val="15"/>
                <w:lang w:val="es-ES_tradnl"/>
              </w:rPr>
            </w:pPr>
            <w:r w:rsidRPr="00127372">
              <w:rPr>
                <w:rFonts w:ascii="Calibri" w:eastAsia="Times New Roman" w:hAnsi="Calibri"/>
                <w:color w:val="000000"/>
                <w:sz w:val="15"/>
                <w:szCs w:val="15"/>
                <w:lang w:val="es-ES_tradnl"/>
              </w:rPr>
              <w:t>Preparación de los informes de cumplimiento de los compromisos de políticas</w:t>
            </w:r>
          </w:p>
        </w:tc>
        <w:tc>
          <w:tcPr>
            <w:tcW w:w="150" w:type="pct"/>
            <w:tcBorders>
              <w:top w:val="nil"/>
              <w:left w:val="nil"/>
              <w:bottom w:val="single" w:sz="4" w:space="0" w:color="auto"/>
              <w:right w:val="single" w:sz="4" w:space="0" w:color="auto"/>
            </w:tcBorders>
            <w:shd w:val="clear" w:color="000000" w:fill="92D050"/>
            <w:vAlign w:val="center"/>
            <w:hideMark/>
          </w:tcPr>
          <w:p w14:paraId="5A58903A" w14:textId="77777777" w:rsidR="0069056F" w:rsidRPr="007E07CA" w:rsidRDefault="0069056F" w:rsidP="00266D1B">
            <w:pPr>
              <w:spacing w:after="0" w:line="240" w:lineRule="auto"/>
              <w:jc w:val="center"/>
              <w:rPr>
                <w:rFonts w:eastAsia="Times New Roman"/>
                <w:color w:val="000000"/>
                <w:sz w:val="15"/>
                <w:szCs w:val="15"/>
                <w:lang w:val="es-ES_tradnl"/>
              </w:rPr>
            </w:pPr>
            <w:r w:rsidRPr="00127372">
              <w:rPr>
                <w:rFonts w:eastAsia="Times New Roman"/>
                <w:color w:val="000000"/>
                <w:sz w:val="15"/>
                <w:szCs w:val="15"/>
                <w:lang w:val="es-ES_tradnl"/>
              </w:rPr>
              <w:t> </w:t>
            </w:r>
          </w:p>
        </w:tc>
        <w:tc>
          <w:tcPr>
            <w:tcW w:w="150" w:type="pct"/>
            <w:tcBorders>
              <w:top w:val="nil"/>
              <w:left w:val="nil"/>
              <w:bottom w:val="single" w:sz="4" w:space="0" w:color="auto"/>
              <w:right w:val="single" w:sz="4" w:space="0" w:color="auto"/>
            </w:tcBorders>
            <w:shd w:val="clear" w:color="auto" w:fill="auto"/>
            <w:vAlign w:val="center"/>
            <w:hideMark/>
          </w:tcPr>
          <w:p w14:paraId="12A1F510" w14:textId="77777777" w:rsidR="0069056F" w:rsidRPr="007E07CA" w:rsidRDefault="0069056F" w:rsidP="00266D1B">
            <w:pPr>
              <w:spacing w:after="0" w:line="240" w:lineRule="auto"/>
              <w:jc w:val="center"/>
              <w:rPr>
                <w:rFonts w:eastAsia="Times New Roman"/>
                <w:color w:val="000000"/>
                <w:sz w:val="15"/>
                <w:szCs w:val="15"/>
                <w:lang w:val="es-ES_tradnl"/>
              </w:rPr>
            </w:pPr>
            <w:r w:rsidRPr="007E07CA">
              <w:rPr>
                <w:rFonts w:eastAsia="Times New Roman"/>
                <w:color w:val="000000"/>
                <w:sz w:val="15"/>
                <w:szCs w:val="15"/>
                <w:lang w:val="es-ES_tradnl"/>
              </w:rPr>
              <w:t> </w:t>
            </w:r>
          </w:p>
        </w:tc>
        <w:tc>
          <w:tcPr>
            <w:tcW w:w="150" w:type="pct"/>
            <w:tcBorders>
              <w:top w:val="nil"/>
              <w:left w:val="nil"/>
              <w:bottom w:val="single" w:sz="4" w:space="0" w:color="auto"/>
              <w:right w:val="single" w:sz="4" w:space="0" w:color="auto"/>
            </w:tcBorders>
            <w:shd w:val="clear" w:color="auto" w:fill="auto"/>
            <w:vAlign w:val="center"/>
            <w:hideMark/>
          </w:tcPr>
          <w:p w14:paraId="6A43212E" w14:textId="77777777" w:rsidR="0069056F" w:rsidRPr="007E07CA" w:rsidRDefault="0069056F" w:rsidP="00266D1B">
            <w:pPr>
              <w:spacing w:after="0" w:line="240" w:lineRule="auto"/>
              <w:jc w:val="center"/>
              <w:rPr>
                <w:rFonts w:eastAsia="Times New Roman"/>
                <w:color w:val="000000"/>
                <w:sz w:val="15"/>
                <w:szCs w:val="15"/>
                <w:lang w:val="es-ES_tradnl"/>
              </w:rPr>
            </w:pPr>
            <w:r w:rsidRPr="007E07CA">
              <w:rPr>
                <w:rFonts w:eastAsia="Times New Roman"/>
                <w:color w:val="000000"/>
                <w:sz w:val="15"/>
                <w:szCs w:val="15"/>
                <w:lang w:val="es-ES_tradnl"/>
              </w:rPr>
              <w:t> </w:t>
            </w:r>
          </w:p>
        </w:tc>
        <w:tc>
          <w:tcPr>
            <w:tcW w:w="150" w:type="pct"/>
            <w:tcBorders>
              <w:top w:val="nil"/>
              <w:left w:val="nil"/>
              <w:bottom w:val="single" w:sz="4" w:space="0" w:color="auto"/>
              <w:right w:val="single" w:sz="4" w:space="0" w:color="auto"/>
            </w:tcBorders>
            <w:shd w:val="clear" w:color="auto" w:fill="auto"/>
            <w:vAlign w:val="center"/>
            <w:hideMark/>
          </w:tcPr>
          <w:p w14:paraId="2C5CCEA8" w14:textId="77777777" w:rsidR="0069056F" w:rsidRPr="007E07CA" w:rsidRDefault="0069056F" w:rsidP="00266D1B">
            <w:pPr>
              <w:spacing w:after="0" w:line="240" w:lineRule="auto"/>
              <w:jc w:val="center"/>
              <w:rPr>
                <w:rFonts w:eastAsia="Times New Roman"/>
                <w:color w:val="000000"/>
                <w:sz w:val="15"/>
                <w:szCs w:val="15"/>
                <w:lang w:val="es-ES_tradnl"/>
              </w:rPr>
            </w:pPr>
            <w:r w:rsidRPr="00127372">
              <w:rPr>
                <w:rFonts w:eastAsia="Times New Roman"/>
                <w:color w:val="000000"/>
                <w:sz w:val="15"/>
                <w:szCs w:val="15"/>
                <w:lang w:val="es-ES_tradnl"/>
              </w:rPr>
              <w:t> </w:t>
            </w:r>
          </w:p>
        </w:tc>
        <w:tc>
          <w:tcPr>
            <w:tcW w:w="150" w:type="pct"/>
            <w:tcBorders>
              <w:top w:val="nil"/>
              <w:left w:val="nil"/>
              <w:bottom w:val="single" w:sz="4" w:space="0" w:color="auto"/>
              <w:right w:val="single" w:sz="4" w:space="0" w:color="auto"/>
            </w:tcBorders>
            <w:shd w:val="clear" w:color="000000" w:fill="92D050"/>
            <w:vAlign w:val="center"/>
            <w:hideMark/>
          </w:tcPr>
          <w:p w14:paraId="7F70E0EA" w14:textId="77777777" w:rsidR="0069056F" w:rsidRPr="007E07CA" w:rsidRDefault="0069056F" w:rsidP="00266D1B">
            <w:pPr>
              <w:spacing w:after="0" w:line="240" w:lineRule="auto"/>
              <w:jc w:val="center"/>
              <w:rPr>
                <w:rFonts w:eastAsia="Times New Roman"/>
                <w:color w:val="000000"/>
                <w:sz w:val="15"/>
                <w:szCs w:val="15"/>
                <w:lang w:val="es-ES_tradnl"/>
              </w:rPr>
            </w:pPr>
            <w:r w:rsidRPr="00127372">
              <w:rPr>
                <w:rFonts w:eastAsia="Times New Roman"/>
                <w:color w:val="000000"/>
                <w:sz w:val="15"/>
                <w:szCs w:val="15"/>
                <w:lang w:val="es-ES_tradnl"/>
              </w:rPr>
              <w:t> </w:t>
            </w:r>
          </w:p>
        </w:tc>
        <w:tc>
          <w:tcPr>
            <w:tcW w:w="150" w:type="pct"/>
            <w:tcBorders>
              <w:top w:val="nil"/>
              <w:left w:val="nil"/>
              <w:bottom w:val="single" w:sz="4" w:space="0" w:color="auto"/>
              <w:right w:val="single" w:sz="4" w:space="0" w:color="auto"/>
            </w:tcBorders>
            <w:shd w:val="clear" w:color="auto" w:fill="auto"/>
            <w:vAlign w:val="center"/>
            <w:hideMark/>
          </w:tcPr>
          <w:p w14:paraId="287161B4" w14:textId="77777777" w:rsidR="0069056F" w:rsidRPr="007E07CA" w:rsidRDefault="0069056F" w:rsidP="00266D1B">
            <w:pPr>
              <w:spacing w:after="0" w:line="240" w:lineRule="auto"/>
              <w:jc w:val="center"/>
              <w:rPr>
                <w:rFonts w:eastAsia="Times New Roman"/>
                <w:color w:val="000000"/>
                <w:sz w:val="15"/>
                <w:szCs w:val="15"/>
                <w:lang w:val="es-ES_tradnl"/>
              </w:rPr>
            </w:pPr>
            <w:r w:rsidRPr="007E07CA">
              <w:rPr>
                <w:rFonts w:eastAsia="Times New Roman"/>
                <w:color w:val="000000"/>
                <w:sz w:val="15"/>
                <w:szCs w:val="15"/>
                <w:lang w:val="es-ES_tradnl"/>
              </w:rPr>
              <w:t> </w:t>
            </w:r>
          </w:p>
        </w:tc>
        <w:tc>
          <w:tcPr>
            <w:tcW w:w="150" w:type="pct"/>
            <w:tcBorders>
              <w:top w:val="nil"/>
              <w:left w:val="nil"/>
              <w:bottom w:val="single" w:sz="4" w:space="0" w:color="auto"/>
              <w:right w:val="single" w:sz="4" w:space="0" w:color="auto"/>
            </w:tcBorders>
            <w:shd w:val="clear" w:color="auto" w:fill="auto"/>
            <w:vAlign w:val="center"/>
            <w:hideMark/>
          </w:tcPr>
          <w:p w14:paraId="20BDF110" w14:textId="77777777" w:rsidR="0069056F" w:rsidRPr="007E07CA" w:rsidRDefault="0069056F" w:rsidP="00266D1B">
            <w:pPr>
              <w:spacing w:after="0" w:line="240" w:lineRule="auto"/>
              <w:jc w:val="center"/>
              <w:rPr>
                <w:rFonts w:eastAsia="Times New Roman"/>
                <w:color w:val="000000"/>
                <w:sz w:val="15"/>
                <w:szCs w:val="15"/>
                <w:lang w:val="es-ES_tradnl"/>
              </w:rPr>
            </w:pPr>
            <w:r w:rsidRPr="007E07CA">
              <w:rPr>
                <w:rFonts w:eastAsia="Times New Roman"/>
                <w:color w:val="000000"/>
                <w:sz w:val="15"/>
                <w:szCs w:val="15"/>
                <w:lang w:val="es-ES_tradnl"/>
              </w:rPr>
              <w:t> </w:t>
            </w:r>
          </w:p>
        </w:tc>
        <w:tc>
          <w:tcPr>
            <w:tcW w:w="150" w:type="pct"/>
            <w:tcBorders>
              <w:top w:val="nil"/>
              <w:left w:val="nil"/>
              <w:bottom w:val="single" w:sz="4" w:space="0" w:color="auto"/>
              <w:right w:val="single" w:sz="4" w:space="0" w:color="auto"/>
            </w:tcBorders>
            <w:shd w:val="clear" w:color="auto" w:fill="auto"/>
            <w:vAlign w:val="center"/>
            <w:hideMark/>
          </w:tcPr>
          <w:p w14:paraId="31D5AEE8" w14:textId="77777777" w:rsidR="0069056F" w:rsidRPr="007E07CA" w:rsidRDefault="0069056F" w:rsidP="00266D1B">
            <w:pPr>
              <w:spacing w:after="0" w:line="240" w:lineRule="auto"/>
              <w:jc w:val="center"/>
              <w:rPr>
                <w:rFonts w:eastAsia="Times New Roman"/>
                <w:color w:val="000000"/>
                <w:sz w:val="15"/>
                <w:szCs w:val="15"/>
                <w:lang w:val="es-ES_tradnl"/>
              </w:rPr>
            </w:pPr>
            <w:r w:rsidRPr="00127372">
              <w:rPr>
                <w:rFonts w:eastAsia="Times New Roman"/>
                <w:color w:val="000000"/>
                <w:sz w:val="15"/>
                <w:szCs w:val="15"/>
                <w:lang w:val="es-ES_tradnl"/>
              </w:rPr>
              <w:t> </w:t>
            </w:r>
          </w:p>
        </w:tc>
        <w:tc>
          <w:tcPr>
            <w:tcW w:w="150" w:type="pct"/>
            <w:tcBorders>
              <w:top w:val="nil"/>
              <w:left w:val="nil"/>
              <w:bottom w:val="single" w:sz="4" w:space="0" w:color="auto"/>
              <w:right w:val="single" w:sz="4" w:space="0" w:color="auto"/>
            </w:tcBorders>
            <w:shd w:val="clear" w:color="000000" w:fill="92D050"/>
            <w:vAlign w:val="center"/>
            <w:hideMark/>
          </w:tcPr>
          <w:p w14:paraId="6DA3C7AE" w14:textId="77777777" w:rsidR="0069056F" w:rsidRPr="007E07CA" w:rsidRDefault="0069056F" w:rsidP="00266D1B">
            <w:pPr>
              <w:spacing w:after="0" w:line="240" w:lineRule="auto"/>
              <w:jc w:val="center"/>
              <w:rPr>
                <w:rFonts w:eastAsia="Times New Roman"/>
                <w:color w:val="000000"/>
                <w:sz w:val="15"/>
                <w:szCs w:val="15"/>
                <w:lang w:val="es-ES_tradnl"/>
              </w:rPr>
            </w:pPr>
            <w:r w:rsidRPr="00127372">
              <w:rPr>
                <w:rFonts w:eastAsia="Times New Roman"/>
                <w:color w:val="000000"/>
                <w:sz w:val="15"/>
                <w:szCs w:val="15"/>
                <w:lang w:val="es-ES_tradnl"/>
              </w:rPr>
              <w:t> </w:t>
            </w:r>
          </w:p>
        </w:tc>
        <w:tc>
          <w:tcPr>
            <w:tcW w:w="150" w:type="pct"/>
            <w:tcBorders>
              <w:top w:val="nil"/>
              <w:left w:val="nil"/>
              <w:bottom w:val="single" w:sz="4" w:space="0" w:color="auto"/>
              <w:right w:val="single" w:sz="4" w:space="0" w:color="auto"/>
            </w:tcBorders>
            <w:shd w:val="clear" w:color="auto" w:fill="auto"/>
            <w:vAlign w:val="center"/>
            <w:hideMark/>
          </w:tcPr>
          <w:p w14:paraId="3F305067" w14:textId="77777777" w:rsidR="0069056F" w:rsidRPr="007E07CA" w:rsidRDefault="0069056F" w:rsidP="00266D1B">
            <w:pPr>
              <w:spacing w:after="0" w:line="240" w:lineRule="auto"/>
              <w:jc w:val="center"/>
              <w:rPr>
                <w:rFonts w:eastAsia="Times New Roman"/>
                <w:color w:val="000000"/>
                <w:sz w:val="15"/>
                <w:szCs w:val="15"/>
                <w:lang w:val="es-ES_tradnl"/>
              </w:rPr>
            </w:pPr>
            <w:r w:rsidRPr="007E07CA">
              <w:rPr>
                <w:rFonts w:eastAsia="Times New Roman"/>
                <w:color w:val="000000"/>
                <w:sz w:val="15"/>
                <w:szCs w:val="15"/>
                <w:lang w:val="es-ES_tradnl"/>
              </w:rPr>
              <w:t> </w:t>
            </w:r>
          </w:p>
        </w:tc>
        <w:tc>
          <w:tcPr>
            <w:tcW w:w="150" w:type="pct"/>
            <w:tcBorders>
              <w:top w:val="nil"/>
              <w:left w:val="nil"/>
              <w:bottom w:val="single" w:sz="4" w:space="0" w:color="auto"/>
              <w:right w:val="single" w:sz="4" w:space="0" w:color="auto"/>
            </w:tcBorders>
            <w:shd w:val="clear" w:color="auto" w:fill="auto"/>
            <w:vAlign w:val="center"/>
            <w:hideMark/>
          </w:tcPr>
          <w:p w14:paraId="3B89525D" w14:textId="77777777" w:rsidR="0069056F" w:rsidRPr="007E07CA" w:rsidRDefault="0069056F" w:rsidP="00266D1B">
            <w:pPr>
              <w:spacing w:after="0" w:line="240" w:lineRule="auto"/>
              <w:jc w:val="center"/>
              <w:rPr>
                <w:rFonts w:eastAsia="Times New Roman"/>
                <w:color w:val="000000"/>
                <w:sz w:val="15"/>
                <w:szCs w:val="15"/>
                <w:lang w:val="es-ES_tradnl"/>
              </w:rPr>
            </w:pPr>
            <w:r w:rsidRPr="00127372">
              <w:rPr>
                <w:rFonts w:eastAsia="Times New Roman"/>
                <w:color w:val="000000"/>
                <w:sz w:val="15"/>
                <w:szCs w:val="15"/>
                <w:lang w:val="es-ES_tradnl"/>
              </w:rPr>
              <w:t> </w:t>
            </w:r>
          </w:p>
        </w:tc>
        <w:tc>
          <w:tcPr>
            <w:tcW w:w="150" w:type="pct"/>
            <w:tcBorders>
              <w:top w:val="nil"/>
              <w:left w:val="nil"/>
              <w:bottom w:val="single" w:sz="4" w:space="0" w:color="auto"/>
              <w:right w:val="single" w:sz="4" w:space="0" w:color="auto"/>
            </w:tcBorders>
            <w:shd w:val="clear" w:color="auto" w:fill="auto"/>
            <w:vAlign w:val="center"/>
            <w:hideMark/>
          </w:tcPr>
          <w:p w14:paraId="1E29968C" w14:textId="77777777" w:rsidR="0069056F" w:rsidRPr="007E07CA" w:rsidRDefault="0069056F" w:rsidP="00266D1B">
            <w:pPr>
              <w:spacing w:after="0" w:line="240" w:lineRule="auto"/>
              <w:jc w:val="center"/>
              <w:rPr>
                <w:rFonts w:eastAsia="Times New Roman"/>
                <w:color w:val="000000"/>
                <w:sz w:val="15"/>
                <w:szCs w:val="15"/>
                <w:lang w:val="es-ES_tradnl"/>
              </w:rPr>
            </w:pPr>
            <w:r w:rsidRPr="00127372">
              <w:rPr>
                <w:rFonts w:eastAsia="Times New Roman"/>
                <w:color w:val="000000"/>
                <w:sz w:val="15"/>
                <w:szCs w:val="15"/>
                <w:lang w:val="es-ES_tradnl"/>
              </w:rPr>
              <w:t> </w:t>
            </w:r>
          </w:p>
        </w:tc>
        <w:tc>
          <w:tcPr>
            <w:tcW w:w="150" w:type="pct"/>
            <w:tcBorders>
              <w:top w:val="nil"/>
              <w:left w:val="nil"/>
              <w:bottom w:val="single" w:sz="4" w:space="0" w:color="auto"/>
              <w:right w:val="single" w:sz="4" w:space="0" w:color="auto"/>
            </w:tcBorders>
            <w:shd w:val="clear" w:color="auto" w:fill="auto"/>
            <w:vAlign w:val="center"/>
            <w:hideMark/>
          </w:tcPr>
          <w:p w14:paraId="3C814DC1" w14:textId="77777777" w:rsidR="0069056F" w:rsidRPr="007E07CA" w:rsidRDefault="0069056F" w:rsidP="00266D1B">
            <w:pPr>
              <w:spacing w:after="0" w:line="240" w:lineRule="auto"/>
              <w:jc w:val="center"/>
              <w:rPr>
                <w:rFonts w:eastAsia="Times New Roman"/>
                <w:color w:val="000000"/>
                <w:sz w:val="15"/>
                <w:szCs w:val="15"/>
                <w:lang w:val="es-ES_tradnl"/>
              </w:rPr>
            </w:pPr>
            <w:r w:rsidRPr="00127372">
              <w:rPr>
                <w:rFonts w:eastAsia="Times New Roman"/>
                <w:color w:val="000000"/>
                <w:sz w:val="15"/>
                <w:szCs w:val="15"/>
                <w:lang w:val="es-ES_tradnl"/>
              </w:rPr>
              <w:t> </w:t>
            </w:r>
          </w:p>
        </w:tc>
        <w:tc>
          <w:tcPr>
            <w:tcW w:w="150" w:type="pct"/>
            <w:tcBorders>
              <w:top w:val="nil"/>
              <w:left w:val="nil"/>
              <w:bottom w:val="single" w:sz="4" w:space="0" w:color="auto"/>
              <w:right w:val="single" w:sz="4" w:space="0" w:color="auto"/>
            </w:tcBorders>
            <w:shd w:val="clear" w:color="auto" w:fill="auto"/>
            <w:vAlign w:val="center"/>
            <w:hideMark/>
          </w:tcPr>
          <w:p w14:paraId="4790B73C" w14:textId="77777777" w:rsidR="0069056F" w:rsidRPr="007E07CA" w:rsidRDefault="0069056F" w:rsidP="00266D1B">
            <w:pPr>
              <w:spacing w:after="0" w:line="240" w:lineRule="auto"/>
              <w:jc w:val="center"/>
              <w:rPr>
                <w:rFonts w:eastAsia="Times New Roman"/>
                <w:color w:val="000000"/>
                <w:sz w:val="15"/>
                <w:szCs w:val="15"/>
                <w:lang w:val="es-ES_tradnl"/>
              </w:rPr>
            </w:pPr>
            <w:r w:rsidRPr="007E07CA">
              <w:rPr>
                <w:rFonts w:eastAsia="Times New Roman"/>
                <w:color w:val="000000"/>
                <w:sz w:val="15"/>
                <w:szCs w:val="15"/>
                <w:lang w:val="es-ES_tradnl"/>
              </w:rPr>
              <w:t> </w:t>
            </w:r>
          </w:p>
        </w:tc>
        <w:tc>
          <w:tcPr>
            <w:tcW w:w="150" w:type="pct"/>
            <w:tcBorders>
              <w:top w:val="nil"/>
              <w:left w:val="nil"/>
              <w:bottom w:val="single" w:sz="4" w:space="0" w:color="auto"/>
              <w:right w:val="single" w:sz="4" w:space="0" w:color="auto"/>
            </w:tcBorders>
            <w:shd w:val="clear" w:color="auto" w:fill="auto"/>
            <w:vAlign w:val="center"/>
            <w:hideMark/>
          </w:tcPr>
          <w:p w14:paraId="15D255A3" w14:textId="77777777" w:rsidR="0069056F" w:rsidRPr="007E07CA" w:rsidRDefault="0069056F" w:rsidP="00266D1B">
            <w:pPr>
              <w:spacing w:after="0" w:line="240" w:lineRule="auto"/>
              <w:jc w:val="center"/>
              <w:rPr>
                <w:rFonts w:eastAsia="Times New Roman"/>
                <w:color w:val="000000"/>
                <w:sz w:val="15"/>
                <w:szCs w:val="15"/>
                <w:lang w:val="es-ES_tradnl"/>
              </w:rPr>
            </w:pPr>
            <w:r w:rsidRPr="00127372">
              <w:rPr>
                <w:rFonts w:eastAsia="Times New Roman"/>
                <w:color w:val="000000"/>
                <w:sz w:val="15"/>
                <w:szCs w:val="15"/>
                <w:lang w:val="es-ES_tradnl"/>
              </w:rPr>
              <w:t> </w:t>
            </w:r>
          </w:p>
        </w:tc>
        <w:tc>
          <w:tcPr>
            <w:tcW w:w="150" w:type="pct"/>
            <w:tcBorders>
              <w:top w:val="nil"/>
              <w:left w:val="nil"/>
              <w:bottom w:val="single" w:sz="4" w:space="0" w:color="auto"/>
              <w:right w:val="single" w:sz="4" w:space="0" w:color="auto"/>
            </w:tcBorders>
            <w:shd w:val="clear" w:color="auto" w:fill="auto"/>
            <w:vAlign w:val="center"/>
            <w:hideMark/>
          </w:tcPr>
          <w:p w14:paraId="412C03B7" w14:textId="77777777" w:rsidR="0069056F" w:rsidRPr="007E07CA" w:rsidRDefault="0069056F" w:rsidP="00266D1B">
            <w:pPr>
              <w:spacing w:after="0" w:line="240" w:lineRule="auto"/>
              <w:jc w:val="center"/>
              <w:rPr>
                <w:rFonts w:eastAsia="Times New Roman"/>
                <w:color w:val="000000"/>
                <w:sz w:val="15"/>
                <w:szCs w:val="15"/>
                <w:lang w:val="es-ES_tradnl"/>
              </w:rPr>
            </w:pPr>
            <w:r w:rsidRPr="00127372">
              <w:rPr>
                <w:rFonts w:eastAsia="Times New Roman"/>
                <w:color w:val="000000"/>
                <w:sz w:val="15"/>
                <w:szCs w:val="15"/>
                <w:lang w:val="es-ES_tradnl"/>
              </w:rPr>
              <w:t> </w:t>
            </w:r>
          </w:p>
        </w:tc>
        <w:tc>
          <w:tcPr>
            <w:tcW w:w="439" w:type="pct"/>
            <w:tcBorders>
              <w:top w:val="nil"/>
              <w:left w:val="nil"/>
              <w:bottom w:val="single" w:sz="4" w:space="0" w:color="auto"/>
              <w:right w:val="single" w:sz="4" w:space="0" w:color="auto"/>
            </w:tcBorders>
            <w:shd w:val="clear" w:color="auto" w:fill="auto"/>
            <w:vAlign w:val="center"/>
            <w:hideMark/>
          </w:tcPr>
          <w:p w14:paraId="5097517B" w14:textId="77777777" w:rsidR="0069056F" w:rsidRPr="00127372" w:rsidRDefault="0069056F" w:rsidP="00266D1B">
            <w:pPr>
              <w:spacing w:after="0" w:line="240" w:lineRule="auto"/>
              <w:jc w:val="center"/>
              <w:rPr>
                <w:rFonts w:eastAsia="Times New Roman"/>
                <w:color w:val="000000"/>
                <w:sz w:val="15"/>
                <w:szCs w:val="15"/>
              </w:rPr>
            </w:pPr>
            <w:r w:rsidRPr="00127372">
              <w:rPr>
                <w:rFonts w:eastAsia="Times New Roman"/>
                <w:color w:val="000000"/>
                <w:sz w:val="15"/>
                <w:szCs w:val="15"/>
              </w:rPr>
              <w:t>BID</w:t>
            </w:r>
          </w:p>
        </w:tc>
        <w:tc>
          <w:tcPr>
            <w:tcW w:w="356" w:type="pct"/>
            <w:tcBorders>
              <w:top w:val="nil"/>
              <w:left w:val="nil"/>
              <w:bottom w:val="single" w:sz="4" w:space="0" w:color="auto"/>
              <w:right w:val="single" w:sz="4" w:space="0" w:color="auto"/>
            </w:tcBorders>
            <w:shd w:val="clear" w:color="auto" w:fill="auto"/>
            <w:vAlign w:val="center"/>
            <w:hideMark/>
          </w:tcPr>
          <w:p w14:paraId="581DB8E5" w14:textId="77777777" w:rsidR="0069056F" w:rsidRPr="00127372" w:rsidRDefault="0069056F" w:rsidP="00266D1B">
            <w:pPr>
              <w:spacing w:after="0" w:line="240" w:lineRule="auto"/>
              <w:jc w:val="center"/>
              <w:rPr>
                <w:rFonts w:eastAsia="Times New Roman"/>
                <w:color w:val="000000"/>
                <w:sz w:val="15"/>
                <w:szCs w:val="15"/>
              </w:rPr>
            </w:pPr>
            <w:r w:rsidRPr="00127372">
              <w:rPr>
                <w:rFonts w:eastAsia="Times New Roman"/>
                <w:color w:val="000000"/>
                <w:sz w:val="15"/>
                <w:szCs w:val="15"/>
              </w:rPr>
              <w:t xml:space="preserve">$10,000.00 </w:t>
            </w:r>
          </w:p>
        </w:tc>
        <w:tc>
          <w:tcPr>
            <w:tcW w:w="458" w:type="pct"/>
            <w:tcBorders>
              <w:top w:val="nil"/>
              <w:left w:val="nil"/>
              <w:bottom w:val="single" w:sz="4" w:space="0" w:color="auto"/>
              <w:right w:val="single" w:sz="4" w:space="0" w:color="auto"/>
            </w:tcBorders>
            <w:shd w:val="clear" w:color="auto" w:fill="auto"/>
            <w:vAlign w:val="center"/>
            <w:hideMark/>
          </w:tcPr>
          <w:p w14:paraId="074B0189" w14:textId="77777777" w:rsidR="0069056F" w:rsidRPr="00127372" w:rsidRDefault="0069056F" w:rsidP="00266D1B">
            <w:pPr>
              <w:spacing w:after="0" w:line="240" w:lineRule="auto"/>
              <w:jc w:val="center"/>
              <w:rPr>
                <w:rFonts w:eastAsia="Times New Roman"/>
                <w:color w:val="000000"/>
                <w:sz w:val="15"/>
                <w:szCs w:val="15"/>
              </w:rPr>
            </w:pPr>
            <w:r w:rsidRPr="00127372">
              <w:rPr>
                <w:rFonts w:eastAsia="Times New Roman"/>
                <w:color w:val="000000"/>
                <w:sz w:val="15"/>
                <w:szCs w:val="15"/>
              </w:rPr>
              <w:t>BID</w:t>
            </w:r>
          </w:p>
        </w:tc>
      </w:tr>
      <w:tr w:rsidR="0069056F" w:rsidRPr="00127372" w14:paraId="44E78E07" w14:textId="77777777" w:rsidTr="00266D1B">
        <w:trPr>
          <w:trHeight w:val="285"/>
        </w:trPr>
        <w:tc>
          <w:tcPr>
            <w:tcW w:w="1351" w:type="pct"/>
            <w:tcBorders>
              <w:top w:val="nil"/>
              <w:left w:val="single" w:sz="4" w:space="0" w:color="auto"/>
              <w:bottom w:val="single" w:sz="4" w:space="0" w:color="auto"/>
              <w:right w:val="single" w:sz="4" w:space="0" w:color="auto"/>
            </w:tcBorders>
            <w:shd w:val="clear" w:color="auto" w:fill="auto"/>
            <w:vAlign w:val="center"/>
            <w:hideMark/>
          </w:tcPr>
          <w:p w14:paraId="3E6E9058" w14:textId="77777777" w:rsidR="0069056F" w:rsidRPr="007E07CA" w:rsidRDefault="0069056F" w:rsidP="00266D1B">
            <w:pPr>
              <w:spacing w:after="0" w:line="240" w:lineRule="auto"/>
              <w:rPr>
                <w:rFonts w:eastAsia="Times New Roman"/>
                <w:color w:val="000000"/>
                <w:sz w:val="15"/>
                <w:szCs w:val="15"/>
                <w:lang w:val="es-ES_tradnl"/>
              </w:rPr>
            </w:pPr>
            <w:r w:rsidRPr="007E07CA">
              <w:rPr>
                <w:rFonts w:eastAsia="Times New Roman"/>
                <w:color w:val="000000"/>
                <w:sz w:val="15"/>
                <w:szCs w:val="15"/>
                <w:lang w:val="es-ES_tradnl"/>
              </w:rPr>
              <w:t>Reuniones de seguimiento al cumplimiento de los compromisos de políticas</w:t>
            </w:r>
          </w:p>
        </w:tc>
        <w:tc>
          <w:tcPr>
            <w:tcW w:w="150" w:type="pct"/>
            <w:tcBorders>
              <w:top w:val="nil"/>
              <w:left w:val="nil"/>
              <w:bottom w:val="single" w:sz="4" w:space="0" w:color="auto"/>
              <w:right w:val="single" w:sz="4" w:space="0" w:color="auto"/>
            </w:tcBorders>
            <w:shd w:val="clear" w:color="auto" w:fill="auto"/>
            <w:vAlign w:val="center"/>
            <w:hideMark/>
          </w:tcPr>
          <w:p w14:paraId="32A446B4" w14:textId="77777777" w:rsidR="0069056F" w:rsidRPr="007E07CA" w:rsidRDefault="0069056F" w:rsidP="00266D1B">
            <w:pPr>
              <w:spacing w:after="0" w:line="240" w:lineRule="auto"/>
              <w:jc w:val="center"/>
              <w:rPr>
                <w:rFonts w:eastAsia="Times New Roman"/>
                <w:color w:val="000000"/>
                <w:sz w:val="15"/>
                <w:szCs w:val="15"/>
                <w:lang w:val="es-ES_tradnl"/>
              </w:rPr>
            </w:pPr>
            <w:r w:rsidRPr="007E07CA">
              <w:rPr>
                <w:rFonts w:eastAsia="Times New Roman"/>
                <w:color w:val="000000"/>
                <w:sz w:val="15"/>
                <w:szCs w:val="15"/>
                <w:lang w:val="es-ES_tradnl"/>
              </w:rPr>
              <w:t> </w:t>
            </w:r>
          </w:p>
        </w:tc>
        <w:tc>
          <w:tcPr>
            <w:tcW w:w="150" w:type="pct"/>
            <w:tcBorders>
              <w:top w:val="nil"/>
              <w:left w:val="nil"/>
              <w:bottom w:val="single" w:sz="4" w:space="0" w:color="auto"/>
              <w:right w:val="single" w:sz="4" w:space="0" w:color="auto"/>
            </w:tcBorders>
            <w:shd w:val="clear" w:color="000000" w:fill="92D050"/>
            <w:vAlign w:val="center"/>
            <w:hideMark/>
          </w:tcPr>
          <w:p w14:paraId="63392CD9" w14:textId="77777777" w:rsidR="0069056F" w:rsidRPr="007E07CA" w:rsidRDefault="0069056F" w:rsidP="00266D1B">
            <w:pPr>
              <w:spacing w:after="0" w:line="240" w:lineRule="auto"/>
              <w:jc w:val="center"/>
              <w:rPr>
                <w:rFonts w:eastAsia="Times New Roman"/>
                <w:color w:val="000000"/>
                <w:sz w:val="15"/>
                <w:szCs w:val="15"/>
                <w:lang w:val="es-ES_tradnl"/>
              </w:rPr>
            </w:pPr>
            <w:r w:rsidRPr="007E07CA">
              <w:rPr>
                <w:rFonts w:eastAsia="Times New Roman"/>
                <w:color w:val="000000"/>
                <w:sz w:val="15"/>
                <w:szCs w:val="15"/>
                <w:lang w:val="es-ES_tradnl"/>
              </w:rPr>
              <w:t> </w:t>
            </w:r>
          </w:p>
        </w:tc>
        <w:tc>
          <w:tcPr>
            <w:tcW w:w="150" w:type="pct"/>
            <w:tcBorders>
              <w:top w:val="nil"/>
              <w:left w:val="nil"/>
              <w:bottom w:val="single" w:sz="4" w:space="0" w:color="auto"/>
              <w:right w:val="single" w:sz="4" w:space="0" w:color="auto"/>
            </w:tcBorders>
            <w:shd w:val="clear" w:color="auto" w:fill="auto"/>
            <w:vAlign w:val="center"/>
            <w:hideMark/>
          </w:tcPr>
          <w:p w14:paraId="237A6949" w14:textId="77777777" w:rsidR="0069056F" w:rsidRPr="007E07CA" w:rsidRDefault="0069056F" w:rsidP="00266D1B">
            <w:pPr>
              <w:spacing w:after="0" w:line="240" w:lineRule="auto"/>
              <w:jc w:val="center"/>
              <w:rPr>
                <w:rFonts w:eastAsia="Times New Roman"/>
                <w:color w:val="000000"/>
                <w:sz w:val="15"/>
                <w:szCs w:val="15"/>
                <w:lang w:val="es-ES_tradnl"/>
              </w:rPr>
            </w:pPr>
            <w:r w:rsidRPr="007E07CA">
              <w:rPr>
                <w:rFonts w:eastAsia="Times New Roman"/>
                <w:color w:val="000000"/>
                <w:sz w:val="15"/>
                <w:szCs w:val="15"/>
                <w:lang w:val="es-ES_tradnl"/>
              </w:rPr>
              <w:t> </w:t>
            </w:r>
          </w:p>
        </w:tc>
        <w:tc>
          <w:tcPr>
            <w:tcW w:w="150" w:type="pct"/>
            <w:tcBorders>
              <w:top w:val="nil"/>
              <w:left w:val="nil"/>
              <w:bottom w:val="single" w:sz="4" w:space="0" w:color="auto"/>
              <w:right w:val="single" w:sz="4" w:space="0" w:color="auto"/>
            </w:tcBorders>
            <w:shd w:val="clear" w:color="000000" w:fill="92D050"/>
            <w:vAlign w:val="center"/>
            <w:hideMark/>
          </w:tcPr>
          <w:p w14:paraId="2A25D0F0" w14:textId="77777777" w:rsidR="0069056F" w:rsidRPr="007E07CA" w:rsidRDefault="0069056F" w:rsidP="00266D1B">
            <w:pPr>
              <w:spacing w:after="0" w:line="240" w:lineRule="auto"/>
              <w:jc w:val="center"/>
              <w:rPr>
                <w:rFonts w:eastAsia="Times New Roman"/>
                <w:color w:val="000000"/>
                <w:sz w:val="15"/>
                <w:szCs w:val="15"/>
                <w:lang w:val="es-ES_tradnl"/>
              </w:rPr>
            </w:pPr>
            <w:r w:rsidRPr="007E07CA">
              <w:rPr>
                <w:rFonts w:eastAsia="Times New Roman"/>
                <w:color w:val="000000"/>
                <w:sz w:val="15"/>
                <w:szCs w:val="15"/>
                <w:lang w:val="es-ES_tradnl"/>
              </w:rPr>
              <w:t> </w:t>
            </w:r>
          </w:p>
        </w:tc>
        <w:tc>
          <w:tcPr>
            <w:tcW w:w="150" w:type="pct"/>
            <w:tcBorders>
              <w:top w:val="nil"/>
              <w:left w:val="nil"/>
              <w:bottom w:val="single" w:sz="4" w:space="0" w:color="auto"/>
              <w:right w:val="single" w:sz="4" w:space="0" w:color="auto"/>
            </w:tcBorders>
            <w:shd w:val="clear" w:color="auto" w:fill="auto"/>
            <w:vAlign w:val="center"/>
            <w:hideMark/>
          </w:tcPr>
          <w:p w14:paraId="07CD629B" w14:textId="77777777" w:rsidR="0069056F" w:rsidRPr="007E07CA" w:rsidRDefault="0069056F" w:rsidP="00266D1B">
            <w:pPr>
              <w:spacing w:after="0" w:line="240" w:lineRule="auto"/>
              <w:jc w:val="center"/>
              <w:rPr>
                <w:rFonts w:eastAsia="Times New Roman"/>
                <w:color w:val="000000"/>
                <w:sz w:val="15"/>
                <w:szCs w:val="15"/>
                <w:lang w:val="es-ES_tradnl"/>
              </w:rPr>
            </w:pPr>
            <w:r w:rsidRPr="007E07CA">
              <w:rPr>
                <w:rFonts w:eastAsia="Times New Roman"/>
                <w:color w:val="000000"/>
                <w:sz w:val="15"/>
                <w:szCs w:val="15"/>
                <w:lang w:val="es-ES_tradnl"/>
              </w:rPr>
              <w:t> </w:t>
            </w:r>
          </w:p>
        </w:tc>
        <w:tc>
          <w:tcPr>
            <w:tcW w:w="150" w:type="pct"/>
            <w:tcBorders>
              <w:top w:val="nil"/>
              <w:left w:val="nil"/>
              <w:bottom w:val="single" w:sz="4" w:space="0" w:color="auto"/>
              <w:right w:val="single" w:sz="4" w:space="0" w:color="auto"/>
            </w:tcBorders>
            <w:shd w:val="clear" w:color="000000" w:fill="92D050"/>
            <w:vAlign w:val="center"/>
            <w:hideMark/>
          </w:tcPr>
          <w:p w14:paraId="6D4C787F" w14:textId="77777777" w:rsidR="0069056F" w:rsidRPr="007E07CA" w:rsidRDefault="0069056F" w:rsidP="00266D1B">
            <w:pPr>
              <w:spacing w:after="0" w:line="240" w:lineRule="auto"/>
              <w:jc w:val="center"/>
              <w:rPr>
                <w:rFonts w:eastAsia="Times New Roman"/>
                <w:color w:val="000000"/>
                <w:sz w:val="15"/>
                <w:szCs w:val="15"/>
                <w:lang w:val="es-ES_tradnl"/>
              </w:rPr>
            </w:pPr>
            <w:r w:rsidRPr="007E07CA">
              <w:rPr>
                <w:rFonts w:eastAsia="Times New Roman"/>
                <w:color w:val="000000"/>
                <w:sz w:val="15"/>
                <w:szCs w:val="15"/>
                <w:lang w:val="es-ES_tradnl"/>
              </w:rPr>
              <w:t> </w:t>
            </w:r>
          </w:p>
        </w:tc>
        <w:tc>
          <w:tcPr>
            <w:tcW w:w="150" w:type="pct"/>
            <w:tcBorders>
              <w:top w:val="nil"/>
              <w:left w:val="nil"/>
              <w:bottom w:val="single" w:sz="4" w:space="0" w:color="auto"/>
              <w:right w:val="single" w:sz="4" w:space="0" w:color="auto"/>
            </w:tcBorders>
            <w:shd w:val="clear" w:color="auto" w:fill="auto"/>
            <w:vAlign w:val="center"/>
            <w:hideMark/>
          </w:tcPr>
          <w:p w14:paraId="29B79613" w14:textId="77777777" w:rsidR="0069056F" w:rsidRPr="007E07CA" w:rsidRDefault="0069056F" w:rsidP="00266D1B">
            <w:pPr>
              <w:spacing w:after="0" w:line="240" w:lineRule="auto"/>
              <w:jc w:val="center"/>
              <w:rPr>
                <w:rFonts w:eastAsia="Times New Roman"/>
                <w:color w:val="000000"/>
                <w:sz w:val="15"/>
                <w:szCs w:val="15"/>
                <w:lang w:val="es-ES_tradnl"/>
              </w:rPr>
            </w:pPr>
            <w:r w:rsidRPr="007E07CA">
              <w:rPr>
                <w:rFonts w:eastAsia="Times New Roman"/>
                <w:color w:val="000000"/>
                <w:sz w:val="15"/>
                <w:szCs w:val="15"/>
                <w:lang w:val="es-ES_tradnl"/>
              </w:rPr>
              <w:t> </w:t>
            </w:r>
          </w:p>
        </w:tc>
        <w:tc>
          <w:tcPr>
            <w:tcW w:w="150" w:type="pct"/>
            <w:tcBorders>
              <w:top w:val="nil"/>
              <w:left w:val="nil"/>
              <w:bottom w:val="single" w:sz="4" w:space="0" w:color="auto"/>
              <w:right w:val="single" w:sz="4" w:space="0" w:color="auto"/>
            </w:tcBorders>
            <w:shd w:val="clear" w:color="000000" w:fill="92D050"/>
            <w:vAlign w:val="center"/>
            <w:hideMark/>
          </w:tcPr>
          <w:p w14:paraId="03052D00" w14:textId="77777777" w:rsidR="0069056F" w:rsidRPr="007E07CA" w:rsidRDefault="0069056F" w:rsidP="00266D1B">
            <w:pPr>
              <w:spacing w:after="0" w:line="240" w:lineRule="auto"/>
              <w:jc w:val="center"/>
              <w:rPr>
                <w:rFonts w:eastAsia="Times New Roman"/>
                <w:color w:val="000000"/>
                <w:sz w:val="15"/>
                <w:szCs w:val="15"/>
                <w:lang w:val="es-ES_tradnl"/>
              </w:rPr>
            </w:pPr>
            <w:r w:rsidRPr="007E07CA">
              <w:rPr>
                <w:rFonts w:eastAsia="Times New Roman"/>
                <w:color w:val="000000"/>
                <w:sz w:val="15"/>
                <w:szCs w:val="15"/>
                <w:lang w:val="es-ES_tradnl"/>
              </w:rPr>
              <w:t> </w:t>
            </w:r>
          </w:p>
        </w:tc>
        <w:tc>
          <w:tcPr>
            <w:tcW w:w="150" w:type="pct"/>
            <w:tcBorders>
              <w:top w:val="nil"/>
              <w:left w:val="nil"/>
              <w:bottom w:val="single" w:sz="4" w:space="0" w:color="auto"/>
              <w:right w:val="single" w:sz="4" w:space="0" w:color="auto"/>
            </w:tcBorders>
            <w:shd w:val="clear" w:color="auto" w:fill="auto"/>
            <w:vAlign w:val="center"/>
            <w:hideMark/>
          </w:tcPr>
          <w:p w14:paraId="789C0129" w14:textId="77777777" w:rsidR="0069056F" w:rsidRPr="007E07CA" w:rsidRDefault="0069056F" w:rsidP="00266D1B">
            <w:pPr>
              <w:spacing w:after="0" w:line="240" w:lineRule="auto"/>
              <w:jc w:val="center"/>
              <w:rPr>
                <w:rFonts w:eastAsia="Times New Roman"/>
                <w:color w:val="000000"/>
                <w:sz w:val="15"/>
                <w:szCs w:val="15"/>
                <w:lang w:val="es-ES_tradnl"/>
              </w:rPr>
            </w:pPr>
            <w:r w:rsidRPr="007E07CA">
              <w:rPr>
                <w:rFonts w:eastAsia="Times New Roman"/>
                <w:color w:val="000000"/>
                <w:sz w:val="15"/>
                <w:szCs w:val="15"/>
                <w:lang w:val="es-ES_tradnl"/>
              </w:rPr>
              <w:t> </w:t>
            </w:r>
          </w:p>
        </w:tc>
        <w:tc>
          <w:tcPr>
            <w:tcW w:w="150" w:type="pct"/>
            <w:tcBorders>
              <w:top w:val="nil"/>
              <w:left w:val="nil"/>
              <w:bottom w:val="single" w:sz="4" w:space="0" w:color="auto"/>
              <w:right w:val="single" w:sz="4" w:space="0" w:color="auto"/>
            </w:tcBorders>
            <w:shd w:val="clear" w:color="auto" w:fill="auto"/>
            <w:vAlign w:val="center"/>
            <w:hideMark/>
          </w:tcPr>
          <w:p w14:paraId="13E56987" w14:textId="77777777" w:rsidR="0069056F" w:rsidRPr="007E07CA" w:rsidRDefault="0069056F" w:rsidP="00266D1B">
            <w:pPr>
              <w:spacing w:after="0" w:line="240" w:lineRule="auto"/>
              <w:jc w:val="center"/>
              <w:rPr>
                <w:rFonts w:eastAsia="Times New Roman"/>
                <w:color w:val="000000"/>
                <w:sz w:val="15"/>
                <w:szCs w:val="15"/>
                <w:lang w:val="es-ES_tradnl"/>
              </w:rPr>
            </w:pPr>
            <w:r w:rsidRPr="007E07CA">
              <w:rPr>
                <w:rFonts w:eastAsia="Times New Roman"/>
                <w:color w:val="000000"/>
                <w:sz w:val="15"/>
                <w:szCs w:val="15"/>
                <w:lang w:val="es-ES_tradnl"/>
              </w:rPr>
              <w:t> </w:t>
            </w:r>
          </w:p>
        </w:tc>
        <w:tc>
          <w:tcPr>
            <w:tcW w:w="150" w:type="pct"/>
            <w:tcBorders>
              <w:top w:val="nil"/>
              <w:left w:val="nil"/>
              <w:bottom w:val="single" w:sz="4" w:space="0" w:color="auto"/>
              <w:right w:val="single" w:sz="4" w:space="0" w:color="auto"/>
            </w:tcBorders>
            <w:shd w:val="clear" w:color="auto" w:fill="auto"/>
            <w:vAlign w:val="center"/>
            <w:hideMark/>
          </w:tcPr>
          <w:p w14:paraId="630E0C2D" w14:textId="77777777" w:rsidR="0069056F" w:rsidRPr="007E07CA" w:rsidRDefault="0069056F" w:rsidP="00266D1B">
            <w:pPr>
              <w:spacing w:after="0" w:line="240" w:lineRule="auto"/>
              <w:jc w:val="center"/>
              <w:rPr>
                <w:rFonts w:eastAsia="Times New Roman"/>
                <w:color w:val="000000"/>
                <w:sz w:val="15"/>
                <w:szCs w:val="15"/>
                <w:lang w:val="es-ES_tradnl"/>
              </w:rPr>
            </w:pPr>
            <w:r w:rsidRPr="007E07CA">
              <w:rPr>
                <w:rFonts w:eastAsia="Times New Roman"/>
                <w:color w:val="000000"/>
                <w:sz w:val="15"/>
                <w:szCs w:val="15"/>
                <w:lang w:val="es-ES_tradnl"/>
              </w:rPr>
              <w:t> </w:t>
            </w:r>
          </w:p>
        </w:tc>
        <w:tc>
          <w:tcPr>
            <w:tcW w:w="150" w:type="pct"/>
            <w:tcBorders>
              <w:top w:val="nil"/>
              <w:left w:val="nil"/>
              <w:bottom w:val="single" w:sz="4" w:space="0" w:color="auto"/>
              <w:right w:val="single" w:sz="4" w:space="0" w:color="auto"/>
            </w:tcBorders>
            <w:shd w:val="clear" w:color="auto" w:fill="auto"/>
            <w:vAlign w:val="center"/>
            <w:hideMark/>
          </w:tcPr>
          <w:p w14:paraId="2CF5F3AA" w14:textId="77777777" w:rsidR="0069056F" w:rsidRPr="007E07CA" w:rsidRDefault="0069056F" w:rsidP="00266D1B">
            <w:pPr>
              <w:spacing w:after="0" w:line="240" w:lineRule="auto"/>
              <w:jc w:val="center"/>
              <w:rPr>
                <w:rFonts w:eastAsia="Times New Roman"/>
                <w:color w:val="000000"/>
                <w:sz w:val="15"/>
                <w:szCs w:val="15"/>
                <w:lang w:val="es-ES_tradnl"/>
              </w:rPr>
            </w:pPr>
            <w:r w:rsidRPr="007E07CA">
              <w:rPr>
                <w:rFonts w:eastAsia="Times New Roman"/>
                <w:color w:val="000000"/>
                <w:sz w:val="15"/>
                <w:szCs w:val="15"/>
                <w:lang w:val="es-ES_tradnl"/>
              </w:rPr>
              <w:t> </w:t>
            </w:r>
          </w:p>
        </w:tc>
        <w:tc>
          <w:tcPr>
            <w:tcW w:w="150" w:type="pct"/>
            <w:tcBorders>
              <w:top w:val="nil"/>
              <w:left w:val="nil"/>
              <w:bottom w:val="single" w:sz="4" w:space="0" w:color="auto"/>
              <w:right w:val="single" w:sz="4" w:space="0" w:color="auto"/>
            </w:tcBorders>
            <w:shd w:val="clear" w:color="auto" w:fill="auto"/>
            <w:vAlign w:val="center"/>
            <w:hideMark/>
          </w:tcPr>
          <w:p w14:paraId="72918803" w14:textId="77777777" w:rsidR="0069056F" w:rsidRPr="007E07CA" w:rsidRDefault="0069056F" w:rsidP="00266D1B">
            <w:pPr>
              <w:spacing w:after="0" w:line="240" w:lineRule="auto"/>
              <w:jc w:val="center"/>
              <w:rPr>
                <w:rFonts w:eastAsia="Times New Roman"/>
                <w:color w:val="000000"/>
                <w:sz w:val="15"/>
                <w:szCs w:val="15"/>
                <w:lang w:val="es-ES_tradnl"/>
              </w:rPr>
            </w:pPr>
            <w:r w:rsidRPr="007E07CA">
              <w:rPr>
                <w:rFonts w:eastAsia="Times New Roman"/>
                <w:color w:val="000000"/>
                <w:sz w:val="15"/>
                <w:szCs w:val="15"/>
                <w:lang w:val="es-ES_tradnl"/>
              </w:rPr>
              <w:t> </w:t>
            </w:r>
          </w:p>
        </w:tc>
        <w:tc>
          <w:tcPr>
            <w:tcW w:w="150" w:type="pct"/>
            <w:tcBorders>
              <w:top w:val="nil"/>
              <w:left w:val="nil"/>
              <w:bottom w:val="single" w:sz="4" w:space="0" w:color="auto"/>
              <w:right w:val="single" w:sz="4" w:space="0" w:color="auto"/>
            </w:tcBorders>
            <w:shd w:val="clear" w:color="auto" w:fill="auto"/>
            <w:vAlign w:val="center"/>
            <w:hideMark/>
          </w:tcPr>
          <w:p w14:paraId="541BD153" w14:textId="77777777" w:rsidR="0069056F" w:rsidRPr="007E07CA" w:rsidRDefault="0069056F" w:rsidP="00266D1B">
            <w:pPr>
              <w:spacing w:after="0" w:line="240" w:lineRule="auto"/>
              <w:jc w:val="center"/>
              <w:rPr>
                <w:rFonts w:eastAsia="Times New Roman"/>
                <w:color w:val="000000"/>
                <w:sz w:val="15"/>
                <w:szCs w:val="15"/>
                <w:lang w:val="es-ES_tradnl"/>
              </w:rPr>
            </w:pPr>
            <w:r w:rsidRPr="007E07CA">
              <w:rPr>
                <w:rFonts w:eastAsia="Times New Roman"/>
                <w:color w:val="000000"/>
                <w:sz w:val="15"/>
                <w:szCs w:val="15"/>
                <w:lang w:val="es-ES_tradnl"/>
              </w:rPr>
              <w:t> </w:t>
            </w:r>
          </w:p>
        </w:tc>
        <w:tc>
          <w:tcPr>
            <w:tcW w:w="150" w:type="pct"/>
            <w:tcBorders>
              <w:top w:val="nil"/>
              <w:left w:val="nil"/>
              <w:bottom w:val="single" w:sz="4" w:space="0" w:color="auto"/>
              <w:right w:val="single" w:sz="4" w:space="0" w:color="auto"/>
            </w:tcBorders>
            <w:shd w:val="clear" w:color="auto" w:fill="auto"/>
            <w:vAlign w:val="center"/>
            <w:hideMark/>
          </w:tcPr>
          <w:p w14:paraId="4A3A4F1E" w14:textId="77777777" w:rsidR="0069056F" w:rsidRPr="007E07CA" w:rsidRDefault="0069056F" w:rsidP="00266D1B">
            <w:pPr>
              <w:spacing w:after="0" w:line="240" w:lineRule="auto"/>
              <w:jc w:val="center"/>
              <w:rPr>
                <w:rFonts w:eastAsia="Times New Roman"/>
                <w:color w:val="000000"/>
                <w:sz w:val="15"/>
                <w:szCs w:val="15"/>
                <w:lang w:val="es-ES_tradnl"/>
              </w:rPr>
            </w:pPr>
            <w:r w:rsidRPr="007E07CA">
              <w:rPr>
                <w:rFonts w:eastAsia="Times New Roman"/>
                <w:color w:val="000000"/>
                <w:sz w:val="15"/>
                <w:szCs w:val="15"/>
                <w:lang w:val="es-ES_tradnl"/>
              </w:rPr>
              <w:t> </w:t>
            </w:r>
          </w:p>
        </w:tc>
        <w:tc>
          <w:tcPr>
            <w:tcW w:w="150" w:type="pct"/>
            <w:tcBorders>
              <w:top w:val="nil"/>
              <w:left w:val="nil"/>
              <w:bottom w:val="single" w:sz="4" w:space="0" w:color="auto"/>
              <w:right w:val="single" w:sz="4" w:space="0" w:color="auto"/>
            </w:tcBorders>
            <w:shd w:val="clear" w:color="auto" w:fill="auto"/>
            <w:vAlign w:val="center"/>
            <w:hideMark/>
          </w:tcPr>
          <w:p w14:paraId="39FA164E" w14:textId="77777777" w:rsidR="0069056F" w:rsidRPr="007E07CA" w:rsidRDefault="0069056F" w:rsidP="00266D1B">
            <w:pPr>
              <w:spacing w:after="0" w:line="240" w:lineRule="auto"/>
              <w:jc w:val="center"/>
              <w:rPr>
                <w:rFonts w:eastAsia="Times New Roman"/>
                <w:color w:val="000000"/>
                <w:sz w:val="15"/>
                <w:szCs w:val="15"/>
                <w:lang w:val="es-ES_tradnl"/>
              </w:rPr>
            </w:pPr>
            <w:r w:rsidRPr="007E07CA">
              <w:rPr>
                <w:rFonts w:eastAsia="Times New Roman"/>
                <w:color w:val="000000"/>
                <w:sz w:val="15"/>
                <w:szCs w:val="15"/>
                <w:lang w:val="es-ES_tradnl"/>
              </w:rPr>
              <w:t> </w:t>
            </w:r>
          </w:p>
        </w:tc>
        <w:tc>
          <w:tcPr>
            <w:tcW w:w="439" w:type="pct"/>
            <w:tcBorders>
              <w:top w:val="nil"/>
              <w:left w:val="nil"/>
              <w:bottom w:val="single" w:sz="4" w:space="0" w:color="auto"/>
              <w:right w:val="single" w:sz="4" w:space="0" w:color="auto"/>
            </w:tcBorders>
            <w:shd w:val="clear" w:color="auto" w:fill="auto"/>
            <w:vAlign w:val="center"/>
            <w:hideMark/>
          </w:tcPr>
          <w:p w14:paraId="4A367119" w14:textId="4E2633BE" w:rsidR="0069056F" w:rsidRPr="00127372" w:rsidRDefault="0069056F" w:rsidP="00266D1B">
            <w:pPr>
              <w:spacing w:after="0" w:line="240" w:lineRule="auto"/>
              <w:jc w:val="center"/>
              <w:rPr>
                <w:rFonts w:eastAsia="Times New Roman"/>
                <w:color w:val="000000"/>
                <w:sz w:val="15"/>
                <w:szCs w:val="15"/>
              </w:rPr>
            </w:pPr>
            <w:r w:rsidRPr="00127372">
              <w:rPr>
                <w:rFonts w:eastAsia="Times New Roman"/>
                <w:color w:val="000000"/>
                <w:sz w:val="15"/>
                <w:szCs w:val="15"/>
              </w:rPr>
              <w:t>BID</w:t>
            </w:r>
          </w:p>
        </w:tc>
        <w:tc>
          <w:tcPr>
            <w:tcW w:w="356" w:type="pct"/>
            <w:tcBorders>
              <w:top w:val="nil"/>
              <w:left w:val="nil"/>
              <w:bottom w:val="single" w:sz="4" w:space="0" w:color="auto"/>
              <w:right w:val="single" w:sz="4" w:space="0" w:color="auto"/>
            </w:tcBorders>
            <w:shd w:val="clear" w:color="auto" w:fill="auto"/>
            <w:vAlign w:val="center"/>
            <w:hideMark/>
          </w:tcPr>
          <w:p w14:paraId="259D9FDB" w14:textId="77777777" w:rsidR="0069056F" w:rsidRPr="00127372" w:rsidRDefault="0069056F" w:rsidP="00266D1B">
            <w:pPr>
              <w:spacing w:after="0" w:line="240" w:lineRule="auto"/>
              <w:jc w:val="center"/>
              <w:rPr>
                <w:rFonts w:eastAsia="Times New Roman"/>
                <w:color w:val="000000"/>
                <w:sz w:val="15"/>
                <w:szCs w:val="15"/>
              </w:rPr>
            </w:pPr>
            <w:r w:rsidRPr="00127372">
              <w:rPr>
                <w:rFonts w:eastAsia="Times New Roman"/>
                <w:color w:val="000000"/>
                <w:sz w:val="15"/>
                <w:szCs w:val="15"/>
              </w:rPr>
              <w:t xml:space="preserve">$25,000.00 </w:t>
            </w:r>
          </w:p>
        </w:tc>
        <w:tc>
          <w:tcPr>
            <w:tcW w:w="458" w:type="pct"/>
            <w:tcBorders>
              <w:top w:val="nil"/>
              <w:left w:val="nil"/>
              <w:bottom w:val="single" w:sz="4" w:space="0" w:color="auto"/>
              <w:right w:val="single" w:sz="4" w:space="0" w:color="auto"/>
            </w:tcBorders>
            <w:shd w:val="clear" w:color="auto" w:fill="auto"/>
            <w:vAlign w:val="center"/>
            <w:hideMark/>
          </w:tcPr>
          <w:p w14:paraId="2B0A4AE2" w14:textId="2A9BD85E" w:rsidR="0069056F" w:rsidRPr="00127372" w:rsidRDefault="0069056F" w:rsidP="00266D1B">
            <w:pPr>
              <w:spacing w:after="0" w:line="240" w:lineRule="auto"/>
              <w:jc w:val="center"/>
              <w:rPr>
                <w:rFonts w:eastAsia="Times New Roman"/>
                <w:color w:val="000000"/>
                <w:sz w:val="15"/>
                <w:szCs w:val="15"/>
              </w:rPr>
            </w:pPr>
            <w:r w:rsidRPr="00127372">
              <w:rPr>
                <w:rFonts w:eastAsia="Times New Roman"/>
                <w:color w:val="000000"/>
                <w:sz w:val="15"/>
                <w:szCs w:val="15"/>
              </w:rPr>
              <w:t>BID</w:t>
            </w:r>
          </w:p>
        </w:tc>
      </w:tr>
      <w:tr w:rsidR="0069056F" w:rsidRPr="00127372" w14:paraId="67A2D46F" w14:textId="77777777" w:rsidTr="00266D1B">
        <w:trPr>
          <w:trHeight w:val="285"/>
        </w:trPr>
        <w:tc>
          <w:tcPr>
            <w:tcW w:w="1351" w:type="pct"/>
            <w:tcBorders>
              <w:top w:val="nil"/>
              <w:left w:val="single" w:sz="4" w:space="0" w:color="auto"/>
              <w:bottom w:val="single" w:sz="4" w:space="0" w:color="auto"/>
              <w:right w:val="single" w:sz="4" w:space="0" w:color="auto"/>
            </w:tcBorders>
            <w:shd w:val="clear" w:color="auto" w:fill="auto"/>
            <w:vAlign w:val="center"/>
            <w:hideMark/>
          </w:tcPr>
          <w:p w14:paraId="024078CA" w14:textId="77777777" w:rsidR="0069056F" w:rsidRPr="007E07CA" w:rsidRDefault="0069056F" w:rsidP="00266D1B">
            <w:pPr>
              <w:spacing w:after="0" w:line="240" w:lineRule="auto"/>
              <w:rPr>
                <w:rFonts w:eastAsia="Times New Roman"/>
                <w:color w:val="000000"/>
                <w:sz w:val="15"/>
                <w:szCs w:val="15"/>
                <w:lang w:val="es-ES_tradnl"/>
              </w:rPr>
            </w:pPr>
            <w:r w:rsidRPr="007E07CA">
              <w:rPr>
                <w:rFonts w:eastAsia="Times New Roman"/>
                <w:color w:val="000000"/>
                <w:sz w:val="15"/>
                <w:szCs w:val="15"/>
                <w:lang w:val="es-ES_tradnl"/>
              </w:rPr>
              <w:t>Revisión y aprobación de los medios de verificación</w:t>
            </w:r>
          </w:p>
        </w:tc>
        <w:tc>
          <w:tcPr>
            <w:tcW w:w="150" w:type="pct"/>
            <w:tcBorders>
              <w:top w:val="nil"/>
              <w:left w:val="nil"/>
              <w:bottom w:val="single" w:sz="4" w:space="0" w:color="auto"/>
              <w:right w:val="single" w:sz="4" w:space="0" w:color="auto"/>
            </w:tcBorders>
            <w:shd w:val="clear" w:color="auto" w:fill="auto"/>
            <w:vAlign w:val="center"/>
            <w:hideMark/>
          </w:tcPr>
          <w:p w14:paraId="7E66937A" w14:textId="77777777" w:rsidR="0069056F" w:rsidRPr="007E07CA" w:rsidRDefault="0069056F" w:rsidP="00266D1B">
            <w:pPr>
              <w:spacing w:after="0" w:line="240" w:lineRule="auto"/>
              <w:jc w:val="center"/>
              <w:rPr>
                <w:rFonts w:eastAsia="Times New Roman"/>
                <w:color w:val="000000"/>
                <w:sz w:val="15"/>
                <w:szCs w:val="15"/>
                <w:lang w:val="es-ES_tradnl"/>
              </w:rPr>
            </w:pPr>
            <w:r w:rsidRPr="007E07CA">
              <w:rPr>
                <w:rFonts w:eastAsia="Times New Roman"/>
                <w:color w:val="000000"/>
                <w:sz w:val="15"/>
                <w:szCs w:val="15"/>
                <w:lang w:val="es-ES_tradnl"/>
              </w:rPr>
              <w:t> </w:t>
            </w:r>
          </w:p>
        </w:tc>
        <w:tc>
          <w:tcPr>
            <w:tcW w:w="150" w:type="pct"/>
            <w:tcBorders>
              <w:top w:val="nil"/>
              <w:left w:val="nil"/>
              <w:bottom w:val="single" w:sz="4" w:space="0" w:color="auto"/>
              <w:right w:val="single" w:sz="4" w:space="0" w:color="auto"/>
            </w:tcBorders>
            <w:shd w:val="clear" w:color="auto" w:fill="auto"/>
            <w:vAlign w:val="center"/>
            <w:hideMark/>
          </w:tcPr>
          <w:p w14:paraId="4034B512" w14:textId="77777777" w:rsidR="0069056F" w:rsidRPr="007E07CA" w:rsidRDefault="0069056F" w:rsidP="00266D1B">
            <w:pPr>
              <w:spacing w:after="0" w:line="240" w:lineRule="auto"/>
              <w:jc w:val="center"/>
              <w:rPr>
                <w:rFonts w:eastAsia="Times New Roman"/>
                <w:color w:val="000000"/>
                <w:sz w:val="15"/>
                <w:szCs w:val="15"/>
                <w:lang w:val="es-ES_tradnl"/>
              </w:rPr>
            </w:pPr>
            <w:r w:rsidRPr="007E07CA">
              <w:rPr>
                <w:rFonts w:eastAsia="Times New Roman"/>
                <w:color w:val="000000"/>
                <w:sz w:val="15"/>
                <w:szCs w:val="15"/>
                <w:lang w:val="es-ES_tradnl"/>
              </w:rPr>
              <w:t> </w:t>
            </w:r>
          </w:p>
        </w:tc>
        <w:tc>
          <w:tcPr>
            <w:tcW w:w="150" w:type="pct"/>
            <w:tcBorders>
              <w:top w:val="nil"/>
              <w:left w:val="nil"/>
              <w:bottom w:val="single" w:sz="4" w:space="0" w:color="auto"/>
              <w:right w:val="single" w:sz="4" w:space="0" w:color="auto"/>
            </w:tcBorders>
            <w:shd w:val="clear" w:color="auto" w:fill="auto"/>
            <w:vAlign w:val="center"/>
            <w:hideMark/>
          </w:tcPr>
          <w:p w14:paraId="411346C9" w14:textId="77777777" w:rsidR="0069056F" w:rsidRPr="007E07CA" w:rsidRDefault="0069056F" w:rsidP="00266D1B">
            <w:pPr>
              <w:spacing w:after="0" w:line="240" w:lineRule="auto"/>
              <w:jc w:val="center"/>
              <w:rPr>
                <w:rFonts w:eastAsia="Times New Roman"/>
                <w:color w:val="000000"/>
                <w:sz w:val="15"/>
                <w:szCs w:val="15"/>
                <w:lang w:val="es-ES_tradnl"/>
              </w:rPr>
            </w:pPr>
            <w:r w:rsidRPr="007E07CA">
              <w:rPr>
                <w:rFonts w:eastAsia="Times New Roman"/>
                <w:color w:val="000000"/>
                <w:sz w:val="15"/>
                <w:szCs w:val="15"/>
                <w:lang w:val="es-ES_tradnl"/>
              </w:rPr>
              <w:t> </w:t>
            </w:r>
          </w:p>
        </w:tc>
        <w:tc>
          <w:tcPr>
            <w:tcW w:w="150" w:type="pct"/>
            <w:tcBorders>
              <w:top w:val="nil"/>
              <w:left w:val="nil"/>
              <w:bottom w:val="single" w:sz="4" w:space="0" w:color="auto"/>
              <w:right w:val="single" w:sz="4" w:space="0" w:color="auto"/>
            </w:tcBorders>
            <w:shd w:val="clear" w:color="auto" w:fill="auto"/>
            <w:vAlign w:val="center"/>
            <w:hideMark/>
          </w:tcPr>
          <w:p w14:paraId="1B8F5F4B" w14:textId="77777777" w:rsidR="0069056F" w:rsidRPr="007E07CA" w:rsidRDefault="0069056F" w:rsidP="00266D1B">
            <w:pPr>
              <w:spacing w:after="0" w:line="240" w:lineRule="auto"/>
              <w:jc w:val="center"/>
              <w:rPr>
                <w:rFonts w:eastAsia="Times New Roman"/>
                <w:color w:val="000000"/>
                <w:sz w:val="15"/>
                <w:szCs w:val="15"/>
                <w:lang w:val="es-ES_tradnl"/>
              </w:rPr>
            </w:pPr>
            <w:r w:rsidRPr="007E07CA">
              <w:rPr>
                <w:rFonts w:eastAsia="Times New Roman"/>
                <w:color w:val="000000"/>
                <w:sz w:val="15"/>
                <w:szCs w:val="15"/>
                <w:lang w:val="es-ES_tradnl"/>
              </w:rPr>
              <w:t> </w:t>
            </w:r>
          </w:p>
        </w:tc>
        <w:tc>
          <w:tcPr>
            <w:tcW w:w="150" w:type="pct"/>
            <w:tcBorders>
              <w:top w:val="nil"/>
              <w:left w:val="nil"/>
              <w:bottom w:val="single" w:sz="4" w:space="0" w:color="auto"/>
              <w:right w:val="single" w:sz="4" w:space="0" w:color="auto"/>
            </w:tcBorders>
            <w:shd w:val="clear" w:color="000000" w:fill="92D050"/>
            <w:vAlign w:val="center"/>
            <w:hideMark/>
          </w:tcPr>
          <w:p w14:paraId="664784A7" w14:textId="77777777" w:rsidR="0069056F" w:rsidRPr="007E07CA" w:rsidRDefault="0069056F" w:rsidP="00266D1B">
            <w:pPr>
              <w:spacing w:after="0" w:line="240" w:lineRule="auto"/>
              <w:jc w:val="center"/>
              <w:rPr>
                <w:rFonts w:eastAsia="Times New Roman"/>
                <w:color w:val="000000"/>
                <w:sz w:val="15"/>
                <w:szCs w:val="15"/>
                <w:lang w:val="es-ES_tradnl"/>
              </w:rPr>
            </w:pPr>
            <w:r w:rsidRPr="007E07CA">
              <w:rPr>
                <w:rFonts w:eastAsia="Times New Roman"/>
                <w:color w:val="000000"/>
                <w:sz w:val="15"/>
                <w:szCs w:val="15"/>
                <w:lang w:val="es-ES_tradnl"/>
              </w:rPr>
              <w:t> </w:t>
            </w:r>
          </w:p>
        </w:tc>
        <w:tc>
          <w:tcPr>
            <w:tcW w:w="150" w:type="pct"/>
            <w:tcBorders>
              <w:top w:val="nil"/>
              <w:left w:val="nil"/>
              <w:bottom w:val="single" w:sz="4" w:space="0" w:color="auto"/>
              <w:right w:val="single" w:sz="4" w:space="0" w:color="auto"/>
            </w:tcBorders>
            <w:shd w:val="clear" w:color="auto" w:fill="auto"/>
            <w:vAlign w:val="center"/>
            <w:hideMark/>
          </w:tcPr>
          <w:p w14:paraId="60B8F4A6" w14:textId="77777777" w:rsidR="0069056F" w:rsidRPr="007E07CA" w:rsidRDefault="0069056F" w:rsidP="00266D1B">
            <w:pPr>
              <w:spacing w:after="0" w:line="240" w:lineRule="auto"/>
              <w:jc w:val="center"/>
              <w:rPr>
                <w:rFonts w:eastAsia="Times New Roman"/>
                <w:color w:val="000000"/>
                <w:sz w:val="15"/>
                <w:szCs w:val="15"/>
                <w:lang w:val="es-ES_tradnl"/>
              </w:rPr>
            </w:pPr>
            <w:r w:rsidRPr="007E07CA">
              <w:rPr>
                <w:rFonts w:eastAsia="Times New Roman"/>
                <w:color w:val="000000"/>
                <w:sz w:val="15"/>
                <w:szCs w:val="15"/>
                <w:lang w:val="es-ES_tradnl"/>
              </w:rPr>
              <w:t> </w:t>
            </w:r>
          </w:p>
        </w:tc>
        <w:tc>
          <w:tcPr>
            <w:tcW w:w="150" w:type="pct"/>
            <w:tcBorders>
              <w:top w:val="nil"/>
              <w:left w:val="nil"/>
              <w:bottom w:val="single" w:sz="4" w:space="0" w:color="auto"/>
              <w:right w:val="single" w:sz="4" w:space="0" w:color="auto"/>
            </w:tcBorders>
            <w:shd w:val="clear" w:color="auto" w:fill="auto"/>
            <w:vAlign w:val="center"/>
            <w:hideMark/>
          </w:tcPr>
          <w:p w14:paraId="328E796B" w14:textId="77777777" w:rsidR="0069056F" w:rsidRPr="007E07CA" w:rsidRDefault="0069056F" w:rsidP="00266D1B">
            <w:pPr>
              <w:spacing w:after="0" w:line="240" w:lineRule="auto"/>
              <w:jc w:val="center"/>
              <w:rPr>
                <w:rFonts w:eastAsia="Times New Roman"/>
                <w:color w:val="000000"/>
                <w:sz w:val="15"/>
                <w:szCs w:val="15"/>
                <w:lang w:val="es-ES_tradnl"/>
              </w:rPr>
            </w:pPr>
            <w:r w:rsidRPr="007E07CA">
              <w:rPr>
                <w:rFonts w:eastAsia="Times New Roman"/>
                <w:color w:val="000000"/>
                <w:sz w:val="15"/>
                <w:szCs w:val="15"/>
                <w:lang w:val="es-ES_tradnl"/>
              </w:rPr>
              <w:t> </w:t>
            </w:r>
          </w:p>
        </w:tc>
        <w:tc>
          <w:tcPr>
            <w:tcW w:w="150" w:type="pct"/>
            <w:tcBorders>
              <w:top w:val="nil"/>
              <w:left w:val="nil"/>
              <w:bottom w:val="single" w:sz="4" w:space="0" w:color="auto"/>
              <w:right w:val="single" w:sz="4" w:space="0" w:color="auto"/>
            </w:tcBorders>
            <w:shd w:val="clear" w:color="auto" w:fill="auto"/>
            <w:vAlign w:val="center"/>
            <w:hideMark/>
          </w:tcPr>
          <w:p w14:paraId="1ED4D40A" w14:textId="77777777" w:rsidR="0069056F" w:rsidRPr="007E07CA" w:rsidRDefault="0069056F" w:rsidP="00266D1B">
            <w:pPr>
              <w:spacing w:after="0" w:line="240" w:lineRule="auto"/>
              <w:jc w:val="center"/>
              <w:rPr>
                <w:rFonts w:eastAsia="Times New Roman"/>
                <w:color w:val="000000"/>
                <w:sz w:val="15"/>
                <w:szCs w:val="15"/>
                <w:lang w:val="es-ES_tradnl"/>
              </w:rPr>
            </w:pPr>
            <w:r w:rsidRPr="007E07CA">
              <w:rPr>
                <w:rFonts w:eastAsia="Times New Roman"/>
                <w:color w:val="000000"/>
                <w:sz w:val="15"/>
                <w:szCs w:val="15"/>
                <w:lang w:val="es-ES_tradnl"/>
              </w:rPr>
              <w:t> </w:t>
            </w:r>
          </w:p>
        </w:tc>
        <w:tc>
          <w:tcPr>
            <w:tcW w:w="150" w:type="pct"/>
            <w:tcBorders>
              <w:top w:val="nil"/>
              <w:left w:val="nil"/>
              <w:bottom w:val="single" w:sz="4" w:space="0" w:color="auto"/>
              <w:right w:val="single" w:sz="4" w:space="0" w:color="auto"/>
            </w:tcBorders>
            <w:shd w:val="clear" w:color="000000" w:fill="92D050"/>
            <w:vAlign w:val="center"/>
            <w:hideMark/>
          </w:tcPr>
          <w:p w14:paraId="65D75920" w14:textId="77777777" w:rsidR="0069056F" w:rsidRPr="007E07CA" w:rsidRDefault="0069056F" w:rsidP="00266D1B">
            <w:pPr>
              <w:spacing w:after="0" w:line="240" w:lineRule="auto"/>
              <w:jc w:val="center"/>
              <w:rPr>
                <w:rFonts w:eastAsia="Times New Roman"/>
                <w:color w:val="000000"/>
                <w:sz w:val="15"/>
                <w:szCs w:val="15"/>
                <w:lang w:val="es-ES_tradnl"/>
              </w:rPr>
            </w:pPr>
            <w:r w:rsidRPr="007E07CA">
              <w:rPr>
                <w:rFonts w:eastAsia="Times New Roman"/>
                <w:color w:val="000000"/>
                <w:sz w:val="15"/>
                <w:szCs w:val="15"/>
                <w:lang w:val="es-ES_tradnl"/>
              </w:rPr>
              <w:t> </w:t>
            </w:r>
          </w:p>
        </w:tc>
        <w:tc>
          <w:tcPr>
            <w:tcW w:w="150" w:type="pct"/>
            <w:tcBorders>
              <w:top w:val="nil"/>
              <w:left w:val="nil"/>
              <w:bottom w:val="single" w:sz="4" w:space="0" w:color="auto"/>
              <w:right w:val="single" w:sz="4" w:space="0" w:color="auto"/>
            </w:tcBorders>
            <w:shd w:val="clear" w:color="auto" w:fill="auto"/>
            <w:vAlign w:val="center"/>
            <w:hideMark/>
          </w:tcPr>
          <w:p w14:paraId="11830422" w14:textId="77777777" w:rsidR="0069056F" w:rsidRPr="007E07CA" w:rsidRDefault="0069056F" w:rsidP="00266D1B">
            <w:pPr>
              <w:spacing w:after="0" w:line="240" w:lineRule="auto"/>
              <w:jc w:val="center"/>
              <w:rPr>
                <w:rFonts w:eastAsia="Times New Roman"/>
                <w:color w:val="000000"/>
                <w:sz w:val="15"/>
                <w:szCs w:val="15"/>
                <w:lang w:val="es-ES_tradnl"/>
              </w:rPr>
            </w:pPr>
            <w:r w:rsidRPr="007E07CA">
              <w:rPr>
                <w:rFonts w:eastAsia="Times New Roman"/>
                <w:color w:val="000000"/>
                <w:sz w:val="15"/>
                <w:szCs w:val="15"/>
                <w:lang w:val="es-ES_tradnl"/>
              </w:rPr>
              <w:t> </w:t>
            </w:r>
          </w:p>
        </w:tc>
        <w:tc>
          <w:tcPr>
            <w:tcW w:w="150" w:type="pct"/>
            <w:tcBorders>
              <w:top w:val="nil"/>
              <w:left w:val="nil"/>
              <w:bottom w:val="single" w:sz="4" w:space="0" w:color="auto"/>
              <w:right w:val="single" w:sz="4" w:space="0" w:color="auto"/>
            </w:tcBorders>
            <w:shd w:val="clear" w:color="auto" w:fill="auto"/>
            <w:vAlign w:val="center"/>
            <w:hideMark/>
          </w:tcPr>
          <w:p w14:paraId="6A424838" w14:textId="77777777" w:rsidR="0069056F" w:rsidRPr="007E07CA" w:rsidRDefault="0069056F" w:rsidP="00266D1B">
            <w:pPr>
              <w:spacing w:after="0" w:line="240" w:lineRule="auto"/>
              <w:jc w:val="center"/>
              <w:rPr>
                <w:rFonts w:eastAsia="Times New Roman"/>
                <w:color w:val="000000"/>
                <w:sz w:val="15"/>
                <w:szCs w:val="15"/>
                <w:lang w:val="es-ES_tradnl"/>
              </w:rPr>
            </w:pPr>
            <w:r w:rsidRPr="007E07CA">
              <w:rPr>
                <w:rFonts w:eastAsia="Times New Roman"/>
                <w:color w:val="000000"/>
                <w:sz w:val="15"/>
                <w:szCs w:val="15"/>
                <w:lang w:val="es-ES_tradnl"/>
              </w:rPr>
              <w:t> </w:t>
            </w:r>
          </w:p>
        </w:tc>
        <w:tc>
          <w:tcPr>
            <w:tcW w:w="150" w:type="pct"/>
            <w:tcBorders>
              <w:top w:val="nil"/>
              <w:left w:val="nil"/>
              <w:bottom w:val="single" w:sz="4" w:space="0" w:color="auto"/>
              <w:right w:val="single" w:sz="4" w:space="0" w:color="auto"/>
            </w:tcBorders>
            <w:shd w:val="clear" w:color="auto" w:fill="auto"/>
            <w:vAlign w:val="center"/>
            <w:hideMark/>
          </w:tcPr>
          <w:p w14:paraId="0BD96B35" w14:textId="77777777" w:rsidR="0069056F" w:rsidRPr="007E07CA" w:rsidRDefault="0069056F" w:rsidP="00266D1B">
            <w:pPr>
              <w:spacing w:after="0" w:line="240" w:lineRule="auto"/>
              <w:jc w:val="center"/>
              <w:rPr>
                <w:rFonts w:eastAsia="Times New Roman"/>
                <w:color w:val="000000"/>
                <w:sz w:val="15"/>
                <w:szCs w:val="15"/>
                <w:lang w:val="es-ES_tradnl"/>
              </w:rPr>
            </w:pPr>
            <w:r w:rsidRPr="007E07CA">
              <w:rPr>
                <w:rFonts w:eastAsia="Times New Roman"/>
                <w:color w:val="000000"/>
                <w:sz w:val="15"/>
                <w:szCs w:val="15"/>
                <w:lang w:val="es-ES_tradnl"/>
              </w:rPr>
              <w:t> </w:t>
            </w:r>
          </w:p>
        </w:tc>
        <w:tc>
          <w:tcPr>
            <w:tcW w:w="150" w:type="pct"/>
            <w:tcBorders>
              <w:top w:val="nil"/>
              <w:left w:val="nil"/>
              <w:bottom w:val="single" w:sz="4" w:space="0" w:color="auto"/>
              <w:right w:val="single" w:sz="4" w:space="0" w:color="auto"/>
            </w:tcBorders>
            <w:shd w:val="clear" w:color="auto" w:fill="auto"/>
            <w:vAlign w:val="center"/>
            <w:hideMark/>
          </w:tcPr>
          <w:p w14:paraId="2EF28215" w14:textId="77777777" w:rsidR="0069056F" w:rsidRPr="007E07CA" w:rsidRDefault="0069056F" w:rsidP="00266D1B">
            <w:pPr>
              <w:spacing w:after="0" w:line="240" w:lineRule="auto"/>
              <w:jc w:val="center"/>
              <w:rPr>
                <w:rFonts w:eastAsia="Times New Roman"/>
                <w:color w:val="000000"/>
                <w:sz w:val="15"/>
                <w:szCs w:val="15"/>
                <w:lang w:val="es-ES_tradnl"/>
              </w:rPr>
            </w:pPr>
            <w:r w:rsidRPr="007E07CA">
              <w:rPr>
                <w:rFonts w:eastAsia="Times New Roman"/>
                <w:color w:val="000000"/>
                <w:sz w:val="15"/>
                <w:szCs w:val="15"/>
                <w:lang w:val="es-ES_tradnl"/>
              </w:rPr>
              <w:t> </w:t>
            </w:r>
          </w:p>
        </w:tc>
        <w:tc>
          <w:tcPr>
            <w:tcW w:w="150" w:type="pct"/>
            <w:tcBorders>
              <w:top w:val="nil"/>
              <w:left w:val="nil"/>
              <w:bottom w:val="single" w:sz="4" w:space="0" w:color="auto"/>
              <w:right w:val="single" w:sz="4" w:space="0" w:color="auto"/>
            </w:tcBorders>
            <w:shd w:val="clear" w:color="auto" w:fill="auto"/>
            <w:vAlign w:val="center"/>
            <w:hideMark/>
          </w:tcPr>
          <w:p w14:paraId="28753174" w14:textId="77777777" w:rsidR="0069056F" w:rsidRPr="007E07CA" w:rsidRDefault="0069056F" w:rsidP="00266D1B">
            <w:pPr>
              <w:spacing w:after="0" w:line="240" w:lineRule="auto"/>
              <w:jc w:val="center"/>
              <w:rPr>
                <w:rFonts w:eastAsia="Times New Roman"/>
                <w:color w:val="000000"/>
                <w:sz w:val="15"/>
                <w:szCs w:val="15"/>
                <w:lang w:val="es-ES_tradnl"/>
              </w:rPr>
            </w:pPr>
            <w:r w:rsidRPr="007E07CA">
              <w:rPr>
                <w:rFonts w:eastAsia="Times New Roman"/>
                <w:color w:val="000000"/>
                <w:sz w:val="15"/>
                <w:szCs w:val="15"/>
                <w:lang w:val="es-ES_tradnl"/>
              </w:rPr>
              <w:t> </w:t>
            </w:r>
          </w:p>
        </w:tc>
        <w:tc>
          <w:tcPr>
            <w:tcW w:w="150" w:type="pct"/>
            <w:tcBorders>
              <w:top w:val="nil"/>
              <w:left w:val="nil"/>
              <w:bottom w:val="single" w:sz="4" w:space="0" w:color="auto"/>
              <w:right w:val="single" w:sz="4" w:space="0" w:color="auto"/>
            </w:tcBorders>
            <w:shd w:val="clear" w:color="auto" w:fill="auto"/>
            <w:vAlign w:val="center"/>
            <w:hideMark/>
          </w:tcPr>
          <w:p w14:paraId="32F6F01B" w14:textId="77777777" w:rsidR="0069056F" w:rsidRPr="007E07CA" w:rsidRDefault="0069056F" w:rsidP="00266D1B">
            <w:pPr>
              <w:spacing w:after="0" w:line="240" w:lineRule="auto"/>
              <w:jc w:val="center"/>
              <w:rPr>
                <w:rFonts w:eastAsia="Times New Roman"/>
                <w:color w:val="000000"/>
                <w:sz w:val="15"/>
                <w:szCs w:val="15"/>
                <w:lang w:val="es-ES_tradnl"/>
              </w:rPr>
            </w:pPr>
            <w:r w:rsidRPr="007E07CA">
              <w:rPr>
                <w:rFonts w:eastAsia="Times New Roman"/>
                <w:color w:val="000000"/>
                <w:sz w:val="15"/>
                <w:szCs w:val="15"/>
                <w:lang w:val="es-ES_tradnl"/>
              </w:rPr>
              <w:t> </w:t>
            </w:r>
          </w:p>
        </w:tc>
        <w:tc>
          <w:tcPr>
            <w:tcW w:w="150" w:type="pct"/>
            <w:tcBorders>
              <w:top w:val="nil"/>
              <w:left w:val="nil"/>
              <w:bottom w:val="single" w:sz="4" w:space="0" w:color="auto"/>
              <w:right w:val="single" w:sz="4" w:space="0" w:color="auto"/>
            </w:tcBorders>
            <w:shd w:val="clear" w:color="auto" w:fill="auto"/>
            <w:vAlign w:val="center"/>
            <w:hideMark/>
          </w:tcPr>
          <w:p w14:paraId="466601CB" w14:textId="77777777" w:rsidR="0069056F" w:rsidRPr="007E07CA" w:rsidRDefault="0069056F" w:rsidP="00266D1B">
            <w:pPr>
              <w:spacing w:after="0" w:line="240" w:lineRule="auto"/>
              <w:jc w:val="center"/>
              <w:rPr>
                <w:rFonts w:eastAsia="Times New Roman"/>
                <w:color w:val="000000"/>
                <w:sz w:val="15"/>
                <w:szCs w:val="15"/>
                <w:lang w:val="es-ES_tradnl"/>
              </w:rPr>
            </w:pPr>
            <w:r w:rsidRPr="007E07CA">
              <w:rPr>
                <w:rFonts w:eastAsia="Times New Roman"/>
                <w:color w:val="000000"/>
                <w:sz w:val="15"/>
                <w:szCs w:val="15"/>
                <w:lang w:val="es-ES_tradnl"/>
              </w:rPr>
              <w:t> </w:t>
            </w:r>
          </w:p>
        </w:tc>
        <w:tc>
          <w:tcPr>
            <w:tcW w:w="439" w:type="pct"/>
            <w:tcBorders>
              <w:top w:val="nil"/>
              <w:left w:val="nil"/>
              <w:bottom w:val="single" w:sz="4" w:space="0" w:color="auto"/>
              <w:right w:val="single" w:sz="4" w:space="0" w:color="auto"/>
            </w:tcBorders>
            <w:shd w:val="clear" w:color="auto" w:fill="auto"/>
            <w:vAlign w:val="center"/>
            <w:hideMark/>
          </w:tcPr>
          <w:p w14:paraId="525F953F" w14:textId="77777777" w:rsidR="0069056F" w:rsidRPr="00127372" w:rsidRDefault="0069056F" w:rsidP="00266D1B">
            <w:pPr>
              <w:spacing w:after="0" w:line="240" w:lineRule="auto"/>
              <w:jc w:val="center"/>
              <w:rPr>
                <w:rFonts w:eastAsia="Times New Roman"/>
                <w:color w:val="000000"/>
                <w:sz w:val="15"/>
                <w:szCs w:val="15"/>
              </w:rPr>
            </w:pPr>
            <w:r w:rsidRPr="00127372">
              <w:rPr>
                <w:rFonts w:eastAsia="Times New Roman"/>
                <w:color w:val="000000"/>
                <w:sz w:val="15"/>
                <w:szCs w:val="15"/>
              </w:rPr>
              <w:t>BID</w:t>
            </w:r>
          </w:p>
        </w:tc>
        <w:tc>
          <w:tcPr>
            <w:tcW w:w="356" w:type="pct"/>
            <w:tcBorders>
              <w:top w:val="nil"/>
              <w:left w:val="nil"/>
              <w:bottom w:val="single" w:sz="4" w:space="0" w:color="auto"/>
              <w:right w:val="single" w:sz="4" w:space="0" w:color="auto"/>
            </w:tcBorders>
            <w:shd w:val="clear" w:color="auto" w:fill="auto"/>
            <w:vAlign w:val="center"/>
            <w:hideMark/>
          </w:tcPr>
          <w:p w14:paraId="37ED7D2F" w14:textId="77777777" w:rsidR="0069056F" w:rsidRPr="00127372" w:rsidRDefault="0069056F" w:rsidP="00266D1B">
            <w:pPr>
              <w:spacing w:after="0" w:line="240" w:lineRule="auto"/>
              <w:jc w:val="center"/>
              <w:rPr>
                <w:rFonts w:eastAsia="Times New Roman"/>
                <w:color w:val="000000"/>
                <w:sz w:val="15"/>
                <w:szCs w:val="15"/>
              </w:rPr>
            </w:pPr>
            <w:r w:rsidRPr="00127372">
              <w:rPr>
                <w:rFonts w:eastAsia="Times New Roman"/>
                <w:color w:val="000000"/>
                <w:sz w:val="15"/>
                <w:szCs w:val="15"/>
              </w:rPr>
              <w:t xml:space="preserve">$20,000.00 </w:t>
            </w:r>
          </w:p>
        </w:tc>
        <w:tc>
          <w:tcPr>
            <w:tcW w:w="458" w:type="pct"/>
            <w:tcBorders>
              <w:top w:val="nil"/>
              <w:left w:val="nil"/>
              <w:bottom w:val="single" w:sz="4" w:space="0" w:color="auto"/>
              <w:right w:val="single" w:sz="4" w:space="0" w:color="auto"/>
            </w:tcBorders>
            <w:shd w:val="clear" w:color="auto" w:fill="auto"/>
            <w:vAlign w:val="center"/>
            <w:hideMark/>
          </w:tcPr>
          <w:p w14:paraId="2CE8521C" w14:textId="77777777" w:rsidR="0069056F" w:rsidRPr="00127372" w:rsidRDefault="0069056F" w:rsidP="00266D1B">
            <w:pPr>
              <w:spacing w:after="0" w:line="240" w:lineRule="auto"/>
              <w:jc w:val="center"/>
              <w:rPr>
                <w:rFonts w:eastAsia="Times New Roman"/>
                <w:color w:val="000000"/>
                <w:sz w:val="15"/>
                <w:szCs w:val="15"/>
              </w:rPr>
            </w:pPr>
            <w:r w:rsidRPr="00127372">
              <w:rPr>
                <w:rFonts w:eastAsia="Times New Roman"/>
                <w:color w:val="000000"/>
                <w:sz w:val="15"/>
                <w:szCs w:val="15"/>
              </w:rPr>
              <w:t>BID</w:t>
            </w:r>
          </w:p>
        </w:tc>
      </w:tr>
      <w:tr w:rsidR="0069056F" w:rsidRPr="00127372" w14:paraId="1658576D" w14:textId="77777777" w:rsidTr="00266D1B">
        <w:trPr>
          <w:trHeight w:val="285"/>
        </w:trPr>
        <w:tc>
          <w:tcPr>
            <w:tcW w:w="1351" w:type="pct"/>
            <w:tcBorders>
              <w:top w:val="nil"/>
              <w:left w:val="single" w:sz="4" w:space="0" w:color="auto"/>
              <w:bottom w:val="single" w:sz="4" w:space="0" w:color="auto"/>
              <w:right w:val="single" w:sz="4" w:space="0" w:color="auto"/>
            </w:tcBorders>
            <w:shd w:val="clear" w:color="auto" w:fill="auto"/>
            <w:vAlign w:val="center"/>
            <w:hideMark/>
          </w:tcPr>
          <w:p w14:paraId="6CBCA57A" w14:textId="77777777" w:rsidR="0069056F" w:rsidRPr="007E07CA" w:rsidRDefault="0069056F" w:rsidP="00266D1B">
            <w:pPr>
              <w:spacing w:after="0" w:line="240" w:lineRule="auto"/>
              <w:rPr>
                <w:rFonts w:eastAsia="Times New Roman"/>
                <w:color w:val="000000"/>
                <w:sz w:val="15"/>
                <w:szCs w:val="15"/>
                <w:lang w:val="es-ES_tradnl"/>
              </w:rPr>
            </w:pPr>
            <w:r w:rsidRPr="007E07CA">
              <w:rPr>
                <w:rFonts w:eastAsia="Times New Roman"/>
                <w:color w:val="000000"/>
                <w:sz w:val="15"/>
                <w:szCs w:val="15"/>
                <w:lang w:val="es-ES_tradnl"/>
              </w:rPr>
              <w:t>Preparación del reporte de  Terminación del Programa (PCR)</w:t>
            </w:r>
          </w:p>
        </w:tc>
        <w:tc>
          <w:tcPr>
            <w:tcW w:w="150" w:type="pct"/>
            <w:tcBorders>
              <w:top w:val="nil"/>
              <w:left w:val="nil"/>
              <w:bottom w:val="single" w:sz="4" w:space="0" w:color="auto"/>
              <w:right w:val="single" w:sz="4" w:space="0" w:color="auto"/>
            </w:tcBorders>
            <w:shd w:val="clear" w:color="auto" w:fill="auto"/>
            <w:vAlign w:val="center"/>
            <w:hideMark/>
          </w:tcPr>
          <w:p w14:paraId="1C251C87" w14:textId="77777777" w:rsidR="0069056F" w:rsidRPr="007E07CA" w:rsidRDefault="0069056F" w:rsidP="00266D1B">
            <w:pPr>
              <w:spacing w:after="0" w:line="240" w:lineRule="auto"/>
              <w:jc w:val="center"/>
              <w:rPr>
                <w:rFonts w:eastAsia="Times New Roman"/>
                <w:color w:val="000000"/>
                <w:sz w:val="15"/>
                <w:szCs w:val="15"/>
                <w:lang w:val="es-ES_tradnl"/>
              </w:rPr>
            </w:pPr>
            <w:r w:rsidRPr="007E07CA">
              <w:rPr>
                <w:rFonts w:eastAsia="Times New Roman"/>
                <w:color w:val="000000"/>
                <w:sz w:val="15"/>
                <w:szCs w:val="15"/>
                <w:lang w:val="es-ES_tradnl"/>
              </w:rPr>
              <w:t> </w:t>
            </w:r>
          </w:p>
        </w:tc>
        <w:tc>
          <w:tcPr>
            <w:tcW w:w="150" w:type="pct"/>
            <w:tcBorders>
              <w:top w:val="nil"/>
              <w:left w:val="nil"/>
              <w:bottom w:val="single" w:sz="4" w:space="0" w:color="auto"/>
              <w:right w:val="single" w:sz="4" w:space="0" w:color="auto"/>
            </w:tcBorders>
            <w:shd w:val="clear" w:color="auto" w:fill="auto"/>
            <w:vAlign w:val="center"/>
            <w:hideMark/>
          </w:tcPr>
          <w:p w14:paraId="56C42D66" w14:textId="77777777" w:rsidR="0069056F" w:rsidRPr="007E07CA" w:rsidRDefault="0069056F" w:rsidP="00266D1B">
            <w:pPr>
              <w:spacing w:after="0" w:line="240" w:lineRule="auto"/>
              <w:jc w:val="center"/>
              <w:rPr>
                <w:rFonts w:eastAsia="Times New Roman"/>
                <w:color w:val="000000"/>
                <w:sz w:val="15"/>
                <w:szCs w:val="15"/>
                <w:lang w:val="es-ES_tradnl"/>
              </w:rPr>
            </w:pPr>
            <w:r w:rsidRPr="007E07CA">
              <w:rPr>
                <w:rFonts w:eastAsia="Times New Roman"/>
                <w:color w:val="000000"/>
                <w:sz w:val="15"/>
                <w:szCs w:val="15"/>
                <w:lang w:val="es-ES_tradnl"/>
              </w:rPr>
              <w:t> </w:t>
            </w:r>
          </w:p>
        </w:tc>
        <w:tc>
          <w:tcPr>
            <w:tcW w:w="150" w:type="pct"/>
            <w:tcBorders>
              <w:top w:val="nil"/>
              <w:left w:val="nil"/>
              <w:bottom w:val="single" w:sz="4" w:space="0" w:color="auto"/>
              <w:right w:val="single" w:sz="4" w:space="0" w:color="auto"/>
            </w:tcBorders>
            <w:shd w:val="clear" w:color="auto" w:fill="auto"/>
            <w:vAlign w:val="center"/>
            <w:hideMark/>
          </w:tcPr>
          <w:p w14:paraId="3F0E9166" w14:textId="77777777" w:rsidR="0069056F" w:rsidRPr="007E07CA" w:rsidRDefault="0069056F" w:rsidP="00266D1B">
            <w:pPr>
              <w:spacing w:after="0" w:line="240" w:lineRule="auto"/>
              <w:jc w:val="center"/>
              <w:rPr>
                <w:rFonts w:eastAsia="Times New Roman"/>
                <w:color w:val="000000"/>
                <w:sz w:val="15"/>
                <w:szCs w:val="15"/>
                <w:lang w:val="es-ES_tradnl"/>
              </w:rPr>
            </w:pPr>
            <w:r w:rsidRPr="007E07CA">
              <w:rPr>
                <w:rFonts w:eastAsia="Times New Roman"/>
                <w:color w:val="000000"/>
                <w:sz w:val="15"/>
                <w:szCs w:val="15"/>
                <w:lang w:val="es-ES_tradnl"/>
              </w:rPr>
              <w:t> </w:t>
            </w:r>
          </w:p>
        </w:tc>
        <w:tc>
          <w:tcPr>
            <w:tcW w:w="150" w:type="pct"/>
            <w:tcBorders>
              <w:top w:val="nil"/>
              <w:left w:val="nil"/>
              <w:bottom w:val="single" w:sz="4" w:space="0" w:color="auto"/>
              <w:right w:val="single" w:sz="4" w:space="0" w:color="auto"/>
            </w:tcBorders>
            <w:shd w:val="clear" w:color="auto" w:fill="auto"/>
            <w:vAlign w:val="center"/>
            <w:hideMark/>
          </w:tcPr>
          <w:p w14:paraId="2CECCCC0" w14:textId="77777777" w:rsidR="0069056F" w:rsidRPr="007E07CA" w:rsidRDefault="0069056F" w:rsidP="00266D1B">
            <w:pPr>
              <w:spacing w:after="0" w:line="240" w:lineRule="auto"/>
              <w:jc w:val="center"/>
              <w:rPr>
                <w:rFonts w:eastAsia="Times New Roman"/>
                <w:color w:val="000000"/>
                <w:sz w:val="15"/>
                <w:szCs w:val="15"/>
                <w:lang w:val="es-ES_tradnl"/>
              </w:rPr>
            </w:pPr>
            <w:r w:rsidRPr="007E07CA">
              <w:rPr>
                <w:rFonts w:eastAsia="Times New Roman"/>
                <w:color w:val="000000"/>
                <w:sz w:val="15"/>
                <w:szCs w:val="15"/>
                <w:lang w:val="es-ES_tradnl"/>
              </w:rPr>
              <w:t> </w:t>
            </w:r>
          </w:p>
        </w:tc>
        <w:tc>
          <w:tcPr>
            <w:tcW w:w="150" w:type="pct"/>
            <w:tcBorders>
              <w:top w:val="nil"/>
              <w:left w:val="nil"/>
              <w:bottom w:val="single" w:sz="4" w:space="0" w:color="auto"/>
              <w:right w:val="single" w:sz="4" w:space="0" w:color="auto"/>
            </w:tcBorders>
            <w:shd w:val="clear" w:color="auto" w:fill="auto"/>
            <w:vAlign w:val="center"/>
            <w:hideMark/>
          </w:tcPr>
          <w:p w14:paraId="13779B4C" w14:textId="77777777" w:rsidR="0069056F" w:rsidRPr="007E07CA" w:rsidRDefault="0069056F" w:rsidP="00266D1B">
            <w:pPr>
              <w:spacing w:after="0" w:line="240" w:lineRule="auto"/>
              <w:jc w:val="center"/>
              <w:rPr>
                <w:rFonts w:eastAsia="Times New Roman"/>
                <w:color w:val="000000"/>
                <w:sz w:val="15"/>
                <w:szCs w:val="15"/>
                <w:lang w:val="es-ES_tradnl"/>
              </w:rPr>
            </w:pPr>
            <w:r w:rsidRPr="007E07CA">
              <w:rPr>
                <w:rFonts w:eastAsia="Times New Roman"/>
                <w:color w:val="000000"/>
                <w:sz w:val="15"/>
                <w:szCs w:val="15"/>
                <w:lang w:val="es-ES_tradnl"/>
              </w:rPr>
              <w:t> </w:t>
            </w:r>
          </w:p>
        </w:tc>
        <w:tc>
          <w:tcPr>
            <w:tcW w:w="150" w:type="pct"/>
            <w:tcBorders>
              <w:top w:val="nil"/>
              <w:left w:val="nil"/>
              <w:bottom w:val="single" w:sz="4" w:space="0" w:color="auto"/>
              <w:right w:val="single" w:sz="4" w:space="0" w:color="auto"/>
            </w:tcBorders>
            <w:shd w:val="clear" w:color="auto" w:fill="auto"/>
            <w:vAlign w:val="center"/>
            <w:hideMark/>
          </w:tcPr>
          <w:p w14:paraId="6E8D7944" w14:textId="77777777" w:rsidR="0069056F" w:rsidRPr="007E07CA" w:rsidRDefault="0069056F" w:rsidP="00266D1B">
            <w:pPr>
              <w:spacing w:after="0" w:line="240" w:lineRule="auto"/>
              <w:jc w:val="center"/>
              <w:rPr>
                <w:rFonts w:eastAsia="Times New Roman"/>
                <w:color w:val="000000"/>
                <w:sz w:val="15"/>
                <w:szCs w:val="15"/>
                <w:lang w:val="es-ES_tradnl"/>
              </w:rPr>
            </w:pPr>
            <w:r w:rsidRPr="007E07CA">
              <w:rPr>
                <w:rFonts w:eastAsia="Times New Roman"/>
                <w:color w:val="000000"/>
                <w:sz w:val="15"/>
                <w:szCs w:val="15"/>
                <w:lang w:val="es-ES_tradnl"/>
              </w:rPr>
              <w:t> </w:t>
            </w:r>
          </w:p>
        </w:tc>
        <w:tc>
          <w:tcPr>
            <w:tcW w:w="150" w:type="pct"/>
            <w:tcBorders>
              <w:top w:val="nil"/>
              <w:left w:val="nil"/>
              <w:bottom w:val="single" w:sz="4" w:space="0" w:color="auto"/>
              <w:right w:val="single" w:sz="4" w:space="0" w:color="auto"/>
            </w:tcBorders>
            <w:shd w:val="clear" w:color="auto" w:fill="auto"/>
            <w:vAlign w:val="center"/>
            <w:hideMark/>
          </w:tcPr>
          <w:p w14:paraId="44720A8F" w14:textId="77777777" w:rsidR="0069056F" w:rsidRPr="007E07CA" w:rsidRDefault="0069056F" w:rsidP="00266D1B">
            <w:pPr>
              <w:spacing w:after="0" w:line="240" w:lineRule="auto"/>
              <w:jc w:val="center"/>
              <w:rPr>
                <w:rFonts w:eastAsia="Times New Roman"/>
                <w:color w:val="000000"/>
                <w:sz w:val="15"/>
                <w:szCs w:val="15"/>
                <w:lang w:val="es-ES_tradnl"/>
              </w:rPr>
            </w:pPr>
            <w:r w:rsidRPr="007E07CA">
              <w:rPr>
                <w:rFonts w:eastAsia="Times New Roman"/>
                <w:color w:val="000000"/>
                <w:sz w:val="15"/>
                <w:szCs w:val="15"/>
                <w:lang w:val="es-ES_tradnl"/>
              </w:rPr>
              <w:t> </w:t>
            </w:r>
          </w:p>
        </w:tc>
        <w:tc>
          <w:tcPr>
            <w:tcW w:w="150" w:type="pct"/>
            <w:tcBorders>
              <w:top w:val="nil"/>
              <w:left w:val="nil"/>
              <w:bottom w:val="single" w:sz="4" w:space="0" w:color="auto"/>
              <w:right w:val="single" w:sz="4" w:space="0" w:color="auto"/>
            </w:tcBorders>
            <w:shd w:val="clear" w:color="auto" w:fill="auto"/>
            <w:vAlign w:val="center"/>
            <w:hideMark/>
          </w:tcPr>
          <w:p w14:paraId="660BD628" w14:textId="77777777" w:rsidR="0069056F" w:rsidRPr="007E07CA" w:rsidRDefault="0069056F" w:rsidP="00266D1B">
            <w:pPr>
              <w:spacing w:after="0" w:line="240" w:lineRule="auto"/>
              <w:jc w:val="center"/>
              <w:rPr>
                <w:rFonts w:eastAsia="Times New Roman"/>
                <w:color w:val="000000"/>
                <w:sz w:val="15"/>
                <w:szCs w:val="15"/>
                <w:lang w:val="es-ES_tradnl"/>
              </w:rPr>
            </w:pPr>
            <w:r w:rsidRPr="007E07CA">
              <w:rPr>
                <w:rFonts w:eastAsia="Times New Roman"/>
                <w:color w:val="000000"/>
                <w:sz w:val="15"/>
                <w:szCs w:val="15"/>
                <w:lang w:val="es-ES_tradnl"/>
              </w:rPr>
              <w:t> </w:t>
            </w:r>
          </w:p>
        </w:tc>
        <w:tc>
          <w:tcPr>
            <w:tcW w:w="150" w:type="pct"/>
            <w:tcBorders>
              <w:top w:val="nil"/>
              <w:left w:val="nil"/>
              <w:bottom w:val="single" w:sz="4" w:space="0" w:color="auto"/>
              <w:right w:val="single" w:sz="4" w:space="0" w:color="auto"/>
            </w:tcBorders>
            <w:shd w:val="clear" w:color="auto" w:fill="auto"/>
            <w:vAlign w:val="center"/>
            <w:hideMark/>
          </w:tcPr>
          <w:p w14:paraId="6F239DEF" w14:textId="77777777" w:rsidR="0069056F" w:rsidRPr="007E07CA" w:rsidRDefault="0069056F" w:rsidP="00266D1B">
            <w:pPr>
              <w:spacing w:after="0" w:line="240" w:lineRule="auto"/>
              <w:jc w:val="center"/>
              <w:rPr>
                <w:rFonts w:eastAsia="Times New Roman"/>
                <w:color w:val="000000"/>
                <w:sz w:val="15"/>
                <w:szCs w:val="15"/>
                <w:lang w:val="es-ES_tradnl"/>
              </w:rPr>
            </w:pPr>
            <w:r w:rsidRPr="007E07CA">
              <w:rPr>
                <w:rFonts w:eastAsia="Times New Roman"/>
                <w:color w:val="000000"/>
                <w:sz w:val="15"/>
                <w:szCs w:val="15"/>
                <w:lang w:val="es-ES_tradnl"/>
              </w:rPr>
              <w:t> </w:t>
            </w:r>
          </w:p>
        </w:tc>
        <w:tc>
          <w:tcPr>
            <w:tcW w:w="150" w:type="pct"/>
            <w:tcBorders>
              <w:top w:val="nil"/>
              <w:left w:val="nil"/>
              <w:bottom w:val="single" w:sz="4" w:space="0" w:color="auto"/>
              <w:right w:val="single" w:sz="4" w:space="0" w:color="auto"/>
            </w:tcBorders>
            <w:shd w:val="clear" w:color="000000" w:fill="92D050"/>
            <w:vAlign w:val="center"/>
            <w:hideMark/>
          </w:tcPr>
          <w:p w14:paraId="446EDF1F" w14:textId="77777777" w:rsidR="0069056F" w:rsidRPr="007E07CA" w:rsidRDefault="0069056F" w:rsidP="00266D1B">
            <w:pPr>
              <w:spacing w:after="0" w:line="240" w:lineRule="auto"/>
              <w:jc w:val="center"/>
              <w:rPr>
                <w:rFonts w:eastAsia="Times New Roman"/>
                <w:color w:val="000000"/>
                <w:sz w:val="15"/>
                <w:szCs w:val="15"/>
                <w:lang w:val="es-ES_tradnl"/>
              </w:rPr>
            </w:pPr>
            <w:r w:rsidRPr="007E07CA">
              <w:rPr>
                <w:rFonts w:eastAsia="Times New Roman"/>
                <w:color w:val="000000"/>
                <w:sz w:val="15"/>
                <w:szCs w:val="15"/>
                <w:lang w:val="es-ES_tradnl"/>
              </w:rPr>
              <w:t> </w:t>
            </w:r>
          </w:p>
        </w:tc>
        <w:tc>
          <w:tcPr>
            <w:tcW w:w="150" w:type="pct"/>
            <w:tcBorders>
              <w:top w:val="nil"/>
              <w:left w:val="nil"/>
              <w:bottom w:val="single" w:sz="4" w:space="0" w:color="auto"/>
              <w:right w:val="single" w:sz="4" w:space="0" w:color="auto"/>
            </w:tcBorders>
            <w:shd w:val="clear" w:color="auto" w:fill="auto"/>
            <w:vAlign w:val="center"/>
            <w:hideMark/>
          </w:tcPr>
          <w:p w14:paraId="6C72877E" w14:textId="77777777" w:rsidR="0069056F" w:rsidRPr="007E07CA" w:rsidRDefault="0069056F" w:rsidP="00266D1B">
            <w:pPr>
              <w:spacing w:after="0" w:line="240" w:lineRule="auto"/>
              <w:jc w:val="center"/>
              <w:rPr>
                <w:rFonts w:eastAsia="Times New Roman"/>
                <w:color w:val="000000"/>
                <w:sz w:val="15"/>
                <w:szCs w:val="15"/>
                <w:lang w:val="es-ES_tradnl"/>
              </w:rPr>
            </w:pPr>
            <w:r w:rsidRPr="007E07CA">
              <w:rPr>
                <w:rFonts w:eastAsia="Times New Roman"/>
                <w:color w:val="000000"/>
                <w:sz w:val="15"/>
                <w:szCs w:val="15"/>
                <w:lang w:val="es-ES_tradnl"/>
              </w:rPr>
              <w:t> </w:t>
            </w:r>
          </w:p>
        </w:tc>
        <w:tc>
          <w:tcPr>
            <w:tcW w:w="150" w:type="pct"/>
            <w:tcBorders>
              <w:top w:val="nil"/>
              <w:left w:val="nil"/>
              <w:bottom w:val="single" w:sz="4" w:space="0" w:color="auto"/>
              <w:right w:val="single" w:sz="4" w:space="0" w:color="auto"/>
            </w:tcBorders>
            <w:shd w:val="clear" w:color="auto" w:fill="auto"/>
            <w:vAlign w:val="center"/>
            <w:hideMark/>
          </w:tcPr>
          <w:p w14:paraId="00C4E7CF" w14:textId="77777777" w:rsidR="0069056F" w:rsidRPr="007E07CA" w:rsidRDefault="0069056F" w:rsidP="00266D1B">
            <w:pPr>
              <w:spacing w:after="0" w:line="240" w:lineRule="auto"/>
              <w:jc w:val="center"/>
              <w:rPr>
                <w:rFonts w:eastAsia="Times New Roman"/>
                <w:color w:val="000000"/>
                <w:sz w:val="15"/>
                <w:szCs w:val="15"/>
                <w:lang w:val="es-ES_tradnl"/>
              </w:rPr>
            </w:pPr>
            <w:r w:rsidRPr="007E07CA">
              <w:rPr>
                <w:rFonts w:eastAsia="Times New Roman"/>
                <w:color w:val="000000"/>
                <w:sz w:val="15"/>
                <w:szCs w:val="15"/>
                <w:lang w:val="es-ES_tradnl"/>
              </w:rPr>
              <w:t> </w:t>
            </w:r>
          </w:p>
        </w:tc>
        <w:tc>
          <w:tcPr>
            <w:tcW w:w="150" w:type="pct"/>
            <w:tcBorders>
              <w:top w:val="nil"/>
              <w:left w:val="nil"/>
              <w:bottom w:val="single" w:sz="4" w:space="0" w:color="auto"/>
              <w:right w:val="single" w:sz="4" w:space="0" w:color="auto"/>
            </w:tcBorders>
            <w:shd w:val="clear" w:color="auto" w:fill="auto"/>
            <w:vAlign w:val="center"/>
            <w:hideMark/>
          </w:tcPr>
          <w:p w14:paraId="1CFDAD6B" w14:textId="77777777" w:rsidR="0069056F" w:rsidRPr="007E07CA" w:rsidRDefault="0069056F" w:rsidP="00266D1B">
            <w:pPr>
              <w:spacing w:after="0" w:line="240" w:lineRule="auto"/>
              <w:jc w:val="center"/>
              <w:rPr>
                <w:rFonts w:eastAsia="Times New Roman"/>
                <w:color w:val="000000"/>
                <w:sz w:val="15"/>
                <w:szCs w:val="15"/>
                <w:lang w:val="es-ES_tradnl"/>
              </w:rPr>
            </w:pPr>
            <w:r w:rsidRPr="007E07CA">
              <w:rPr>
                <w:rFonts w:eastAsia="Times New Roman"/>
                <w:color w:val="000000"/>
                <w:sz w:val="15"/>
                <w:szCs w:val="15"/>
                <w:lang w:val="es-ES_tradnl"/>
              </w:rPr>
              <w:t> </w:t>
            </w:r>
          </w:p>
        </w:tc>
        <w:tc>
          <w:tcPr>
            <w:tcW w:w="150" w:type="pct"/>
            <w:tcBorders>
              <w:top w:val="nil"/>
              <w:left w:val="nil"/>
              <w:bottom w:val="single" w:sz="4" w:space="0" w:color="auto"/>
              <w:right w:val="single" w:sz="4" w:space="0" w:color="auto"/>
            </w:tcBorders>
            <w:shd w:val="clear" w:color="auto" w:fill="auto"/>
            <w:vAlign w:val="center"/>
            <w:hideMark/>
          </w:tcPr>
          <w:p w14:paraId="4AF2A4B5" w14:textId="77777777" w:rsidR="0069056F" w:rsidRPr="007E07CA" w:rsidRDefault="0069056F" w:rsidP="00266D1B">
            <w:pPr>
              <w:spacing w:after="0" w:line="240" w:lineRule="auto"/>
              <w:jc w:val="center"/>
              <w:rPr>
                <w:rFonts w:eastAsia="Times New Roman"/>
                <w:color w:val="000000"/>
                <w:sz w:val="15"/>
                <w:szCs w:val="15"/>
                <w:lang w:val="es-ES_tradnl"/>
              </w:rPr>
            </w:pPr>
            <w:r w:rsidRPr="007E07CA">
              <w:rPr>
                <w:rFonts w:eastAsia="Times New Roman"/>
                <w:color w:val="000000"/>
                <w:sz w:val="15"/>
                <w:szCs w:val="15"/>
                <w:lang w:val="es-ES_tradnl"/>
              </w:rPr>
              <w:t> </w:t>
            </w:r>
          </w:p>
        </w:tc>
        <w:tc>
          <w:tcPr>
            <w:tcW w:w="150" w:type="pct"/>
            <w:tcBorders>
              <w:top w:val="nil"/>
              <w:left w:val="nil"/>
              <w:bottom w:val="single" w:sz="4" w:space="0" w:color="auto"/>
              <w:right w:val="single" w:sz="4" w:space="0" w:color="auto"/>
            </w:tcBorders>
            <w:shd w:val="clear" w:color="auto" w:fill="auto"/>
            <w:vAlign w:val="center"/>
            <w:hideMark/>
          </w:tcPr>
          <w:p w14:paraId="59A599FE" w14:textId="77777777" w:rsidR="0069056F" w:rsidRPr="007E07CA" w:rsidRDefault="0069056F" w:rsidP="00266D1B">
            <w:pPr>
              <w:spacing w:after="0" w:line="240" w:lineRule="auto"/>
              <w:jc w:val="center"/>
              <w:rPr>
                <w:rFonts w:eastAsia="Times New Roman"/>
                <w:color w:val="000000"/>
                <w:sz w:val="15"/>
                <w:szCs w:val="15"/>
                <w:lang w:val="es-ES_tradnl"/>
              </w:rPr>
            </w:pPr>
            <w:r w:rsidRPr="007E07CA">
              <w:rPr>
                <w:rFonts w:eastAsia="Times New Roman"/>
                <w:color w:val="000000"/>
                <w:sz w:val="15"/>
                <w:szCs w:val="15"/>
                <w:lang w:val="es-ES_tradnl"/>
              </w:rPr>
              <w:t> </w:t>
            </w:r>
          </w:p>
        </w:tc>
        <w:tc>
          <w:tcPr>
            <w:tcW w:w="150" w:type="pct"/>
            <w:tcBorders>
              <w:top w:val="nil"/>
              <w:left w:val="nil"/>
              <w:bottom w:val="single" w:sz="4" w:space="0" w:color="auto"/>
              <w:right w:val="single" w:sz="4" w:space="0" w:color="auto"/>
            </w:tcBorders>
            <w:shd w:val="clear" w:color="auto" w:fill="auto"/>
            <w:vAlign w:val="center"/>
            <w:hideMark/>
          </w:tcPr>
          <w:p w14:paraId="41118C86" w14:textId="77777777" w:rsidR="0069056F" w:rsidRPr="007E07CA" w:rsidRDefault="0069056F" w:rsidP="00266D1B">
            <w:pPr>
              <w:spacing w:after="0" w:line="240" w:lineRule="auto"/>
              <w:jc w:val="center"/>
              <w:rPr>
                <w:rFonts w:eastAsia="Times New Roman"/>
                <w:color w:val="000000"/>
                <w:sz w:val="15"/>
                <w:szCs w:val="15"/>
                <w:lang w:val="es-ES_tradnl"/>
              </w:rPr>
            </w:pPr>
            <w:r w:rsidRPr="007E07CA">
              <w:rPr>
                <w:rFonts w:eastAsia="Times New Roman"/>
                <w:color w:val="000000"/>
                <w:sz w:val="15"/>
                <w:szCs w:val="15"/>
                <w:lang w:val="es-ES_tradnl"/>
              </w:rPr>
              <w:t> </w:t>
            </w:r>
          </w:p>
        </w:tc>
        <w:tc>
          <w:tcPr>
            <w:tcW w:w="439" w:type="pct"/>
            <w:tcBorders>
              <w:top w:val="nil"/>
              <w:left w:val="nil"/>
              <w:bottom w:val="single" w:sz="4" w:space="0" w:color="auto"/>
              <w:right w:val="single" w:sz="4" w:space="0" w:color="auto"/>
            </w:tcBorders>
            <w:shd w:val="clear" w:color="auto" w:fill="auto"/>
            <w:vAlign w:val="center"/>
            <w:hideMark/>
          </w:tcPr>
          <w:p w14:paraId="5948D60E" w14:textId="77777777" w:rsidR="0069056F" w:rsidRPr="00127372" w:rsidRDefault="0069056F" w:rsidP="00266D1B">
            <w:pPr>
              <w:spacing w:after="0" w:line="240" w:lineRule="auto"/>
              <w:jc w:val="center"/>
              <w:rPr>
                <w:rFonts w:eastAsia="Times New Roman"/>
                <w:color w:val="000000"/>
                <w:sz w:val="15"/>
                <w:szCs w:val="15"/>
              </w:rPr>
            </w:pPr>
            <w:r w:rsidRPr="00127372">
              <w:rPr>
                <w:rFonts w:eastAsia="Times New Roman"/>
                <w:color w:val="000000"/>
                <w:sz w:val="15"/>
                <w:szCs w:val="15"/>
              </w:rPr>
              <w:t>BID</w:t>
            </w:r>
          </w:p>
        </w:tc>
        <w:tc>
          <w:tcPr>
            <w:tcW w:w="356" w:type="pct"/>
            <w:tcBorders>
              <w:top w:val="nil"/>
              <w:left w:val="nil"/>
              <w:bottom w:val="single" w:sz="4" w:space="0" w:color="auto"/>
              <w:right w:val="single" w:sz="4" w:space="0" w:color="auto"/>
            </w:tcBorders>
            <w:shd w:val="clear" w:color="auto" w:fill="auto"/>
            <w:vAlign w:val="center"/>
            <w:hideMark/>
          </w:tcPr>
          <w:p w14:paraId="5A48CE12" w14:textId="77777777" w:rsidR="0069056F" w:rsidRPr="00127372" w:rsidRDefault="0069056F" w:rsidP="00266D1B">
            <w:pPr>
              <w:spacing w:after="0" w:line="240" w:lineRule="auto"/>
              <w:jc w:val="center"/>
              <w:rPr>
                <w:rFonts w:eastAsia="Times New Roman"/>
                <w:color w:val="000000"/>
                <w:sz w:val="15"/>
                <w:szCs w:val="15"/>
              </w:rPr>
            </w:pPr>
            <w:r w:rsidRPr="00127372">
              <w:rPr>
                <w:rFonts w:eastAsia="Times New Roman"/>
                <w:color w:val="000000"/>
                <w:sz w:val="15"/>
                <w:szCs w:val="15"/>
              </w:rPr>
              <w:t xml:space="preserve">$25,000.00 </w:t>
            </w:r>
          </w:p>
        </w:tc>
        <w:tc>
          <w:tcPr>
            <w:tcW w:w="458" w:type="pct"/>
            <w:tcBorders>
              <w:top w:val="nil"/>
              <w:left w:val="nil"/>
              <w:bottom w:val="single" w:sz="4" w:space="0" w:color="auto"/>
              <w:right w:val="single" w:sz="4" w:space="0" w:color="auto"/>
            </w:tcBorders>
            <w:shd w:val="clear" w:color="auto" w:fill="auto"/>
            <w:vAlign w:val="center"/>
            <w:hideMark/>
          </w:tcPr>
          <w:p w14:paraId="36167376" w14:textId="77777777" w:rsidR="0069056F" w:rsidRPr="00127372" w:rsidRDefault="0069056F" w:rsidP="00266D1B">
            <w:pPr>
              <w:spacing w:after="0" w:line="240" w:lineRule="auto"/>
              <w:jc w:val="center"/>
              <w:rPr>
                <w:rFonts w:eastAsia="Times New Roman"/>
                <w:color w:val="000000"/>
                <w:sz w:val="15"/>
                <w:szCs w:val="15"/>
              </w:rPr>
            </w:pPr>
            <w:r w:rsidRPr="00127372">
              <w:rPr>
                <w:rFonts w:eastAsia="Times New Roman"/>
                <w:color w:val="000000"/>
                <w:sz w:val="15"/>
                <w:szCs w:val="15"/>
              </w:rPr>
              <w:t>BID</w:t>
            </w:r>
          </w:p>
        </w:tc>
      </w:tr>
      <w:tr w:rsidR="0069056F" w:rsidRPr="00127372" w14:paraId="4C0DAF64" w14:textId="77777777" w:rsidTr="00266D1B">
        <w:trPr>
          <w:trHeight w:val="285"/>
        </w:trPr>
        <w:tc>
          <w:tcPr>
            <w:tcW w:w="1351" w:type="pct"/>
            <w:tcBorders>
              <w:top w:val="nil"/>
              <w:left w:val="single" w:sz="4" w:space="0" w:color="auto"/>
              <w:bottom w:val="single" w:sz="4" w:space="0" w:color="auto"/>
              <w:right w:val="single" w:sz="4" w:space="0" w:color="auto"/>
            </w:tcBorders>
            <w:shd w:val="clear" w:color="auto" w:fill="auto"/>
            <w:vAlign w:val="center"/>
            <w:hideMark/>
          </w:tcPr>
          <w:p w14:paraId="561EB71B" w14:textId="77777777" w:rsidR="0069056F" w:rsidRPr="00127372" w:rsidRDefault="0069056F" w:rsidP="00266D1B">
            <w:pPr>
              <w:spacing w:after="0" w:line="240" w:lineRule="auto"/>
              <w:rPr>
                <w:rFonts w:eastAsia="Times New Roman"/>
                <w:color w:val="000000"/>
                <w:sz w:val="15"/>
                <w:szCs w:val="15"/>
              </w:rPr>
            </w:pPr>
            <w:r w:rsidRPr="007E07CA">
              <w:rPr>
                <w:rFonts w:eastAsia="Times New Roman"/>
                <w:color w:val="000000"/>
                <w:sz w:val="15"/>
                <w:szCs w:val="15"/>
                <w:lang w:val="es-AR" w:bidi="ar-BH"/>
              </w:rPr>
              <w:t>Aprobación</w:t>
            </w:r>
            <w:r w:rsidRPr="00127372">
              <w:rPr>
                <w:rFonts w:eastAsia="Times New Roman"/>
                <w:color w:val="000000"/>
                <w:sz w:val="15"/>
                <w:szCs w:val="15"/>
              </w:rPr>
              <w:t xml:space="preserve"> del PCR</w:t>
            </w:r>
          </w:p>
        </w:tc>
        <w:tc>
          <w:tcPr>
            <w:tcW w:w="150" w:type="pct"/>
            <w:tcBorders>
              <w:top w:val="nil"/>
              <w:left w:val="nil"/>
              <w:bottom w:val="single" w:sz="4" w:space="0" w:color="auto"/>
              <w:right w:val="single" w:sz="4" w:space="0" w:color="auto"/>
            </w:tcBorders>
            <w:shd w:val="clear" w:color="auto" w:fill="auto"/>
            <w:vAlign w:val="center"/>
            <w:hideMark/>
          </w:tcPr>
          <w:p w14:paraId="73635DB9" w14:textId="77777777" w:rsidR="0069056F" w:rsidRPr="00127372" w:rsidRDefault="0069056F" w:rsidP="00266D1B">
            <w:pPr>
              <w:spacing w:after="0" w:line="240" w:lineRule="auto"/>
              <w:jc w:val="center"/>
              <w:rPr>
                <w:rFonts w:eastAsia="Times New Roman"/>
                <w:color w:val="000000"/>
                <w:sz w:val="15"/>
                <w:szCs w:val="15"/>
              </w:rPr>
            </w:pPr>
            <w:r w:rsidRPr="00127372">
              <w:rPr>
                <w:rFonts w:eastAsia="Times New Roman"/>
                <w:color w:val="000000"/>
                <w:sz w:val="15"/>
                <w:szCs w:val="15"/>
              </w:rPr>
              <w:t> </w:t>
            </w:r>
          </w:p>
        </w:tc>
        <w:tc>
          <w:tcPr>
            <w:tcW w:w="150" w:type="pct"/>
            <w:tcBorders>
              <w:top w:val="nil"/>
              <w:left w:val="nil"/>
              <w:bottom w:val="single" w:sz="4" w:space="0" w:color="auto"/>
              <w:right w:val="single" w:sz="4" w:space="0" w:color="auto"/>
            </w:tcBorders>
            <w:shd w:val="clear" w:color="auto" w:fill="auto"/>
            <w:vAlign w:val="center"/>
            <w:hideMark/>
          </w:tcPr>
          <w:p w14:paraId="460F7705" w14:textId="77777777" w:rsidR="0069056F" w:rsidRPr="00127372" w:rsidRDefault="0069056F" w:rsidP="00266D1B">
            <w:pPr>
              <w:spacing w:after="0" w:line="240" w:lineRule="auto"/>
              <w:jc w:val="center"/>
              <w:rPr>
                <w:rFonts w:eastAsia="Times New Roman"/>
                <w:color w:val="000000"/>
                <w:sz w:val="15"/>
                <w:szCs w:val="15"/>
              </w:rPr>
            </w:pPr>
            <w:r w:rsidRPr="00127372">
              <w:rPr>
                <w:rFonts w:eastAsia="Times New Roman"/>
                <w:color w:val="000000"/>
                <w:sz w:val="15"/>
                <w:szCs w:val="15"/>
              </w:rPr>
              <w:t> </w:t>
            </w:r>
          </w:p>
        </w:tc>
        <w:tc>
          <w:tcPr>
            <w:tcW w:w="150" w:type="pct"/>
            <w:tcBorders>
              <w:top w:val="nil"/>
              <w:left w:val="nil"/>
              <w:bottom w:val="single" w:sz="4" w:space="0" w:color="auto"/>
              <w:right w:val="single" w:sz="4" w:space="0" w:color="auto"/>
            </w:tcBorders>
            <w:shd w:val="clear" w:color="auto" w:fill="auto"/>
            <w:vAlign w:val="center"/>
            <w:hideMark/>
          </w:tcPr>
          <w:p w14:paraId="5A55DB8C" w14:textId="77777777" w:rsidR="0069056F" w:rsidRPr="00127372" w:rsidRDefault="0069056F" w:rsidP="00266D1B">
            <w:pPr>
              <w:spacing w:after="0" w:line="240" w:lineRule="auto"/>
              <w:jc w:val="center"/>
              <w:rPr>
                <w:rFonts w:eastAsia="Times New Roman"/>
                <w:color w:val="000000"/>
                <w:sz w:val="15"/>
                <w:szCs w:val="15"/>
              </w:rPr>
            </w:pPr>
            <w:r w:rsidRPr="00127372">
              <w:rPr>
                <w:rFonts w:eastAsia="Times New Roman"/>
                <w:color w:val="000000"/>
                <w:sz w:val="15"/>
                <w:szCs w:val="15"/>
              </w:rPr>
              <w:t> </w:t>
            </w:r>
          </w:p>
        </w:tc>
        <w:tc>
          <w:tcPr>
            <w:tcW w:w="150" w:type="pct"/>
            <w:tcBorders>
              <w:top w:val="nil"/>
              <w:left w:val="nil"/>
              <w:bottom w:val="single" w:sz="4" w:space="0" w:color="auto"/>
              <w:right w:val="single" w:sz="4" w:space="0" w:color="auto"/>
            </w:tcBorders>
            <w:shd w:val="clear" w:color="auto" w:fill="auto"/>
            <w:vAlign w:val="center"/>
            <w:hideMark/>
          </w:tcPr>
          <w:p w14:paraId="2AD476CF" w14:textId="77777777" w:rsidR="0069056F" w:rsidRPr="00127372" w:rsidRDefault="0069056F" w:rsidP="00266D1B">
            <w:pPr>
              <w:spacing w:after="0" w:line="240" w:lineRule="auto"/>
              <w:jc w:val="center"/>
              <w:rPr>
                <w:rFonts w:eastAsia="Times New Roman"/>
                <w:color w:val="000000"/>
                <w:sz w:val="15"/>
                <w:szCs w:val="15"/>
              </w:rPr>
            </w:pPr>
            <w:r w:rsidRPr="00127372">
              <w:rPr>
                <w:rFonts w:eastAsia="Times New Roman"/>
                <w:color w:val="000000"/>
                <w:sz w:val="15"/>
                <w:szCs w:val="15"/>
              </w:rPr>
              <w:t> </w:t>
            </w:r>
          </w:p>
        </w:tc>
        <w:tc>
          <w:tcPr>
            <w:tcW w:w="150" w:type="pct"/>
            <w:tcBorders>
              <w:top w:val="nil"/>
              <w:left w:val="nil"/>
              <w:bottom w:val="single" w:sz="4" w:space="0" w:color="auto"/>
              <w:right w:val="single" w:sz="4" w:space="0" w:color="auto"/>
            </w:tcBorders>
            <w:shd w:val="clear" w:color="auto" w:fill="auto"/>
            <w:vAlign w:val="center"/>
            <w:hideMark/>
          </w:tcPr>
          <w:p w14:paraId="33DE9AB9" w14:textId="77777777" w:rsidR="0069056F" w:rsidRPr="00127372" w:rsidRDefault="0069056F" w:rsidP="00266D1B">
            <w:pPr>
              <w:spacing w:after="0" w:line="240" w:lineRule="auto"/>
              <w:jc w:val="center"/>
              <w:rPr>
                <w:rFonts w:eastAsia="Times New Roman"/>
                <w:color w:val="000000"/>
                <w:sz w:val="15"/>
                <w:szCs w:val="15"/>
              </w:rPr>
            </w:pPr>
            <w:r w:rsidRPr="00127372">
              <w:rPr>
                <w:rFonts w:eastAsia="Times New Roman"/>
                <w:color w:val="000000"/>
                <w:sz w:val="15"/>
                <w:szCs w:val="15"/>
              </w:rPr>
              <w:t> </w:t>
            </w:r>
          </w:p>
        </w:tc>
        <w:tc>
          <w:tcPr>
            <w:tcW w:w="150" w:type="pct"/>
            <w:tcBorders>
              <w:top w:val="nil"/>
              <w:left w:val="nil"/>
              <w:bottom w:val="single" w:sz="4" w:space="0" w:color="auto"/>
              <w:right w:val="single" w:sz="4" w:space="0" w:color="auto"/>
            </w:tcBorders>
            <w:shd w:val="clear" w:color="auto" w:fill="auto"/>
            <w:vAlign w:val="center"/>
            <w:hideMark/>
          </w:tcPr>
          <w:p w14:paraId="7DE27588" w14:textId="77777777" w:rsidR="0069056F" w:rsidRPr="00127372" w:rsidRDefault="0069056F" w:rsidP="00266D1B">
            <w:pPr>
              <w:spacing w:after="0" w:line="240" w:lineRule="auto"/>
              <w:jc w:val="center"/>
              <w:rPr>
                <w:rFonts w:eastAsia="Times New Roman"/>
                <w:color w:val="000000"/>
                <w:sz w:val="15"/>
                <w:szCs w:val="15"/>
              </w:rPr>
            </w:pPr>
            <w:r w:rsidRPr="00127372">
              <w:rPr>
                <w:rFonts w:eastAsia="Times New Roman"/>
                <w:color w:val="000000"/>
                <w:sz w:val="15"/>
                <w:szCs w:val="15"/>
              </w:rPr>
              <w:t> </w:t>
            </w:r>
          </w:p>
        </w:tc>
        <w:tc>
          <w:tcPr>
            <w:tcW w:w="150" w:type="pct"/>
            <w:tcBorders>
              <w:top w:val="nil"/>
              <w:left w:val="nil"/>
              <w:bottom w:val="single" w:sz="4" w:space="0" w:color="auto"/>
              <w:right w:val="single" w:sz="4" w:space="0" w:color="auto"/>
            </w:tcBorders>
            <w:shd w:val="clear" w:color="auto" w:fill="auto"/>
            <w:vAlign w:val="center"/>
            <w:hideMark/>
          </w:tcPr>
          <w:p w14:paraId="73C3E9CD" w14:textId="77777777" w:rsidR="0069056F" w:rsidRPr="00127372" w:rsidRDefault="0069056F" w:rsidP="00266D1B">
            <w:pPr>
              <w:spacing w:after="0" w:line="240" w:lineRule="auto"/>
              <w:jc w:val="center"/>
              <w:rPr>
                <w:rFonts w:eastAsia="Times New Roman"/>
                <w:color w:val="000000"/>
                <w:sz w:val="15"/>
                <w:szCs w:val="15"/>
              </w:rPr>
            </w:pPr>
            <w:r w:rsidRPr="00127372">
              <w:rPr>
                <w:rFonts w:eastAsia="Times New Roman"/>
                <w:color w:val="000000"/>
                <w:sz w:val="15"/>
                <w:szCs w:val="15"/>
              </w:rPr>
              <w:t> </w:t>
            </w:r>
          </w:p>
        </w:tc>
        <w:tc>
          <w:tcPr>
            <w:tcW w:w="150" w:type="pct"/>
            <w:tcBorders>
              <w:top w:val="nil"/>
              <w:left w:val="nil"/>
              <w:bottom w:val="single" w:sz="4" w:space="0" w:color="auto"/>
              <w:right w:val="single" w:sz="4" w:space="0" w:color="auto"/>
            </w:tcBorders>
            <w:shd w:val="clear" w:color="auto" w:fill="auto"/>
            <w:vAlign w:val="center"/>
            <w:hideMark/>
          </w:tcPr>
          <w:p w14:paraId="3DED4001" w14:textId="77777777" w:rsidR="0069056F" w:rsidRPr="00127372" w:rsidRDefault="0069056F" w:rsidP="00266D1B">
            <w:pPr>
              <w:spacing w:after="0" w:line="240" w:lineRule="auto"/>
              <w:jc w:val="center"/>
              <w:rPr>
                <w:rFonts w:eastAsia="Times New Roman"/>
                <w:color w:val="000000"/>
                <w:sz w:val="15"/>
                <w:szCs w:val="15"/>
              </w:rPr>
            </w:pPr>
            <w:r w:rsidRPr="00127372">
              <w:rPr>
                <w:rFonts w:eastAsia="Times New Roman"/>
                <w:color w:val="000000"/>
                <w:sz w:val="15"/>
                <w:szCs w:val="15"/>
              </w:rPr>
              <w:t> </w:t>
            </w:r>
          </w:p>
        </w:tc>
        <w:tc>
          <w:tcPr>
            <w:tcW w:w="150" w:type="pct"/>
            <w:tcBorders>
              <w:top w:val="nil"/>
              <w:left w:val="nil"/>
              <w:bottom w:val="single" w:sz="4" w:space="0" w:color="auto"/>
              <w:right w:val="single" w:sz="4" w:space="0" w:color="auto"/>
            </w:tcBorders>
            <w:shd w:val="clear" w:color="auto" w:fill="auto"/>
            <w:vAlign w:val="center"/>
            <w:hideMark/>
          </w:tcPr>
          <w:p w14:paraId="51BD3ACF" w14:textId="77777777" w:rsidR="0069056F" w:rsidRPr="00127372" w:rsidRDefault="0069056F" w:rsidP="00266D1B">
            <w:pPr>
              <w:spacing w:after="0" w:line="240" w:lineRule="auto"/>
              <w:jc w:val="center"/>
              <w:rPr>
                <w:rFonts w:eastAsia="Times New Roman"/>
                <w:color w:val="000000"/>
                <w:sz w:val="15"/>
                <w:szCs w:val="15"/>
              </w:rPr>
            </w:pPr>
            <w:r w:rsidRPr="00127372">
              <w:rPr>
                <w:rFonts w:eastAsia="Times New Roman"/>
                <w:color w:val="000000"/>
                <w:sz w:val="15"/>
                <w:szCs w:val="15"/>
              </w:rPr>
              <w:t> </w:t>
            </w:r>
          </w:p>
        </w:tc>
        <w:tc>
          <w:tcPr>
            <w:tcW w:w="150" w:type="pct"/>
            <w:tcBorders>
              <w:top w:val="nil"/>
              <w:left w:val="nil"/>
              <w:bottom w:val="single" w:sz="4" w:space="0" w:color="auto"/>
              <w:right w:val="single" w:sz="4" w:space="0" w:color="auto"/>
            </w:tcBorders>
            <w:shd w:val="clear" w:color="auto" w:fill="auto"/>
            <w:vAlign w:val="center"/>
            <w:hideMark/>
          </w:tcPr>
          <w:p w14:paraId="6385E5DF" w14:textId="77777777" w:rsidR="0069056F" w:rsidRPr="00127372" w:rsidRDefault="0069056F" w:rsidP="00266D1B">
            <w:pPr>
              <w:spacing w:after="0" w:line="240" w:lineRule="auto"/>
              <w:jc w:val="center"/>
              <w:rPr>
                <w:rFonts w:eastAsia="Times New Roman"/>
                <w:color w:val="000000"/>
                <w:sz w:val="15"/>
                <w:szCs w:val="15"/>
              </w:rPr>
            </w:pPr>
            <w:r w:rsidRPr="00127372">
              <w:rPr>
                <w:rFonts w:eastAsia="Times New Roman"/>
                <w:color w:val="000000"/>
                <w:sz w:val="15"/>
                <w:szCs w:val="15"/>
              </w:rPr>
              <w:t> </w:t>
            </w:r>
          </w:p>
        </w:tc>
        <w:tc>
          <w:tcPr>
            <w:tcW w:w="150" w:type="pct"/>
            <w:tcBorders>
              <w:top w:val="nil"/>
              <w:left w:val="nil"/>
              <w:bottom w:val="single" w:sz="4" w:space="0" w:color="auto"/>
              <w:right w:val="single" w:sz="4" w:space="0" w:color="auto"/>
            </w:tcBorders>
            <w:shd w:val="clear" w:color="000000" w:fill="92D050"/>
            <w:vAlign w:val="center"/>
            <w:hideMark/>
          </w:tcPr>
          <w:p w14:paraId="22D09194" w14:textId="77777777" w:rsidR="0069056F" w:rsidRPr="00127372" w:rsidRDefault="0069056F" w:rsidP="00266D1B">
            <w:pPr>
              <w:spacing w:after="0" w:line="240" w:lineRule="auto"/>
              <w:jc w:val="center"/>
              <w:rPr>
                <w:rFonts w:eastAsia="Times New Roman"/>
                <w:color w:val="000000"/>
                <w:sz w:val="15"/>
                <w:szCs w:val="15"/>
              </w:rPr>
            </w:pPr>
            <w:r w:rsidRPr="00127372">
              <w:rPr>
                <w:rFonts w:eastAsia="Times New Roman"/>
                <w:color w:val="000000"/>
                <w:sz w:val="15"/>
                <w:szCs w:val="15"/>
              </w:rPr>
              <w:t> </w:t>
            </w:r>
          </w:p>
        </w:tc>
        <w:tc>
          <w:tcPr>
            <w:tcW w:w="150" w:type="pct"/>
            <w:tcBorders>
              <w:top w:val="nil"/>
              <w:left w:val="nil"/>
              <w:bottom w:val="single" w:sz="4" w:space="0" w:color="auto"/>
              <w:right w:val="single" w:sz="4" w:space="0" w:color="auto"/>
            </w:tcBorders>
            <w:shd w:val="clear" w:color="auto" w:fill="auto"/>
            <w:vAlign w:val="center"/>
            <w:hideMark/>
          </w:tcPr>
          <w:p w14:paraId="366D8E04" w14:textId="77777777" w:rsidR="0069056F" w:rsidRPr="00127372" w:rsidRDefault="0069056F" w:rsidP="00266D1B">
            <w:pPr>
              <w:spacing w:after="0" w:line="240" w:lineRule="auto"/>
              <w:jc w:val="center"/>
              <w:rPr>
                <w:rFonts w:eastAsia="Times New Roman"/>
                <w:color w:val="000000"/>
                <w:sz w:val="15"/>
                <w:szCs w:val="15"/>
              </w:rPr>
            </w:pPr>
            <w:r w:rsidRPr="00127372">
              <w:rPr>
                <w:rFonts w:eastAsia="Times New Roman"/>
                <w:color w:val="000000"/>
                <w:sz w:val="15"/>
                <w:szCs w:val="15"/>
              </w:rPr>
              <w:t> </w:t>
            </w:r>
          </w:p>
        </w:tc>
        <w:tc>
          <w:tcPr>
            <w:tcW w:w="150" w:type="pct"/>
            <w:tcBorders>
              <w:top w:val="nil"/>
              <w:left w:val="nil"/>
              <w:bottom w:val="single" w:sz="4" w:space="0" w:color="auto"/>
              <w:right w:val="single" w:sz="4" w:space="0" w:color="auto"/>
            </w:tcBorders>
            <w:shd w:val="clear" w:color="auto" w:fill="auto"/>
            <w:vAlign w:val="center"/>
            <w:hideMark/>
          </w:tcPr>
          <w:p w14:paraId="23EE1296" w14:textId="77777777" w:rsidR="0069056F" w:rsidRPr="00127372" w:rsidRDefault="0069056F" w:rsidP="00266D1B">
            <w:pPr>
              <w:spacing w:after="0" w:line="240" w:lineRule="auto"/>
              <w:jc w:val="center"/>
              <w:rPr>
                <w:rFonts w:eastAsia="Times New Roman"/>
                <w:color w:val="000000"/>
                <w:sz w:val="15"/>
                <w:szCs w:val="15"/>
              </w:rPr>
            </w:pPr>
            <w:r w:rsidRPr="00127372">
              <w:rPr>
                <w:rFonts w:eastAsia="Times New Roman"/>
                <w:color w:val="000000"/>
                <w:sz w:val="15"/>
                <w:szCs w:val="15"/>
              </w:rPr>
              <w:t> </w:t>
            </w:r>
          </w:p>
        </w:tc>
        <w:tc>
          <w:tcPr>
            <w:tcW w:w="150" w:type="pct"/>
            <w:tcBorders>
              <w:top w:val="nil"/>
              <w:left w:val="nil"/>
              <w:bottom w:val="single" w:sz="4" w:space="0" w:color="auto"/>
              <w:right w:val="single" w:sz="4" w:space="0" w:color="auto"/>
            </w:tcBorders>
            <w:shd w:val="clear" w:color="auto" w:fill="auto"/>
            <w:vAlign w:val="center"/>
            <w:hideMark/>
          </w:tcPr>
          <w:p w14:paraId="7F4BC3E1" w14:textId="77777777" w:rsidR="0069056F" w:rsidRPr="00127372" w:rsidRDefault="0069056F" w:rsidP="00266D1B">
            <w:pPr>
              <w:spacing w:after="0" w:line="240" w:lineRule="auto"/>
              <w:jc w:val="center"/>
              <w:rPr>
                <w:rFonts w:eastAsia="Times New Roman"/>
                <w:color w:val="000000"/>
                <w:sz w:val="15"/>
                <w:szCs w:val="15"/>
              </w:rPr>
            </w:pPr>
            <w:r w:rsidRPr="00127372">
              <w:rPr>
                <w:rFonts w:eastAsia="Times New Roman"/>
                <w:color w:val="000000"/>
                <w:sz w:val="15"/>
                <w:szCs w:val="15"/>
              </w:rPr>
              <w:t> </w:t>
            </w:r>
          </w:p>
        </w:tc>
        <w:tc>
          <w:tcPr>
            <w:tcW w:w="150" w:type="pct"/>
            <w:tcBorders>
              <w:top w:val="nil"/>
              <w:left w:val="nil"/>
              <w:bottom w:val="single" w:sz="4" w:space="0" w:color="auto"/>
              <w:right w:val="single" w:sz="4" w:space="0" w:color="auto"/>
            </w:tcBorders>
            <w:shd w:val="clear" w:color="auto" w:fill="auto"/>
            <w:vAlign w:val="center"/>
            <w:hideMark/>
          </w:tcPr>
          <w:p w14:paraId="18A68235" w14:textId="77777777" w:rsidR="0069056F" w:rsidRPr="00127372" w:rsidRDefault="0069056F" w:rsidP="00266D1B">
            <w:pPr>
              <w:spacing w:after="0" w:line="240" w:lineRule="auto"/>
              <w:jc w:val="center"/>
              <w:rPr>
                <w:rFonts w:eastAsia="Times New Roman"/>
                <w:color w:val="000000"/>
                <w:sz w:val="15"/>
                <w:szCs w:val="15"/>
              </w:rPr>
            </w:pPr>
            <w:r w:rsidRPr="00127372">
              <w:rPr>
                <w:rFonts w:eastAsia="Times New Roman"/>
                <w:color w:val="000000"/>
                <w:sz w:val="15"/>
                <w:szCs w:val="15"/>
              </w:rPr>
              <w:t> </w:t>
            </w:r>
          </w:p>
        </w:tc>
        <w:tc>
          <w:tcPr>
            <w:tcW w:w="150" w:type="pct"/>
            <w:tcBorders>
              <w:top w:val="nil"/>
              <w:left w:val="nil"/>
              <w:bottom w:val="single" w:sz="4" w:space="0" w:color="auto"/>
              <w:right w:val="single" w:sz="4" w:space="0" w:color="auto"/>
            </w:tcBorders>
            <w:shd w:val="clear" w:color="auto" w:fill="auto"/>
            <w:vAlign w:val="center"/>
            <w:hideMark/>
          </w:tcPr>
          <w:p w14:paraId="46DDDB48" w14:textId="77777777" w:rsidR="0069056F" w:rsidRPr="00127372" w:rsidRDefault="0069056F" w:rsidP="00266D1B">
            <w:pPr>
              <w:spacing w:after="0" w:line="240" w:lineRule="auto"/>
              <w:jc w:val="center"/>
              <w:rPr>
                <w:rFonts w:eastAsia="Times New Roman"/>
                <w:color w:val="000000"/>
                <w:sz w:val="15"/>
                <w:szCs w:val="15"/>
              </w:rPr>
            </w:pPr>
            <w:r w:rsidRPr="00127372">
              <w:rPr>
                <w:rFonts w:eastAsia="Times New Roman"/>
                <w:color w:val="000000"/>
                <w:sz w:val="15"/>
                <w:szCs w:val="15"/>
              </w:rPr>
              <w:t> </w:t>
            </w:r>
          </w:p>
        </w:tc>
        <w:tc>
          <w:tcPr>
            <w:tcW w:w="439" w:type="pct"/>
            <w:tcBorders>
              <w:top w:val="nil"/>
              <w:left w:val="nil"/>
              <w:bottom w:val="single" w:sz="4" w:space="0" w:color="auto"/>
              <w:right w:val="single" w:sz="4" w:space="0" w:color="auto"/>
            </w:tcBorders>
            <w:shd w:val="clear" w:color="auto" w:fill="auto"/>
            <w:vAlign w:val="center"/>
            <w:hideMark/>
          </w:tcPr>
          <w:p w14:paraId="4832438E" w14:textId="77777777" w:rsidR="0069056F" w:rsidRPr="00127372" w:rsidRDefault="0069056F" w:rsidP="00266D1B">
            <w:pPr>
              <w:spacing w:after="0" w:line="240" w:lineRule="auto"/>
              <w:jc w:val="center"/>
              <w:rPr>
                <w:rFonts w:eastAsia="Times New Roman"/>
                <w:color w:val="000000"/>
                <w:sz w:val="15"/>
                <w:szCs w:val="15"/>
              </w:rPr>
            </w:pPr>
            <w:r w:rsidRPr="00127372">
              <w:rPr>
                <w:rFonts w:eastAsia="Times New Roman"/>
                <w:color w:val="000000"/>
                <w:sz w:val="15"/>
                <w:szCs w:val="15"/>
              </w:rPr>
              <w:t>BID</w:t>
            </w:r>
          </w:p>
        </w:tc>
        <w:tc>
          <w:tcPr>
            <w:tcW w:w="356" w:type="pct"/>
            <w:tcBorders>
              <w:top w:val="nil"/>
              <w:left w:val="nil"/>
              <w:bottom w:val="single" w:sz="4" w:space="0" w:color="auto"/>
              <w:right w:val="single" w:sz="4" w:space="0" w:color="auto"/>
            </w:tcBorders>
            <w:shd w:val="clear" w:color="auto" w:fill="auto"/>
            <w:vAlign w:val="center"/>
            <w:hideMark/>
          </w:tcPr>
          <w:p w14:paraId="4B5675BA" w14:textId="77777777" w:rsidR="0069056F" w:rsidRPr="00127372" w:rsidRDefault="0069056F" w:rsidP="00266D1B">
            <w:pPr>
              <w:spacing w:after="0" w:line="240" w:lineRule="auto"/>
              <w:jc w:val="center"/>
              <w:rPr>
                <w:rFonts w:eastAsia="Times New Roman"/>
                <w:color w:val="000000"/>
                <w:sz w:val="15"/>
                <w:szCs w:val="15"/>
              </w:rPr>
            </w:pPr>
            <w:r w:rsidRPr="00127372">
              <w:rPr>
                <w:rFonts w:eastAsia="Times New Roman"/>
                <w:color w:val="000000"/>
                <w:sz w:val="15"/>
                <w:szCs w:val="15"/>
              </w:rPr>
              <w:t xml:space="preserve">$5,000.00 </w:t>
            </w:r>
          </w:p>
        </w:tc>
        <w:tc>
          <w:tcPr>
            <w:tcW w:w="458" w:type="pct"/>
            <w:tcBorders>
              <w:top w:val="nil"/>
              <w:left w:val="nil"/>
              <w:bottom w:val="single" w:sz="4" w:space="0" w:color="auto"/>
              <w:right w:val="single" w:sz="4" w:space="0" w:color="auto"/>
            </w:tcBorders>
            <w:shd w:val="clear" w:color="auto" w:fill="auto"/>
            <w:vAlign w:val="center"/>
            <w:hideMark/>
          </w:tcPr>
          <w:p w14:paraId="4EEF43ED" w14:textId="77777777" w:rsidR="0069056F" w:rsidRPr="00127372" w:rsidRDefault="0069056F" w:rsidP="00266D1B">
            <w:pPr>
              <w:spacing w:after="0" w:line="240" w:lineRule="auto"/>
              <w:jc w:val="center"/>
              <w:rPr>
                <w:rFonts w:eastAsia="Times New Roman"/>
                <w:color w:val="000000"/>
                <w:sz w:val="15"/>
                <w:szCs w:val="15"/>
              </w:rPr>
            </w:pPr>
            <w:r w:rsidRPr="00127372">
              <w:rPr>
                <w:rFonts w:eastAsia="Times New Roman"/>
                <w:color w:val="000000"/>
                <w:sz w:val="15"/>
                <w:szCs w:val="15"/>
              </w:rPr>
              <w:t>BID</w:t>
            </w:r>
          </w:p>
        </w:tc>
      </w:tr>
      <w:tr w:rsidR="0069056F" w:rsidRPr="00CF7759" w14:paraId="62E64686" w14:textId="77777777" w:rsidTr="00266D1B">
        <w:trPr>
          <w:trHeight w:val="285"/>
        </w:trPr>
        <w:tc>
          <w:tcPr>
            <w:tcW w:w="1351" w:type="pct"/>
            <w:tcBorders>
              <w:top w:val="nil"/>
              <w:left w:val="single" w:sz="4" w:space="0" w:color="auto"/>
              <w:bottom w:val="single" w:sz="4" w:space="0" w:color="auto"/>
              <w:right w:val="single" w:sz="4" w:space="0" w:color="auto"/>
            </w:tcBorders>
            <w:shd w:val="clear" w:color="auto" w:fill="auto"/>
            <w:vAlign w:val="center"/>
            <w:hideMark/>
          </w:tcPr>
          <w:p w14:paraId="440E766E" w14:textId="77777777" w:rsidR="0069056F" w:rsidRPr="007E07CA" w:rsidRDefault="0069056F" w:rsidP="00266D1B">
            <w:pPr>
              <w:spacing w:after="0" w:line="240" w:lineRule="auto"/>
              <w:rPr>
                <w:rFonts w:eastAsia="Times New Roman"/>
                <w:color w:val="000000"/>
                <w:sz w:val="15"/>
                <w:szCs w:val="15"/>
                <w:lang w:val="es-ES_tradnl"/>
              </w:rPr>
            </w:pPr>
            <w:r w:rsidRPr="007E07CA">
              <w:rPr>
                <w:rFonts w:eastAsia="Times New Roman"/>
                <w:color w:val="000000"/>
                <w:sz w:val="15"/>
                <w:szCs w:val="15"/>
                <w:lang w:val="es-ES_tradnl"/>
              </w:rPr>
              <w:t>Preparación del análisis económico ex post</w:t>
            </w:r>
          </w:p>
        </w:tc>
        <w:tc>
          <w:tcPr>
            <w:tcW w:w="150" w:type="pct"/>
            <w:tcBorders>
              <w:top w:val="nil"/>
              <w:left w:val="nil"/>
              <w:bottom w:val="single" w:sz="4" w:space="0" w:color="auto"/>
              <w:right w:val="single" w:sz="4" w:space="0" w:color="auto"/>
            </w:tcBorders>
            <w:shd w:val="clear" w:color="auto" w:fill="auto"/>
            <w:vAlign w:val="center"/>
            <w:hideMark/>
          </w:tcPr>
          <w:p w14:paraId="79E23166" w14:textId="77777777" w:rsidR="0069056F" w:rsidRPr="007E07CA" w:rsidRDefault="0069056F" w:rsidP="00266D1B">
            <w:pPr>
              <w:spacing w:after="0" w:line="240" w:lineRule="auto"/>
              <w:jc w:val="center"/>
              <w:rPr>
                <w:rFonts w:eastAsia="Times New Roman"/>
                <w:color w:val="000000"/>
                <w:sz w:val="15"/>
                <w:szCs w:val="15"/>
                <w:lang w:val="es-ES_tradnl"/>
              </w:rPr>
            </w:pPr>
            <w:r w:rsidRPr="007E07CA">
              <w:rPr>
                <w:rFonts w:eastAsia="Times New Roman"/>
                <w:color w:val="000000"/>
                <w:sz w:val="15"/>
                <w:szCs w:val="15"/>
                <w:lang w:val="es-ES_tradnl"/>
              </w:rPr>
              <w:t> </w:t>
            </w:r>
          </w:p>
        </w:tc>
        <w:tc>
          <w:tcPr>
            <w:tcW w:w="150" w:type="pct"/>
            <w:tcBorders>
              <w:top w:val="nil"/>
              <w:left w:val="nil"/>
              <w:bottom w:val="single" w:sz="4" w:space="0" w:color="auto"/>
              <w:right w:val="single" w:sz="4" w:space="0" w:color="auto"/>
            </w:tcBorders>
            <w:shd w:val="clear" w:color="auto" w:fill="auto"/>
            <w:vAlign w:val="center"/>
            <w:hideMark/>
          </w:tcPr>
          <w:p w14:paraId="758E1548" w14:textId="77777777" w:rsidR="0069056F" w:rsidRPr="007E07CA" w:rsidRDefault="0069056F" w:rsidP="00266D1B">
            <w:pPr>
              <w:spacing w:after="0" w:line="240" w:lineRule="auto"/>
              <w:jc w:val="center"/>
              <w:rPr>
                <w:rFonts w:eastAsia="Times New Roman"/>
                <w:color w:val="000000"/>
                <w:sz w:val="15"/>
                <w:szCs w:val="15"/>
                <w:lang w:val="es-ES_tradnl"/>
              </w:rPr>
            </w:pPr>
            <w:r w:rsidRPr="007E07CA">
              <w:rPr>
                <w:rFonts w:eastAsia="Times New Roman"/>
                <w:color w:val="000000"/>
                <w:sz w:val="15"/>
                <w:szCs w:val="15"/>
                <w:lang w:val="es-ES_tradnl"/>
              </w:rPr>
              <w:t> </w:t>
            </w:r>
          </w:p>
        </w:tc>
        <w:tc>
          <w:tcPr>
            <w:tcW w:w="150" w:type="pct"/>
            <w:tcBorders>
              <w:top w:val="nil"/>
              <w:left w:val="nil"/>
              <w:bottom w:val="single" w:sz="4" w:space="0" w:color="auto"/>
              <w:right w:val="single" w:sz="4" w:space="0" w:color="auto"/>
            </w:tcBorders>
            <w:shd w:val="clear" w:color="auto" w:fill="auto"/>
            <w:vAlign w:val="center"/>
            <w:hideMark/>
          </w:tcPr>
          <w:p w14:paraId="66D35554" w14:textId="77777777" w:rsidR="0069056F" w:rsidRPr="007E07CA" w:rsidRDefault="0069056F" w:rsidP="00266D1B">
            <w:pPr>
              <w:spacing w:after="0" w:line="240" w:lineRule="auto"/>
              <w:jc w:val="center"/>
              <w:rPr>
                <w:rFonts w:eastAsia="Times New Roman"/>
                <w:color w:val="000000"/>
                <w:sz w:val="15"/>
                <w:szCs w:val="15"/>
                <w:lang w:val="es-ES_tradnl"/>
              </w:rPr>
            </w:pPr>
            <w:r w:rsidRPr="007E07CA">
              <w:rPr>
                <w:rFonts w:eastAsia="Times New Roman"/>
                <w:color w:val="000000"/>
                <w:sz w:val="15"/>
                <w:szCs w:val="15"/>
                <w:lang w:val="es-ES_tradnl"/>
              </w:rPr>
              <w:t> </w:t>
            </w:r>
          </w:p>
        </w:tc>
        <w:tc>
          <w:tcPr>
            <w:tcW w:w="150" w:type="pct"/>
            <w:tcBorders>
              <w:top w:val="nil"/>
              <w:left w:val="nil"/>
              <w:bottom w:val="single" w:sz="4" w:space="0" w:color="auto"/>
              <w:right w:val="single" w:sz="4" w:space="0" w:color="auto"/>
            </w:tcBorders>
            <w:shd w:val="clear" w:color="auto" w:fill="auto"/>
            <w:vAlign w:val="center"/>
            <w:hideMark/>
          </w:tcPr>
          <w:p w14:paraId="547D6031" w14:textId="77777777" w:rsidR="0069056F" w:rsidRPr="007E07CA" w:rsidRDefault="0069056F" w:rsidP="00266D1B">
            <w:pPr>
              <w:spacing w:after="0" w:line="240" w:lineRule="auto"/>
              <w:jc w:val="center"/>
              <w:rPr>
                <w:rFonts w:eastAsia="Times New Roman"/>
                <w:color w:val="000000"/>
                <w:sz w:val="15"/>
                <w:szCs w:val="15"/>
                <w:lang w:val="es-ES_tradnl"/>
              </w:rPr>
            </w:pPr>
            <w:r w:rsidRPr="007E07CA">
              <w:rPr>
                <w:rFonts w:eastAsia="Times New Roman"/>
                <w:color w:val="000000"/>
                <w:sz w:val="15"/>
                <w:szCs w:val="15"/>
                <w:lang w:val="es-ES_tradnl"/>
              </w:rPr>
              <w:t> </w:t>
            </w:r>
          </w:p>
        </w:tc>
        <w:tc>
          <w:tcPr>
            <w:tcW w:w="150" w:type="pct"/>
            <w:tcBorders>
              <w:top w:val="nil"/>
              <w:left w:val="nil"/>
              <w:bottom w:val="single" w:sz="4" w:space="0" w:color="auto"/>
              <w:right w:val="single" w:sz="4" w:space="0" w:color="auto"/>
            </w:tcBorders>
            <w:shd w:val="clear" w:color="auto" w:fill="auto"/>
            <w:vAlign w:val="center"/>
            <w:hideMark/>
          </w:tcPr>
          <w:p w14:paraId="68E0081F" w14:textId="77777777" w:rsidR="0069056F" w:rsidRPr="007E07CA" w:rsidRDefault="0069056F" w:rsidP="00266D1B">
            <w:pPr>
              <w:spacing w:after="0" w:line="240" w:lineRule="auto"/>
              <w:jc w:val="center"/>
              <w:rPr>
                <w:rFonts w:eastAsia="Times New Roman"/>
                <w:color w:val="000000"/>
                <w:sz w:val="15"/>
                <w:szCs w:val="15"/>
                <w:lang w:val="es-ES_tradnl"/>
              </w:rPr>
            </w:pPr>
            <w:r w:rsidRPr="007E07CA">
              <w:rPr>
                <w:rFonts w:eastAsia="Times New Roman"/>
                <w:color w:val="000000"/>
                <w:sz w:val="15"/>
                <w:szCs w:val="15"/>
                <w:lang w:val="es-ES_tradnl"/>
              </w:rPr>
              <w:t> </w:t>
            </w:r>
          </w:p>
        </w:tc>
        <w:tc>
          <w:tcPr>
            <w:tcW w:w="150" w:type="pct"/>
            <w:tcBorders>
              <w:top w:val="nil"/>
              <w:left w:val="nil"/>
              <w:bottom w:val="single" w:sz="4" w:space="0" w:color="auto"/>
              <w:right w:val="single" w:sz="4" w:space="0" w:color="auto"/>
            </w:tcBorders>
            <w:shd w:val="clear" w:color="auto" w:fill="auto"/>
            <w:vAlign w:val="center"/>
            <w:hideMark/>
          </w:tcPr>
          <w:p w14:paraId="75A482AC" w14:textId="77777777" w:rsidR="0069056F" w:rsidRPr="007E07CA" w:rsidRDefault="0069056F" w:rsidP="00266D1B">
            <w:pPr>
              <w:spacing w:after="0" w:line="240" w:lineRule="auto"/>
              <w:jc w:val="center"/>
              <w:rPr>
                <w:rFonts w:eastAsia="Times New Roman"/>
                <w:color w:val="000000"/>
                <w:sz w:val="15"/>
                <w:szCs w:val="15"/>
                <w:lang w:val="es-ES_tradnl"/>
              </w:rPr>
            </w:pPr>
            <w:r w:rsidRPr="007E07CA">
              <w:rPr>
                <w:rFonts w:eastAsia="Times New Roman"/>
                <w:color w:val="000000"/>
                <w:sz w:val="15"/>
                <w:szCs w:val="15"/>
                <w:lang w:val="es-ES_tradnl"/>
              </w:rPr>
              <w:t> </w:t>
            </w:r>
          </w:p>
        </w:tc>
        <w:tc>
          <w:tcPr>
            <w:tcW w:w="150" w:type="pct"/>
            <w:tcBorders>
              <w:top w:val="nil"/>
              <w:left w:val="nil"/>
              <w:bottom w:val="single" w:sz="4" w:space="0" w:color="auto"/>
              <w:right w:val="single" w:sz="4" w:space="0" w:color="auto"/>
            </w:tcBorders>
            <w:shd w:val="clear" w:color="auto" w:fill="auto"/>
            <w:vAlign w:val="center"/>
            <w:hideMark/>
          </w:tcPr>
          <w:p w14:paraId="4335F286" w14:textId="77777777" w:rsidR="0069056F" w:rsidRPr="007E07CA" w:rsidRDefault="0069056F" w:rsidP="00266D1B">
            <w:pPr>
              <w:spacing w:after="0" w:line="240" w:lineRule="auto"/>
              <w:jc w:val="center"/>
              <w:rPr>
                <w:rFonts w:eastAsia="Times New Roman"/>
                <w:color w:val="000000"/>
                <w:sz w:val="15"/>
                <w:szCs w:val="15"/>
                <w:lang w:val="es-ES_tradnl"/>
              </w:rPr>
            </w:pPr>
            <w:r w:rsidRPr="007E07CA">
              <w:rPr>
                <w:rFonts w:eastAsia="Times New Roman"/>
                <w:color w:val="000000"/>
                <w:sz w:val="15"/>
                <w:szCs w:val="15"/>
                <w:lang w:val="es-ES_tradnl"/>
              </w:rPr>
              <w:t> </w:t>
            </w:r>
          </w:p>
        </w:tc>
        <w:tc>
          <w:tcPr>
            <w:tcW w:w="150" w:type="pct"/>
            <w:tcBorders>
              <w:top w:val="nil"/>
              <w:left w:val="nil"/>
              <w:bottom w:val="single" w:sz="4" w:space="0" w:color="auto"/>
              <w:right w:val="single" w:sz="4" w:space="0" w:color="auto"/>
            </w:tcBorders>
            <w:shd w:val="clear" w:color="auto" w:fill="auto"/>
            <w:vAlign w:val="center"/>
            <w:hideMark/>
          </w:tcPr>
          <w:p w14:paraId="07A5EA0E" w14:textId="77777777" w:rsidR="0069056F" w:rsidRPr="007E07CA" w:rsidRDefault="0069056F" w:rsidP="00266D1B">
            <w:pPr>
              <w:spacing w:after="0" w:line="240" w:lineRule="auto"/>
              <w:jc w:val="center"/>
              <w:rPr>
                <w:rFonts w:eastAsia="Times New Roman"/>
                <w:color w:val="000000"/>
                <w:sz w:val="15"/>
                <w:szCs w:val="15"/>
                <w:lang w:val="es-ES_tradnl"/>
              </w:rPr>
            </w:pPr>
            <w:r w:rsidRPr="007E07CA">
              <w:rPr>
                <w:rFonts w:eastAsia="Times New Roman"/>
                <w:color w:val="000000"/>
                <w:sz w:val="15"/>
                <w:szCs w:val="15"/>
                <w:lang w:val="es-ES_tradnl"/>
              </w:rPr>
              <w:t> </w:t>
            </w:r>
          </w:p>
        </w:tc>
        <w:tc>
          <w:tcPr>
            <w:tcW w:w="150" w:type="pct"/>
            <w:tcBorders>
              <w:top w:val="nil"/>
              <w:left w:val="nil"/>
              <w:bottom w:val="single" w:sz="4" w:space="0" w:color="auto"/>
              <w:right w:val="single" w:sz="4" w:space="0" w:color="auto"/>
            </w:tcBorders>
            <w:shd w:val="clear" w:color="auto" w:fill="auto"/>
            <w:vAlign w:val="center"/>
            <w:hideMark/>
          </w:tcPr>
          <w:p w14:paraId="0310D9BB" w14:textId="77777777" w:rsidR="0069056F" w:rsidRPr="007E07CA" w:rsidRDefault="0069056F" w:rsidP="00266D1B">
            <w:pPr>
              <w:spacing w:after="0" w:line="240" w:lineRule="auto"/>
              <w:jc w:val="center"/>
              <w:rPr>
                <w:rFonts w:eastAsia="Times New Roman"/>
                <w:color w:val="000000"/>
                <w:sz w:val="15"/>
                <w:szCs w:val="15"/>
                <w:lang w:val="es-ES_tradnl"/>
              </w:rPr>
            </w:pPr>
            <w:r w:rsidRPr="007E07CA">
              <w:rPr>
                <w:rFonts w:eastAsia="Times New Roman"/>
                <w:color w:val="000000"/>
                <w:sz w:val="15"/>
                <w:szCs w:val="15"/>
                <w:lang w:val="es-ES_tradnl"/>
              </w:rPr>
              <w:t> </w:t>
            </w:r>
          </w:p>
        </w:tc>
        <w:tc>
          <w:tcPr>
            <w:tcW w:w="150" w:type="pct"/>
            <w:tcBorders>
              <w:top w:val="nil"/>
              <w:left w:val="nil"/>
              <w:bottom w:val="single" w:sz="4" w:space="0" w:color="auto"/>
              <w:right w:val="single" w:sz="4" w:space="0" w:color="auto"/>
            </w:tcBorders>
            <w:shd w:val="clear" w:color="auto" w:fill="auto"/>
            <w:vAlign w:val="center"/>
            <w:hideMark/>
          </w:tcPr>
          <w:p w14:paraId="387D88B7" w14:textId="77777777" w:rsidR="0069056F" w:rsidRPr="007E07CA" w:rsidRDefault="0069056F" w:rsidP="00266D1B">
            <w:pPr>
              <w:spacing w:after="0" w:line="240" w:lineRule="auto"/>
              <w:jc w:val="center"/>
              <w:rPr>
                <w:rFonts w:eastAsia="Times New Roman"/>
                <w:color w:val="000000"/>
                <w:sz w:val="15"/>
                <w:szCs w:val="15"/>
                <w:lang w:val="es-ES_tradnl"/>
              </w:rPr>
            </w:pPr>
            <w:r w:rsidRPr="007E07CA">
              <w:rPr>
                <w:rFonts w:eastAsia="Times New Roman"/>
                <w:color w:val="000000"/>
                <w:sz w:val="15"/>
                <w:szCs w:val="15"/>
                <w:lang w:val="es-ES_tradnl"/>
              </w:rPr>
              <w:t> </w:t>
            </w:r>
          </w:p>
        </w:tc>
        <w:tc>
          <w:tcPr>
            <w:tcW w:w="150" w:type="pct"/>
            <w:tcBorders>
              <w:top w:val="nil"/>
              <w:left w:val="nil"/>
              <w:bottom w:val="single" w:sz="4" w:space="0" w:color="auto"/>
              <w:right w:val="single" w:sz="4" w:space="0" w:color="auto"/>
            </w:tcBorders>
            <w:shd w:val="clear" w:color="auto" w:fill="auto"/>
            <w:vAlign w:val="center"/>
            <w:hideMark/>
          </w:tcPr>
          <w:p w14:paraId="42F2ADA6" w14:textId="77777777" w:rsidR="0069056F" w:rsidRPr="007E07CA" w:rsidRDefault="0069056F" w:rsidP="00266D1B">
            <w:pPr>
              <w:spacing w:after="0" w:line="240" w:lineRule="auto"/>
              <w:jc w:val="center"/>
              <w:rPr>
                <w:rFonts w:eastAsia="Times New Roman"/>
                <w:color w:val="000000"/>
                <w:sz w:val="15"/>
                <w:szCs w:val="15"/>
                <w:lang w:val="es-ES_tradnl"/>
              </w:rPr>
            </w:pPr>
            <w:r w:rsidRPr="007E07CA">
              <w:rPr>
                <w:rFonts w:eastAsia="Times New Roman"/>
                <w:color w:val="000000"/>
                <w:sz w:val="15"/>
                <w:szCs w:val="15"/>
                <w:lang w:val="es-ES_tradnl"/>
              </w:rPr>
              <w:t> </w:t>
            </w:r>
          </w:p>
        </w:tc>
        <w:tc>
          <w:tcPr>
            <w:tcW w:w="150" w:type="pct"/>
            <w:tcBorders>
              <w:top w:val="nil"/>
              <w:left w:val="nil"/>
              <w:bottom w:val="single" w:sz="4" w:space="0" w:color="auto"/>
              <w:right w:val="single" w:sz="4" w:space="0" w:color="auto"/>
            </w:tcBorders>
            <w:shd w:val="clear" w:color="auto" w:fill="auto"/>
            <w:vAlign w:val="center"/>
            <w:hideMark/>
          </w:tcPr>
          <w:p w14:paraId="72FC89A0" w14:textId="77777777" w:rsidR="0069056F" w:rsidRPr="007E07CA" w:rsidRDefault="0069056F" w:rsidP="00266D1B">
            <w:pPr>
              <w:spacing w:after="0" w:line="240" w:lineRule="auto"/>
              <w:jc w:val="center"/>
              <w:rPr>
                <w:rFonts w:eastAsia="Times New Roman"/>
                <w:color w:val="000000"/>
                <w:sz w:val="15"/>
                <w:szCs w:val="15"/>
                <w:lang w:val="es-ES_tradnl"/>
              </w:rPr>
            </w:pPr>
            <w:r w:rsidRPr="007E07CA">
              <w:rPr>
                <w:rFonts w:eastAsia="Times New Roman"/>
                <w:color w:val="000000"/>
                <w:sz w:val="15"/>
                <w:szCs w:val="15"/>
                <w:lang w:val="es-ES_tradnl"/>
              </w:rPr>
              <w:t> </w:t>
            </w:r>
          </w:p>
        </w:tc>
        <w:tc>
          <w:tcPr>
            <w:tcW w:w="150" w:type="pct"/>
            <w:tcBorders>
              <w:top w:val="nil"/>
              <w:left w:val="nil"/>
              <w:bottom w:val="single" w:sz="4" w:space="0" w:color="auto"/>
              <w:right w:val="single" w:sz="4" w:space="0" w:color="auto"/>
            </w:tcBorders>
            <w:shd w:val="clear" w:color="auto" w:fill="auto"/>
            <w:vAlign w:val="center"/>
            <w:hideMark/>
          </w:tcPr>
          <w:p w14:paraId="5D38B489" w14:textId="77777777" w:rsidR="0069056F" w:rsidRPr="007E07CA" w:rsidRDefault="0069056F" w:rsidP="00266D1B">
            <w:pPr>
              <w:spacing w:after="0" w:line="240" w:lineRule="auto"/>
              <w:jc w:val="center"/>
              <w:rPr>
                <w:rFonts w:eastAsia="Times New Roman"/>
                <w:color w:val="000000"/>
                <w:sz w:val="15"/>
                <w:szCs w:val="15"/>
                <w:lang w:val="es-ES_tradnl"/>
              </w:rPr>
            </w:pPr>
            <w:r w:rsidRPr="007E07CA">
              <w:rPr>
                <w:rFonts w:eastAsia="Times New Roman"/>
                <w:color w:val="000000"/>
                <w:sz w:val="15"/>
                <w:szCs w:val="15"/>
                <w:lang w:val="es-ES_tradnl"/>
              </w:rPr>
              <w:t> </w:t>
            </w:r>
          </w:p>
        </w:tc>
        <w:tc>
          <w:tcPr>
            <w:tcW w:w="150" w:type="pct"/>
            <w:tcBorders>
              <w:top w:val="nil"/>
              <w:left w:val="nil"/>
              <w:bottom w:val="single" w:sz="4" w:space="0" w:color="auto"/>
              <w:right w:val="single" w:sz="4" w:space="0" w:color="auto"/>
            </w:tcBorders>
            <w:shd w:val="clear" w:color="000000" w:fill="A6A6A6"/>
            <w:vAlign w:val="center"/>
            <w:hideMark/>
          </w:tcPr>
          <w:p w14:paraId="6372DDE2" w14:textId="77777777" w:rsidR="0069056F" w:rsidRPr="007E07CA" w:rsidRDefault="0069056F" w:rsidP="00266D1B">
            <w:pPr>
              <w:spacing w:after="0" w:line="240" w:lineRule="auto"/>
              <w:jc w:val="center"/>
              <w:rPr>
                <w:rFonts w:eastAsia="Times New Roman"/>
                <w:color w:val="000000"/>
                <w:sz w:val="15"/>
                <w:szCs w:val="15"/>
                <w:lang w:val="es-ES_tradnl"/>
              </w:rPr>
            </w:pPr>
            <w:r w:rsidRPr="007E07CA">
              <w:rPr>
                <w:rFonts w:eastAsia="Times New Roman"/>
                <w:color w:val="000000"/>
                <w:sz w:val="15"/>
                <w:szCs w:val="15"/>
                <w:lang w:val="es-ES_tradnl"/>
              </w:rPr>
              <w:t> </w:t>
            </w:r>
          </w:p>
        </w:tc>
        <w:tc>
          <w:tcPr>
            <w:tcW w:w="150" w:type="pct"/>
            <w:tcBorders>
              <w:top w:val="nil"/>
              <w:left w:val="nil"/>
              <w:bottom w:val="single" w:sz="4" w:space="0" w:color="auto"/>
              <w:right w:val="single" w:sz="4" w:space="0" w:color="auto"/>
            </w:tcBorders>
            <w:shd w:val="clear" w:color="000000" w:fill="A6A6A6"/>
            <w:vAlign w:val="center"/>
            <w:hideMark/>
          </w:tcPr>
          <w:p w14:paraId="48B71971" w14:textId="77777777" w:rsidR="0069056F" w:rsidRPr="007E07CA" w:rsidRDefault="0069056F" w:rsidP="00266D1B">
            <w:pPr>
              <w:spacing w:after="0" w:line="240" w:lineRule="auto"/>
              <w:jc w:val="center"/>
              <w:rPr>
                <w:rFonts w:eastAsia="Times New Roman"/>
                <w:color w:val="000000"/>
                <w:sz w:val="15"/>
                <w:szCs w:val="15"/>
                <w:lang w:val="es-ES_tradnl"/>
              </w:rPr>
            </w:pPr>
            <w:r w:rsidRPr="007E07CA">
              <w:rPr>
                <w:rFonts w:eastAsia="Times New Roman"/>
                <w:color w:val="000000"/>
                <w:sz w:val="15"/>
                <w:szCs w:val="15"/>
                <w:lang w:val="es-ES_tradnl"/>
              </w:rPr>
              <w:t> </w:t>
            </w:r>
          </w:p>
        </w:tc>
        <w:tc>
          <w:tcPr>
            <w:tcW w:w="150" w:type="pct"/>
            <w:tcBorders>
              <w:top w:val="nil"/>
              <w:left w:val="nil"/>
              <w:bottom w:val="single" w:sz="4" w:space="0" w:color="auto"/>
              <w:right w:val="single" w:sz="4" w:space="0" w:color="auto"/>
            </w:tcBorders>
            <w:shd w:val="clear" w:color="000000" w:fill="A6A6A6"/>
            <w:vAlign w:val="center"/>
            <w:hideMark/>
          </w:tcPr>
          <w:p w14:paraId="3357E4EF" w14:textId="77777777" w:rsidR="0069056F" w:rsidRPr="007E07CA" w:rsidRDefault="0069056F" w:rsidP="00266D1B">
            <w:pPr>
              <w:spacing w:after="0" w:line="240" w:lineRule="auto"/>
              <w:jc w:val="center"/>
              <w:rPr>
                <w:rFonts w:eastAsia="Times New Roman"/>
                <w:color w:val="000000"/>
                <w:sz w:val="15"/>
                <w:szCs w:val="15"/>
                <w:lang w:val="es-ES_tradnl"/>
              </w:rPr>
            </w:pPr>
            <w:r w:rsidRPr="007E07CA">
              <w:rPr>
                <w:rFonts w:eastAsia="Times New Roman"/>
                <w:color w:val="000000"/>
                <w:sz w:val="15"/>
                <w:szCs w:val="15"/>
                <w:lang w:val="es-ES_tradnl"/>
              </w:rPr>
              <w:t> </w:t>
            </w:r>
          </w:p>
        </w:tc>
        <w:tc>
          <w:tcPr>
            <w:tcW w:w="439" w:type="pct"/>
            <w:tcBorders>
              <w:top w:val="nil"/>
              <w:left w:val="nil"/>
              <w:bottom w:val="single" w:sz="4" w:space="0" w:color="auto"/>
              <w:right w:val="single" w:sz="4" w:space="0" w:color="auto"/>
            </w:tcBorders>
            <w:shd w:val="clear" w:color="auto" w:fill="auto"/>
            <w:vAlign w:val="center"/>
            <w:hideMark/>
          </w:tcPr>
          <w:p w14:paraId="4DF67958" w14:textId="77777777" w:rsidR="0069056F" w:rsidRPr="007E07CA" w:rsidRDefault="0069056F" w:rsidP="00266D1B">
            <w:pPr>
              <w:spacing w:after="0" w:line="240" w:lineRule="auto"/>
              <w:jc w:val="center"/>
              <w:rPr>
                <w:rFonts w:eastAsia="Times New Roman"/>
                <w:color w:val="000000"/>
                <w:sz w:val="15"/>
                <w:szCs w:val="15"/>
                <w:lang w:val="es-ES_tradnl"/>
              </w:rPr>
            </w:pPr>
            <w:r w:rsidRPr="007E07CA">
              <w:rPr>
                <w:rFonts w:eastAsia="Times New Roman"/>
                <w:color w:val="000000"/>
                <w:sz w:val="15"/>
                <w:szCs w:val="15"/>
                <w:lang w:val="es-ES_tradnl"/>
              </w:rPr>
              <w:t> </w:t>
            </w:r>
          </w:p>
        </w:tc>
        <w:tc>
          <w:tcPr>
            <w:tcW w:w="356" w:type="pct"/>
            <w:tcBorders>
              <w:top w:val="nil"/>
              <w:left w:val="nil"/>
              <w:bottom w:val="single" w:sz="4" w:space="0" w:color="auto"/>
              <w:right w:val="single" w:sz="4" w:space="0" w:color="auto"/>
            </w:tcBorders>
            <w:shd w:val="clear" w:color="auto" w:fill="auto"/>
            <w:vAlign w:val="center"/>
            <w:hideMark/>
          </w:tcPr>
          <w:p w14:paraId="0399FA9E" w14:textId="77777777" w:rsidR="0069056F" w:rsidRPr="007E07CA" w:rsidRDefault="0069056F" w:rsidP="00266D1B">
            <w:pPr>
              <w:spacing w:after="0" w:line="240" w:lineRule="auto"/>
              <w:jc w:val="center"/>
              <w:rPr>
                <w:rFonts w:eastAsia="Times New Roman"/>
                <w:color w:val="000000"/>
                <w:sz w:val="15"/>
                <w:szCs w:val="15"/>
                <w:lang w:val="es-ES_tradnl"/>
              </w:rPr>
            </w:pPr>
            <w:r w:rsidRPr="007E07CA">
              <w:rPr>
                <w:rFonts w:eastAsia="Times New Roman"/>
                <w:color w:val="000000"/>
                <w:sz w:val="15"/>
                <w:szCs w:val="15"/>
                <w:lang w:val="es-ES_tradnl"/>
              </w:rPr>
              <w:t> </w:t>
            </w:r>
          </w:p>
        </w:tc>
        <w:tc>
          <w:tcPr>
            <w:tcW w:w="458" w:type="pct"/>
            <w:tcBorders>
              <w:top w:val="nil"/>
              <w:left w:val="nil"/>
              <w:bottom w:val="single" w:sz="4" w:space="0" w:color="auto"/>
              <w:right w:val="single" w:sz="4" w:space="0" w:color="auto"/>
            </w:tcBorders>
            <w:shd w:val="clear" w:color="auto" w:fill="auto"/>
            <w:vAlign w:val="center"/>
            <w:hideMark/>
          </w:tcPr>
          <w:p w14:paraId="4530241D" w14:textId="77777777" w:rsidR="0069056F" w:rsidRPr="007E07CA" w:rsidRDefault="0069056F" w:rsidP="00266D1B">
            <w:pPr>
              <w:spacing w:after="0" w:line="240" w:lineRule="auto"/>
              <w:jc w:val="center"/>
              <w:rPr>
                <w:rFonts w:eastAsia="Times New Roman"/>
                <w:color w:val="000000"/>
                <w:sz w:val="15"/>
                <w:szCs w:val="15"/>
                <w:lang w:val="es-ES_tradnl"/>
              </w:rPr>
            </w:pPr>
            <w:r w:rsidRPr="007E07CA">
              <w:rPr>
                <w:rFonts w:eastAsia="Times New Roman"/>
                <w:color w:val="000000"/>
                <w:sz w:val="15"/>
                <w:szCs w:val="15"/>
                <w:lang w:val="es-ES_tradnl"/>
              </w:rPr>
              <w:t> </w:t>
            </w:r>
          </w:p>
        </w:tc>
      </w:tr>
      <w:tr w:rsidR="0069056F" w:rsidRPr="00127372" w14:paraId="1B6747FA" w14:textId="77777777" w:rsidTr="00266D1B">
        <w:trPr>
          <w:trHeight w:val="285"/>
        </w:trPr>
        <w:tc>
          <w:tcPr>
            <w:tcW w:w="1351" w:type="pct"/>
            <w:tcBorders>
              <w:top w:val="nil"/>
              <w:left w:val="single" w:sz="4" w:space="0" w:color="auto"/>
              <w:bottom w:val="single" w:sz="4" w:space="0" w:color="auto"/>
              <w:right w:val="single" w:sz="4" w:space="0" w:color="auto"/>
            </w:tcBorders>
            <w:shd w:val="clear" w:color="auto" w:fill="auto"/>
            <w:vAlign w:val="center"/>
            <w:hideMark/>
          </w:tcPr>
          <w:p w14:paraId="372C624A" w14:textId="77777777" w:rsidR="0069056F" w:rsidRPr="007E07CA" w:rsidRDefault="0069056F" w:rsidP="00266D1B">
            <w:pPr>
              <w:spacing w:after="0" w:line="240" w:lineRule="auto"/>
              <w:jc w:val="right"/>
              <w:rPr>
                <w:rFonts w:eastAsia="Times New Roman"/>
                <w:color w:val="000000"/>
                <w:sz w:val="15"/>
                <w:szCs w:val="15"/>
                <w:lang w:val="es-ES_tradnl"/>
              </w:rPr>
            </w:pPr>
            <w:r w:rsidRPr="007E07CA">
              <w:rPr>
                <w:rFonts w:eastAsia="Times New Roman"/>
                <w:color w:val="000000"/>
                <w:sz w:val="15"/>
                <w:szCs w:val="15"/>
                <w:lang w:val="es-ES_tradnl"/>
              </w:rPr>
              <w:t xml:space="preserve">Preparación de </w:t>
            </w:r>
            <w:proofErr w:type="spellStart"/>
            <w:r w:rsidRPr="007E07CA">
              <w:rPr>
                <w:rFonts w:eastAsia="Times New Roman"/>
                <w:color w:val="000000"/>
                <w:sz w:val="15"/>
                <w:szCs w:val="15"/>
                <w:lang w:val="es-ES_tradnl"/>
              </w:rPr>
              <w:t>ToRs</w:t>
            </w:r>
            <w:proofErr w:type="spellEnd"/>
            <w:r w:rsidRPr="007E07CA">
              <w:rPr>
                <w:rFonts w:eastAsia="Times New Roman"/>
                <w:color w:val="000000"/>
                <w:sz w:val="15"/>
                <w:szCs w:val="15"/>
                <w:lang w:val="es-ES_tradnl"/>
              </w:rPr>
              <w:t xml:space="preserve"> y selección y contratación del consultor</w:t>
            </w:r>
          </w:p>
        </w:tc>
        <w:tc>
          <w:tcPr>
            <w:tcW w:w="150" w:type="pct"/>
            <w:tcBorders>
              <w:top w:val="nil"/>
              <w:left w:val="nil"/>
              <w:bottom w:val="single" w:sz="4" w:space="0" w:color="auto"/>
              <w:right w:val="single" w:sz="4" w:space="0" w:color="auto"/>
            </w:tcBorders>
            <w:shd w:val="clear" w:color="auto" w:fill="auto"/>
            <w:vAlign w:val="center"/>
            <w:hideMark/>
          </w:tcPr>
          <w:p w14:paraId="3CC38208" w14:textId="77777777" w:rsidR="0069056F" w:rsidRPr="007E07CA" w:rsidRDefault="0069056F" w:rsidP="00266D1B">
            <w:pPr>
              <w:spacing w:after="0" w:line="240" w:lineRule="auto"/>
              <w:jc w:val="center"/>
              <w:rPr>
                <w:rFonts w:eastAsia="Times New Roman"/>
                <w:color w:val="000000"/>
                <w:sz w:val="15"/>
                <w:szCs w:val="15"/>
                <w:lang w:val="es-ES_tradnl"/>
              </w:rPr>
            </w:pPr>
            <w:r w:rsidRPr="007E07CA">
              <w:rPr>
                <w:rFonts w:eastAsia="Times New Roman"/>
                <w:color w:val="000000"/>
                <w:sz w:val="15"/>
                <w:szCs w:val="15"/>
                <w:lang w:val="es-ES_tradnl"/>
              </w:rPr>
              <w:t> </w:t>
            </w:r>
          </w:p>
        </w:tc>
        <w:tc>
          <w:tcPr>
            <w:tcW w:w="150" w:type="pct"/>
            <w:tcBorders>
              <w:top w:val="nil"/>
              <w:left w:val="nil"/>
              <w:bottom w:val="single" w:sz="4" w:space="0" w:color="auto"/>
              <w:right w:val="single" w:sz="4" w:space="0" w:color="auto"/>
            </w:tcBorders>
            <w:shd w:val="clear" w:color="auto" w:fill="auto"/>
            <w:vAlign w:val="center"/>
            <w:hideMark/>
          </w:tcPr>
          <w:p w14:paraId="33603BE2" w14:textId="77777777" w:rsidR="0069056F" w:rsidRPr="007E07CA" w:rsidRDefault="0069056F" w:rsidP="00266D1B">
            <w:pPr>
              <w:spacing w:after="0" w:line="240" w:lineRule="auto"/>
              <w:jc w:val="center"/>
              <w:rPr>
                <w:rFonts w:eastAsia="Times New Roman"/>
                <w:color w:val="000000"/>
                <w:sz w:val="15"/>
                <w:szCs w:val="15"/>
                <w:lang w:val="es-ES_tradnl"/>
              </w:rPr>
            </w:pPr>
            <w:r w:rsidRPr="007E07CA">
              <w:rPr>
                <w:rFonts w:eastAsia="Times New Roman"/>
                <w:color w:val="000000"/>
                <w:sz w:val="15"/>
                <w:szCs w:val="15"/>
                <w:lang w:val="es-ES_tradnl"/>
              </w:rPr>
              <w:t> </w:t>
            </w:r>
          </w:p>
        </w:tc>
        <w:tc>
          <w:tcPr>
            <w:tcW w:w="150" w:type="pct"/>
            <w:tcBorders>
              <w:top w:val="nil"/>
              <w:left w:val="nil"/>
              <w:bottom w:val="single" w:sz="4" w:space="0" w:color="auto"/>
              <w:right w:val="single" w:sz="4" w:space="0" w:color="auto"/>
            </w:tcBorders>
            <w:shd w:val="clear" w:color="auto" w:fill="auto"/>
            <w:vAlign w:val="center"/>
            <w:hideMark/>
          </w:tcPr>
          <w:p w14:paraId="0DE611D0" w14:textId="77777777" w:rsidR="0069056F" w:rsidRPr="007E07CA" w:rsidRDefault="0069056F" w:rsidP="00266D1B">
            <w:pPr>
              <w:spacing w:after="0" w:line="240" w:lineRule="auto"/>
              <w:jc w:val="center"/>
              <w:rPr>
                <w:rFonts w:eastAsia="Times New Roman"/>
                <w:color w:val="000000"/>
                <w:sz w:val="15"/>
                <w:szCs w:val="15"/>
                <w:lang w:val="es-ES_tradnl"/>
              </w:rPr>
            </w:pPr>
            <w:r w:rsidRPr="007E07CA">
              <w:rPr>
                <w:rFonts w:eastAsia="Times New Roman"/>
                <w:color w:val="000000"/>
                <w:sz w:val="15"/>
                <w:szCs w:val="15"/>
                <w:lang w:val="es-ES_tradnl"/>
              </w:rPr>
              <w:t> </w:t>
            </w:r>
          </w:p>
        </w:tc>
        <w:tc>
          <w:tcPr>
            <w:tcW w:w="150" w:type="pct"/>
            <w:tcBorders>
              <w:top w:val="nil"/>
              <w:left w:val="nil"/>
              <w:bottom w:val="single" w:sz="4" w:space="0" w:color="auto"/>
              <w:right w:val="single" w:sz="4" w:space="0" w:color="auto"/>
            </w:tcBorders>
            <w:shd w:val="clear" w:color="auto" w:fill="auto"/>
            <w:vAlign w:val="center"/>
            <w:hideMark/>
          </w:tcPr>
          <w:p w14:paraId="4E4621B1" w14:textId="77777777" w:rsidR="0069056F" w:rsidRPr="007E07CA" w:rsidRDefault="0069056F" w:rsidP="00266D1B">
            <w:pPr>
              <w:spacing w:after="0" w:line="240" w:lineRule="auto"/>
              <w:jc w:val="center"/>
              <w:rPr>
                <w:rFonts w:eastAsia="Times New Roman"/>
                <w:color w:val="000000"/>
                <w:sz w:val="15"/>
                <w:szCs w:val="15"/>
                <w:lang w:val="es-ES_tradnl"/>
              </w:rPr>
            </w:pPr>
            <w:r w:rsidRPr="007E07CA">
              <w:rPr>
                <w:rFonts w:eastAsia="Times New Roman"/>
                <w:color w:val="000000"/>
                <w:sz w:val="15"/>
                <w:szCs w:val="15"/>
                <w:lang w:val="es-ES_tradnl"/>
              </w:rPr>
              <w:t> </w:t>
            </w:r>
          </w:p>
        </w:tc>
        <w:tc>
          <w:tcPr>
            <w:tcW w:w="150" w:type="pct"/>
            <w:tcBorders>
              <w:top w:val="nil"/>
              <w:left w:val="nil"/>
              <w:bottom w:val="single" w:sz="4" w:space="0" w:color="auto"/>
              <w:right w:val="single" w:sz="4" w:space="0" w:color="auto"/>
            </w:tcBorders>
            <w:shd w:val="clear" w:color="auto" w:fill="auto"/>
            <w:vAlign w:val="center"/>
            <w:hideMark/>
          </w:tcPr>
          <w:p w14:paraId="738767ED" w14:textId="77777777" w:rsidR="0069056F" w:rsidRPr="007E07CA" w:rsidRDefault="0069056F" w:rsidP="00266D1B">
            <w:pPr>
              <w:spacing w:after="0" w:line="240" w:lineRule="auto"/>
              <w:jc w:val="center"/>
              <w:rPr>
                <w:rFonts w:eastAsia="Times New Roman"/>
                <w:color w:val="000000"/>
                <w:sz w:val="15"/>
                <w:szCs w:val="15"/>
                <w:lang w:val="es-ES_tradnl"/>
              </w:rPr>
            </w:pPr>
            <w:r w:rsidRPr="007E07CA">
              <w:rPr>
                <w:rFonts w:eastAsia="Times New Roman"/>
                <w:color w:val="000000"/>
                <w:sz w:val="15"/>
                <w:szCs w:val="15"/>
                <w:lang w:val="es-ES_tradnl"/>
              </w:rPr>
              <w:t> </w:t>
            </w:r>
          </w:p>
        </w:tc>
        <w:tc>
          <w:tcPr>
            <w:tcW w:w="150" w:type="pct"/>
            <w:tcBorders>
              <w:top w:val="nil"/>
              <w:left w:val="nil"/>
              <w:bottom w:val="single" w:sz="4" w:space="0" w:color="auto"/>
              <w:right w:val="single" w:sz="4" w:space="0" w:color="auto"/>
            </w:tcBorders>
            <w:shd w:val="clear" w:color="auto" w:fill="auto"/>
            <w:vAlign w:val="center"/>
            <w:hideMark/>
          </w:tcPr>
          <w:p w14:paraId="2CAAED21" w14:textId="77777777" w:rsidR="0069056F" w:rsidRPr="007E07CA" w:rsidRDefault="0069056F" w:rsidP="00266D1B">
            <w:pPr>
              <w:spacing w:after="0" w:line="240" w:lineRule="auto"/>
              <w:jc w:val="center"/>
              <w:rPr>
                <w:rFonts w:eastAsia="Times New Roman"/>
                <w:color w:val="000000"/>
                <w:sz w:val="15"/>
                <w:szCs w:val="15"/>
                <w:lang w:val="es-ES_tradnl"/>
              </w:rPr>
            </w:pPr>
            <w:r w:rsidRPr="007E07CA">
              <w:rPr>
                <w:rFonts w:eastAsia="Times New Roman"/>
                <w:color w:val="000000"/>
                <w:sz w:val="15"/>
                <w:szCs w:val="15"/>
                <w:lang w:val="es-ES_tradnl"/>
              </w:rPr>
              <w:t> </w:t>
            </w:r>
          </w:p>
        </w:tc>
        <w:tc>
          <w:tcPr>
            <w:tcW w:w="150" w:type="pct"/>
            <w:tcBorders>
              <w:top w:val="nil"/>
              <w:left w:val="nil"/>
              <w:bottom w:val="single" w:sz="4" w:space="0" w:color="auto"/>
              <w:right w:val="single" w:sz="4" w:space="0" w:color="auto"/>
            </w:tcBorders>
            <w:shd w:val="clear" w:color="auto" w:fill="auto"/>
            <w:vAlign w:val="center"/>
            <w:hideMark/>
          </w:tcPr>
          <w:p w14:paraId="3457D265" w14:textId="77777777" w:rsidR="0069056F" w:rsidRPr="007E07CA" w:rsidRDefault="0069056F" w:rsidP="00266D1B">
            <w:pPr>
              <w:spacing w:after="0" w:line="240" w:lineRule="auto"/>
              <w:jc w:val="center"/>
              <w:rPr>
                <w:rFonts w:eastAsia="Times New Roman"/>
                <w:color w:val="000000"/>
                <w:sz w:val="15"/>
                <w:szCs w:val="15"/>
                <w:lang w:val="es-ES_tradnl"/>
              </w:rPr>
            </w:pPr>
            <w:r w:rsidRPr="007E07CA">
              <w:rPr>
                <w:rFonts w:eastAsia="Times New Roman"/>
                <w:color w:val="000000"/>
                <w:sz w:val="15"/>
                <w:szCs w:val="15"/>
                <w:lang w:val="es-ES_tradnl"/>
              </w:rPr>
              <w:t> </w:t>
            </w:r>
          </w:p>
        </w:tc>
        <w:tc>
          <w:tcPr>
            <w:tcW w:w="150" w:type="pct"/>
            <w:tcBorders>
              <w:top w:val="nil"/>
              <w:left w:val="nil"/>
              <w:bottom w:val="single" w:sz="4" w:space="0" w:color="auto"/>
              <w:right w:val="single" w:sz="4" w:space="0" w:color="auto"/>
            </w:tcBorders>
            <w:shd w:val="clear" w:color="auto" w:fill="auto"/>
            <w:vAlign w:val="center"/>
            <w:hideMark/>
          </w:tcPr>
          <w:p w14:paraId="282F4A81" w14:textId="77777777" w:rsidR="0069056F" w:rsidRPr="007E07CA" w:rsidRDefault="0069056F" w:rsidP="00266D1B">
            <w:pPr>
              <w:spacing w:after="0" w:line="240" w:lineRule="auto"/>
              <w:jc w:val="center"/>
              <w:rPr>
                <w:rFonts w:eastAsia="Times New Roman"/>
                <w:color w:val="000000"/>
                <w:sz w:val="15"/>
                <w:szCs w:val="15"/>
                <w:lang w:val="es-ES_tradnl"/>
              </w:rPr>
            </w:pPr>
            <w:r w:rsidRPr="007E07CA">
              <w:rPr>
                <w:rFonts w:eastAsia="Times New Roman"/>
                <w:color w:val="000000"/>
                <w:sz w:val="15"/>
                <w:szCs w:val="15"/>
                <w:lang w:val="es-ES_tradnl"/>
              </w:rPr>
              <w:t> </w:t>
            </w:r>
          </w:p>
        </w:tc>
        <w:tc>
          <w:tcPr>
            <w:tcW w:w="150" w:type="pct"/>
            <w:tcBorders>
              <w:top w:val="nil"/>
              <w:left w:val="nil"/>
              <w:bottom w:val="single" w:sz="4" w:space="0" w:color="auto"/>
              <w:right w:val="single" w:sz="4" w:space="0" w:color="auto"/>
            </w:tcBorders>
            <w:shd w:val="clear" w:color="auto" w:fill="auto"/>
            <w:vAlign w:val="center"/>
            <w:hideMark/>
          </w:tcPr>
          <w:p w14:paraId="3949FA39" w14:textId="77777777" w:rsidR="0069056F" w:rsidRPr="007E07CA" w:rsidRDefault="0069056F" w:rsidP="00266D1B">
            <w:pPr>
              <w:spacing w:after="0" w:line="240" w:lineRule="auto"/>
              <w:jc w:val="center"/>
              <w:rPr>
                <w:rFonts w:eastAsia="Times New Roman"/>
                <w:color w:val="000000"/>
                <w:sz w:val="15"/>
                <w:szCs w:val="15"/>
                <w:lang w:val="es-ES_tradnl"/>
              </w:rPr>
            </w:pPr>
            <w:r w:rsidRPr="007E07CA">
              <w:rPr>
                <w:rFonts w:eastAsia="Times New Roman"/>
                <w:color w:val="000000"/>
                <w:sz w:val="15"/>
                <w:szCs w:val="15"/>
                <w:lang w:val="es-ES_tradnl"/>
              </w:rPr>
              <w:t> </w:t>
            </w:r>
          </w:p>
        </w:tc>
        <w:tc>
          <w:tcPr>
            <w:tcW w:w="150" w:type="pct"/>
            <w:tcBorders>
              <w:top w:val="nil"/>
              <w:left w:val="nil"/>
              <w:bottom w:val="single" w:sz="4" w:space="0" w:color="auto"/>
              <w:right w:val="single" w:sz="4" w:space="0" w:color="auto"/>
            </w:tcBorders>
            <w:shd w:val="clear" w:color="auto" w:fill="auto"/>
            <w:vAlign w:val="center"/>
            <w:hideMark/>
          </w:tcPr>
          <w:p w14:paraId="661141DC" w14:textId="77777777" w:rsidR="0069056F" w:rsidRPr="007E07CA" w:rsidRDefault="0069056F" w:rsidP="00266D1B">
            <w:pPr>
              <w:spacing w:after="0" w:line="240" w:lineRule="auto"/>
              <w:jc w:val="center"/>
              <w:rPr>
                <w:rFonts w:eastAsia="Times New Roman"/>
                <w:color w:val="000000"/>
                <w:sz w:val="15"/>
                <w:szCs w:val="15"/>
                <w:lang w:val="es-ES_tradnl"/>
              </w:rPr>
            </w:pPr>
            <w:r w:rsidRPr="007E07CA">
              <w:rPr>
                <w:rFonts w:eastAsia="Times New Roman"/>
                <w:color w:val="000000"/>
                <w:sz w:val="15"/>
                <w:szCs w:val="15"/>
                <w:lang w:val="es-ES_tradnl"/>
              </w:rPr>
              <w:t> </w:t>
            </w:r>
          </w:p>
        </w:tc>
        <w:tc>
          <w:tcPr>
            <w:tcW w:w="150" w:type="pct"/>
            <w:tcBorders>
              <w:top w:val="nil"/>
              <w:left w:val="nil"/>
              <w:bottom w:val="single" w:sz="4" w:space="0" w:color="auto"/>
              <w:right w:val="single" w:sz="4" w:space="0" w:color="auto"/>
            </w:tcBorders>
            <w:shd w:val="clear" w:color="auto" w:fill="auto"/>
            <w:vAlign w:val="center"/>
            <w:hideMark/>
          </w:tcPr>
          <w:p w14:paraId="3F187701" w14:textId="77777777" w:rsidR="0069056F" w:rsidRPr="007E07CA" w:rsidRDefault="0069056F" w:rsidP="00266D1B">
            <w:pPr>
              <w:spacing w:after="0" w:line="240" w:lineRule="auto"/>
              <w:jc w:val="center"/>
              <w:rPr>
                <w:rFonts w:eastAsia="Times New Roman"/>
                <w:color w:val="000000"/>
                <w:sz w:val="15"/>
                <w:szCs w:val="15"/>
                <w:lang w:val="es-ES_tradnl"/>
              </w:rPr>
            </w:pPr>
            <w:r w:rsidRPr="007E07CA">
              <w:rPr>
                <w:rFonts w:eastAsia="Times New Roman"/>
                <w:color w:val="000000"/>
                <w:sz w:val="15"/>
                <w:szCs w:val="15"/>
                <w:lang w:val="es-ES_tradnl"/>
              </w:rPr>
              <w:t> </w:t>
            </w:r>
          </w:p>
        </w:tc>
        <w:tc>
          <w:tcPr>
            <w:tcW w:w="150" w:type="pct"/>
            <w:tcBorders>
              <w:top w:val="nil"/>
              <w:left w:val="nil"/>
              <w:bottom w:val="single" w:sz="4" w:space="0" w:color="auto"/>
              <w:right w:val="single" w:sz="4" w:space="0" w:color="auto"/>
            </w:tcBorders>
            <w:shd w:val="clear" w:color="auto" w:fill="auto"/>
            <w:vAlign w:val="center"/>
            <w:hideMark/>
          </w:tcPr>
          <w:p w14:paraId="289A324A" w14:textId="77777777" w:rsidR="0069056F" w:rsidRPr="007E07CA" w:rsidRDefault="0069056F" w:rsidP="00266D1B">
            <w:pPr>
              <w:spacing w:after="0" w:line="240" w:lineRule="auto"/>
              <w:jc w:val="center"/>
              <w:rPr>
                <w:rFonts w:eastAsia="Times New Roman"/>
                <w:color w:val="000000"/>
                <w:sz w:val="15"/>
                <w:szCs w:val="15"/>
                <w:lang w:val="es-ES_tradnl"/>
              </w:rPr>
            </w:pPr>
            <w:r w:rsidRPr="007E07CA">
              <w:rPr>
                <w:rFonts w:eastAsia="Times New Roman"/>
                <w:color w:val="000000"/>
                <w:sz w:val="15"/>
                <w:szCs w:val="15"/>
                <w:lang w:val="es-ES_tradnl"/>
              </w:rPr>
              <w:t> </w:t>
            </w:r>
          </w:p>
        </w:tc>
        <w:tc>
          <w:tcPr>
            <w:tcW w:w="150" w:type="pct"/>
            <w:tcBorders>
              <w:top w:val="nil"/>
              <w:left w:val="nil"/>
              <w:bottom w:val="single" w:sz="4" w:space="0" w:color="auto"/>
              <w:right w:val="single" w:sz="4" w:space="0" w:color="auto"/>
            </w:tcBorders>
            <w:shd w:val="clear" w:color="auto" w:fill="auto"/>
            <w:vAlign w:val="center"/>
            <w:hideMark/>
          </w:tcPr>
          <w:p w14:paraId="3E87FAF4" w14:textId="77777777" w:rsidR="0069056F" w:rsidRPr="007E07CA" w:rsidRDefault="0069056F" w:rsidP="00266D1B">
            <w:pPr>
              <w:spacing w:after="0" w:line="240" w:lineRule="auto"/>
              <w:jc w:val="center"/>
              <w:rPr>
                <w:rFonts w:eastAsia="Times New Roman"/>
                <w:color w:val="000000"/>
                <w:sz w:val="15"/>
                <w:szCs w:val="15"/>
                <w:lang w:val="es-ES_tradnl"/>
              </w:rPr>
            </w:pPr>
            <w:r w:rsidRPr="007E07CA">
              <w:rPr>
                <w:rFonts w:eastAsia="Times New Roman"/>
                <w:color w:val="000000"/>
                <w:sz w:val="15"/>
                <w:szCs w:val="15"/>
                <w:lang w:val="es-ES_tradnl"/>
              </w:rPr>
              <w:t> </w:t>
            </w:r>
          </w:p>
        </w:tc>
        <w:tc>
          <w:tcPr>
            <w:tcW w:w="150" w:type="pct"/>
            <w:tcBorders>
              <w:top w:val="nil"/>
              <w:left w:val="nil"/>
              <w:bottom w:val="single" w:sz="4" w:space="0" w:color="auto"/>
              <w:right w:val="single" w:sz="4" w:space="0" w:color="auto"/>
            </w:tcBorders>
            <w:shd w:val="clear" w:color="000000" w:fill="92D050"/>
            <w:vAlign w:val="center"/>
            <w:hideMark/>
          </w:tcPr>
          <w:p w14:paraId="01B333B8" w14:textId="77777777" w:rsidR="0069056F" w:rsidRPr="007E07CA" w:rsidRDefault="0069056F" w:rsidP="00266D1B">
            <w:pPr>
              <w:spacing w:after="0" w:line="240" w:lineRule="auto"/>
              <w:jc w:val="center"/>
              <w:rPr>
                <w:rFonts w:eastAsia="Times New Roman"/>
                <w:color w:val="000000"/>
                <w:sz w:val="15"/>
                <w:szCs w:val="15"/>
                <w:lang w:val="es-ES_tradnl"/>
              </w:rPr>
            </w:pPr>
            <w:r w:rsidRPr="007E07CA">
              <w:rPr>
                <w:rFonts w:eastAsia="Times New Roman"/>
                <w:color w:val="000000"/>
                <w:sz w:val="15"/>
                <w:szCs w:val="15"/>
                <w:lang w:val="es-ES_tradnl"/>
              </w:rPr>
              <w:t> </w:t>
            </w:r>
          </w:p>
        </w:tc>
        <w:tc>
          <w:tcPr>
            <w:tcW w:w="150" w:type="pct"/>
            <w:tcBorders>
              <w:top w:val="nil"/>
              <w:left w:val="nil"/>
              <w:bottom w:val="single" w:sz="4" w:space="0" w:color="auto"/>
              <w:right w:val="single" w:sz="4" w:space="0" w:color="auto"/>
            </w:tcBorders>
            <w:shd w:val="clear" w:color="auto" w:fill="auto"/>
            <w:vAlign w:val="center"/>
            <w:hideMark/>
          </w:tcPr>
          <w:p w14:paraId="52D3BB7C" w14:textId="77777777" w:rsidR="0069056F" w:rsidRPr="007E07CA" w:rsidRDefault="0069056F" w:rsidP="00266D1B">
            <w:pPr>
              <w:spacing w:after="0" w:line="240" w:lineRule="auto"/>
              <w:jc w:val="center"/>
              <w:rPr>
                <w:rFonts w:eastAsia="Times New Roman"/>
                <w:color w:val="000000"/>
                <w:sz w:val="15"/>
                <w:szCs w:val="15"/>
                <w:lang w:val="es-ES_tradnl"/>
              </w:rPr>
            </w:pPr>
            <w:r w:rsidRPr="007E07CA">
              <w:rPr>
                <w:rFonts w:eastAsia="Times New Roman"/>
                <w:color w:val="000000"/>
                <w:sz w:val="15"/>
                <w:szCs w:val="15"/>
                <w:lang w:val="es-ES_tradnl"/>
              </w:rPr>
              <w:t> </w:t>
            </w:r>
          </w:p>
        </w:tc>
        <w:tc>
          <w:tcPr>
            <w:tcW w:w="150" w:type="pct"/>
            <w:tcBorders>
              <w:top w:val="nil"/>
              <w:left w:val="nil"/>
              <w:bottom w:val="single" w:sz="4" w:space="0" w:color="auto"/>
              <w:right w:val="single" w:sz="4" w:space="0" w:color="auto"/>
            </w:tcBorders>
            <w:shd w:val="clear" w:color="auto" w:fill="auto"/>
            <w:vAlign w:val="center"/>
            <w:hideMark/>
          </w:tcPr>
          <w:p w14:paraId="1FCC733F" w14:textId="77777777" w:rsidR="0069056F" w:rsidRPr="007E07CA" w:rsidRDefault="0069056F" w:rsidP="00266D1B">
            <w:pPr>
              <w:spacing w:after="0" w:line="240" w:lineRule="auto"/>
              <w:jc w:val="center"/>
              <w:rPr>
                <w:rFonts w:eastAsia="Times New Roman"/>
                <w:color w:val="000000"/>
                <w:sz w:val="15"/>
                <w:szCs w:val="15"/>
                <w:lang w:val="es-ES_tradnl"/>
              </w:rPr>
            </w:pPr>
            <w:r w:rsidRPr="007E07CA">
              <w:rPr>
                <w:rFonts w:eastAsia="Times New Roman"/>
                <w:color w:val="000000"/>
                <w:sz w:val="15"/>
                <w:szCs w:val="15"/>
                <w:lang w:val="es-ES_tradnl"/>
              </w:rPr>
              <w:t> </w:t>
            </w:r>
          </w:p>
        </w:tc>
        <w:tc>
          <w:tcPr>
            <w:tcW w:w="439" w:type="pct"/>
            <w:tcBorders>
              <w:top w:val="nil"/>
              <w:left w:val="nil"/>
              <w:bottom w:val="single" w:sz="4" w:space="0" w:color="auto"/>
              <w:right w:val="single" w:sz="4" w:space="0" w:color="auto"/>
            </w:tcBorders>
            <w:shd w:val="clear" w:color="auto" w:fill="auto"/>
            <w:vAlign w:val="center"/>
            <w:hideMark/>
          </w:tcPr>
          <w:p w14:paraId="016DF149" w14:textId="77777777" w:rsidR="0069056F" w:rsidRPr="00127372" w:rsidRDefault="0069056F" w:rsidP="00266D1B">
            <w:pPr>
              <w:spacing w:after="0" w:line="240" w:lineRule="auto"/>
              <w:jc w:val="center"/>
              <w:rPr>
                <w:rFonts w:eastAsia="Times New Roman"/>
                <w:color w:val="000000"/>
                <w:sz w:val="15"/>
                <w:szCs w:val="15"/>
              </w:rPr>
            </w:pPr>
            <w:r w:rsidRPr="00127372">
              <w:rPr>
                <w:rFonts w:eastAsia="Times New Roman"/>
                <w:color w:val="000000"/>
                <w:sz w:val="15"/>
                <w:szCs w:val="15"/>
              </w:rPr>
              <w:t>BID</w:t>
            </w:r>
          </w:p>
        </w:tc>
        <w:tc>
          <w:tcPr>
            <w:tcW w:w="356" w:type="pct"/>
            <w:tcBorders>
              <w:top w:val="nil"/>
              <w:left w:val="nil"/>
              <w:bottom w:val="single" w:sz="4" w:space="0" w:color="auto"/>
              <w:right w:val="single" w:sz="4" w:space="0" w:color="auto"/>
            </w:tcBorders>
            <w:shd w:val="clear" w:color="auto" w:fill="auto"/>
            <w:vAlign w:val="center"/>
            <w:hideMark/>
          </w:tcPr>
          <w:p w14:paraId="71CE363D" w14:textId="77777777" w:rsidR="0069056F" w:rsidRPr="00127372" w:rsidRDefault="0069056F" w:rsidP="00266D1B">
            <w:pPr>
              <w:spacing w:after="0" w:line="240" w:lineRule="auto"/>
              <w:jc w:val="center"/>
              <w:rPr>
                <w:rFonts w:eastAsia="Times New Roman"/>
                <w:color w:val="000000"/>
                <w:sz w:val="15"/>
                <w:szCs w:val="15"/>
              </w:rPr>
            </w:pPr>
            <w:r w:rsidRPr="00127372">
              <w:rPr>
                <w:rFonts w:eastAsia="Times New Roman"/>
                <w:color w:val="000000"/>
                <w:sz w:val="15"/>
                <w:szCs w:val="15"/>
              </w:rPr>
              <w:t xml:space="preserve">$2,000.00 </w:t>
            </w:r>
          </w:p>
        </w:tc>
        <w:tc>
          <w:tcPr>
            <w:tcW w:w="458" w:type="pct"/>
            <w:tcBorders>
              <w:top w:val="nil"/>
              <w:left w:val="nil"/>
              <w:bottom w:val="single" w:sz="4" w:space="0" w:color="auto"/>
              <w:right w:val="single" w:sz="4" w:space="0" w:color="auto"/>
            </w:tcBorders>
            <w:shd w:val="clear" w:color="auto" w:fill="auto"/>
            <w:vAlign w:val="center"/>
            <w:hideMark/>
          </w:tcPr>
          <w:p w14:paraId="0F03AF43" w14:textId="77777777" w:rsidR="0069056F" w:rsidRPr="00127372" w:rsidRDefault="0069056F" w:rsidP="00266D1B">
            <w:pPr>
              <w:spacing w:after="0" w:line="240" w:lineRule="auto"/>
              <w:jc w:val="center"/>
              <w:rPr>
                <w:rFonts w:eastAsia="Times New Roman"/>
                <w:color w:val="000000"/>
                <w:sz w:val="15"/>
                <w:szCs w:val="15"/>
              </w:rPr>
            </w:pPr>
            <w:r w:rsidRPr="00127372">
              <w:rPr>
                <w:rFonts w:eastAsia="Times New Roman"/>
                <w:color w:val="000000"/>
                <w:sz w:val="15"/>
                <w:szCs w:val="15"/>
              </w:rPr>
              <w:t>BID</w:t>
            </w:r>
          </w:p>
        </w:tc>
      </w:tr>
      <w:tr w:rsidR="0069056F" w:rsidRPr="00127372" w14:paraId="54A020A7" w14:textId="77777777" w:rsidTr="00266D1B">
        <w:trPr>
          <w:trHeight w:val="285"/>
        </w:trPr>
        <w:tc>
          <w:tcPr>
            <w:tcW w:w="1351" w:type="pct"/>
            <w:tcBorders>
              <w:top w:val="nil"/>
              <w:left w:val="single" w:sz="4" w:space="0" w:color="auto"/>
              <w:bottom w:val="single" w:sz="4" w:space="0" w:color="auto"/>
              <w:right w:val="single" w:sz="4" w:space="0" w:color="auto"/>
            </w:tcBorders>
            <w:shd w:val="clear" w:color="auto" w:fill="auto"/>
            <w:vAlign w:val="center"/>
            <w:hideMark/>
          </w:tcPr>
          <w:p w14:paraId="644102DB" w14:textId="77777777" w:rsidR="0069056F" w:rsidRPr="007E07CA" w:rsidRDefault="0069056F" w:rsidP="00266D1B">
            <w:pPr>
              <w:spacing w:after="0" w:line="240" w:lineRule="auto"/>
              <w:jc w:val="right"/>
              <w:rPr>
                <w:rFonts w:eastAsia="Times New Roman"/>
                <w:color w:val="000000"/>
                <w:sz w:val="15"/>
                <w:szCs w:val="15"/>
                <w:lang w:val="es-ES_tradnl"/>
              </w:rPr>
            </w:pPr>
            <w:r w:rsidRPr="007E07CA">
              <w:rPr>
                <w:rFonts w:eastAsia="Times New Roman"/>
                <w:color w:val="000000"/>
                <w:sz w:val="15"/>
                <w:szCs w:val="15"/>
                <w:lang w:val="es-ES_tradnl"/>
              </w:rPr>
              <w:t xml:space="preserve">Recopilación y análisis de información </w:t>
            </w:r>
          </w:p>
        </w:tc>
        <w:tc>
          <w:tcPr>
            <w:tcW w:w="150" w:type="pct"/>
            <w:tcBorders>
              <w:top w:val="nil"/>
              <w:left w:val="nil"/>
              <w:bottom w:val="single" w:sz="4" w:space="0" w:color="auto"/>
              <w:right w:val="single" w:sz="4" w:space="0" w:color="auto"/>
            </w:tcBorders>
            <w:shd w:val="clear" w:color="auto" w:fill="auto"/>
            <w:vAlign w:val="center"/>
            <w:hideMark/>
          </w:tcPr>
          <w:p w14:paraId="2D177EE0" w14:textId="77777777" w:rsidR="0069056F" w:rsidRPr="007E07CA" w:rsidRDefault="0069056F" w:rsidP="00266D1B">
            <w:pPr>
              <w:spacing w:after="0" w:line="240" w:lineRule="auto"/>
              <w:jc w:val="center"/>
              <w:rPr>
                <w:rFonts w:eastAsia="Times New Roman"/>
                <w:color w:val="000000"/>
                <w:sz w:val="15"/>
                <w:szCs w:val="15"/>
                <w:lang w:val="es-ES_tradnl"/>
              </w:rPr>
            </w:pPr>
            <w:r w:rsidRPr="007E07CA">
              <w:rPr>
                <w:rFonts w:eastAsia="Times New Roman"/>
                <w:color w:val="000000"/>
                <w:sz w:val="15"/>
                <w:szCs w:val="15"/>
                <w:lang w:val="es-ES_tradnl"/>
              </w:rPr>
              <w:t> </w:t>
            </w:r>
          </w:p>
        </w:tc>
        <w:tc>
          <w:tcPr>
            <w:tcW w:w="150" w:type="pct"/>
            <w:tcBorders>
              <w:top w:val="nil"/>
              <w:left w:val="nil"/>
              <w:bottom w:val="single" w:sz="4" w:space="0" w:color="auto"/>
              <w:right w:val="single" w:sz="4" w:space="0" w:color="auto"/>
            </w:tcBorders>
            <w:shd w:val="clear" w:color="auto" w:fill="auto"/>
            <w:vAlign w:val="center"/>
            <w:hideMark/>
          </w:tcPr>
          <w:p w14:paraId="796B1FC1" w14:textId="77777777" w:rsidR="0069056F" w:rsidRPr="007E07CA" w:rsidRDefault="0069056F" w:rsidP="00266D1B">
            <w:pPr>
              <w:spacing w:after="0" w:line="240" w:lineRule="auto"/>
              <w:jc w:val="center"/>
              <w:rPr>
                <w:rFonts w:eastAsia="Times New Roman"/>
                <w:color w:val="000000"/>
                <w:sz w:val="15"/>
                <w:szCs w:val="15"/>
                <w:lang w:val="es-ES_tradnl"/>
              </w:rPr>
            </w:pPr>
            <w:r w:rsidRPr="007E07CA">
              <w:rPr>
                <w:rFonts w:eastAsia="Times New Roman"/>
                <w:color w:val="000000"/>
                <w:sz w:val="15"/>
                <w:szCs w:val="15"/>
                <w:lang w:val="es-ES_tradnl"/>
              </w:rPr>
              <w:t> </w:t>
            </w:r>
          </w:p>
        </w:tc>
        <w:tc>
          <w:tcPr>
            <w:tcW w:w="150" w:type="pct"/>
            <w:tcBorders>
              <w:top w:val="nil"/>
              <w:left w:val="nil"/>
              <w:bottom w:val="single" w:sz="4" w:space="0" w:color="auto"/>
              <w:right w:val="single" w:sz="4" w:space="0" w:color="auto"/>
            </w:tcBorders>
            <w:shd w:val="clear" w:color="auto" w:fill="auto"/>
            <w:vAlign w:val="center"/>
            <w:hideMark/>
          </w:tcPr>
          <w:p w14:paraId="1DAE1ACA" w14:textId="77777777" w:rsidR="0069056F" w:rsidRPr="007E07CA" w:rsidRDefault="0069056F" w:rsidP="00266D1B">
            <w:pPr>
              <w:spacing w:after="0" w:line="240" w:lineRule="auto"/>
              <w:jc w:val="center"/>
              <w:rPr>
                <w:rFonts w:eastAsia="Times New Roman"/>
                <w:color w:val="000000"/>
                <w:sz w:val="15"/>
                <w:szCs w:val="15"/>
                <w:lang w:val="es-ES_tradnl"/>
              </w:rPr>
            </w:pPr>
            <w:r w:rsidRPr="007E07CA">
              <w:rPr>
                <w:rFonts w:eastAsia="Times New Roman"/>
                <w:color w:val="000000"/>
                <w:sz w:val="15"/>
                <w:szCs w:val="15"/>
                <w:lang w:val="es-ES_tradnl"/>
              </w:rPr>
              <w:t> </w:t>
            </w:r>
          </w:p>
        </w:tc>
        <w:tc>
          <w:tcPr>
            <w:tcW w:w="150" w:type="pct"/>
            <w:tcBorders>
              <w:top w:val="nil"/>
              <w:left w:val="nil"/>
              <w:bottom w:val="single" w:sz="4" w:space="0" w:color="auto"/>
              <w:right w:val="single" w:sz="4" w:space="0" w:color="auto"/>
            </w:tcBorders>
            <w:shd w:val="clear" w:color="auto" w:fill="auto"/>
            <w:vAlign w:val="center"/>
            <w:hideMark/>
          </w:tcPr>
          <w:p w14:paraId="3B466B9C" w14:textId="77777777" w:rsidR="0069056F" w:rsidRPr="007E07CA" w:rsidRDefault="0069056F" w:rsidP="00266D1B">
            <w:pPr>
              <w:spacing w:after="0" w:line="240" w:lineRule="auto"/>
              <w:jc w:val="center"/>
              <w:rPr>
                <w:rFonts w:eastAsia="Times New Roman"/>
                <w:color w:val="000000"/>
                <w:sz w:val="15"/>
                <w:szCs w:val="15"/>
                <w:lang w:val="es-ES_tradnl"/>
              </w:rPr>
            </w:pPr>
            <w:r w:rsidRPr="007E07CA">
              <w:rPr>
                <w:rFonts w:eastAsia="Times New Roman"/>
                <w:color w:val="000000"/>
                <w:sz w:val="15"/>
                <w:szCs w:val="15"/>
                <w:lang w:val="es-ES_tradnl"/>
              </w:rPr>
              <w:t> </w:t>
            </w:r>
          </w:p>
        </w:tc>
        <w:tc>
          <w:tcPr>
            <w:tcW w:w="150" w:type="pct"/>
            <w:tcBorders>
              <w:top w:val="nil"/>
              <w:left w:val="nil"/>
              <w:bottom w:val="single" w:sz="4" w:space="0" w:color="auto"/>
              <w:right w:val="single" w:sz="4" w:space="0" w:color="auto"/>
            </w:tcBorders>
            <w:shd w:val="clear" w:color="auto" w:fill="auto"/>
            <w:vAlign w:val="center"/>
            <w:hideMark/>
          </w:tcPr>
          <w:p w14:paraId="179B0A4E" w14:textId="77777777" w:rsidR="0069056F" w:rsidRPr="007E07CA" w:rsidRDefault="0069056F" w:rsidP="00266D1B">
            <w:pPr>
              <w:spacing w:after="0" w:line="240" w:lineRule="auto"/>
              <w:jc w:val="center"/>
              <w:rPr>
                <w:rFonts w:eastAsia="Times New Roman"/>
                <w:color w:val="000000"/>
                <w:sz w:val="15"/>
                <w:szCs w:val="15"/>
                <w:lang w:val="es-ES_tradnl"/>
              </w:rPr>
            </w:pPr>
            <w:r w:rsidRPr="007E07CA">
              <w:rPr>
                <w:rFonts w:eastAsia="Times New Roman"/>
                <w:color w:val="000000"/>
                <w:sz w:val="15"/>
                <w:szCs w:val="15"/>
                <w:lang w:val="es-ES_tradnl"/>
              </w:rPr>
              <w:t> </w:t>
            </w:r>
          </w:p>
        </w:tc>
        <w:tc>
          <w:tcPr>
            <w:tcW w:w="150" w:type="pct"/>
            <w:tcBorders>
              <w:top w:val="nil"/>
              <w:left w:val="nil"/>
              <w:bottom w:val="single" w:sz="4" w:space="0" w:color="auto"/>
              <w:right w:val="single" w:sz="4" w:space="0" w:color="auto"/>
            </w:tcBorders>
            <w:shd w:val="clear" w:color="auto" w:fill="auto"/>
            <w:vAlign w:val="center"/>
            <w:hideMark/>
          </w:tcPr>
          <w:p w14:paraId="31E70284" w14:textId="77777777" w:rsidR="0069056F" w:rsidRPr="007E07CA" w:rsidRDefault="0069056F" w:rsidP="00266D1B">
            <w:pPr>
              <w:spacing w:after="0" w:line="240" w:lineRule="auto"/>
              <w:jc w:val="center"/>
              <w:rPr>
                <w:rFonts w:eastAsia="Times New Roman"/>
                <w:color w:val="000000"/>
                <w:sz w:val="15"/>
                <w:szCs w:val="15"/>
                <w:lang w:val="es-ES_tradnl"/>
              </w:rPr>
            </w:pPr>
            <w:r w:rsidRPr="007E07CA">
              <w:rPr>
                <w:rFonts w:eastAsia="Times New Roman"/>
                <w:color w:val="000000"/>
                <w:sz w:val="15"/>
                <w:szCs w:val="15"/>
                <w:lang w:val="es-ES_tradnl"/>
              </w:rPr>
              <w:t> </w:t>
            </w:r>
          </w:p>
        </w:tc>
        <w:tc>
          <w:tcPr>
            <w:tcW w:w="150" w:type="pct"/>
            <w:tcBorders>
              <w:top w:val="nil"/>
              <w:left w:val="nil"/>
              <w:bottom w:val="single" w:sz="4" w:space="0" w:color="auto"/>
              <w:right w:val="single" w:sz="4" w:space="0" w:color="auto"/>
            </w:tcBorders>
            <w:shd w:val="clear" w:color="auto" w:fill="auto"/>
            <w:vAlign w:val="center"/>
            <w:hideMark/>
          </w:tcPr>
          <w:p w14:paraId="065853EE" w14:textId="77777777" w:rsidR="0069056F" w:rsidRPr="007E07CA" w:rsidRDefault="0069056F" w:rsidP="00266D1B">
            <w:pPr>
              <w:spacing w:after="0" w:line="240" w:lineRule="auto"/>
              <w:jc w:val="center"/>
              <w:rPr>
                <w:rFonts w:eastAsia="Times New Roman"/>
                <w:color w:val="000000"/>
                <w:sz w:val="15"/>
                <w:szCs w:val="15"/>
                <w:lang w:val="es-ES_tradnl"/>
              </w:rPr>
            </w:pPr>
            <w:r w:rsidRPr="007E07CA">
              <w:rPr>
                <w:rFonts w:eastAsia="Times New Roman"/>
                <w:color w:val="000000"/>
                <w:sz w:val="15"/>
                <w:szCs w:val="15"/>
                <w:lang w:val="es-ES_tradnl"/>
              </w:rPr>
              <w:t> </w:t>
            </w:r>
          </w:p>
        </w:tc>
        <w:tc>
          <w:tcPr>
            <w:tcW w:w="150" w:type="pct"/>
            <w:tcBorders>
              <w:top w:val="nil"/>
              <w:left w:val="nil"/>
              <w:bottom w:val="single" w:sz="4" w:space="0" w:color="auto"/>
              <w:right w:val="single" w:sz="4" w:space="0" w:color="auto"/>
            </w:tcBorders>
            <w:shd w:val="clear" w:color="auto" w:fill="auto"/>
            <w:vAlign w:val="center"/>
            <w:hideMark/>
          </w:tcPr>
          <w:p w14:paraId="05987A00" w14:textId="77777777" w:rsidR="0069056F" w:rsidRPr="007E07CA" w:rsidRDefault="0069056F" w:rsidP="00266D1B">
            <w:pPr>
              <w:spacing w:after="0" w:line="240" w:lineRule="auto"/>
              <w:jc w:val="center"/>
              <w:rPr>
                <w:rFonts w:eastAsia="Times New Roman"/>
                <w:color w:val="000000"/>
                <w:sz w:val="15"/>
                <w:szCs w:val="15"/>
                <w:lang w:val="es-ES_tradnl"/>
              </w:rPr>
            </w:pPr>
            <w:r w:rsidRPr="007E07CA">
              <w:rPr>
                <w:rFonts w:eastAsia="Times New Roman"/>
                <w:color w:val="000000"/>
                <w:sz w:val="15"/>
                <w:szCs w:val="15"/>
                <w:lang w:val="es-ES_tradnl"/>
              </w:rPr>
              <w:t> </w:t>
            </w:r>
          </w:p>
        </w:tc>
        <w:tc>
          <w:tcPr>
            <w:tcW w:w="150" w:type="pct"/>
            <w:tcBorders>
              <w:top w:val="nil"/>
              <w:left w:val="nil"/>
              <w:bottom w:val="single" w:sz="4" w:space="0" w:color="auto"/>
              <w:right w:val="single" w:sz="4" w:space="0" w:color="auto"/>
            </w:tcBorders>
            <w:shd w:val="clear" w:color="auto" w:fill="auto"/>
            <w:vAlign w:val="center"/>
            <w:hideMark/>
          </w:tcPr>
          <w:p w14:paraId="458D0FBE" w14:textId="77777777" w:rsidR="0069056F" w:rsidRPr="007E07CA" w:rsidRDefault="0069056F" w:rsidP="00266D1B">
            <w:pPr>
              <w:spacing w:after="0" w:line="240" w:lineRule="auto"/>
              <w:jc w:val="center"/>
              <w:rPr>
                <w:rFonts w:eastAsia="Times New Roman"/>
                <w:color w:val="000000"/>
                <w:sz w:val="15"/>
                <w:szCs w:val="15"/>
                <w:lang w:val="es-ES_tradnl"/>
              </w:rPr>
            </w:pPr>
            <w:r w:rsidRPr="007E07CA">
              <w:rPr>
                <w:rFonts w:eastAsia="Times New Roman"/>
                <w:color w:val="000000"/>
                <w:sz w:val="15"/>
                <w:szCs w:val="15"/>
                <w:lang w:val="es-ES_tradnl"/>
              </w:rPr>
              <w:t> </w:t>
            </w:r>
          </w:p>
        </w:tc>
        <w:tc>
          <w:tcPr>
            <w:tcW w:w="150" w:type="pct"/>
            <w:tcBorders>
              <w:top w:val="nil"/>
              <w:left w:val="nil"/>
              <w:bottom w:val="single" w:sz="4" w:space="0" w:color="auto"/>
              <w:right w:val="single" w:sz="4" w:space="0" w:color="auto"/>
            </w:tcBorders>
            <w:shd w:val="clear" w:color="auto" w:fill="auto"/>
            <w:vAlign w:val="center"/>
            <w:hideMark/>
          </w:tcPr>
          <w:p w14:paraId="4FA1B946" w14:textId="77777777" w:rsidR="0069056F" w:rsidRPr="007E07CA" w:rsidRDefault="0069056F" w:rsidP="00266D1B">
            <w:pPr>
              <w:spacing w:after="0" w:line="240" w:lineRule="auto"/>
              <w:jc w:val="center"/>
              <w:rPr>
                <w:rFonts w:eastAsia="Times New Roman"/>
                <w:color w:val="000000"/>
                <w:sz w:val="15"/>
                <w:szCs w:val="15"/>
                <w:lang w:val="es-ES_tradnl"/>
              </w:rPr>
            </w:pPr>
            <w:r w:rsidRPr="007E07CA">
              <w:rPr>
                <w:rFonts w:eastAsia="Times New Roman"/>
                <w:color w:val="000000"/>
                <w:sz w:val="15"/>
                <w:szCs w:val="15"/>
                <w:lang w:val="es-ES_tradnl"/>
              </w:rPr>
              <w:t> </w:t>
            </w:r>
          </w:p>
        </w:tc>
        <w:tc>
          <w:tcPr>
            <w:tcW w:w="150" w:type="pct"/>
            <w:tcBorders>
              <w:top w:val="nil"/>
              <w:left w:val="nil"/>
              <w:bottom w:val="single" w:sz="4" w:space="0" w:color="auto"/>
              <w:right w:val="single" w:sz="4" w:space="0" w:color="auto"/>
            </w:tcBorders>
            <w:shd w:val="clear" w:color="auto" w:fill="auto"/>
            <w:vAlign w:val="center"/>
            <w:hideMark/>
          </w:tcPr>
          <w:p w14:paraId="0A4D96B0" w14:textId="77777777" w:rsidR="0069056F" w:rsidRPr="007E07CA" w:rsidRDefault="0069056F" w:rsidP="00266D1B">
            <w:pPr>
              <w:spacing w:after="0" w:line="240" w:lineRule="auto"/>
              <w:jc w:val="center"/>
              <w:rPr>
                <w:rFonts w:eastAsia="Times New Roman"/>
                <w:color w:val="000000"/>
                <w:sz w:val="15"/>
                <w:szCs w:val="15"/>
                <w:lang w:val="es-ES_tradnl"/>
              </w:rPr>
            </w:pPr>
            <w:r w:rsidRPr="007E07CA">
              <w:rPr>
                <w:rFonts w:eastAsia="Times New Roman"/>
                <w:color w:val="000000"/>
                <w:sz w:val="15"/>
                <w:szCs w:val="15"/>
                <w:lang w:val="es-ES_tradnl"/>
              </w:rPr>
              <w:t> </w:t>
            </w:r>
          </w:p>
        </w:tc>
        <w:tc>
          <w:tcPr>
            <w:tcW w:w="150" w:type="pct"/>
            <w:tcBorders>
              <w:top w:val="nil"/>
              <w:left w:val="nil"/>
              <w:bottom w:val="single" w:sz="4" w:space="0" w:color="auto"/>
              <w:right w:val="single" w:sz="4" w:space="0" w:color="auto"/>
            </w:tcBorders>
            <w:shd w:val="clear" w:color="auto" w:fill="auto"/>
            <w:vAlign w:val="center"/>
            <w:hideMark/>
          </w:tcPr>
          <w:p w14:paraId="5D9A92C3" w14:textId="77777777" w:rsidR="0069056F" w:rsidRPr="007E07CA" w:rsidRDefault="0069056F" w:rsidP="00266D1B">
            <w:pPr>
              <w:spacing w:after="0" w:line="240" w:lineRule="auto"/>
              <w:jc w:val="center"/>
              <w:rPr>
                <w:rFonts w:eastAsia="Times New Roman"/>
                <w:color w:val="000000"/>
                <w:sz w:val="15"/>
                <w:szCs w:val="15"/>
                <w:lang w:val="es-ES_tradnl"/>
              </w:rPr>
            </w:pPr>
            <w:r w:rsidRPr="007E07CA">
              <w:rPr>
                <w:rFonts w:eastAsia="Times New Roman"/>
                <w:color w:val="000000"/>
                <w:sz w:val="15"/>
                <w:szCs w:val="15"/>
                <w:lang w:val="es-ES_tradnl"/>
              </w:rPr>
              <w:t> </w:t>
            </w:r>
          </w:p>
        </w:tc>
        <w:tc>
          <w:tcPr>
            <w:tcW w:w="150" w:type="pct"/>
            <w:tcBorders>
              <w:top w:val="nil"/>
              <w:left w:val="nil"/>
              <w:bottom w:val="single" w:sz="4" w:space="0" w:color="auto"/>
              <w:right w:val="single" w:sz="4" w:space="0" w:color="auto"/>
            </w:tcBorders>
            <w:shd w:val="clear" w:color="auto" w:fill="auto"/>
            <w:vAlign w:val="center"/>
            <w:hideMark/>
          </w:tcPr>
          <w:p w14:paraId="0DFD1EDB" w14:textId="77777777" w:rsidR="0069056F" w:rsidRPr="007E07CA" w:rsidRDefault="0069056F" w:rsidP="00266D1B">
            <w:pPr>
              <w:spacing w:after="0" w:line="240" w:lineRule="auto"/>
              <w:jc w:val="center"/>
              <w:rPr>
                <w:rFonts w:eastAsia="Times New Roman"/>
                <w:color w:val="000000"/>
                <w:sz w:val="15"/>
                <w:szCs w:val="15"/>
                <w:lang w:val="es-ES_tradnl"/>
              </w:rPr>
            </w:pPr>
            <w:r w:rsidRPr="007E07CA">
              <w:rPr>
                <w:rFonts w:eastAsia="Times New Roman"/>
                <w:color w:val="000000"/>
                <w:sz w:val="15"/>
                <w:szCs w:val="15"/>
                <w:lang w:val="es-ES_tradnl"/>
              </w:rPr>
              <w:t> </w:t>
            </w:r>
          </w:p>
        </w:tc>
        <w:tc>
          <w:tcPr>
            <w:tcW w:w="150" w:type="pct"/>
            <w:tcBorders>
              <w:top w:val="nil"/>
              <w:left w:val="nil"/>
              <w:bottom w:val="single" w:sz="4" w:space="0" w:color="auto"/>
              <w:right w:val="single" w:sz="4" w:space="0" w:color="auto"/>
            </w:tcBorders>
            <w:shd w:val="clear" w:color="000000" w:fill="92D050"/>
            <w:vAlign w:val="center"/>
            <w:hideMark/>
          </w:tcPr>
          <w:p w14:paraId="42956D22" w14:textId="77777777" w:rsidR="0069056F" w:rsidRPr="007E07CA" w:rsidRDefault="0069056F" w:rsidP="00266D1B">
            <w:pPr>
              <w:spacing w:after="0" w:line="240" w:lineRule="auto"/>
              <w:jc w:val="center"/>
              <w:rPr>
                <w:rFonts w:eastAsia="Times New Roman"/>
                <w:color w:val="000000"/>
                <w:sz w:val="15"/>
                <w:szCs w:val="15"/>
                <w:lang w:val="es-ES_tradnl"/>
              </w:rPr>
            </w:pPr>
            <w:r w:rsidRPr="007E07CA">
              <w:rPr>
                <w:rFonts w:eastAsia="Times New Roman"/>
                <w:color w:val="000000"/>
                <w:sz w:val="15"/>
                <w:szCs w:val="15"/>
                <w:lang w:val="es-ES_tradnl"/>
              </w:rPr>
              <w:t> </w:t>
            </w:r>
          </w:p>
        </w:tc>
        <w:tc>
          <w:tcPr>
            <w:tcW w:w="150" w:type="pct"/>
            <w:tcBorders>
              <w:top w:val="nil"/>
              <w:left w:val="nil"/>
              <w:bottom w:val="single" w:sz="4" w:space="0" w:color="auto"/>
              <w:right w:val="single" w:sz="4" w:space="0" w:color="auto"/>
            </w:tcBorders>
            <w:shd w:val="clear" w:color="000000" w:fill="92D050"/>
            <w:vAlign w:val="center"/>
            <w:hideMark/>
          </w:tcPr>
          <w:p w14:paraId="79888651" w14:textId="77777777" w:rsidR="0069056F" w:rsidRPr="007E07CA" w:rsidRDefault="0069056F" w:rsidP="00266D1B">
            <w:pPr>
              <w:spacing w:after="0" w:line="240" w:lineRule="auto"/>
              <w:jc w:val="center"/>
              <w:rPr>
                <w:rFonts w:eastAsia="Times New Roman"/>
                <w:color w:val="000000"/>
                <w:sz w:val="15"/>
                <w:szCs w:val="15"/>
                <w:lang w:val="es-ES_tradnl"/>
              </w:rPr>
            </w:pPr>
            <w:r w:rsidRPr="007E07CA">
              <w:rPr>
                <w:rFonts w:eastAsia="Times New Roman"/>
                <w:color w:val="000000"/>
                <w:sz w:val="15"/>
                <w:szCs w:val="15"/>
                <w:lang w:val="es-ES_tradnl"/>
              </w:rPr>
              <w:t> </w:t>
            </w:r>
          </w:p>
        </w:tc>
        <w:tc>
          <w:tcPr>
            <w:tcW w:w="150" w:type="pct"/>
            <w:tcBorders>
              <w:top w:val="nil"/>
              <w:left w:val="nil"/>
              <w:bottom w:val="single" w:sz="4" w:space="0" w:color="auto"/>
              <w:right w:val="single" w:sz="4" w:space="0" w:color="auto"/>
            </w:tcBorders>
            <w:shd w:val="clear" w:color="auto" w:fill="auto"/>
            <w:vAlign w:val="center"/>
            <w:hideMark/>
          </w:tcPr>
          <w:p w14:paraId="0595D0E2" w14:textId="77777777" w:rsidR="0069056F" w:rsidRPr="007E07CA" w:rsidRDefault="0069056F" w:rsidP="00266D1B">
            <w:pPr>
              <w:spacing w:after="0" w:line="240" w:lineRule="auto"/>
              <w:jc w:val="center"/>
              <w:rPr>
                <w:rFonts w:eastAsia="Times New Roman"/>
                <w:color w:val="000000"/>
                <w:sz w:val="15"/>
                <w:szCs w:val="15"/>
                <w:lang w:val="es-ES_tradnl"/>
              </w:rPr>
            </w:pPr>
            <w:r w:rsidRPr="007E07CA">
              <w:rPr>
                <w:rFonts w:eastAsia="Times New Roman"/>
                <w:color w:val="000000"/>
                <w:sz w:val="15"/>
                <w:szCs w:val="15"/>
                <w:lang w:val="es-ES_tradnl"/>
              </w:rPr>
              <w:t> </w:t>
            </w:r>
          </w:p>
        </w:tc>
        <w:tc>
          <w:tcPr>
            <w:tcW w:w="439" w:type="pct"/>
            <w:tcBorders>
              <w:top w:val="nil"/>
              <w:left w:val="nil"/>
              <w:bottom w:val="single" w:sz="4" w:space="0" w:color="auto"/>
              <w:right w:val="single" w:sz="4" w:space="0" w:color="auto"/>
            </w:tcBorders>
            <w:shd w:val="clear" w:color="auto" w:fill="auto"/>
            <w:vAlign w:val="center"/>
            <w:hideMark/>
          </w:tcPr>
          <w:p w14:paraId="5F7B2087" w14:textId="77777777" w:rsidR="0069056F" w:rsidRPr="00127372" w:rsidRDefault="0069056F" w:rsidP="00266D1B">
            <w:pPr>
              <w:spacing w:after="0" w:line="240" w:lineRule="auto"/>
              <w:jc w:val="center"/>
              <w:rPr>
                <w:rFonts w:eastAsia="Times New Roman"/>
                <w:color w:val="000000"/>
                <w:sz w:val="15"/>
                <w:szCs w:val="15"/>
              </w:rPr>
            </w:pPr>
            <w:r w:rsidRPr="00127372">
              <w:rPr>
                <w:rFonts w:eastAsia="Times New Roman"/>
                <w:color w:val="000000"/>
                <w:sz w:val="15"/>
                <w:szCs w:val="15"/>
              </w:rPr>
              <w:t>BID</w:t>
            </w:r>
          </w:p>
        </w:tc>
        <w:tc>
          <w:tcPr>
            <w:tcW w:w="356" w:type="pct"/>
            <w:tcBorders>
              <w:top w:val="nil"/>
              <w:left w:val="nil"/>
              <w:bottom w:val="single" w:sz="4" w:space="0" w:color="auto"/>
              <w:right w:val="single" w:sz="4" w:space="0" w:color="auto"/>
            </w:tcBorders>
            <w:shd w:val="clear" w:color="auto" w:fill="auto"/>
            <w:vAlign w:val="center"/>
            <w:hideMark/>
          </w:tcPr>
          <w:p w14:paraId="119BBE40" w14:textId="77777777" w:rsidR="0069056F" w:rsidRPr="00127372" w:rsidRDefault="0069056F" w:rsidP="00266D1B">
            <w:pPr>
              <w:spacing w:after="0" w:line="240" w:lineRule="auto"/>
              <w:jc w:val="center"/>
              <w:rPr>
                <w:rFonts w:eastAsia="Times New Roman"/>
                <w:color w:val="000000"/>
                <w:sz w:val="15"/>
                <w:szCs w:val="15"/>
              </w:rPr>
            </w:pPr>
            <w:r w:rsidRPr="00127372">
              <w:rPr>
                <w:rFonts w:eastAsia="Times New Roman"/>
                <w:color w:val="000000"/>
                <w:sz w:val="15"/>
                <w:szCs w:val="15"/>
              </w:rPr>
              <w:t xml:space="preserve">$10,000.00 </w:t>
            </w:r>
          </w:p>
        </w:tc>
        <w:tc>
          <w:tcPr>
            <w:tcW w:w="458" w:type="pct"/>
            <w:tcBorders>
              <w:top w:val="nil"/>
              <w:left w:val="nil"/>
              <w:bottom w:val="single" w:sz="4" w:space="0" w:color="auto"/>
              <w:right w:val="single" w:sz="4" w:space="0" w:color="auto"/>
            </w:tcBorders>
            <w:shd w:val="clear" w:color="auto" w:fill="auto"/>
            <w:vAlign w:val="center"/>
            <w:hideMark/>
          </w:tcPr>
          <w:p w14:paraId="1EDE639C" w14:textId="77777777" w:rsidR="0069056F" w:rsidRPr="00127372" w:rsidRDefault="0069056F" w:rsidP="00266D1B">
            <w:pPr>
              <w:spacing w:after="0" w:line="240" w:lineRule="auto"/>
              <w:jc w:val="center"/>
              <w:rPr>
                <w:rFonts w:eastAsia="Times New Roman"/>
                <w:color w:val="000000"/>
                <w:sz w:val="15"/>
                <w:szCs w:val="15"/>
              </w:rPr>
            </w:pPr>
            <w:r w:rsidRPr="00127372">
              <w:rPr>
                <w:rFonts w:eastAsia="Times New Roman"/>
                <w:color w:val="000000"/>
                <w:sz w:val="15"/>
                <w:szCs w:val="15"/>
              </w:rPr>
              <w:t>BID</w:t>
            </w:r>
          </w:p>
        </w:tc>
      </w:tr>
      <w:tr w:rsidR="0069056F" w:rsidRPr="00127372" w14:paraId="0F75D6BB" w14:textId="77777777" w:rsidTr="00266D1B">
        <w:trPr>
          <w:trHeight w:val="285"/>
        </w:trPr>
        <w:tc>
          <w:tcPr>
            <w:tcW w:w="1351" w:type="pct"/>
            <w:tcBorders>
              <w:top w:val="nil"/>
              <w:left w:val="single" w:sz="4" w:space="0" w:color="auto"/>
              <w:bottom w:val="single" w:sz="4" w:space="0" w:color="auto"/>
              <w:right w:val="single" w:sz="4" w:space="0" w:color="auto"/>
            </w:tcBorders>
            <w:shd w:val="clear" w:color="auto" w:fill="auto"/>
            <w:vAlign w:val="center"/>
            <w:hideMark/>
          </w:tcPr>
          <w:p w14:paraId="1E117D5D" w14:textId="77777777" w:rsidR="0069056F" w:rsidRPr="00127372" w:rsidRDefault="0069056F" w:rsidP="00266D1B">
            <w:pPr>
              <w:spacing w:after="0" w:line="240" w:lineRule="auto"/>
              <w:jc w:val="right"/>
              <w:rPr>
                <w:rFonts w:eastAsia="Times New Roman"/>
                <w:color w:val="000000"/>
                <w:sz w:val="15"/>
                <w:szCs w:val="15"/>
              </w:rPr>
            </w:pPr>
            <w:r w:rsidRPr="007E07CA">
              <w:rPr>
                <w:rFonts w:eastAsia="Times New Roman"/>
                <w:color w:val="000000"/>
                <w:sz w:val="15"/>
                <w:szCs w:val="15"/>
                <w:lang w:val="es-AR"/>
              </w:rPr>
              <w:t>Aprobación</w:t>
            </w:r>
            <w:r w:rsidRPr="00127372">
              <w:rPr>
                <w:rFonts w:eastAsia="Times New Roman"/>
                <w:color w:val="000000"/>
                <w:sz w:val="15"/>
                <w:szCs w:val="15"/>
              </w:rPr>
              <w:t xml:space="preserve"> del </w:t>
            </w:r>
            <w:r>
              <w:rPr>
                <w:rFonts w:eastAsia="Times New Roman"/>
                <w:color w:val="000000"/>
                <w:sz w:val="15"/>
                <w:szCs w:val="15"/>
                <w:lang w:val="es-ES_tradnl"/>
              </w:rPr>
              <w:t>a</w:t>
            </w:r>
            <w:r w:rsidRPr="007E07CA">
              <w:rPr>
                <w:rFonts w:eastAsia="Times New Roman"/>
                <w:color w:val="000000"/>
                <w:sz w:val="15"/>
                <w:szCs w:val="15"/>
                <w:lang w:val="es-ES_tradnl"/>
              </w:rPr>
              <w:t>nálisis</w:t>
            </w:r>
            <w:r w:rsidRPr="00127372">
              <w:rPr>
                <w:rFonts w:eastAsia="Times New Roman"/>
                <w:color w:val="000000"/>
                <w:sz w:val="15"/>
                <w:szCs w:val="15"/>
              </w:rPr>
              <w:t xml:space="preserve"> </w:t>
            </w:r>
            <w:r w:rsidRPr="007E07CA">
              <w:rPr>
                <w:rFonts w:eastAsia="Times New Roman"/>
                <w:color w:val="000000"/>
                <w:sz w:val="15"/>
                <w:szCs w:val="15"/>
                <w:lang w:val="es-ES"/>
              </w:rPr>
              <w:t>económico</w:t>
            </w:r>
            <w:r w:rsidRPr="00127372">
              <w:rPr>
                <w:rFonts w:eastAsia="Times New Roman"/>
                <w:color w:val="000000"/>
                <w:sz w:val="15"/>
                <w:szCs w:val="15"/>
              </w:rPr>
              <w:t xml:space="preserve">. </w:t>
            </w:r>
          </w:p>
        </w:tc>
        <w:tc>
          <w:tcPr>
            <w:tcW w:w="150" w:type="pct"/>
            <w:tcBorders>
              <w:top w:val="nil"/>
              <w:left w:val="nil"/>
              <w:bottom w:val="single" w:sz="4" w:space="0" w:color="auto"/>
              <w:right w:val="single" w:sz="4" w:space="0" w:color="auto"/>
            </w:tcBorders>
            <w:shd w:val="clear" w:color="auto" w:fill="auto"/>
            <w:vAlign w:val="center"/>
            <w:hideMark/>
          </w:tcPr>
          <w:p w14:paraId="20031255" w14:textId="77777777" w:rsidR="0069056F" w:rsidRPr="00127372" w:rsidRDefault="0069056F" w:rsidP="00266D1B">
            <w:pPr>
              <w:spacing w:after="0" w:line="240" w:lineRule="auto"/>
              <w:jc w:val="center"/>
              <w:rPr>
                <w:rFonts w:eastAsia="Times New Roman"/>
                <w:color w:val="000000"/>
                <w:sz w:val="15"/>
                <w:szCs w:val="15"/>
              </w:rPr>
            </w:pPr>
            <w:r w:rsidRPr="00127372">
              <w:rPr>
                <w:rFonts w:eastAsia="Times New Roman"/>
                <w:color w:val="000000"/>
                <w:sz w:val="15"/>
                <w:szCs w:val="15"/>
              </w:rPr>
              <w:t> </w:t>
            </w:r>
          </w:p>
        </w:tc>
        <w:tc>
          <w:tcPr>
            <w:tcW w:w="150" w:type="pct"/>
            <w:tcBorders>
              <w:top w:val="nil"/>
              <w:left w:val="nil"/>
              <w:bottom w:val="single" w:sz="4" w:space="0" w:color="auto"/>
              <w:right w:val="single" w:sz="4" w:space="0" w:color="auto"/>
            </w:tcBorders>
            <w:shd w:val="clear" w:color="auto" w:fill="auto"/>
            <w:vAlign w:val="center"/>
            <w:hideMark/>
          </w:tcPr>
          <w:p w14:paraId="30E30D8A" w14:textId="77777777" w:rsidR="0069056F" w:rsidRPr="00127372" w:rsidRDefault="0069056F" w:rsidP="00266D1B">
            <w:pPr>
              <w:spacing w:after="0" w:line="240" w:lineRule="auto"/>
              <w:jc w:val="center"/>
              <w:rPr>
                <w:rFonts w:eastAsia="Times New Roman"/>
                <w:color w:val="000000"/>
                <w:sz w:val="15"/>
                <w:szCs w:val="15"/>
              </w:rPr>
            </w:pPr>
            <w:r w:rsidRPr="00127372">
              <w:rPr>
                <w:rFonts w:eastAsia="Times New Roman"/>
                <w:color w:val="000000"/>
                <w:sz w:val="15"/>
                <w:szCs w:val="15"/>
              </w:rPr>
              <w:t> </w:t>
            </w:r>
          </w:p>
        </w:tc>
        <w:tc>
          <w:tcPr>
            <w:tcW w:w="150" w:type="pct"/>
            <w:tcBorders>
              <w:top w:val="nil"/>
              <w:left w:val="nil"/>
              <w:bottom w:val="single" w:sz="4" w:space="0" w:color="auto"/>
              <w:right w:val="single" w:sz="4" w:space="0" w:color="auto"/>
            </w:tcBorders>
            <w:shd w:val="clear" w:color="auto" w:fill="auto"/>
            <w:vAlign w:val="center"/>
            <w:hideMark/>
          </w:tcPr>
          <w:p w14:paraId="118B25A0" w14:textId="77777777" w:rsidR="0069056F" w:rsidRPr="00127372" w:rsidRDefault="0069056F" w:rsidP="00266D1B">
            <w:pPr>
              <w:spacing w:after="0" w:line="240" w:lineRule="auto"/>
              <w:jc w:val="center"/>
              <w:rPr>
                <w:rFonts w:eastAsia="Times New Roman"/>
                <w:color w:val="000000"/>
                <w:sz w:val="15"/>
                <w:szCs w:val="15"/>
              </w:rPr>
            </w:pPr>
            <w:r w:rsidRPr="00127372">
              <w:rPr>
                <w:rFonts w:eastAsia="Times New Roman"/>
                <w:color w:val="000000"/>
                <w:sz w:val="15"/>
                <w:szCs w:val="15"/>
              </w:rPr>
              <w:t> </w:t>
            </w:r>
          </w:p>
        </w:tc>
        <w:tc>
          <w:tcPr>
            <w:tcW w:w="150" w:type="pct"/>
            <w:tcBorders>
              <w:top w:val="nil"/>
              <w:left w:val="nil"/>
              <w:bottom w:val="single" w:sz="4" w:space="0" w:color="auto"/>
              <w:right w:val="single" w:sz="4" w:space="0" w:color="auto"/>
            </w:tcBorders>
            <w:shd w:val="clear" w:color="auto" w:fill="auto"/>
            <w:vAlign w:val="center"/>
            <w:hideMark/>
          </w:tcPr>
          <w:p w14:paraId="222F3156" w14:textId="77777777" w:rsidR="0069056F" w:rsidRPr="00127372" w:rsidRDefault="0069056F" w:rsidP="00266D1B">
            <w:pPr>
              <w:spacing w:after="0" w:line="240" w:lineRule="auto"/>
              <w:jc w:val="center"/>
              <w:rPr>
                <w:rFonts w:eastAsia="Times New Roman"/>
                <w:color w:val="000000"/>
                <w:sz w:val="15"/>
                <w:szCs w:val="15"/>
              </w:rPr>
            </w:pPr>
            <w:r w:rsidRPr="00127372">
              <w:rPr>
                <w:rFonts w:eastAsia="Times New Roman"/>
                <w:color w:val="000000"/>
                <w:sz w:val="15"/>
                <w:szCs w:val="15"/>
              </w:rPr>
              <w:t> </w:t>
            </w:r>
          </w:p>
        </w:tc>
        <w:tc>
          <w:tcPr>
            <w:tcW w:w="150" w:type="pct"/>
            <w:tcBorders>
              <w:top w:val="nil"/>
              <w:left w:val="nil"/>
              <w:bottom w:val="single" w:sz="4" w:space="0" w:color="auto"/>
              <w:right w:val="single" w:sz="4" w:space="0" w:color="auto"/>
            </w:tcBorders>
            <w:shd w:val="clear" w:color="auto" w:fill="auto"/>
            <w:vAlign w:val="center"/>
            <w:hideMark/>
          </w:tcPr>
          <w:p w14:paraId="07846B4A" w14:textId="77777777" w:rsidR="0069056F" w:rsidRPr="00127372" w:rsidRDefault="0069056F" w:rsidP="00266D1B">
            <w:pPr>
              <w:spacing w:after="0" w:line="240" w:lineRule="auto"/>
              <w:jc w:val="center"/>
              <w:rPr>
                <w:rFonts w:eastAsia="Times New Roman"/>
                <w:color w:val="000000"/>
                <w:sz w:val="15"/>
                <w:szCs w:val="15"/>
              </w:rPr>
            </w:pPr>
            <w:r w:rsidRPr="00127372">
              <w:rPr>
                <w:rFonts w:eastAsia="Times New Roman"/>
                <w:color w:val="000000"/>
                <w:sz w:val="15"/>
                <w:szCs w:val="15"/>
              </w:rPr>
              <w:t> </w:t>
            </w:r>
          </w:p>
        </w:tc>
        <w:tc>
          <w:tcPr>
            <w:tcW w:w="150" w:type="pct"/>
            <w:tcBorders>
              <w:top w:val="nil"/>
              <w:left w:val="nil"/>
              <w:bottom w:val="single" w:sz="4" w:space="0" w:color="auto"/>
              <w:right w:val="single" w:sz="4" w:space="0" w:color="auto"/>
            </w:tcBorders>
            <w:shd w:val="clear" w:color="auto" w:fill="auto"/>
            <w:vAlign w:val="center"/>
            <w:hideMark/>
          </w:tcPr>
          <w:p w14:paraId="7E14AE73" w14:textId="77777777" w:rsidR="0069056F" w:rsidRPr="00127372" w:rsidRDefault="0069056F" w:rsidP="00266D1B">
            <w:pPr>
              <w:spacing w:after="0" w:line="240" w:lineRule="auto"/>
              <w:jc w:val="center"/>
              <w:rPr>
                <w:rFonts w:eastAsia="Times New Roman"/>
                <w:color w:val="000000"/>
                <w:sz w:val="15"/>
                <w:szCs w:val="15"/>
              </w:rPr>
            </w:pPr>
            <w:r w:rsidRPr="00127372">
              <w:rPr>
                <w:rFonts w:eastAsia="Times New Roman"/>
                <w:color w:val="000000"/>
                <w:sz w:val="15"/>
                <w:szCs w:val="15"/>
              </w:rPr>
              <w:t> </w:t>
            </w:r>
          </w:p>
        </w:tc>
        <w:tc>
          <w:tcPr>
            <w:tcW w:w="150" w:type="pct"/>
            <w:tcBorders>
              <w:top w:val="nil"/>
              <w:left w:val="nil"/>
              <w:bottom w:val="single" w:sz="4" w:space="0" w:color="auto"/>
              <w:right w:val="single" w:sz="4" w:space="0" w:color="auto"/>
            </w:tcBorders>
            <w:shd w:val="clear" w:color="auto" w:fill="auto"/>
            <w:vAlign w:val="center"/>
            <w:hideMark/>
          </w:tcPr>
          <w:p w14:paraId="7A75774C" w14:textId="77777777" w:rsidR="0069056F" w:rsidRPr="00127372" w:rsidRDefault="0069056F" w:rsidP="00266D1B">
            <w:pPr>
              <w:spacing w:after="0" w:line="240" w:lineRule="auto"/>
              <w:jc w:val="center"/>
              <w:rPr>
                <w:rFonts w:eastAsia="Times New Roman"/>
                <w:color w:val="000000"/>
                <w:sz w:val="15"/>
                <w:szCs w:val="15"/>
              </w:rPr>
            </w:pPr>
            <w:r w:rsidRPr="00127372">
              <w:rPr>
                <w:rFonts w:eastAsia="Times New Roman"/>
                <w:color w:val="000000"/>
                <w:sz w:val="15"/>
                <w:szCs w:val="15"/>
              </w:rPr>
              <w:t> </w:t>
            </w:r>
          </w:p>
        </w:tc>
        <w:tc>
          <w:tcPr>
            <w:tcW w:w="150" w:type="pct"/>
            <w:tcBorders>
              <w:top w:val="nil"/>
              <w:left w:val="nil"/>
              <w:bottom w:val="single" w:sz="4" w:space="0" w:color="auto"/>
              <w:right w:val="single" w:sz="4" w:space="0" w:color="auto"/>
            </w:tcBorders>
            <w:shd w:val="clear" w:color="auto" w:fill="auto"/>
            <w:vAlign w:val="center"/>
            <w:hideMark/>
          </w:tcPr>
          <w:p w14:paraId="076E92AD" w14:textId="77777777" w:rsidR="0069056F" w:rsidRPr="00127372" w:rsidRDefault="0069056F" w:rsidP="00266D1B">
            <w:pPr>
              <w:spacing w:after="0" w:line="240" w:lineRule="auto"/>
              <w:jc w:val="center"/>
              <w:rPr>
                <w:rFonts w:eastAsia="Times New Roman"/>
                <w:color w:val="000000"/>
                <w:sz w:val="15"/>
                <w:szCs w:val="15"/>
              </w:rPr>
            </w:pPr>
            <w:r w:rsidRPr="00127372">
              <w:rPr>
                <w:rFonts w:eastAsia="Times New Roman"/>
                <w:color w:val="000000"/>
                <w:sz w:val="15"/>
                <w:szCs w:val="15"/>
              </w:rPr>
              <w:t> </w:t>
            </w:r>
          </w:p>
        </w:tc>
        <w:tc>
          <w:tcPr>
            <w:tcW w:w="150" w:type="pct"/>
            <w:tcBorders>
              <w:top w:val="nil"/>
              <w:left w:val="nil"/>
              <w:bottom w:val="single" w:sz="4" w:space="0" w:color="auto"/>
              <w:right w:val="single" w:sz="4" w:space="0" w:color="auto"/>
            </w:tcBorders>
            <w:shd w:val="clear" w:color="auto" w:fill="auto"/>
            <w:vAlign w:val="center"/>
            <w:hideMark/>
          </w:tcPr>
          <w:p w14:paraId="37FDB843" w14:textId="77777777" w:rsidR="0069056F" w:rsidRPr="00127372" w:rsidRDefault="0069056F" w:rsidP="00266D1B">
            <w:pPr>
              <w:spacing w:after="0" w:line="240" w:lineRule="auto"/>
              <w:jc w:val="center"/>
              <w:rPr>
                <w:rFonts w:eastAsia="Times New Roman"/>
                <w:color w:val="000000"/>
                <w:sz w:val="15"/>
                <w:szCs w:val="15"/>
              </w:rPr>
            </w:pPr>
            <w:r w:rsidRPr="00127372">
              <w:rPr>
                <w:rFonts w:eastAsia="Times New Roman"/>
                <w:color w:val="000000"/>
                <w:sz w:val="15"/>
                <w:szCs w:val="15"/>
              </w:rPr>
              <w:t> </w:t>
            </w:r>
          </w:p>
        </w:tc>
        <w:tc>
          <w:tcPr>
            <w:tcW w:w="150" w:type="pct"/>
            <w:tcBorders>
              <w:top w:val="nil"/>
              <w:left w:val="nil"/>
              <w:bottom w:val="single" w:sz="4" w:space="0" w:color="auto"/>
              <w:right w:val="single" w:sz="4" w:space="0" w:color="auto"/>
            </w:tcBorders>
            <w:shd w:val="clear" w:color="auto" w:fill="auto"/>
            <w:vAlign w:val="center"/>
            <w:hideMark/>
          </w:tcPr>
          <w:p w14:paraId="1B92ABC6" w14:textId="77777777" w:rsidR="0069056F" w:rsidRPr="00127372" w:rsidRDefault="0069056F" w:rsidP="00266D1B">
            <w:pPr>
              <w:spacing w:after="0" w:line="240" w:lineRule="auto"/>
              <w:jc w:val="center"/>
              <w:rPr>
                <w:rFonts w:eastAsia="Times New Roman"/>
                <w:color w:val="000000"/>
                <w:sz w:val="15"/>
                <w:szCs w:val="15"/>
              </w:rPr>
            </w:pPr>
            <w:r w:rsidRPr="00127372">
              <w:rPr>
                <w:rFonts w:eastAsia="Times New Roman"/>
                <w:color w:val="000000"/>
                <w:sz w:val="15"/>
                <w:szCs w:val="15"/>
              </w:rPr>
              <w:t> </w:t>
            </w:r>
          </w:p>
        </w:tc>
        <w:tc>
          <w:tcPr>
            <w:tcW w:w="150" w:type="pct"/>
            <w:tcBorders>
              <w:top w:val="nil"/>
              <w:left w:val="nil"/>
              <w:bottom w:val="single" w:sz="4" w:space="0" w:color="auto"/>
              <w:right w:val="single" w:sz="4" w:space="0" w:color="auto"/>
            </w:tcBorders>
            <w:shd w:val="clear" w:color="auto" w:fill="auto"/>
            <w:vAlign w:val="center"/>
            <w:hideMark/>
          </w:tcPr>
          <w:p w14:paraId="64D47EB4" w14:textId="77777777" w:rsidR="0069056F" w:rsidRPr="00127372" w:rsidRDefault="0069056F" w:rsidP="00266D1B">
            <w:pPr>
              <w:spacing w:after="0" w:line="240" w:lineRule="auto"/>
              <w:jc w:val="center"/>
              <w:rPr>
                <w:rFonts w:eastAsia="Times New Roman"/>
                <w:color w:val="000000"/>
                <w:sz w:val="15"/>
                <w:szCs w:val="15"/>
              </w:rPr>
            </w:pPr>
            <w:r w:rsidRPr="00127372">
              <w:rPr>
                <w:rFonts w:eastAsia="Times New Roman"/>
                <w:color w:val="000000"/>
                <w:sz w:val="15"/>
                <w:szCs w:val="15"/>
              </w:rPr>
              <w:t> </w:t>
            </w:r>
          </w:p>
        </w:tc>
        <w:tc>
          <w:tcPr>
            <w:tcW w:w="150" w:type="pct"/>
            <w:tcBorders>
              <w:top w:val="nil"/>
              <w:left w:val="nil"/>
              <w:bottom w:val="single" w:sz="4" w:space="0" w:color="auto"/>
              <w:right w:val="single" w:sz="4" w:space="0" w:color="auto"/>
            </w:tcBorders>
            <w:shd w:val="clear" w:color="auto" w:fill="auto"/>
            <w:vAlign w:val="center"/>
            <w:hideMark/>
          </w:tcPr>
          <w:p w14:paraId="470DACF0" w14:textId="77777777" w:rsidR="0069056F" w:rsidRPr="00127372" w:rsidRDefault="0069056F" w:rsidP="00266D1B">
            <w:pPr>
              <w:spacing w:after="0" w:line="240" w:lineRule="auto"/>
              <w:jc w:val="center"/>
              <w:rPr>
                <w:rFonts w:eastAsia="Times New Roman"/>
                <w:color w:val="000000"/>
                <w:sz w:val="15"/>
                <w:szCs w:val="15"/>
              </w:rPr>
            </w:pPr>
            <w:r w:rsidRPr="00127372">
              <w:rPr>
                <w:rFonts w:eastAsia="Times New Roman"/>
                <w:color w:val="000000"/>
                <w:sz w:val="15"/>
                <w:szCs w:val="15"/>
              </w:rPr>
              <w:t> </w:t>
            </w:r>
          </w:p>
        </w:tc>
        <w:tc>
          <w:tcPr>
            <w:tcW w:w="150" w:type="pct"/>
            <w:tcBorders>
              <w:top w:val="nil"/>
              <w:left w:val="nil"/>
              <w:bottom w:val="single" w:sz="4" w:space="0" w:color="auto"/>
              <w:right w:val="single" w:sz="4" w:space="0" w:color="auto"/>
            </w:tcBorders>
            <w:shd w:val="clear" w:color="auto" w:fill="auto"/>
            <w:vAlign w:val="center"/>
            <w:hideMark/>
          </w:tcPr>
          <w:p w14:paraId="72B03C17" w14:textId="77777777" w:rsidR="0069056F" w:rsidRPr="00127372" w:rsidRDefault="0069056F" w:rsidP="00266D1B">
            <w:pPr>
              <w:spacing w:after="0" w:line="240" w:lineRule="auto"/>
              <w:jc w:val="center"/>
              <w:rPr>
                <w:rFonts w:eastAsia="Times New Roman"/>
                <w:color w:val="000000"/>
                <w:sz w:val="15"/>
                <w:szCs w:val="15"/>
              </w:rPr>
            </w:pPr>
            <w:r w:rsidRPr="00127372">
              <w:rPr>
                <w:rFonts w:eastAsia="Times New Roman"/>
                <w:color w:val="000000"/>
                <w:sz w:val="15"/>
                <w:szCs w:val="15"/>
              </w:rPr>
              <w:t> </w:t>
            </w:r>
          </w:p>
        </w:tc>
        <w:tc>
          <w:tcPr>
            <w:tcW w:w="150" w:type="pct"/>
            <w:tcBorders>
              <w:top w:val="nil"/>
              <w:left w:val="nil"/>
              <w:bottom w:val="single" w:sz="4" w:space="0" w:color="auto"/>
              <w:right w:val="single" w:sz="4" w:space="0" w:color="auto"/>
            </w:tcBorders>
            <w:shd w:val="clear" w:color="auto" w:fill="auto"/>
            <w:vAlign w:val="center"/>
            <w:hideMark/>
          </w:tcPr>
          <w:p w14:paraId="6DFE3471" w14:textId="77777777" w:rsidR="0069056F" w:rsidRPr="00127372" w:rsidRDefault="0069056F" w:rsidP="00266D1B">
            <w:pPr>
              <w:spacing w:after="0" w:line="240" w:lineRule="auto"/>
              <w:jc w:val="center"/>
              <w:rPr>
                <w:rFonts w:eastAsia="Times New Roman"/>
                <w:color w:val="000000"/>
                <w:sz w:val="15"/>
                <w:szCs w:val="15"/>
              </w:rPr>
            </w:pPr>
            <w:r w:rsidRPr="00127372">
              <w:rPr>
                <w:rFonts w:eastAsia="Times New Roman"/>
                <w:color w:val="000000"/>
                <w:sz w:val="15"/>
                <w:szCs w:val="15"/>
              </w:rPr>
              <w:t> </w:t>
            </w:r>
          </w:p>
        </w:tc>
        <w:tc>
          <w:tcPr>
            <w:tcW w:w="150" w:type="pct"/>
            <w:tcBorders>
              <w:top w:val="nil"/>
              <w:left w:val="nil"/>
              <w:bottom w:val="single" w:sz="4" w:space="0" w:color="auto"/>
              <w:right w:val="single" w:sz="4" w:space="0" w:color="auto"/>
            </w:tcBorders>
            <w:shd w:val="clear" w:color="auto" w:fill="auto"/>
            <w:vAlign w:val="center"/>
            <w:hideMark/>
          </w:tcPr>
          <w:p w14:paraId="4C2EB714" w14:textId="77777777" w:rsidR="0069056F" w:rsidRPr="00127372" w:rsidRDefault="0069056F" w:rsidP="00266D1B">
            <w:pPr>
              <w:spacing w:after="0" w:line="240" w:lineRule="auto"/>
              <w:jc w:val="center"/>
              <w:rPr>
                <w:rFonts w:eastAsia="Times New Roman"/>
                <w:color w:val="000000"/>
                <w:sz w:val="15"/>
                <w:szCs w:val="15"/>
              </w:rPr>
            </w:pPr>
            <w:r w:rsidRPr="00127372">
              <w:rPr>
                <w:rFonts w:eastAsia="Times New Roman"/>
                <w:color w:val="000000"/>
                <w:sz w:val="15"/>
                <w:szCs w:val="15"/>
              </w:rPr>
              <w:t> </w:t>
            </w:r>
          </w:p>
        </w:tc>
        <w:tc>
          <w:tcPr>
            <w:tcW w:w="150" w:type="pct"/>
            <w:tcBorders>
              <w:top w:val="nil"/>
              <w:left w:val="nil"/>
              <w:bottom w:val="single" w:sz="4" w:space="0" w:color="auto"/>
              <w:right w:val="single" w:sz="4" w:space="0" w:color="auto"/>
            </w:tcBorders>
            <w:shd w:val="clear" w:color="000000" w:fill="92D050"/>
            <w:vAlign w:val="center"/>
            <w:hideMark/>
          </w:tcPr>
          <w:p w14:paraId="373266FD" w14:textId="77777777" w:rsidR="0069056F" w:rsidRPr="00127372" w:rsidRDefault="0069056F" w:rsidP="00266D1B">
            <w:pPr>
              <w:spacing w:after="0" w:line="240" w:lineRule="auto"/>
              <w:jc w:val="center"/>
              <w:rPr>
                <w:rFonts w:eastAsia="Times New Roman"/>
                <w:color w:val="000000"/>
                <w:sz w:val="15"/>
                <w:szCs w:val="15"/>
              </w:rPr>
            </w:pPr>
            <w:r w:rsidRPr="00127372">
              <w:rPr>
                <w:rFonts w:eastAsia="Times New Roman"/>
                <w:color w:val="000000"/>
                <w:sz w:val="15"/>
                <w:szCs w:val="15"/>
                <w:lang w:val="es-ES_tradnl"/>
              </w:rPr>
              <w:t> </w:t>
            </w:r>
          </w:p>
        </w:tc>
        <w:tc>
          <w:tcPr>
            <w:tcW w:w="439" w:type="pct"/>
            <w:tcBorders>
              <w:top w:val="nil"/>
              <w:left w:val="nil"/>
              <w:bottom w:val="single" w:sz="4" w:space="0" w:color="auto"/>
              <w:right w:val="single" w:sz="4" w:space="0" w:color="auto"/>
            </w:tcBorders>
            <w:shd w:val="clear" w:color="auto" w:fill="auto"/>
            <w:vAlign w:val="center"/>
            <w:hideMark/>
          </w:tcPr>
          <w:p w14:paraId="23A5C0E4" w14:textId="77777777" w:rsidR="0069056F" w:rsidRPr="00127372" w:rsidRDefault="0069056F" w:rsidP="00266D1B">
            <w:pPr>
              <w:spacing w:after="0" w:line="240" w:lineRule="auto"/>
              <w:jc w:val="center"/>
              <w:rPr>
                <w:rFonts w:eastAsia="Times New Roman"/>
                <w:color w:val="000000"/>
                <w:sz w:val="15"/>
                <w:szCs w:val="15"/>
              </w:rPr>
            </w:pPr>
            <w:r w:rsidRPr="00127372">
              <w:rPr>
                <w:rFonts w:eastAsia="Times New Roman"/>
                <w:color w:val="000000"/>
                <w:sz w:val="15"/>
                <w:szCs w:val="15"/>
              </w:rPr>
              <w:t>BID</w:t>
            </w:r>
          </w:p>
        </w:tc>
        <w:tc>
          <w:tcPr>
            <w:tcW w:w="356" w:type="pct"/>
            <w:tcBorders>
              <w:top w:val="nil"/>
              <w:left w:val="nil"/>
              <w:bottom w:val="single" w:sz="4" w:space="0" w:color="auto"/>
              <w:right w:val="single" w:sz="4" w:space="0" w:color="auto"/>
            </w:tcBorders>
            <w:shd w:val="clear" w:color="auto" w:fill="auto"/>
            <w:vAlign w:val="center"/>
            <w:hideMark/>
          </w:tcPr>
          <w:p w14:paraId="28E5C186" w14:textId="77777777" w:rsidR="0069056F" w:rsidRPr="00127372" w:rsidRDefault="0069056F" w:rsidP="00266D1B">
            <w:pPr>
              <w:spacing w:after="0" w:line="240" w:lineRule="auto"/>
              <w:jc w:val="center"/>
              <w:rPr>
                <w:rFonts w:eastAsia="Times New Roman"/>
                <w:color w:val="000000"/>
                <w:sz w:val="15"/>
                <w:szCs w:val="15"/>
              </w:rPr>
            </w:pPr>
            <w:r w:rsidRPr="00127372">
              <w:rPr>
                <w:rFonts w:eastAsia="Times New Roman"/>
                <w:color w:val="000000"/>
                <w:sz w:val="15"/>
                <w:szCs w:val="15"/>
              </w:rPr>
              <w:t xml:space="preserve">$18,000.00 </w:t>
            </w:r>
          </w:p>
        </w:tc>
        <w:tc>
          <w:tcPr>
            <w:tcW w:w="458" w:type="pct"/>
            <w:tcBorders>
              <w:top w:val="nil"/>
              <w:left w:val="nil"/>
              <w:bottom w:val="single" w:sz="4" w:space="0" w:color="auto"/>
              <w:right w:val="single" w:sz="4" w:space="0" w:color="auto"/>
            </w:tcBorders>
            <w:shd w:val="clear" w:color="auto" w:fill="auto"/>
            <w:vAlign w:val="center"/>
            <w:hideMark/>
          </w:tcPr>
          <w:p w14:paraId="113DEB3A" w14:textId="77777777" w:rsidR="0069056F" w:rsidRPr="00127372" w:rsidRDefault="0069056F" w:rsidP="00266D1B">
            <w:pPr>
              <w:spacing w:after="0" w:line="240" w:lineRule="auto"/>
              <w:jc w:val="center"/>
              <w:rPr>
                <w:rFonts w:eastAsia="Times New Roman"/>
                <w:color w:val="000000"/>
                <w:sz w:val="15"/>
                <w:szCs w:val="15"/>
              </w:rPr>
            </w:pPr>
            <w:r w:rsidRPr="00127372">
              <w:rPr>
                <w:rFonts w:eastAsia="Times New Roman"/>
                <w:color w:val="000000"/>
                <w:sz w:val="15"/>
                <w:szCs w:val="15"/>
              </w:rPr>
              <w:t>BID</w:t>
            </w:r>
          </w:p>
        </w:tc>
      </w:tr>
      <w:tr w:rsidR="0069056F" w:rsidRPr="00127372" w14:paraId="0467B5AB" w14:textId="77777777" w:rsidTr="00266D1B">
        <w:trPr>
          <w:trHeight w:val="300"/>
        </w:trPr>
        <w:tc>
          <w:tcPr>
            <w:tcW w:w="1351" w:type="pct"/>
            <w:tcBorders>
              <w:top w:val="nil"/>
              <w:left w:val="single" w:sz="4" w:space="0" w:color="auto"/>
              <w:bottom w:val="single" w:sz="4" w:space="0" w:color="auto"/>
              <w:right w:val="single" w:sz="4" w:space="0" w:color="auto"/>
            </w:tcBorders>
            <w:shd w:val="clear" w:color="auto" w:fill="auto"/>
            <w:vAlign w:val="center"/>
            <w:hideMark/>
          </w:tcPr>
          <w:p w14:paraId="36BB826D" w14:textId="77777777" w:rsidR="0069056F" w:rsidRPr="00127372" w:rsidRDefault="0069056F" w:rsidP="00266D1B">
            <w:pPr>
              <w:spacing w:after="0" w:line="240" w:lineRule="auto"/>
              <w:jc w:val="center"/>
              <w:rPr>
                <w:rFonts w:eastAsia="Times New Roman"/>
                <w:b/>
                <w:bCs/>
                <w:color w:val="000000"/>
                <w:sz w:val="15"/>
                <w:szCs w:val="15"/>
              </w:rPr>
            </w:pPr>
            <w:r w:rsidRPr="00127372">
              <w:rPr>
                <w:rFonts w:eastAsia="Times New Roman"/>
                <w:b/>
                <w:bCs/>
                <w:color w:val="000000"/>
                <w:sz w:val="15"/>
                <w:szCs w:val="15"/>
              </w:rPr>
              <w:t>Total</w:t>
            </w:r>
          </w:p>
        </w:tc>
        <w:tc>
          <w:tcPr>
            <w:tcW w:w="2836" w:type="pct"/>
            <w:gridSpan w:val="17"/>
            <w:tcBorders>
              <w:top w:val="single" w:sz="4" w:space="0" w:color="auto"/>
              <w:left w:val="nil"/>
              <w:bottom w:val="single" w:sz="4" w:space="0" w:color="auto"/>
              <w:right w:val="single" w:sz="4" w:space="0" w:color="auto"/>
            </w:tcBorders>
            <w:shd w:val="clear" w:color="auto" w:fill="auto"/>
            <w:vAlign w:val="center"/>
            <w:hideMark/>
          </w:tcPr>
          <w:p w14:paraId="528755CE" w14:textId="77777777" w:rsidR="0069056F" w:rsidRPr="00127372" w:rsidRDefault="0069056F" w:rsidP="00266D1B">
            <w:pPr>
              <w:spacing w:after="0" w:line="240" w:lineRule="auto"/>
              <w:jc w:val="center"/>
              <w:rPr>
                <w:rFonts w:eastAsia="Times New Roman"/>
                <w:b/>
                <w:bCs/>
                <w:color w:val="000000"/>
                <w:sz w:val="15"/>
                <w:szCs w:val="15"/>
              </w:rPr>
            </w:pPr>
            <w:r w:rsidRPr="00127372">
              <w:rPr>
                <w:rFonts w:eastAsia="Times New Roman"/>
                <w:b/>
                <w:bCs/>
                <w:color w:val="000000"/>
                <w:sz w:val="15"/>
                <w:szCs w:val="15"/>
              </w:rPr>
              <w:t> </w:t>
            </w:r>
          </w:p>
        </w:tc>
        <w:tc>
          <w:tcPr>
            <w:tcW w:w="356" w:type="pct"/>
            <w:tcBorders>
              <w:top w:val="nil"/>
              <w:left w:val="nil"/>
              <w:bottom w:val="single" w:sz="4" w:space="0" w:color="auto"/>
              <w:right w:val="single" w:sz="4" w:space="0" w:color="auto"/>
            </w:tcBorders>
            <w:shd w:val="clear" w:color="auto" w:fill="auto"/>
            <w:vAlign w:val="center"/>
            <w:hideMark/>
          </w:tcPr>
          <w:p w14:paraId="2CF3A13F" w14:textId="77777777" w:rsidR="0069056F" w:rsidRPr="00127372" w:rsidRDefault="0069056F" w:rsidP="00266D1B">
            <w:pPr>
              <w:spacing w:after="0" w:line="240" w:lineRule="auto"/>
              <w:jc w:val="center"/>
              <w:rPr>
                <w:rFonts w:eastAsia="Times New Roman"/>
                <w:b/>
                <w:bCs/>
                <w:color w:val="000000"/>
                <w:sz w:val="15"/>
                <w:szCs w:val="15"/>
              </w:rPr>
            </w:pPr>
            <w:r w:rsidRPr="00127372">
              <w:rPr>
                <w:rFonts w:eastAsia="Times New Roman"/>
                <w:b/>
                <w:bCs/>
                <w:color w:val="000000"/>
                <w:sz w:val="15"/>
                <w:szCs w:val="15"/>
              </w:rPr>
              <w:t xml:space="preserve">$115,000.00 </w:t>
            </w:r>
          </w:p>
        </w:tc>
        <w:tc>
          <w:tcPr>
            <w:tcW w:w="458" w:type="pct"/>
            <w:tcBorders>
              <w:top w:val="nil"/>
              <w:left w:val="nil"/>
              <w:bottom w:val="single" w:sz="4" w:space="0" w:color="auto"/>
              <w:right w:val="single" w:sz="4" w:space="0" w:color="auto"/>
            </w:tcBorders>
            <w:shd w:val="clear" w:color="auto" w:fill="auto"/>
            <w:vAlign w:val="center"/>
            <w:hideMark/>
          </w:tcPr>
          <w:p w14:paraId="197DA676" w14:textId="77777777" w:rsidR="0069056F" w:rsidRPr="00127372" w:rsidRDefault="0069056F" w:rsidP="00266D1B">
            <w:pPr>
              <w:spacing w:after="0" w:line="240" w:lineRule="auto"/>
              <w:jc w:val="center"/>
              <w:rPr>
                <w:rFonts w:eastAsia="Times New Roman"/>
                <w:b/>
                <w:bCs/>
                <w:color w:val="000000"/>
                <w:sz w:val="15"/>
                <w:szCs w:val="15"/>
              </w:rPr>
            </w:pPr>
            <w:r w:rsidRPr="00127372">
              <w:rPr>
                <w:rFonts w:eastAsia="Times New Roman"/>
                <w:b/>
                <w:bCs/>
                <w:color w:val="000000"/>
                <w:sz w:val="15"/>
                <w:szCs w:val="15"/>
              </w:rPr>
              <w:t> </w:t>
            </w:r>
          </w:p>
        </w:tc>
      </w:tr>
    </w:tbl>
    <w:p w14:paraId="19B10876" w14:textId="77777777" w:rsidR="0069056F" w:rsidRPr="00767DBC" w:rsidRDefault="0069056F" w:rsidP="0069056F">
      <w:pPr>
        <w:spacing w:before="120" w:after="120" w:line="360" w:lineRule="auto"/>
        <w:jc w:val="both"/>
        <w:rPr>
          <w:lang w:val="es-ES"/>
        </w:rPr>
      </w:pPr>
    </w:p>
    <w:p w14:paraId="78523E5F" w14:textId="438A7C76" w:rsidR="00C31DBB" w:rsidRPr="0069056F" w:rsidRDefault="00C31DBB" w:rsidP="0069056F"/>
    <w:sectPr w:rsidR="00C31DBB" w:rsidRPr="0069056F" w:rsidSect="00767DBC">
      <w:headerReference w:type="default" r:id="rId14"/>
      <w:pgSz w:w="15840" w:h="12240" w:orient="landscape"/>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BD0580E" w14:textId="77777777" w:rsidR="00013A83" w:rsidRDefault="00013A83" w:rsidP="00E7798E">
      <w:pPr>
        <w:spacing w:after="0" w:line="240" w:lineRule="auto"/>
      </w:pPr>
      <w:r>
        <w:separator/>
      </w:r>
    </w:p>
  </w:endnote>
  <w:endnote w:type="continuationSeparator" w:id="0">
    <w:p w14:paraId="75038FB1" w14:textId="77777777" w:rsidR="00013A83" w:rsidRDefault="00013A83" w:rsidP="00E7798E">
      <w:pPr>
        <w:spacing w:after="0" w:line="240" w:lineRule="auto"/>
      </w:pPr>
      <w:r>
        <w:continuationSeparator/>
      </w:r>
    </w:p>
  </w:endnote>
  <w:endnote w:type="continuationNotice" w:id="1">
    <w:p w14:paraId="06F204B9" w14:textId="77777777" w:rsidR="00013A83" w:rsidRDefault="00013A8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Times New Roman Bold">
    <w:panose1 w:val="02020803070505020304"/>
    <w:charset w:val="00"/>
    <w:family w:val="roman"/>
    <w:notTrueType/>
    <w:pitch w:val="default"/>
  </w:font>
  <w:font w:name="MS Mincho">
    <w:altName w:val="ＭＳ 明朝"/>
    <w:panose1 w:val="020206090402050803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85598F1" w14:textId="77777777" w:rsidR="00013A83" w:rsidRDefault="00013A83" w:rsidP="00E7798E">
      <w:pPr>
        <w:spacing w:after="0" w:line="240" w:lineRule="auto"/>
      </w:pPr>
      <w:r>
        <w:separator/>
      </w:r>
    </w:p>
  </w:footnote>
  <w:footnote w:type="continuationSeparator" w:id="0">
    <w:p w14:paraId="58C4956A" w14:textId="77777777" w:rsidR="00013A83" w:rsidRDefault="00013A83" w:rsidP="00E7798E">
      <w:pPr>
        <w:spacing w:after="0" w:line="240" w:lineRule="auto"/>
      </w:pPr>
      <w:r>
        <w:continuationSeparator/>
      </w:r>
    </w:p>
  </w:footnote>
  <w:footnote w:type="continuationNotice" w:id="1">
    <w:p w14:paraId="3C52DCE3" w14:textId="77777777" w:rsidR="00013A83" w:rsidRDefault="00013A83">
      <w:pPr>
        <w:spacing w:after="0" w:line="240" w:lineRule="auto"/>
      </w:pPr>
    </w:p>
  </w:footnote>
  <w:footnote w:id="2">
    <w:p w14:paraId="5CD184A7" w14:textId="77777777" w:rsidR="0069056F" w:rsidRPr="00593ACA" w:rsidRDefault="0069056F" w:rsidP="0069056F">
      <w:pPr>
        <w:pStyle w:val="FootnoteText"/>
        <w:rPr>
          <w:sz w:val="16"/>
          <w:szCs w:val="16"/>
          <w:lang w:val="es-MX"/>
        </w:rPr>
      </w:pPr>
      <w:r>
        <w:rPr>
          <w:rStyle w:val="FootnoteReference"/>
        </w:rPr>
        <w:footnoteRef/>
      </w:r>
      <w:r w:rsidRPr="00593ACA">
        <w:rPr>
          <w:lang w:val="es-ES_tradnl"/>
        </w:rPr>
        <w:t xml:space="preserve"> </w:t>
      </w:r>
      <w:r w:rsidRPr="00593ACA">
        <w:rPr>
          <w:sz w:val="16"/>
          <w:szCs w:val="16"/>
          <w:lang w:val="es-MX"/>
        </w:rPr>
        <w:t xml:space="preserve">Incluye cargo cero por consumo de los primeros 80 </w:t>
      </w:r>
      <w:proofErr w:type="spellStart"/>
      <w:r w:rsidRPr="00593ACA">
        <w:rPr>
          <w:sz w:val="16"/>
          <w:szCs w:val="16"/>
          <w:lang w:val="es-MX"/>
        </w:rPr>
        <w:t>kVh</w:t>
      </w:r>
      <w:proofErr w:type="spellEnd"/>
      <w:r w:rsidRPr="00593ACA">
        <w:rPr>
          <w:sz w:val="16"/>
          <w:szCs w:val="16"/>
          <w:lang w:val="es-MX"/>
        </w:rPr>
        <w:t xml:space="preserve"> hasta el año 2018 a los usuarios del Programa de desplazamiento del uso GLP por electricidad en el sector residencial</w:t>
      </w:r>
      <w:r>
        <w:rPr>
          <w:sz w:val="16"/>
          <w:szCs w:val="16"/>
          <w:lang w:val="es-MX"/>
        </w:rPr>
        <w:t>.</w:t>
      </w:r>
    </w:p>
  </w:footnote>
  <w:footnote w:id="3">
    <w:p w14:paraId="6CDADEC5" w14:textId="77777777" w:rsidR="0069056F" w:rsidRPr="00767DBC" w:rsidRDefault="0069056F" w:rsidP="0069056F">
      <w:pPr>
        <w:pStyle w:val="FootnoteText"/>
        <w:ind w:left="90" w:hanging="90"/>
        <w:rPr>
          <w:sz w:val="18"/>
          <w:lang w:val="es-MX"/>
        </w:rPr>
      </w:pPr>
      <w:r w:rsidRPr="00767DBC">
        <w:rPr>
          <w:rStyle w:val="FootnoteReference"/>
          <w:sz w:val="18"/>
        </w:rPr>
        <w:footnoteRef/>
      </w:r>
      <w:r w:rsidRPr="00767DBC">
        <w:rPr>
          <w:sz w:val="18"/>
          <w:lang w:val="es-MX"/>
        </w:rPr>
        <w:t xml:space="preserve"> El desplazamiento de diésel se da bajo la iniciativa OGE&amp;EE y que tiene como objetivo disminuir el uso de diésel en la actividad </w:t>
      </w:r>
      <w:proofErr w:type="spellStart"/>
      <w:r w:rsidRPr="00767DBC">
        <w:rPr>
          <w:sz w:val="18"/>
          <w:lang w:val="es-MX"/>
        </w:rPr>
        <w:t>hidrocarburífera</w:t>
      </w:r>
      <w:proofErr w:type="spellEnd"/>
      <w:r w:rsidRPr="00767DBC">
        <w:rPr>
          <w:sz w:val="18"/>
          <w:lang w:val="es-MX"/>
        </w:rPr>
        <w:t xml:space="preserve">. Su cumplimiento se mide contra objetivos definidos al inicio de cada año.  </w:t>
      </w:r>
    </w:p>
  </w:footnote>
  <w:footnote w:id="4">
    <w:p w14:paraId="23A11F2F" w14:textId="77777777" w:rsidR="0069056F" w:rsidRPr="00593ACA" w:rsidRDefault="0069056F" w:rsidP="0069056F">
      <w:pPr>
        <w:pStyle w:val="FootnoteText"/>
        <w:rPr>
          <w:lang w:val="es-ES_tradnl"/>
        </w:rPr>
      </w:pPr>
      <w:r>
        <w:rPr>
          <w:rStyle w:val="FootnoteReference"/>
        </w:rPr>
        <w:footnoteRef/>
      </w:r>
      <w:r w:rsidRPr="00593ACA">
        <w:rPr>
          <w:lang w:val="es-ES_tradnl"/>
        </w:rPr>
        <w:t xml:space="preserve"> </w:t>
      </w:r>
      <w:r>
        <w:rPr>
          <w:sz w:val="17"/>
          <w:szCs w:val="17"/>
          <w:lang w:val="es-ES_tradnl"/>
        </w:rPr>
        <w:t>Con</w:t>
      </w:r>
      <w:r w:rsidRPr="00593ACA">
        <w:rPr>
          <w:sz w:val="17"/>
          <w:szCs w:val="17"/>
          <w:lang w:val="es-ES_tradnl"/>
        </w:rPr>
        <w:t xml:space="preserve"> información del sector al 2013.</w:t>
      </w:r>
    </w:p>
  </w:footnote>
  <w:footnote w:id="5">
    <w:p w14:paraId="77360C09" w14:textId="77777777" w:rsidR="0069056F" w:rsidRPr="00EC18B0" w:rsidRDefault="0069056F" w:rsidP="0069056F">
      <w:pPr>
        <w:pStyle w:val="FootnoteText"/>
        <w:rPr>
          <w:sz w:val="18"/>
          <w:szCs w:val="18"/>
          <w:lang w:val="es-ES_tradnl"/>
        </w:rPr>
      </w:pPr>
      <w:r>
        <w:rPr>
          <w:rStyle w:val="FootnoteReference"/>
        </w:rPr>
        <w:footnoteRef/>
      </w:r>
      <w:r w:rsidRPr="00EC18B0">
        <w:rPr>
          <w:lang w:val="es-ES_tradnl"/>
        </w:rPr>
        <w:t xml:space="preserve"> </w:t>
      </w:r>
      <w:r w:rsidRPr="006C76F1">
        <w:rPr>
          <w:sz w:val="17"/>
          <w:szCs w:val="17"/>
          <w:lang w:val="es-ES_tradnl"/>
        </w:rPr>
        <w:t>El nuevo pliego implica el alza de la tarifa eléctrica de US$0,01 para los consumidores residenciales y de US$0,02 para los clientes comerciales e industriales</w:t>
      </w:r>
      <w:r w:rsidRPr="00EC18B0">
        <w:rPr>
          <w:sz w:val="18"/>
          <w:szCs w:val="18"/>
          <w:lang w:val="es-ES_tradnl"/>
        </w:rPr>
        <w:t>.</w:t>
      </w:r>
    </w:p>
  </w:footnote>
  <w:footnote w:id="6">
    <w:p w14:paraId="6F78BDC9" w14:textId="77777777" w:rsidR="0069056F" w:rsidRPr="00767DBC" w:rsidRDefault="0069056F" w:rsidP="0069056F">
      <w:pPr>
        <w:pStyle w:val="FootnoteText"/>
        <w:rPr>
          <w:sz w:val="18"/>
          <w:lang w:val="es-ES_tradnl"/>
        </w:rPr>
      </w:pPr>
      <w:r w:rsidRPr="00767DBC">
        <w:rPr>
          <w:rStyle w:val="FootnoteReference"/>
          <w:sz w:val="18"/>
        </w:rPr>
        <w:footnoteRef/>
      </w:r>
      <w:r w:rsidRPr="00767DBC">
        <w:rPr>
          <w:sz w:val="18"/>
          <w:lang w:val="es-ES_tradnl"/>
        </w:rPr>
        <w:t xml:space="preserve"> El </w:t>
      </w:r>
      <w:r>
        <w:rPr>
          <w:sz w:val="18"/>
          <w:szCs w:val="18"/>
          <w:lang w:val="es-ES_tradnl"/>
        </w:rPr>
        <w:t xml:space="preserve">PMD se financia a través del </w:t>
      </w:r>
      <w:r>
        <w:rPr>
          <w:bCs/>
          <w:color w:val="000000"/>
          <w:sz w:val="18"/>
          <w:lang w:val="es-MX"/>
        </w:rPr>
        <w:t>Programa Nacional para el Reforzamiento del Sistema de Distribución Eléctrica</w:t>
      </w:r>
      <w:r w:rsidRPr="003B75DB">
        <w:rPr>
          <w:sz w:val="18"/>
          <w:szCs w:val="18"/>
          <w:lang w:val="es-ES_tradnl"/>
        </w:rPr>
        <w:t xml:space="preserve"> </w:t>
      </w:r>
      <w:r>
        <w:rPr>
          <w:sz w:val="18"/>
          <w:szCs w:val="18"/>
          <w:lang w:val="es-ES_tradnl"/>
        </w:rPr>
        <w:t>(</w:t>
      </w:r>
      <w:r w:rsidRPr="00767DBC">
        <w:rPr>
          <w:sz w:val="18"/>
          <w:lang w:val="es-ES_tradnl"/>
        </w:rPr>
        <w:t>PRSND</w:t>
      </w:r>
      <w:r>
        <w:rPr>
          <w:sz w:val="18"/>
          <w:szCs w:val="18"/>
          <w:lang w:val="es-ES_tradnl"/>
        </w:rPr>
        <w:t>), e</w:t>
      </w:r>
      <w:r w:rsidRPr="00767DBC">
        <w:rPr>
          <w:sz w:val="18"/>
          <w:lang w:val="es-ES_tradnl"/>
        </w:rPr>
        <w:t xml:space="preserve"> incluye tres etapas con un costo total aproximado de US$500.</w:t>
      </w:r>
    </w:p>
  </w:footnote>
  <w:footnote w:id="7">
    <w:p w14:paraId="0615C647" w14:textId="77777777" w:rsidR="0069056F" w:rsidRPr="00400ABE" w:rsidRDefault="0069056F" w:rsidP="0069056F">
      <w:pPr>
        <w:pStyle w:val="FootnoteText"/>
        <w:rPr>
          <w:lang w:val="es-ES_tradnl"/>
        </w:rPr>
      </w:pPr>
      <w:r>
        <w:rPr>
          <w:rStyle w:val="FootnoteReference"/>
        </w:rPr>
        <w:footnoteRef/>
      </w:r>
      <w:r w:rsidRPr="00400ABE">
        <w:rPr>
          <w:lang w:val="es-ES_tradnl"/>
        </w:rPr>
        <w:t xml:space="preserve"> La metodología de sostenibilidad </w:t>
      </w:r>
      <w:r w:rsidRPr="00290646">
        <w:rPr>
          <w:lang w:val="es-ES_tradnl"/>
        </w:rPr>
        <w:t>está</w:t>
      </w:r>
      <w:r w:rsidRPr="00400ABE">
        <w:rPr>
          <w:lang w:val="es-ES_tradnl"/>
        </w:rPr>
        <w:t xml:space="preserve"> basada en un </w:t>
      </w:r>
      <w:r w:rsidRPr="00290646">
        <w:rPr>
          <w:lang w:val="es-ES_tradnl"/>
        </w:rPr>
        <w:t>análisis</w:t>
      </w:r>
      <w:r w:rsidRPr="00400ABE">
        <w:rPr>
          <w:lang w:val="es-ES_tradnl"/>
        </w:rPr>
        <w:t xml:space="preserve"> costo beneficio de los proyectos </w:t>
      </w:r>
      <w:r>
        <w:rPr>
          <w:lang w:val="es-ES_tradnl"/>
        </w:rPr>
        <w:t xml:space="preserve">a ser financiados donde las condiciones de entrada son: </w:t>
      </w:r>
      <w:r w:rsidRPr="00AB52E1">
        <w:rPr>
          <w:lang w:val="es-ES_tradnl"/>
        </w:rPr>
        <w:t>(i) VP facturación ≥ Costo O&amp;M; y (ii) TIRE ≥12%.</w:t>
      </w:r>
    </w:p>
  </w:footnote>
  <w:footnote w:id="8">
    <w:p w14:paraId="0C6447D2" w14:textId="77777777" w:rsidR="0069056F" w:rsidRPr="00721F23" w:rsidRDefault="0069056F" w:rsidP="0069056F">
      <w:pPr>
        <w:pStyle w:val="FootnoteText"/>
      </w:pPr>
      <w:r>
        <w:rPr>
          <w:rStyle w:val="FootnoteReference"/>
        </w:rPr>
        <w:footnoteRef/>
      </w:r>
      <w:r w:rsidRPr="007E07CA">
        <w:rPr>
          <w:lang w:val="es-ES_tradnl"/>
        </w:rPr>
        <w:t xml:space="preserve"> ECONÓMICA. </w:t>
      </w:r>
      <w:r w:rsidRPr="007E07CA">
        <w:rPr>
          <w:spacing w:val="-10"/>
          <w:lang w:val="es-ES_tradnl"/>
        </w:rPr>
        <w:t xml:space="preserve">Análisis del Impacto Macroeconómico de la Transformación de Matriz Energética. </w:t>
      </w:r>
      <w:r w:rsidR="00CF7759">
        <w:fldChar w:fldCharType="begin"/>
      </w:r>
      <w:r w:rsidR="00CF7759" w:rsidRPr="00CF7759">
        <w:rPr>
          <w:lang w:val="es-ES_tradnl"/>
        </w:rPr>
        <w:instrText xml:space="preserve"> HYPERLINK "http://idbdocs.iadb.org/wsdocs/getDocument.aspx?DOCNUM=39164830" </w:instrText>
      </w:r>
      <w:r w:rsidR="00CF7759">
        <w:fldChar w:fldCharType="separate"/>
      </w:r>
      <w:r w:rsidRPr="00215BBC">
        <w:rPr>
          <w:rStyle w:val="Hyperlink"/>
          <w:spacing w:val="-10"/>
        </w:rPr>
        <w:t>http://idbdocs.iadb.org/wsdocs/getDocument.aspx?DOCNUM=39164830</w:t>
      </w:r>
      <w:r w:rsidR="00CF7759">
        <w:rPr>
          <w:rStyle w:val="Hyperlink"/>
          <w:spacing w:val="-10"/>
        </w:rPr>
        <w:fldChar w:fldCharType="end"/>
      </w:r>
      <w:r>
        <w:rPr>
          <w:rStyle w:val="Hyperlink"/>
          <w:spacing w:val="-10"/>
        </w:rPr>
        <w:t xml:space="preserve">  </w:t>
      </w:r>
      <w:hyperlink r:id="rId1" w:history="1">
        <w:r w:rsidRPr="00215BBC">
          <w:rPr>
            <w:rStyle w:val="Hyperlink"/>
            <w:spacing w:val="-10"/>
          </w:rPr>
          <w:t>http://idbdocs.iadb.org/wsdocs/getDocument.aspx?DOCNUM=39164838</w:t>
        </w:r>
      </w:hyperlink>
    </w:p>
  </w:footnote>
  <w:footnote w:id="9">
    <w:p w14:paraId="7E23F556" w14:textId="77777777" w:rsidR="0069056F" w:rsidRPr="002F7376" w:rsidRDefault="0069056F" w:rsidP="0069056F">
      <w:pPr>
        <w:pStyle w:val="FootnoteText"/>
        <w:rPr>
          <w:sz w:val="18"/>
          <w:szCs w:val="18"/>
          <w:lang w:val="es-MX"/>
        </w:rPr>
      </w:pPr>
      <w:r>
        <w:rPr>
          <w:rStyle w:val="FootnoteReference"/>
        </w:rPr>
        <w:footnoteRef/>
      </w:r>
      <w:r w:rsidRPr="002F7376">
        <w:rPr>
          <w:lang w:val="es-ES_tradnl"/>
        </w:rPr>
        <w:t xml:space="preserve"> </w:t>
      </w:r>
      <w:r w:rsidRPr="002F7376">
        <w:rPr>
          <w:sz w:val="18"/>
          <w:szCs w:val="18"/>
          <w:lang w:val="es-MX"/>
        </w:rPr>
        <w:t xml:space="preserve">De acuerdo </w:t>
      </w:r>
      <w:r>
        <w:rPr>
          <w:sz w:val="18"/>
          <w:szCs w:val="18"/>
          <w:lang w:val="es-MX"/>
        </w:rPr>
        <w:t>a</w:t>
      </w:r>
      <w:r w:rsidRPr="002F7376">
        <w:rPr>
          <w:sz w:val="18"/>
          <w:szCs w:val="18"/>
          <w:lang w:val="es-MX"/>
        </w:rPr>
        <w:t xml:space="preserve">l estudio: </w:t>
      </w:r>
      <w:r w:rsidRPr="00326588">
        <w:rPr>
          <w:i/>
          <w:sz w:val="18"/>
          <w:szCs w:val="18"/>
          <w:lang w:val="es-MX"/>
        </w:rPr>
        <w:t>Hábitos de cocción en Ecuador 2014, financiado por el BID</w:t>
      </w:r>
      <w:r>
        <w:rPr>
          <w:sz w:val="18"/>
          <w:szCs w:val="18"/>
          <w:lang w:val="es-MX"/>
        </w:rPr>
        <w:t>;</w:t>
      </w:r>
      <w:r w:rsidRPr="002F7376">
        <w:rPr>
          <w:sz w:val="18"/>
          <w:szCs w:val="18"/>
          <w:lang w:val="es-MX"/>
        </w:rPr>
        <w:t xml:space="preserve"> a través del Programa Nacional de Cocción Eficiente del </w:t>
      </w:r>
      <w:proofErr w:type="spellStart"/>
      <w:r w:rsidRPr="002F7376">
        <w:rPr>
          <w:sz w:val="18"/>
          <w:szCs w:val="18"/>
          <w:lang w:val="es-MX"/>
        </w:rPr>
        <w:t>GdE</w:t>
      </w:r>
      <w:proofErr w:type="spellEnd"/>
      <w:r>
        <w:rPr>
          <w:sz w:val="18"/>
          <w:szCs w:val="18"/>
          <w:lang w:val="es-MX"/>
        </w:rPr>
        <w:t>, se prevé que</w:t>
      </w:r>
      <w:r w:rsidRPr="002F7376">
        <w:rPr>
          <w:sz w:val="18"/>
          <w:szCs w:val="18"/>
          <w:lang w:val="es-MX"/>
        </w:rPr>
        <w:t xml:space="preserve"> en el corto plazo, por lo menos el 40% de los clientes residenciales habrá remplazado al uso de GLP por electricidad a través del uso de cocinas de inducción, reduciendo en esta proporción los subsidios asociados al consumo de este </w:t>
      </w:r>
      <w:r>
        <w:rPr>
          <w:sz w:val="18"/>
          <w:szCs w:val="18"/>
          <w:lang w:val="es-MX"/>
        </w:rPr>
        <w:t>hidrocarburo</w:t>
      </w:r>
      <w:r w:rsidRPr="002F7376">
        <w:rPr>
          <w:sz w:val="18"/>
          <w:szCs w:val="18"/>
          <w:lang w:val="es-MX"/>
        </w:rPr>
        <w:t xml:space="preserve">. </w:t>
      </w:r>
    </w:p>
  </w:footnote>
  <w:footnote w:id="10">
    <w:p w14:paraId="4487F155" w14:textId="77777777" w:rsidR="0069056F" w:rsidRPr="002F7376" w:rsidRDefault="0069056F" w:rsidP="0069056F">
      <w:pPr>
        <w:pStyle w:val="FootnoteText"/>
        <w:rPr>
          <w:sz w:val="18"/>
          <w:szCs w:val="18"/>
          <w:lang w:val="es-MX"/>
        </w:rPr>
      </w:pPr>
      <w:r>
        <w:rPr>
          <w:rStyle w:val="FootnoteReference"/>
        </w:rPr>
        <w:footnoteRef/>
      </w:r>
      <w:r w:rsidRPr="001C0273">
        <w:rPr>
          <w:lang w:val="es-MX"/>
        </w:rPr>
        <w:t xml:space="preserve"> </w:t>
      </w:r>
      <w:r w:rsidRPr="002F7376">
        <w:rPr>
          <w:sz w:val="18"/>
          <w:szCs w:val="18"/>
          <w:lang w:val="es-MX"/>
        </w:rPr>
        <w:t xml:space="preserve">En 2017, con cambio de la matriz energética el consumo de derivados en la generación sumaria 22,0mn BEP. Sin cambio de la matriz energética el consumo asciende a 37mn BEP. La diferencia es la contribución neta en reducción. </w:t>
      </w:r>
    </w:p>
  </w:footnote>
  <w:footnote w:id="11">
    <w:p w14:paraId="2E4224EB" w14:textId="77777777" w:rsidR="0069056F" w:rsidRPr="002F7376" w:rsidRDefault="0069056F" w:rsidP="0069056F">
      <w:pPr>
        <w:pStyle w:val="FootnoteText"/>
        <w:rPr>
          <w:sz w:val="18"/>
          <w:szCs w:val="18"/>
          <w:lang w:val="es-MX"/>
        </w:rPr>
      </w:pPr>
      <w:r>
        <w:rPr>
          <w:rStyle w:val="FootnoteReference"/>
        </w:rPr>
        <w:footnoteRef/>
      </w:r>
      <w:r w:rsidRPr="001C0273">
        <w:rPr>
          <w:lang w:val="es-MX"/>
        </w:rPr>
        <w:t xml:space="preserve"> </w:t>
      </w:r>
      <w:r w:rsidRPr="002F7376">
        <w:rPr>
          <w:sz w:val="18"/>
          <w:szCs w:val="18"/>
          <w:lang w:val="es-MX"/>
        </w:rPr>
        <w:t xml:space="preserve">Se considera la generación en 2012: hidroeléctrica (11.837 </w:t>
      </w:r>
      <w:proofErr w:type="spellStart"/>
      <w:r w:rsidRPr="002F7376">
        <w:rPr>
          <w:sz w:val="18"/>
          <w:szCs w:val="18"/>
          <w:lang w:val="es-MX"/>
        </w:rPr>
        <w:t>GVh</w:t>
      </w:r>
      <w:proofErr w:type="spellEnd"/>
      <w:r w:rsidRPr="002F7376">
        <w:rPr>
          <w:sz w:val="18"/>
          <w:szCs w:val="18"/>
          <w:lang w:val="es-MX"/>
        </w:rPr>
        <w:t xml:space="preserve">/año); ERNC (296 </w:t>
      </w:r>
      <w:proofErr w:type="spellStart"/>
      <w:r w:rsidRPr="002F7376">
        <w:rPr>
          <w:sz w:val="18"/>
          <w:szCs w:val="18"/>
          <w:lang w:val="es-MX"/>
        </w:rPr>
        <w:t>GVh</w:t>
      </w:r>
      <w:proofErr w:type="spellEnd"/>
      <w:r w:rsidRPr="002F7376">
        <w:rPr>
          <w:sz w:val="18"/>
          <w:szCs w:val="18"/>
          <w:lang w:val="es-MX"/>
        </w:rPr>
        <w:t xml:space="preserve">/año), térmica (6.945 </w:t>
      </w:r>
      <w:proofErr w:type="spellStart"/>
      <w:r w:rsidRPr="002F7376">
        <w:rPr>
          <w:sz w:val="18"/>
          <w:szCs w:val="18"/>
          <w:lang w:val="es-MX"/>
        </w:rPr>
        <w:t>GVh</w:t>
      </w:r>
      <w:proofErr w:type="spellEnd"/>
      <w:r w:rsidRPr="002F7376">
        <w:rPr>
          <w:sz w:val="18"/>
          <w:szCs w:val="18"/>
          <w:lang w:val="es-MX"/>
        </w:rPr>
        <w:t>/año)</w:t>
      </w:r>
    </w:p>
  </w:footnote>
  <w:footnote w:id="12">
    <w:p w14:paraId="3A8F1972" w14:textId="77777777" w:rsidR="0069056F" w:rsidRPr="002F7376" w:rsidRDefault="0069056F" w:rsidP="0069056F">
      <w:pPr>
        <w:pStyle w:val="FootnoteText"/>
        <w:rPr>
          <w:sz w:val="18"/>
          <w:szCs w:val="18"/>
          <w:lang w:val="es-ES_tradnl"/>
        </w:rPr>
      </w:pPr>
      <w:r>
        <w:rPr>
          <w:rStyle w:val="FootnoteReference"/>
        </w:rPr>
        <w:footnoteRef/>
      </w:r>
      <w:r w:rsidRPr="000C0C57">
        <w:rPr>
          <w:lang w:val="es-ES_tradnl"/>
        </w:rPr>
        <w:t xml:space="preserve"> </w:t>
      </w:r>
      <w:r w:rsidRPr="002F7376">
        <w:rPr>
          <w:sz w:val="18"/>
          <w:szCs w:val="18"/>
          <w:lang w:val="es-ES_tradnl"/>
        </w:rPr>
        <w:t>El CRI correlaciona el nivel de cobranza o facturación y el nivel de pérdidas eléctricas totales</w:t>
      </w:r>
    </w:p>
  </w:footnote>
  <w:footnote w:id="13">
    <w:p w14:paraId="4D3207AF" w14:textId="77777777" w:rsidR="0069056F" w:rsidRPr="00767DBC" w:rsidRDefault="0069056F" w:rsidP="0069056F">
      <w:pPr>
        <w:pStyle w:val="FootnoteText"/>
        <w:rPr>
          <w:lang w:val="es-ES"/>
        </w:rPr>
      </w:pPr>
      <w:r w:rsidRPr="00767DBC">
        <w:rPr>
          <w:rStyle w:val="FootnoteReference"/>
          <w:lang w:val="es-ES"/>
        </w:rPr>
        <w:footnoteRef/>
      </w:r>
      <w:r w:rsidRPr="00767DBC">
        <w:rPr>
          <w:lang w:val="es-ES"/>
        </w:rPr>
        <w:t xml:space="preserve"> Se estima que el ACB para el tercer tramo será completado en el primer trimestre de 2016,</w:t>
      </w:r>
    </w:p>
  </w:footnote>
  <w:footnote w:id="14">
    <w:p w14:paraId="135DB246" w14:textId="77777777" w:rsidR="0069056F" w:rsidRPr="007E07CA" w:rsidRDefault="0069056F" w:rsidP="0069056F">
      <w:pPr>
        <w:pStyle w:val="FootnoteText"/>
        <w:rPr>
          <w:lang w:val="es-ES"/>
        </w:rPr>
      </w:pPr>
      <w:r w:rsidRPr="007E07CA">
        <w:rPr>
          <w:rStyle w:val="FootnoteReference"/>
          <w:lang w:val="es-ES"/>
        </w:rPr>
        <w:footnoteRef/>
      </w:r>
      <w:r w:rsidRPr="007E07CA">
        <w:rPr>
          <w:lang w:val="es-ES"/>
        </w:rPr>
        <w:t xml:space="preserve"> Los medios de verificación proveerán </w:t>
      </w:r>
      <w:r>
        <w:rPr>
          <w:lang w:val="es-ES"/>
        </w:rPr>
        <w:t>r</w:t>
      </w:r>
      <w:r w:rsidRPr="007E07CA">
        <w:rPr>
          <w:lang w:val="es-ES"/>
        </w:rPr>
        <w:t xml:space="preserve">eportes de avance y seguimiento del programa RSND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C8CD7E9" w14:textId="77777777" w:rsidR="0069056F" w:rsidRDefault="0069056F">
    <w:pPr>
      <w:pStyle w:val="Header"/>
      <w:jc w:val="right"/>
    </w:pPr>
    <w:r>
      <w:t xml:space="preserve">Page </w:t>
    </w:r>
    <w:r>
      <w:rPr>
        <w:b/>
        <w:sz w:val="24"/>
        <w:szCs w:val="24"/>
      </w:rPr>
      <w:fldChar w:fldCharType="begin"/>
    </w:r>
    <w:r>
      <w:rPr>
        <w:b/>
      </w:rPr>
      <w:instrText xml:space="preserve"> PAGE </w:instrText>
    </w:r>
    <w:r>
      <w:rPr>
        <w:b/>
        <w:sz w:val="24"/>
        <w:szCs w:val="24"/>
      </w:rPr>
      <w:fldChar w:fldCharType="separate"/>
    </w:r>
    <w:r w:rsidR="00CF7759">
      <w:rPr>
        <w:b/>
        <w:noProof/>
      </w:rPr>
      <w:t>1</w:t>
    </w:r>
    <w:r>
      <w:rPr>
        <w:b/>
        <w:sz w:val="24"/>
        <w:szCs w:val="24"/>
      </w:rPr>
      <w:fldChar w:fldCharType="end"/>
    </w:r>
    <w:r>
      <w:t xml:space="preserve"> of </w:t>
    </w:r>
    <w:r>
      <w:rPr>
        <w:b/>
        <w:sz w:val="24"/>
        <w:szCs w:val="24"/>
      </w:rPr>
      <w:fldChar w:fldCharType="begin"/>
    </w:r>
    <w:r>
      <w:rPr>
        <w:b/>
      </w:rPr>
      <w:instrText xml:space="preserve"> NUMPAGES  </w:instrText>
    </w:r>
    <w:r>
      <w:rPr>
        <w:b/>
        <w:sz w:val="24"/>
        <w:szCs w:val="24"/>
      </w:rPr>
      <w:fldChar w:fldCharType="separate"/>
    </w:r>
    <w:r w:rsidR="00CF7759">
      <w:rPr>
        <w:b/>
        <w:noProof/>
      </w:rPr>
      <w:t>18</w:t>
    </w:r>
    <w:r>
      <w:rPr>
        <w:b/>
        <w:sz w:val="24"/>
        <w:szCs w:val="24"/>
      </w:rPr>
      <w:fldChar w:fldCharType="end"/>
    </w:r>
  </w:p>
  <w:p w14:paraId="1243CD21" w14:textId="77777777" w:rsidR="0069056F" w:rsidRDefault="0069056F">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D81C721" w14:textId="605BD38F" w:rsidR="00F23947" w:rsidRDefault="00F23947">
    <w:pPr>
      <w:pStyle w:val="Header"/>
      <w:jc w:val="right"/>
    </w:pPr>
    <w:r>
      <w:t xml:space="preserve">Page </w:t>
    </w:r>
    <w:r>
      <w:rPr>
        <w:b/>
        <w:sz w:val="24"/>
        <w:szCs w:val="24"/>
      </w:rPr>
      <w:fldChar w:fldCharType="begin"/>
    </w:r>
    <w:r>
      <w:rPr>
        <w:b/>
      </w:rPr>
      <w:instrText xml:space="preserve"> PAGE </w:instrText>
    </w:r>
    <w:r>
      <w:rPr>
        <w:b/>
        <w:sz w:val="24"/>
        <w:szCs w:val="24"/>
      </w:rPr>
      <w:fldChar w:fldCharType="separate"/>
    </w:r>
    <w:r w:rsidR="00CF7759">
      <w:rPr>
        <w:b/>
        <w:noProof/>
      </w:rPr>
      <w:t>18</w:t>
    </w:r>
    <w:r>
      <w:rPr>
        <w:b/>
        <w:sz w:val="24"/>
        <w:szCs w:val="24"/>
      </w:rPr>
      <w:fldChar w:fldCharType="end"/>
    </w:r>
    <w:r>
      <w:t xml:space="preserve"> of </w:t>
    </w:r>
    <w:r>
      <w:rPr>
        <w:b/>
        <w:sz w:val="24"/>
        <w:szCs w:val="24"/>
      </w:rPr>
      <w:fldChar w:fldCharType="begin"/>
    </w:r>
    <w:r>
      <w:rPr>
        <w:b/>
      </w:rPr>
      <w:instrText xml:space="preserve"> NUMPAGES  </w:instrText>
    </w:r>
    <w:r>
      <w:rPr>
        <w:b/>
        <w:sz w:val="24"/>
        <w:szCs w:val="24"/>
      </w:rPr>
      <w:fldChar w:fldCharType="separate"/>
    </w:r>
    <w:r w:rsidR="00CF7759">
      <w:rPr>
        <w:b/>
        <w:noProof/>
      </w:rPr>
      <w:t>18</w:t>
    </w:r>
    <w:r>
      <w:rPr>
        <w:b/>
        <w:sz w:val="24"/>
        <w:szCs w:val="24"/>
      </w:rPr>
      <w:fldChar w:fldCharType="end"/>
    </w:r>
  </w:p>
  <w:p w14:paraId="46C0F6D5" w14:textId="77777777" w:rsidR="00F23947" w:rsidRDefault="00F2394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560470"/>
    <w:multiLevelType w:val="hybridMultilevel"/>
    <w:tmpl w:val="B70CDFC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C18210D"/>
    <w:multiLevelType w:val="hybridMultilevel"/>
    <w:tmpl w:val="52BA3A72"/>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D4B1584"/>
    <w:multiLevelType w:val="hybridMultilevel"/>
    <w:tmpl w:val="3E78D94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DAB7FC9"/>
    <w:multiLevelType w:val="multilevel"/>
    <w:tmpl w:val="B5FAEC82"/>
    <w:lvl w:ilvl="0">
      <w:start w:val="1"/>
      <w:numFmt w:val="decimal"/>
      <w:pStyle w:val="Chapter"/>
      <w:lvlText w:val="%1"/>
      <w:lvlJc w:val="left"/>
      <w:pPr>
        <w:ind w:left="3312" w:hanging="432"/>
      </w:pPr>
      <w:rPr>
        <w:rFonts w:hint="default"/>
        <w:b/>
        <w:i w:val="0"/>
      </w:rPr>
    </w:lvl>
    <w:lvl w:ilvl="1">
      <w:start w:val="1"/>
      <w:numFmt w:val="decimal"/>
      <w:lvlText w:val="%1.%2"/>
      <w:lvlJc w:val="left"/>
      <w:pPr>
        <w:ind w:left="3456" w:hanging="576"/>
      </w:pPr>
      <w:rPr>
        <w:rFonts w:hint="default"/>
        <w:b w:val="0"/>
        <w:i w:val="0"/>
        <w:u w:val="none"/>
      </w:rPr>
    </w:lvl>
    <w:lvl w:ilvl="2">
      <w:start w:val="1"/>
      <w:numFmt w:val="decimal"/>
      <w:pStyle w:val="Heading3"/>
      <w:lvlText w:val="%1.%2.%3"/>
      <w:lvlJc w:val="left"/>
      <w:pPr>
        <w:ind w:left="3600" w:hanging="720"/>
      </w:pPr>
      <w:rPr>
        <w:b w:val="0"/>
        <w:u w:val="none"/>
      </w:rPr>
    </w:lvl>
    <w:lvl w:ilvl="3">
      <w:start w:val="1"/>
      <w:numFmt w:val="decimal"/>
      <w:pStyle w:val="Heading4"/>
      <w:lvlText w:val="%1.%2.%3.%4"/>
      <w:lvlJc w:val="left"/>
      <w:pPr>
        <w:ind w:left="3744" w:hanging="864"/>
      </w:pPr>
      <w:rPr>
        <w:rFonts w:hint="default"/>
        <w:u w:val="none"/>
      </w:rPr>
    </w:lvl>
    <w:lvl w:ilvl="4">
      <w:start w:val="1"/>
      <w:numFmt w:val="decimal"/>
      <w:pStyle w:val="Heading5"/>
      <w:lvlText w:val="%1.%2.%3.%4.%5"/>
      <w:lvlJc w:val="left"/>
      <w:pPr>
        <w:ind w:left="3888" w:hanging="1008"/>
      </w:pPr>
      <w:rPr>
        <w:rFonts w:hint="default"/>
        <w:u w:val="none"/>
      </w:rPr>
    </w:lvl>
    <w:lvl w:ilvl="5">
      <w:start w:val="1"/>
      <w:numFmt w:val="decimal"/>
      <w:pStyle w:val="Heading6"/>
      <w:lvlText w:val="%1.%2.%3.%4.%5.%6"/>
      <w:lvlJc w:val="left"/>
      <w:pPr>
        <w:ind w:left="4032" w:hanging="1152"/>
      </w:pPr>
      <w:rPr>
        <w:rFonts w:hint="default"/>
        <w:u w:val="none"/>
      </w:rPr>
    </w:lvl>
    <w:lvl w:ilvl="6">
      <w:start w:val="1"/>
      <w:numFmt w:val="decimal"/>
      <w:pStyle w:val="Heading7"/>
      <w:lvlText w:val="%1.%2.%3.%4.%5.%6.%7"/>
      <w:lvlJc w:val="left"/>
      <w:pPr>
        <w:ind w:left="4176" w:hanging="1296"/>
      </w:pPr>
      <w:rPr>
        <w:rFonts w:hint="default"/>
        <w:u w:val="none"/>
      </w:rPr>
    </w:lvl>
    <w:lvl w:ilvl="7">
      <w:start w:val="1"/>
      <w:numFmt w:val="decimal"/>
      <w:pStyle w:val="Heading8"/>
      <w:lvlText w:val="%1.%2.%3.%4.%5.%6.%7.%8"/>
      <w:lvlJc w:val="left"/>
      <w:pPr>
        <w:ind w:left="4320" w:hanging="1440"/>
      </w:pPr>
      <w:rPr>
        <w:rFonts w:hint="default"/>
        <w:u w:val="none"/>
      </w:rPr>
    </w:lvl>
    <w:lvl w:ilvl="8">
      <w:start w:val="1"/>
      <w:numFmt w:val="decimal"/>
      <w:pStyle w:val="Heading9"/>
      <w:lvlText w:val="%1.%2.%3.%4.%5.%6.%7.%8.%9"/>
      <w:lvlJc w:val="left"/>
      <w:pPr>
        <w:ind w:left="4464" w:hanging="1584"/>
      </w:pPr>
      <w:rPr>
        <w:rFonts w:hint="default"/>
        <w:u w:val="none"/>
      </w:rPr>
    </w:lvl>
  </w:abstractNum>
  <w:abstractNum w:abstractNumId="4">
    <w:nsid w:val="0E6152FD"/>
    <w:multiLevelType w:val="hybridMultilevel"/>
    <w:tmpl w:val="14A41608"/>
    <w:lvl w:ilvl="0" w:tplc="04090013">
      <w:start w:val="1"/>
      <w:numFmt w:val="upperRoman"/>
      <w:lvlText w:val="%1."/>
      <w:lvlJc w:val="right"/>
      <w:pPr>
        <w:ind w:left="1080" w:hanging="360"/>
      </w:pPr>
    </w:lvl>
    <w:lvl w:ilvl="1" w:tplc="04090019">
      <w:start w:val="1"/>
      <w:numFmt w:val="lowerLetter"/>
      <w:lvlText w:val="%2."/>
      <w:lvlJc w:val="left"/>
      <w:pPr>
        <w:ind w:left="99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115652AD"/>
    <w:multiLevelType w:val="hybridMultilevel"/>
    <w:tmpl w:val="012650A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3072557"/>
    <w:multiLevelType w:val="hybridMultilevel"/>
    <w:tmpl w:val="596285F0"/>
    <w:lvl w:ilvl="0" w:tplc="034CD238">
      <w:start w:val="1"/>
      <w:numFmt w:val="lowerLetter"/>
      <w:pStyle w:val="Heading2"/>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594410"/>
    <w:multiLevelType w:val="hybridMultilevel"/>
    <w:tmpl w:val="D9A0755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6137ACB"/>
    <w:multiLevelType w:val="hybridMultilevel"/>
    <w:tmpl w:val="0BCC16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205932EE"/>
    <w:multiLevelType w:val="hybridMultilevel"/>
    <w:tmpl w:val="B362610C"/>
    <w:lvl w:ilvl="0" w:tplc="C3AE65E6">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2EA1D00"/>
    <w:multiLevelType w:val="hybridMultilevel"/>
    <w:tmpl w:val="6DE8E90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475684A"/>
    <w:multiLevelType w:val="hybridMultilevel"/>
    <w:tmpl w:val="40742E58"/>
    <w:lvl w:ilvl="0" w:tplc="04090019">
      <w:start w:val="1"/>
      <w:numFmt w:val="lowerLetter"/>
      <w:lvlText w:val="%1."/>
      <w:lvlJc w:val="left"/>
      <w:pPr>
        <w:ind w:left="990" w:hanging="360"/>
      </w:p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12">
    <w:nsid w:val="2A8A3BA7"/>
    <w:multiLevelType w:val="hybridMultilevel"/>
    <w:tmpl w:val="614AC58E"/>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CC4232B"/>
    <w:multiLevelType w:val="hybridMultilevel"/>
    <w:tmpl w:val="694E737E"/>
    <w:lvl w:ilvl="0" w:tplc="8FF89194">
      <w:start w:val="1"/>
      <w:numFmt w:val="decimal"/>
      <w:pStyle w:val="Banknumbered"/>
      <w:lvlText w:val="%1."/>
      <w:lvlJc w:val="left"/>
      <w:pPr>
        <w:ind w:left="720" w:hanging="360"/>
      </w:pPr>
    </w:lvl>
    <w:lvl w:ilvl="1" w:tplc="04090003">
      <w:start w:val="1"/>
      <w:numFmt w:val="lowerLetter"/>
      <w:lvlText w:val="%2."/>
      <w:lvlJc w:val="left"/>
      <w:pPr>
        <w:ind w:left="1440" w:hanging="360"/>
      </w:pPr>
    </w:lvl>
    <w:lvl w:ilvl="2" w:tplc="04090005" w:tentative="1">
      <w:start w:val="1"/>
      <w:numFmt w:val="lowerRoman"/>
      <w:lvlText w:val="%3."/>
      <w:lvlJc w:val="right"/>
      <w:pPr>
        <w:ind w:left="2160" w:hanging="180"/>
      </w:pPr>
    </w:lvl>
    <w:lvl w:ilvl="3" w:tplc="04090001" w:tentative="1">
      <w:start w:val="1"/>
      <w:numFmt w:val="decimal"/>
      <w:lvlText w:val="%4."/>
      <w:lvlJc w:val="left"/>
      <w:pPr>
        <w:ind w:left="2880" w:hanging="360"/>
      </w:pPr>
    </w:lvl>
    <w:lvl w:ilvl="4" w:tplc="04090003" w:tentative="1">
      <w:start w:val="1"/>
      <w:numFmt w:val="lowerLetter"/>
      <w:lvlText w:val="%5."/>
      <w:lvlJc w:val="left"/>
      <w:pPr>
        <w:ind w:left="3600" w:hanging="360"/>
      </w:pPr>
    </w:lvl>
    <w:lvl w:ilvl="5" w:tplc="04090005" w:tentative="1">
      <w:start w:val="1"/>
      <w:numFmt w:val="lowerRoman"/>
      <w:lvlText w:val="%6."/>
      <w:lvlJc w:val="right"/>
      <w:pPr>
        <w:ind w:left="4320" w:hanging="180"/>
      </w:pPr>
    </w:lvl>
    <w:lvl w:ilvl="6" w:tplc="04090001" w:tentative="1">
      <w:start w:val="1"/>
      <w:numFmt w:val="decimal"/>
      <w:lvlText w:val="%7."/>
      <w:lvlJc w:val="left"/>
      <w:pPr>
        <w:ind w:left="5040" w:hanging="360"/>
      </w:pPr>
    </w:lvl>
    <w:lvl w:ilvl="7" w:tplc="04090003" w:tentative="1">
      <w:start w:val="1"/>
      <w:numFmt w:val="lowerLetter"/>
      <w:lvlText w:val="%8."/>
      <w:lvlJc w:val="left"/>
      <w:pPr>
        <w:ind w:left="5760" w:hanging="360"/>
      </w:pPr>
    </w:lvl>
    <w:lvl w:ilvl="8" w:tplc="04090005" w:tentative="1">
      <w:start w:val="1"/>
      <w:numFmt w:val="lowerRoman"/>
      <w:lvlText w:val="%9."/>
      <w:lvlJc w:val="right"/>
      <w:pPr>
        <w:ind w:left="6480" w:hanging="180"/>
      </w:pPr>
    </w:lvl>
  </w:abstractNum>
  <w:abstractNum w:abstractNumId="14">
    <w:nsid w:val="335D4694"/>
    <w:multiLevelType w:val="hybridMultilevel"/>
    <w:tmpl w:val="969429B4"/>
    <w:lvl w:ilvl="0" w:tplc="040A000F">
      <w:start w:val="1"/>
      <w:numFmt w:val="decimal"/>
      <w:lvlText w:val="%1."/>
      <w:lvlJc w:val="left"/>
      <w:pPr>
        <w:ind w:left="540" w:hanging="360"/>
      </w:pPr>
      <w:rPr>
        <w:rFonts w:hint="default"/>
      </w:rPr>
    </w:lvl>
    <w:lvl w:ilvl="1" w:tplc="040A0019" w:tentative="1">
      <w:start w:val="1"/>
      <w:numFmt w:val="lowerLetter"/>
      <w:lvlText w:val="%2."/>
      <w:lvlJc w:val="left"/>
      <w:pPr>
        <w:ind w:left="1620" w:hanging="360"/>
      </w:pPr>
    </w:lvl>
    <w:lvl w:ilvl="2" w:tplc="040A001B" w:tentative="1">
      <w:start w:val="1"/>
      <w:numFmt w:val="lowerRoman"/>
      <w:lvlText w:val="%3."/>
      <w:lvlJc w:val="right"/>
      <w:pPr>
        <w:ind w:left="2340" w:hanging="180"/>
      </w:pPr>
    </w:lvl>
    <w:lvl w:ilvl="3" w:tplc="040A000F" w:tentative="1">
      <w:start w:val="1"/>
      <w:numFmt w:val="decimal"/>
      <w:lvlText w:val="%4."/>
      <w:lvlJc w:val="left"/>
      <w:pPr>
        <w:ind w:left="3060" w:hanging="360"/>
      </w:pPr>
    </w:lvl>
    <w:lvl w:ilvl="4" w:tplc="040A0019" w:tentative="1">
      <w:start w:val="1"/>
      <w:numFmt w:val="lowerLetter"/>
      <w:lvlText w:val="%5."/>
      <w:lvlJc w:val="left"/>
      <w:pPr>
        <w:ind w:left="3780" w:hanging="360"/>
      </w:pPr>
    </w:lvl>
    <w:lvl w:ilvl="5" w:tplc="040A001B" w:tentative="1">
      <w:start w:val="1"/>
      <w:numFmt w:val="lowerRoman"/>
      <w:lvlText w:val="%6."/>
      <w:lvlJc w:val="right"/>
      <w:pPr>
        <w:ind w:left="4500" w:hanging="180"/>
      </w:pPr>
    </w:lvl>
    <w:lvl w:ilvl="6" w:tplc="040A000F" w:tentative="1">
      <w:start w:val="1"/>
      <w:numFmt w:val="decimal"/>
      <w:lvlText w:val="%7."/>
      <w:lvlJc w:val="left"/>
      <w:pPr>
        <w:ind w:left="5220" w:hanging="360"/>
      </w:pPr>
    </w:lvl>
    <w:lvl w:ilvl="7" w:tplc="040A0019" w:tentative="1">
      <w:start w:val="1"/>
      <w:numFmt w:val="lowerLetter"/>
      <w:lvlText w:val="%8."/>
      <w:lvlJc w:val="left"/>
      <w:pPr>
        <w:ind w:left="5940" w:hanging="360"/>
      </w:pPr>
    </w:lvl>
    <w:lvl w:ilvl="8" w:tplc="040A001B" w:tentative="1">
      <w:start w:val="1"/>
      <w:numFmt w:val="lowerRoman"/>
      <w:lvlText w:val="%9."/>
      <w:lvlJc w:val="right"/>
      <w:pPr>
        <w:ind w:left="6660" w:hanging="180"/>
      </w:pPr>
    </w:lvl>
  </w:abstractNum>
  <w:abstractNum w:abstractNumId="15">
    <w:nsid w:val="34613BDC"/>
    <w:multiLevelType w:val="hybridMultilevel"/>
    <w:tmpl w:val="5B7E8ADA"/>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nsid w:val="384E3B95"/>
    <w:multiLevelType w:val="hybridMultilevel"/>
    <w:tmpl w:val="0C208458"/>
    <w:lvl w:ilvl="0" w:tplc="A23EA892">
      <w:start w:val="1"/>
      <w:numFmt w:val="decimal"/>
      <w:lvlText w:val="%1."/>
      <w:lvlJc w:val="left"/>
      <w:pPr>
        <w:ind w:left="720" w:hanging="360"/>
      </w:pPr>
      <w:rPr>
        <w:rFonts w:hint="default"/>
        <w:color w:val="auto"/>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88052D7"/>
    <w:multiLevelType w:val="hybridMultilevel"/>
    <w:tmpl w:val="83FA7B4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A6028D2"/>
    <w:multiLevelType w:val="multilevel"/>
    <w:tmpl w:val="50A8C778"/>
    <w:lvl w:ilvl="0">
      <w:start w:val="1"/>
      <w:numFmt w:val="decimal"/>
      <w:lvlText w:val="%1"/>
      <w:lvlJc w:val="left"/>
      <w:pPr>
        <w:ind w:left="405" w:hanging="405"/>
      </w:pPr>
      <w:rPr>
        <w:rFonts w:hint="default"/>
        <w:b/>
      </w:rPr>
    </w:lvl>
    <w:lvl w:ilvl="1">
      <w:start w:val="1"/>
      <w:numFmt w:val="decimal"/>
      <w:lvlText w:val="%1.%2"/>
      <w:lvlJc w:val="left"/>
      <w:pPr>
        <w:ind w:left="405" w:hanging="405"/>
      </w:pPr>
      <w:rPr>
        <w:rFonts w:hint="default"/>
        <w:b w:val="0"/>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9">
    <w:nsid w:val="45E23CC0"/>
    <w:multiLevelType w:val="hybridMultilevel"/>
    <w:tmpl w:val="EF94997C"/>
    <w:lvl w:ilvl="0" w:tplc="24B490D6">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46062245"/>
    <w:multiLevelType w:val="hybridMultilevel"/>
    <w:tmpl w:val="D5FE1060"/>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nsid w:val="475846A2"/>
    <w:multiLevelType w:val="multilevel"/>
    <w:tmpl w:val="45926C38"/>
    <w:lvl w:ilvl="0">
      <w:start w:val="3"/>
      <w:numFmt w:val="decimal"/>
      <w:lvlText w:val="%1"/>
      <w:lvlJc w:val="left"/>
      <w:pPr>
        <w:ind w:left="360" w:hanging="360"/>
      </w:pPr>
      <w:rPr>
        <w:rFonts w:hint="default"/>
      </w:rPr>
    </w:lvl>
    <w:lvl w:ilvl="1">
      <w:start w:val="1"/>
      <w:numFmt w:val="decimal"/>
      <w:lvlText w:val="%1.%2"/>
      <w:lvlJc w:val="left"/>
      <w:pPr>
        <w:ind w:left="54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nsid w:val="499F0B29"/>
    <w:multiLevelType w:val="hybridMultilevel"/>
    <w:tmpl w:val="8AF0A910"/>
    <w:lvl w:ilvl="0" w:tplc="0409000F">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542855DE"/>
    <w:multiLevelType w:val="hybridMultilevel"/>
    <w:tmpl w:val="E782EEB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597A785A"/>
    <w:multiLevelType w:val="hybridMultilevel"/>
    <w:tmpl w:val="DEC266C6"/>
    <w:lvl w:ilvl="0" w:tplc="3350DD40">
      <w:start w:val="1"/>
      <w:numFmt w:val="bullet"/>
      <w:pStyle w:val="Bullet"/>
      <w:lvlText w:val=""/>
      <w:lvlJc w:val="left"/>
      <w:pPr>
        <w:ind w:left="720" w:hanging="360"/>
      </w:pPr>
      <w:rPr>
        <w:rFonts w:ascii="Symbol" w:hAnsi="Symbol" w:hint="default"/>
      </w:rPr>
    </w:lvl>
    <w:lvl w:ilvl="1" w:tplc="60F03C78" w:tentative="1">
      <w:start w:val="1"/>
      <w:numFmt w:val="bullet"/>
      <w:lvlText w:val="o"/>
      <w:lvlJc w:val="left"/>
      <w:pPr>
        <w:ind w:left="1440" w:hanging="360"/>
      </w:pPr>
      <w:rPr>
        <w:rFonts w:ascii="Courier New" w:hAnsi="Courier New" w:cs="Courier New" w:hint="default"/>
      </w:rPr>
    </w:lvl>
    <w:lvl w:ilvl="2" w:tplc="354633F6" w:tentative="1">
      <w:start w:val="1"/>
      <w:numFmt w:val="bullet"/>
      <w:lvlText w:val=""/>
      <w:lvlJc w:val="left"/>
      <w:pPr>
        <w:ind w:left="2160" w:hanging="360"/>
      </w:pPr>
      <w:rPr>
        <w:rFonts w:ascii="Wingdings" w:hAnsi="Wingdings" w:hint="default"/>
      </w:rPr>
    </w:lvl>
    <w:lvl w:ilvl="3" w:tplc="DA28CC36" w:tentative="1">
      <w:start w:val="1"/>
      <w:numFmt w:val="bullet"/>
      <w:lvlText w:val=""/>
      <w:lvlJc w:val="left"/>
      <w:pPr>
        <w:ind w:left="2880" w:hanging="360"/>
      </w:pPr>
      <w:rPr>
        <w:rFonts w:ascii="Symbol" w:hAnsi="Symbol" w:hint="default"/>
      </w:rPr>
    </w:lvl>
    <w:lvl w:ilvl="4" w:tplc="C11612AC" w:tentative="1">
      <w:start w:val="1"/>
      <w:numFmt w:val="bullet"/>
      <w:lvlText w:val="o"/>
      <w:lvlJc w:val="left"/>
      <w:pPr>
        <w:ind w:left="3600" w:hanging="360"/>
      </w:pPr>
      <w:rPr>
        <w:rFonts w:ascii="Courier New" w:hAnsi="Courier New" w:cs="Courier New" w:hint="default"/>
      </w:rPr>
    </w:lvl>
    <w:lvl w:ilvl="5" w:tplc="D004A94C" w:tentative="1">
      <w:start w:val="1"/>
      <w:numFmt w:val="bullet"/>
      <w:lvlText w:val=""/>
      <w:lvlJc w:val="left"/>
      <w:pPr>
        <w:ind w:left="4320" w:hanging="360"/>
      </w:pPr>
      <w:rPr>
        <w:rFonts w:ascii="Wingdings" w:hAnsi="Wingdings" w:hint="default"/>
      </w:rPr>
    </w:lvl>
    <w:lvl w:ilvl="6" w:tplc="3DECEE64" w:tentative="1">
      <w:start w:val="1"/>
      <w:numFmt w:val="bullet"/>
      <w:lvlText w:val=""/>
      <w:lvlJc w:val="left"/>
      <w:pPr>
        <w:ind w:left="5040" w:hanging="360"/>
      </w:pPr>
      <w:rPr>
        <w:rFonts w:ascii="Symbol" w:hAnsi="Symbol" w:hint="default"/>
      </w:rPr>
    </w:lvl>
    <w:lvl w:ilvl="7" w:tplc="2C60BDBC" w:tentative="1">
      <w:start w:val="1"/>
      <w:numFmt w:val="bullet"/>
      <w:lvlText w:val="o"/>
      <w:lvlJc w:val="left"/>
      <w:pPr>
        <w:ind w:left="5760" w:hanging="360"/>
      </w:pPr>
      <w:rPr>
        <w:rFonts w:ascii="Courier New" w:hAnsi="Courier New" w:cs="Courier New" w:hint="default"/>
      </w:rPr>
    </w:lvl>
    <w:lvl w:ilvl="8" w:tplc="73D421B6" w:tentative="1">
      <w:start w:val="1"/>
      <w:numFmt w:val="bullet"/>
      <w:lvlText w:val=""/>
      <w:lvlJc w:val="left"/>
      <w:pPr>
        <w:ind w:left="6480" w:hanging="360"/>
      </w:pPr>
      <w:rPr>
        <w:rFonts w:ascii="Wingdings" w:hAnsi="Wingdings" w:hint="default"/>
      </w:rPr>
    </w:lvl>
  </w:abstractNum>
  <w:abstractNum w:abstractNumId="25">
    <w:nsid w:val="5C5B5852"/>
    <w:multiLevelType w:val="hybridMultilevel"/>
    <w:tmpl w:val="1C625DDE"/>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3545D08"/>
    <w:multiLevelType w:val="hybridMultilevel"/>
    <w:tmpl w:val="B7BADE9C"/>
    <w:lvl w:ilvl="0" w:tplc="04090019">
      <w:start w:val="1"/>
      <w:numFmt w:val="lowerLetter"/>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7">
    <w:nsid w:val="649442E2"/>
    <w:multiLevelType w:val="hybridMultilevel"/>
    <w:tmpl w:val="5ACA6A52"/>
    <w:lvl w:ilvl="0" w:tplc="C3AE65E6">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65716C41"/>
    <w:multiLevelType w:val="hybridMultilevel"/>
    <w:tmpl w:val="A8484FD2"/>
    <w:lvl w:ilvl="0" w:tplc="FFFFFFFF">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694B27DF"/>
    <w:multiLevelType w:val="hybridMultilevel"/>
    <w:tmpl w:val="8D3E24A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6B030FC4"/>
    <w:multiLevelType w:val="hybridMultilevel"/>
    <w:tmpl w:val="0DB097E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6D360489"/>
    <w:multiLevelType w:val="multilevel"/>
    <w:tmpl w:val="5A668FE8"/>
    <w:lvl w:ilvl="0">
      <w:start w:val="1"/>
      <w:numFmt w:val="upperRoman"/>
      <w:lvlText w:val="%1."/>
      <w:lvlJc w:val="left"/>
      <w:pPr>
        <w:tabs>
          <w:tab w:val="num" w:pos="1080"/>
        </w:tabs>
        <w:ind w:left="1080" w:hanging="720"/>
      </w:pPr>
      <w:rPr>
        <w:rFonts w:hint="default"/>
      </w:rPr>
    </w:lvl>
    <w:lvl w:ilvl="1">
      <w:start w:val="1"/>
      <w:numFmt w:val="decimal"/>
      <w:isLgl/>
      <w:lvlText w:val="%1.%2"/>
      <w:lvlJc w:val="left"/>
      <w:pPr>
        <w:tabs>
          <w:tab w:val="num" w:pos="1080"/>
        </w:tabs>
        <w:ind w:left="1080" w:hanging="720"/>
      </w:pPr>
      <w:rPr>
        <w:rFonts w:ascii="Times New Roman" w:hAnsi="Times New Roman" w:cs="Times New Roman" w:hint="default"/>
        <w:b w:val="0"/>
        <w:sz w:val="24"/>
        <w:szCs w:val="24"/>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1800"/>
        </w:tabs>
        <w:ind w:left="1800" w:hanging="1440"/>
      </w:pPr>
      <w:rPr>
        <w:rFonts w:hint="default"/>
      </w:rPr>
    </w:lvl>
  </w:abstractNum>
  <w:abstractNum w:abstractNumId="32">
    <w:nsid w:val="6E1435B8"/>
    <w:multiLevelType w:val="hybridMultilevel"/>
    <w:tmpl w:val="121E67B8"/>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3">
    <w:nsid w:val="70901166"/>
    <w:multiLevelType w:val="hybridMultilevel"/>
    <w:tmpl w:val="2F24E82A"/>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71E10C8F"/>
    <w:multiLevelType w:val="hybridMultilevel"/>
    <w:tmpl w:val="10946EC4"/>
    <w:lvl w:ilvl="0" w:tplc="04090015">
      <w:start w:val="1"/>
      <w:numFmt w:val="upperLetter"/>
      <w:lvlText w:val="%1."/>
      <w:lvlJc w:val="left"/>
      <w:pPr>
        <w:ind w:left="720" w:hanging="360"/>
      </w:pPr>
    </w:lvl>
    <w:lvl w:ilvl="1" w:tplc="04090015">
      <w:start w:val="1"/>
      <w:numFmt w:val="upp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796F7765"/>
    <w:multiLevelType w:val="hybridMultilevel"/>
    <w:tmpl w:val="5908F1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79A80436"/>
    <w:multiLevelType w:val="multilevel"/>
    <w:tmpl w:val="C16A8350"/>
    <w:lvl w:ilvl="0">
      <w:start w:val="2"/>
      <w:numFmt w:val="decimal"/>
      <w:lvlText w:val="%1"/>
      <w:lvlJc w:val="left"/>
      <w:pPr>
        <w:ind w:left="360" w:hanging="360"/>
      </w:pPr>
      <w:rPr>
        <w:rFonts w:hint="default"/>
      </w:rPr>
    </w:lvl>
    <w:lvl w:ilvl="1">
      <w:start w:val="1"/>
      <w:numFmt w:val="decimal"/>
      <w:lvlText w:val="%1.%2"/>
      <w:lvlJc w:val="left"/>
      <w:pPr>
        <w:ind w:left="4472" w:hanging="360"/>
      </w:pPr>
      <w:rPr>
        <w:rFonts w:hint="default"/>
        <w:b w:val="0"/>
        <w:color w:val="auto"/>
        <w:sz w:val="24"/>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7">
    <w:nsid w:val="7A433023"/>
    <w:multiLevelType w:val="hybridMultilevel"/>
    <w:tmpl w:val="F7BC796E"/>
    <w:lvl w:ilvl="0" w:tplc="C3AE65E6">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4"/>
  </w:num>
  <w:num w:numId="3">
    <w:abstractNumId w:val="26"/>
  </w:num>
  <w:num w:numId="4">
    <w:abstractNumId w:val="13"/>
  </w:num>
  <w:num w:numId="5">
    <w:abstractNumId w:val="24"/>
  </w:num>
  <w:num w:numId="6">
    <w:abstractNumId w:val="7"/>
  </w:num>
  <w:num w:numId="7">
    <w:abstractNumId w:val="17"/>
  </w:num>
  <w:num w:numId="8">
    <w:abstractNumId w:val="25"/>
  </w:num>
  <w:num w:numId="9">
    <w:abstractNumId w:val="11"/>
  </w:num>
  <w:num w:numId="10">
    <w:abstractNumId w:val="3"/>
  </w:num>
  <w:num w:numId="11">
    <w:abstractNumId w:val="31"/>
  </w:num>
  <w:num w:numId="12">
    <w:abstractNumId w:val="18"/>
  </w:num>
  <w:num w:numId="13">
    <w:abstractNumId w:val="1"/>
  </w:num>
  <w:num w:numId="14">
    <w:abstractNumId w:val="12"/>
  </w:num>
  <w:num w:numId="15">
    <w:abstractNumId w:val="33"/>
  </w:num>
  <w:num w:numId="16">
    <w:abstractNumId w:val="14"/>
  </w:num>
  <w:num w:numId="17">
    <w:abstractNumId w:val="29"/>
  </w:num>
  <w:num w:numId="18">
    <w:abstractNumId w:val="6"/>
  </w:num>
  <w:num w:numId="19">
    <w:abstractNumId w:val="10"/>
  </w:num>
  <w:num w:numId="20">
    <w:abstractNumId w:val="28"/>
  </w:num>
  <w:num w:numId="21">
    <w:abstractNumId w:val="35"/>
  </w:num>
  <w:num w:numId="22">
    <w:abstractNumId w:val="8"/>
  </w:num>
  <w:num w:numId="23">
    <w:abstractNumId w:val="15"/>
  </w:num>
  <w:num w:numId="24">
    <w:abstractNumId w:val="2"/>
  </w:num>
  <w:num w:numId="25">
    <w:abstractNumId w:val="21"/>
  </w:num>
  <w:num w:numId="26">
    <w:abstractNumId w:val="23"/>
  </w:num>
  <w:num w:numId="27">
    <w:abstractNumId w:val="5"/>
  </w:num>
  <w:num w:numId="28">
    <w:abstractNumId w:val="16"/>
  </w:num>
  <w:num w:numId="29">
    <w:abstractNumId w:val="9"/>
  </w:num>
  <w:num w:numId="30">
    <w:abstractNumId w:val="27"/>
  </w:num>
  <w:num w:numId="31">
    <w:abstractNumId w:val="22"/>
  </w:num>
  <w:num w:numId="32">
    <w:abstractNumId w:val="36"/>
  </w:num>
  <w:num w:numId="33">
    <w:abstractNumId w:val="34"/>
  </w:num>
  <w:num w:numId="34">
    <w:abstractNumId w:val="32"/>
  </w:num>
  <w:num w:numId="35">
    <w:abstractNumId w:val="30"/>
  </w:num>
  <w:num w:numId="36">
    <w:abstractNumId w:val="6"/>
  </w:num>
  <w:num w:numId="37">
    <w:abstractNumId w:val="19"/>
  </w:num>
  <w:num w:numId="38">
    <w:abstractNumId w:val="0"/>
  </w:num>
  <w:num w:numId="39">
    <w:abstractNumId w:val="37"/>
  </w:num>
  <w:num w:numId="40">
    <w:abstractNumId w:val="20"/>
  </w:num>
  <w:numIdMacAtCleanup w:val="6"/>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Wilkferg Vanegas">
    <w15:presenceInfo w15:providerId="Windows Live" w15:userId="5c104eac67cb1f3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revisionView w:markup="0"/>
  <w:defaultTabStop w:val="720"/>
  <w:hyphenationZone w:val="425"/>
  <w:drawingGridHorizontalSpacing w:val="120"/>
  <w:displayHorizontalDrawingGridEvery w:val="2"/>
  <w:characterSpacingControl w:val="doNotCompres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D5649"/>
    <w:rsid w:val="000036A1"/>
    <w:rsid w:val="00004201"/>
    <w:rsid w:val="0001275C"/>
    <w:rsid w:val="00013071"/>
    <w:rsid w:val="00013923"/>
    <w:rsid w:val="00013A83"/>
    <w:rsid w:val="00015B76"/>
    <w:rsid w:val="00025A56"/>
    <w:rsid w:val="00030409"/>
    <w:rsid w:val="00035171"/>
    <w:rsid w:val="00041EFA"/>
    <w:rsid w:val="00044ED3"/>
    <w:rsid w:val="00044F60"/>
    <w:rsid w:val="00047193"/>
    <w:rsid w:val="00063F2E"/>
    <w:rsid w:val="00070A37"/>
    <w:rsid w:val="00083E53"/>
    <w:rsid w:val="000841B5"/>
    <w:rsid w:val="00084C34"/>
    <w:rsid w:val="00091CC9"/>
    <w:rsid w:val="000943BE"/>
    <w:rsid w:val="00095729"/>
    <w:rsid w:val="000969DA"/>
    <w:rsid w:val="000A4FBC"/>
    <w:rsid w:val="000B4DEB"/>
    <w:rsid w:val="000B635C"/>
    <w:rsid w:val="000C3A85"/>
    <w:rsid w:val="000C6DD9"/>
    <w:rsid w:val="000C6DEE"/>
    <w:rsid w:val="000D5054"/>
    <w:rsid w:val="000D5584"/>
    <w:rsid w:val="000D634B"/>
    <w:rsid w:val="000E27A0"/>
    <w:rsid w:val="000E5252"/>
    <w:rsid w:val="000E7E14"/>
    <w:rsid w:val="000F28D0"/>
    <w:rsid w:val="001003A0"/>
    <w:rsid w:val="001025B2"/>
    <w:rsid w:val="00115F83"/>
    <w:rsid w:val="001179B7"/>
    <w:rsid w:val="001225D8"/>
    <w:rsid w:val="00122B61"/>
    <w:rsid w:val="001242D4"/>
    <w:rsid w:val="00127372"/>
    <w:rsid w:val="00127C1C"/>
    <w:rsid w:val="00130CF3"/>
    <w:rsid w:val="00132F6C"/>
    <w:rsid w:val="00137E02"/>
    <w:rsid w:val="00140805"/>
    <w:rsid w:val="00143586"/>
    <w:rsid w:val="00151031"/>
    <w:rsid w:val="00161FB9"/>
    <w:rsid w:val="001655F2"/>
    <w:rsid w:val="00165871"/>
    <w:rsid w:val="00180EDE"/>
    <w:rsid w:val="00184745"/>
    <w:rsid w:val="001954BE"/>
    <w:rsid w:val="001A0418"/>
    <w:rsid w:val="001A27C6"/>
    <w:rsid w:val="001A50B1"/>
    <w:rsid w:val="001A529B"/>
    <w:rsid w:val="001B5B08"/>
    <w:rsid w:val="001C1A5A"/>
    <w:rsid w:val="001C2E22"/>
    <w:rsid w:val="001C48E0"/>
    <w:rsid w:val="001C7C08"/>
    <w:rsid w:val="001D1300"/>
    <w:rsid w:val="001E499F"/>
    <w:rsid w:val="001E706E"/>
    <w:rsid w:val="001F0963"/>
    <w:rsid w:val="001F2428"/>
    <w:rsid w:val="001F7EB2"/>
    <w:rsid w:val="00201F4C"/>
    <w:rsid w:val="0020475C"/>
    <w:rsid w:val="00216636"/>
    <w:rsid w:val="0022255F"/>
    <w:rsid w:val="00242423"/>
    <w:rsid w:val="00242485"/>
    <w:rsid w:val="00244E7B"/>
    <w:rsid w:val="00251E63"/>
    <w:rsid w:val="00252121"/>
    <w:rsid w:val="0025439B"/>
    <w:rsid w:val="00255FD0"/>
    <w:rsid w:val="00256B20"/>
    <w:rsid w:val="00256F54"/>
    <w:rsid w:val="00257410"/>
    <w:rsid w:val="00257C32"/>
    <w:rsid w:val="00272A50"/>
    <w:rsid w:val="00272B08"/>
    <w:rsid w:val="00277F1C"/>
    <w:rsid w:val="00280BC6"/>
    <w:rsid w:val="0028499B"/>
    <w:rsid w:val="002850B2"/>
    <w:rsid w:val="002852B5"/>
    <w:rsid w:val="00287BB4"/>
    <w:rsid w:val="00290D50"/>
    <w:rsid w:val="00292529"/>
    <w:rsid w:val="00293626"/>
    <w:rsid w:val="002A3A98"/>
    <w:rsid w:val="002A5548"/>
    <w:rsid w:val="002C2BF1"/>
    <w:rsid w:val="002C5263"/>
    <w:rsid w:val="002C6D38"/>
    <w:rsid w:val="002D29A3"/>
    <w:rsid w:val="002D5BDA"/>
    <w:rsid w:val="002D631B"/>
    <w:rsid w:val="002E0F86"/>
    <w:rsid w:val="002F5279"/>
    <w:rsid w:val="00301363"/>
    <w:rsid w:val="00303EB5"/>
    <w:rsid w:val="00305577"/>
    <w:rsid w:val="0031540E"/>
    <w:rsid w:val="00331530"/>
    <w:rsid w:val="00334179"/>
    <w:rsid w:val="00345BFE"/>
    <w:rsid w:val="00346581"/>
    <w:rsid w:val="003474D4"/>
    <w:rsid w:val="003478F0"/>
    <w:rsid w:val="00355D05"/>
    <w:rsid w:val="00357AF4"/>
    <w:rsid w:val="003607EF"/>
    <w:rsid w:val="00360EEF"/>
    <w:rsid w:val="00362CD4"/>
    <w:rsid w:val="0036362E"/>
    <w:rsid w:val="00374685"/>
    <w:rsid w:val="00381241"/>
    <w:rsid w:val="00381ECE"/>
    <w:rsid w:val="00392606"/>
    <w:rsid w:val="0039528C"/>
    <w:rsid w:val="003A259B"/>
    <w:rsid w:val="003A3ECE"/>
    <w:rsid w:val="003A50FC"/>
    <w:rsid w:val="003A5EF4"/>
    <w:rsid w:val="003B23D4"/>
    <w:rsid w:val="003C19C1"/>
    <w:rsid w:val="003D28FC"/>
    <w:rsid w:val="003D4373"/>
    <w:rsid w:val="003D6F2A"/>
    <w:rsid w:val="003E2765"/>
    <w:rsid w:val="003E6371"/>
    <w:rsid w:val="003E7104"/>
    <w:rsid w:val="003F09D8"/>
    <w:rsid w:val="003F5C58"/>
    <w:rsid w:val="003F7826"/>
    <w:rsid w:val="003F7E17"/>
    <w:rsid w:val="00400052"/>
    <w:rsid w:val="00400ADA"/>
    <w:rsid w:val="00403F13"/>
    <w:rsid w:val="0040592F"/>
    <w:rsid w:val="00411BD9"/>
    <w:rsid w:val="00416DB4"/>
    <w:rsid w:val="0041700D"/>
    <w:rsid w:val="00421335"/>
    <w:rsid w:val="004369F5"/>
    <w:rsid w:val="00446BD6"/>
    <w:rsid w:val="00452F76"/>
    <w:rsid w:val="00454CAD"/>
    <w:rsid w:val="00463ACC"/>
    <w:rsid w:val="004646FD"/>
    <w:rsid w:val="004709CE"/>
    <w:rsid w:val="00473741"/>
    <w:rsid w:val="00486A66"/>
    <w:rsid w:val="004915D2"/>
    <w:rsid w:val="00496DE5"/>
    <w:rsid w:val="004A1F3A"/>
    <w:rsid w:val="004A4E98"/>
    <w:rsid w:val="004A72C6"/>
    <w:rsid w:val="004B3BA2"/>
    <w:rsid w:val="004B6546"/>
    <w:rsid w:val="004C659E"/>
    <w:rsid w:val="004D1219"/>
    <w:rsid w:val="004D1F11"/>
    <w:rsid w:val="004E2A75"/>
    <w:rsid w:val="004E63BD"/>
    <w:rsid w:val="004E6A6D"/>
    <w:rsid w:val="004F058B"/>
    <w:rsid w:val="004F320D"/>
    <w:rsid w:val="004F3AE1"/>
    <w:rsid w:val="004F5EED"/>
    <w:rsid w:val="004F7565"/>
    <w:rsid w:val="00502C8B"/>
    <w:rsid w:val="00502E8F"/>
    <w:rsid w:val="00503260"/>
    <w:rsid w:val="00505794"/>
    <w:rsid w:val="005118B5"/>
    <w:rsid w:val="00513494"/>
    <w:rsid w:val="00515840"/>
    <w:rsid w:val="00515C28"/>
    <w:rsid w:val="00520DD6"/>
    <w:rsid w:val="00522553"/>
    <w:rsid w:val="00537C24"/>
    <w:rsid w:val="00541330"/>
    <w:rsid w:val="00542C47"/>
    <w:rsid w:val="00544379"/>
    <w:rsid w:val="00545C40"/>
    <w:rsid w:val="00553122"/>
    <w:rsid w:val="005566AB"/>
    <w:rsid w:val="00557251"/>
    <w:rsid w:val="00561026"/>
    <w:rsid w:val="00562F17"/>
    <w:rsid w:val="00563706"/>
    <w:rsid w:val="00566B5F"/>
    <w:rsid w:val="005711FC"/>
    <w:rsid w:val="00572754"/>
    <w:rsid w:val="005728D2"/>
    <w:rsid w:val="00575594"/>
    <w:rsid w:val="00584F64"/>
    <w:rsid w:val="005851BE"/>
    <w:rsid w:val="00586BCD"/>
    <w:rsid w:val="005968A4"/>
    <w:rsid w:val="005A0654"/>
    <w:rsid w:val="005B40C6"/>
    <w:rsid w:val="005C1207"/>
    <w:rsid w:val="005D065A"/>
    <w:rsid w:val="005E02FF"/>
    <w:rsid w:val="00607F2B"/>
    <w:rsid w:val="006112A8"/>
    <w:rsid w:val="006131EF"/>
    <w:rsid w:val="00617451"/>
    <w:rsid w:val="0062100A"/>
    <w:rsid w:val="00621BE9"/>
    <w:rsid w:val="00622768"/>
    <w:rsid w:val="00622B81"/>
    <w:rsid w:val="00625566"/>
    <w:rsid w:val="006257C4"/>
    <w:rsid w:val="0063199D"/>
    <w:rsid w:val="0063793F"/>
    <w:rsid w:val="0064679C"/>
    <w:rsid w:val="006469FC"/>
    <w:rsid w:val="00653098"/>
    <w:rsid w:val="00662F41"/>
    <w:rsid w:val="00665CE0"/>
    <w:rsid w:val="00666C08"/>
    <w:rsid w:val="0067216F"/>
    <w:rsid w:val="00680C24"/>
    <w:rsid w:val="006840BC"/>
    <w:rsid w:val="0069056F"/>
    <w:rsid w:val="006913F7"/>
    <w:rsid w:val="00695475"/>
    <w:rsid w:val="006A06F9"/>
    <w:rsid w:val="006A2512"/>
    <w:rsid w:val="006A2513"/>
    <w:rsid w:val="006A3A59"/>
    <w:rsid w:val="006B0A10"/>
    <w:rsid w:val="006B0EBB"/>
    <w:rsid w:val="006B3F1C"/>
    <w:rsid w:val="006B5F01"/>
    <w:rsid w:val="006B6A6B"/>
    <w:rsid w:val="006B7947"/>
    <w:rsid w:val="006C48EB"/>
    <w:rsid w:val="006C66A0"/>
    <w:rsid w:val="006D02D7"/>
    <w:rsid w:val="006D42E0"/>
    <w:rsid w:val="006D54A8"/>
    <w:rsid w:val="006E3D25"/>
    <w:rsid w:val="006E3D4B"/>
    <w:rsid w:val="006E6BB2"/>
    <w:rsid w:val="006F46F8"/>
    <w:rsid w:val="00710352"/>
    <w:rsid w:val="00721EBC"/>
    <w:rsid w:val="00721F23"/>
    <w:rsid w:val="00725292"/>
    <w:rsid w:val="0073004F"/>
    <w:rsid w:val="00737347"/>
    <w:rsid w:val="00741077"/>
    <w:rsid w:val="00745BE4"/>
    <w:rsid w:val="00767DBC"/>
    <w:rsid w:val="007747F9"/>
    <w:rsid w:val="0077483A"/>
    <w:rsid w:val="007768F6"/>
    <w:rsid w:val="007808A3"/>
    <w:rsid w:val="00782726"/>
    <w:rsid w:val="0078343E"/>
    <w:rsid w:val="0079157D"/>
    <w:rsid w:val="007920F6"/>
    <w:rsid w:val="007A14FE"/>
    <w:rsid w:val="007A1D4C"/>
    <w:rsid w:val="007A28AA"/>
    <w:rsid w:val="007A5894"/>
    <w:rsid w:val="007C18C4"/>
    <w:rsid w:val="007C2C1B"/>
    <w:rsid w:val="007C7552"/>
    <w:rsid w:val="007D3100"/>
    <w:rsid w:val="007D34E5"/>
    <w:rsid w:val="007D6395"/>
    <w:rsid w:val="007E07CA"/>
    <w:rsid w:val="007E12A2"/>
    <w:rsid w:val="007E563C"/>
    <w:rsid w:val="007E5C9D"/>
    <w:rsid w:val="007E67A7"/>
    <w:rsid w:val="007F363F"/>
    <w:rsid w:val="00803842"/>
    <w:rsid w:val="00816667"/>
    <w:rsid w:val="0082115C"/>
    <w:rsid w:val="00821ADA"/>
    <w:rsid w:val="008238A3"/>
    <w:rsid w:val="00825CB9"/>
    <w:rsid w:val="008360DE"/>
    <w:rsid w:val="008453EC"/>
    <w:rsid w:val="00850DA4"/>
    <w:rsid w:val="008623ED"/>
    <w:rsid w:val="00862551"/>
    <w:rsid w:val="00871A51"/>
    <w:rsid w:val="00871EFA"/>
    <w:rsid w:val="00873FDC"/>
    <w:rsid w:val="0087412D"/>
    <w:rsid w:val="00876FEC"/>
    <w:rsid w:val="008841DE"/>
    <w:rsid w:val="008856C5"/>
    <w:rsid w:val="00885C93"/>
    <w:rsid w:val="00890118"/>
    <w:rsid w:val="0089115F"/>
    <w:rsid w:val="00895FC0"/>
    <w:rsid w:val="0089799C"/>
    <w:rsid w:val="008A1B6D"/>
    <w:rsid w:val="008A1D1F"/>
    <w:rsid w:val="008B0508"/>
    <w:rsid w:val="008B7E4C"/>
    <w:rsid w:val="008C1BB5"/>
    <w:rsid w:val="008C5169"/>
    <w:rsid w:val="008C5EA3"/>
    <w:rsid w:val="008D15B5"/>
    <w:rsid w:val="008E15D2"/>
    <w:rsid w:val="008E18B6"/>
    <w:rsid w:val="008E1B2F"/>
    <w:rsid w:val="008E4144"/>
    <w:rsid w:val="008F0261"/>
    <w:rsid w:val="00907D63"/>
    <w:rsid w:val="00914712"/>
    <w:rsid w:val="009229EF"/>
    <w:rsid w:val="00947C7E"/>
    <w:rsid w:val="00955DC9"/>
    <w:rsid w:val="009625B1"/>
    <w:rsid w:val="00962FE8"/>
    <w:rsid w:val="00964F15"/>
    <w:rsid w:val="0096655E"/>
    <w:rsid w:val="00966E10"/>
    <w:rsid w:val="009732B5"/>
    <w:rsid w:val="009974A7"/>
    <w:rsid w:val="00997C41"/>
    <w:rsid w:val="009A2157"/>
    <w:rsid w:val="009B17E0"/>
    <w:rsid w:val="009B1DFC"/>
    <w:rsid w:val="009B460B"/>
    <w:rsid w:val="009B5CF7"/>
    <w:rsid w:val="009C19FF"/>
    <w:rsid w:val="009C479C"/>
    <w:rsid w:val="009C5D98"/>
    <w:rsid w:val="009C6F9D"/>
    <w:rsid w:val="009D017F"/>
    <w:rsid w:val="009D0516"/>
    <w:rsid w:val="009D0B0C"/>
    <w:rsid w:val="009D3F4E"/>
    <w:rsid w:val="009E39D5"/>
    <w:rsid w:val="00A0346A"/>
    <w:rsid w:val="00A0380E"/>
    <w:rsid w:val="00A11A26"/>
    <w:rsid w:val="00A12DDC"/>
    <w:rsid w:val="00A27B57"/>
    <w:rsid w:val="00A34160"/>
    <w:rsid w:val="00A41597"/>
    <w:rsid w:val="00A45622"/>
    <w:rsid w:val="00A5054C"/>
    <w:rsid w:val="00A5295F"/>
    <w:rsid w:val="00A53C68"/>
    <w:rsid w:val="00A6070C"/>
    <w:rsid w:val="00A61EE7"/>
    <w:rsid w:val="00A66A3A"/>
    <w:rsid w:val="00A67486"/>
    <w:rsid w:val="00A7377F"/>
    <w:rsid w:val="00A75536"/>
    <w:rsid w:val="00A7553A"/>
    <w:rsid w:val="00A76328"/>
    <w:rsid w:val="00A77AA1"/>
    <w:rsid w:val="00A9486E"/>
    <w:rsid w:val="00A9782F"/>
    <w:rsid w:val="00AA59A7"/>
    <w:rsid w:val="00AB12CA"/>
    <w:rsid w:val="00AD1292"/>
    <w:rsid w:val="00AD19D8"/>
    <w:rsid w:val="00AD2910"/>
    <w:rsid w:val="00AD5BAC"/>
    <w:rsid w:val="00B00250"/>
    <w:rsid w:val="00B05616"/>
    <w:rsid w:val="00B0737D"/>
    <w:rsid w:val="00B13681"/>
    <w:rsid w:val="00B139AC"/>
    <w:rsid w:val="00B15334"/>
    <w:rsid w:val="00B17CFB"/>
    <w:rsid w:val="00B24F7D"/>
    <w:rsid w:val="00B32A4D"/>
    <w:rsid w:val="00B33041"/>
    <w:rsid w:val="00B3651C"/>
    <w:rsid w:val="00B406AC"/>
    <w:rsid w:val="00B45A32"/>
    <w:rsid w:val="00B50D38"/>
    <w:rsid w:val="00B623BC"/>
    <w:rsid w:val="00B6668C"/>
    <w:rsid w:val="00B701DB"/>
    <w:rsid w:val="00B7182C"/>
    <w:rsid w:val="00B84AE8"/>
    <w:rsid w:val="00B862B9"/>
    <w:rsid w:val="00BA166C"/>
    <w:rsid w:val="00BB0873"/>
    <w:rsid w:val="00BB0B7F"/>
    <w:rsid w:val="00BB114C"/>
    <w:rsid w:val="00BB201D"/>
    <w:rsid w:val="00BB2438"/>
    <w:rsid w:val="00BC3594"/>
    <w:rsid w:val="00BE3D6C"/>
    <w:rsid w:val="00BE4515"/>
    <w:rsid w:val="00BF1FCC"/>
    <w:rsid w:val="00BF3990"/>
    <w:rsid w:val="00BF6F36"/>
    <w:rsid w:val="00C024B5"/>
    <w:rsid w:val="00C03712"/>
    <w:rsid w:val="00C1026F"/>
    <w:rsid w:val="00C12F1C"/>
    <w:rsid w:val="00C144D7"/>
    <w:rsid w:val="00C17FD1"/>
    <w:rsid w:val="00C23D32"/>
    <w:rsid w:val="00C31DBB"/>
    <w:rsid w:val="00C3752D"/>
    <w:rsid w:val="00C414B7"/>
    <w:rsid w:val="00C41BC8"/>
    <w:rsid w:val="00C4723A"/>
    <w:rsid w:val="00C47BD6"/>
    <w:rsid w:val="00C50DB9"/>
    <w:rsid w:val="00C53503"/>
    <w:rsid w:val="00C54F31"/>
    <w:rsid w:val="00C55415"/>
    <w:rsid w:val="00C60C81"/>
    <w:rsid w:val="00C6187F"/>
    <w:rsid w:val="00C74006"/>
    <w:rsid w:val="00C84327"/>
    <w:rsid w:val="00C95915"/>
    <w:rsid w:val="00CA0F11"/>
    <w:rsid w:val="00CA3C59"/>
    <w:rsid w:val="00CA4F81"/>
    <w:rsid w:val="00CA5ACD"/>
    <w:rsid w:val="00CA73A9"/>
    <w:rsid w:val="00CB0E04"/>
    <w:rsid w:val="00CB32E8"/>
    <w:rsid w:val="00CD07FA"/>
    <w:rsid w:val="00CE0992"/>
    <w:rsid w:val="00CE2719"/>
    <w:rsid w:val="00CF0A4C"/>
    <w:rsid w:val="00CF0FBF"/>
    <w:rsid w:val="00CF2B31"/>
    <w:rsid w:val="00CF3121"/>
    <w:rsid w:val="00CF7759"/>
    <w:rsid w:val="00D01A89"/>
    <w:rsid w:val="00D0502F"/>
    <w:rsid w:val="00D0685E"/>
    <w:rsid w:val="00D07EBC"/>
    <w:rsid w:val="00D12B90"/>
    <w:rsid w:val="00D139D1"/>
    <w:rsid w:val="00D20790"/>
    <w:rsid w:val="00D233E6"/>
    <w:rsid w:val="00D30990"/>
    <w:rsid w:val="00D35DEA"/>
    <w:rsid w:val="00D4104B"/>
    <w:rsid w:val="00D56F7A"/>
    <w:rsid w:val="00D617F6"/>
    <w:rsid w:val="00D65B88"/>
    <w:rsid w:val="00D81DE9"/>
    <w:rsid w:val="00D95E35"/>
    <w:rsid w:val="00DA2192"/>
    <w:rsid w:val="00DA3232"/>
    <w:rsid w:val="00DA615C"/>
    <w:rsid w:val="00DB25E6"/>
    <w:rsid w:val="00DB3EF0"/>
    <w:rsid w:val="00DB44FA"/>
    <w:rsid w:val="00DB6372"/>
    <w:rsid w:val="00DC0BF9"/>
    <w:rsid w:val="00DC14A6"/>
    <w:rsid w:val="00DC48FB"/>
    <w:rsid w:val="00DE2104"/>
    <w:rsid w:val="00DE31F0"/>
    <w:rsid w:val="00DF078C"/>
    <w:rsid w:val="00DF5D5F"/>
    <w:rsid w:val="00E01CC5"/>
    <w:rsid w:val="00E0260B"/>
    <w:rsid w:val="00E02D8D"/>
    <w:rsid w:val="00E067B8"/>
    <w:rsid w:val="00E1238C"/>
    <w:rsid w:val="00E1707A"/>
    <w:rsid w:val="00E22625"/>
    <w:rsid w:val="00E258D1"/>
    <w:rsid w:val="00E33093"/>
    <w:rsid w:val="00E33A82"/>
    <w:rsid w:val="00E40E47"/>
    <w:rsid w:val="00E4443F"/>
    <w:rsid w:val="00E45402"/>
    <w:rsid w:val="00E45834"/>
    <w:rsid w:val="00E458AC"/>
    <w:rsid w:val="00E56C7D"/>
    <w:rsid w:val="00E65923"/>
    <w:rsid w:val="00E7798E"/>
    <w:rsid w:val="00E820FE"/>
    <w:rsid w:val="00E869BC"/>
    <w:rsid w:val="00E941D4"/>
    <w:rsid w:val="00E9615E"/>
    <w:rsid w:val="00EA6A97"/>
    <w:rsid w:val="00EB2B8C"/>
    <w:rsid w:val="00EB2C60"/>
    <w:rsid w:val="00EB5421"/>
    <w:rsid w:val="00EB5A0E"/>
    <w:rsid w:val="00EC1209"/>
    <w:rsid w:val="00ED558B"/>
    <w:rsid w:val="00ED5649"/>
    <w:rsid w:val="00EE7187"/>
    <w:rsid w:val="00EF304D"/>
    <w:rsid w:val="00F004EF"/>
    <w:rsid w:val="00F017FB"/>
    <w:rsid w:val="00F02631"/>
    <w:rsid w:val="00F0393C"/>
    <w:rsid w:val="00F05C0C"/>
    <w:rsid w:val="00F06A5B"/>
    <w:rsid w:val="00F13260"/>
    <w:rsid w:val="00F14C13"/>
    <w:rsid w:val="00F15707"/>
    <w:rsid w:val="00F20885"/>
    <w:rsid w:val="00F21227"/>
    <w:rsid w:val="00F23947"/>
    <w:rsid w:val="00F25E9F"/>
    <w:rsid w:val="00F31562"/>
    <w:rsid w:val="00F32F50"/>
    <w:rsid w:val="00F40539"/>
    <w:rsid w:val="00F41AE8"/>
    <w:rsid w:val="00F50F28"/>
    <w:rsid w:val="00F5503F"/>
    <w:rsid w:val="00F604CE"/>
    <w:rsid w:val="00F60E42"/>
    <w:rsid w:val="00F61C08"/>
    <w:rsid w:val="00F66075"/>
    <w:rsid w:val="00F70410"/>
    <w:rsid w:val="00F972B4"/>
    <w:rsid w:val="00F97DF7"/>
    <w:rsid w:val="00FA7062"/>
    <w:rsid w:val="00FB3035"/>
    <w:rsid w:val="00FB51B5"/>
    <w:rsid w:val="00FB5EBF"/>
    <w:rsid w:val="00FC6EC9"/>
    <w:rsid w:val="00FD475C"/>
    <w:rsid w:val="00FE0F73"/>
    <w:rsid w:val="00FE21C6"/>
    <w:rsid w:val="00FE24A3"/>
    <w:rsid w:val="00FE4036"/>
    <w:rsid w:val="00FE7F8B"/>
    <w:rsid w:val="00FF0D1D"/>
    <w:rsid w:val="00FF401C"/>
    <w:rsid w:val="00FF6FA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24A39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semiHidden="0" w:uiPriority="67" w:unhideWhenUsed="0"/>
    <w:lsdException w:name="No Spacing" w:semiHidden="0" w:uiPriority="68" w:unhideWhenUsed="0"/>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semiHidden="0"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34" w:unhideWhenUsed="0" w:qFormat="1"/>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semiHidden="0" w:uiPriority="37" w:unhideWhenUsed="0"/>
    <w:lsdException w:name="Colorful Shading Accent 6" w:semiHidden="0" w:uiPriority="39" w:unhideWhenUsed="0"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97DF7"/>
    <w:pPr>
      <w:spacing w:after="200" w:line="276" w:lineRule="auto"/>
    </w:pPr>
    <w:rPr>
      <w:rFonts w:ascii="Times New Roman" w:hAnsi="Times New Roman"/>
      <w:sz w:val="24"/>
      <w:szCs w:val="22"/>
    </w:rPr>
  </w:style>
  <w:style w:type="paragraph" w:styleId="Heading1">
    <w:name w:val="heading 1"/>
    <w:basedOn w:val="Normal"/>
    <w:next w:val="Normal"/>
    <w:link w:val="Heading1Char"/>
    <w:uiPriority w:val="9"/>
    <w:qFormat/>
    <w:rsid w:val="00256B20"/>
    <w:pPr>
      <w:keepNext/>
      <w:spacing w:before="240" w:after="60"/>
      <w:outlineLvl w:val="0"/>
    </w:pPr>
    <w:rPr>
      <w:rFonts w:ascii="Cambria" w:eastAsia="Times New Roman" w:hAnsi="Cambria"/>
      <w:b/>
      <w:bCs/>
      <w:kern w:val="32"/>
      <w:sz w:val="32"/>
      <w:szCs w:val="32"/>
    </w:rPr>
  </w:style>
  <w:style w:type="paragraph" w:styleId="Heading2">
    <w:name w:val="heading 2"/>
    <w:basedOn w:val="Normal"/>
    <w:next w:val="Normal"/>
    <w:link w:val="Heading2Char"/>
    <w:uiPriority w:val="9"/>
    <w:unhideWhenUsed/>
    <w:qFormat/>
    <w:rsid w:val="007C18C4"/>
    <w:pPr>
      <w:keepNext/>
      <w:numPr>
        <w:numId w:val="18"/>
      </w:numPr>
      <w:spacing w:before="240" w:after="60"/>
      <w:outlineLvl w:val="1"/>
    </w:pPr>
    <w:rPr>
      <w:rFonts w:eastAsia="Times New Roman"/>
      <w:bCs/>
      <w:i/>
      <w:iCs/>
      <w:szCs w:val="28"/>
      <w:u w:val="single"/>
    </w:rPr>
  </w:style>
  <w:style w:type="paragraph" w:styleId="Heading3">
    <w:name w:val="heading 3"/>
    <w:basedOn w:val="Normal"/>
    <w:next w:val="Normal"/>
    <w:link w:val="Heading3Char"/>
    <w:uiPriority w:val="9"/>
    <w:semiHidden/>
    <w:unhideWhenUsed/>
    <w:qFormat/>
    <w:rsid w:val="001C2E22"/>
    <w:pPr>
      <w:keepNext/>
      <w:numPr>
        <w:ilvl w:val="2"/>
        <w:numId w:val="1"/>
      </w:numPr>
      <w:spacing w:before="240" w:after="60"/>
      <w:outlineLvl w:val="2"/>
    </w:pPr>
    <w:rPr>
      <w:rFonts w:ascii="Cambria" w:eastAsia="Times New Roman" w:hAnsi="Cambria"/>
      <w:b/>
      <w:bCs/>
      <w:sz w:val="26"/>
      <w:szCs w:val="26"/>
    </w:rPr>
  </w:style>
  <w:style w:type="paragraph" w:styleId="Heading4">
    <w:name w:val="heading 4"/>
    <w:basedOn w:val="Normal"/>
    <w:next w:val="Normal"/>
    <w:link w:val="Heading4Char"/>
    <w:uiPriority w:val="9"/>
    <w:semiHidden/>
    <w:unhideWhenUsed/>
    <w:qFormat/>
    <w:rsid w:val="001C2E22"/>
    <w:pPr>
      <w:keepNext/>
      <w:numPr>
        <w:ilvl w:val="3"/>
        <w:numId w:val="1"/>
      </w:numPr>
      <w:spacing w:before="240" w:after="60"/>
      <w:outlineLvl w:val="3"/>
    </w:pPr>
    <w:rPr>
      <w:rFonts w:ascii="Calibri" w:eastAsia="Times New Roman" w:hAnsi="Calibri"/>
      <w:b/>
      <w:bCs/>
      <w:sz w:val="28"/>
      <w:szCs w:val="28"/>
    </w:rPr>
  </w:style>
  <w:style w:type="paragraph" w:styleId="Heading5">
    <w:name w:val="heading 5"/>
    <w:basedOn w:val="Normal"/>
    <w:next w:val="Normal"/>
    <w:link w:val="Heading5Char"/>
    <w:uiPriority w:val="9"/>
    <w:semiHidden/>
    <w:unhideWhenUsed/>
    <w:qFormat/>
    <w:rsid w:val="001C2E22"/>
    <w:pPr>
      <w:numPr>
        <w:ilvl w:val="4"/>
        <w:numId w:val="1"/>
      </w:numPr>
      <w:spacing w:before="240" w:after="60"/>
      <w:outlineLvl w:val="4"/>
    </w:pPr>
    <w:rPr>
      <w:rFonts w:ascii="Calibri" w:eastAsia="Times New Roman" w:hAnsi="Calibri"/>
      <w:b/>
      <w:bCs/>
      <w:i/>
      <w:iCs/>
      <w:sz w:val="26"/>
      <w:szCs w:val="26"/>
    </w:rPr>
  </w:style>
  <w:style w:type="paragraph" w:styleId="Heading6">
    <w:name w:val="heading 6"/>
    <w:basedOn w:val="Normal"/>
    <w:next w:val="Normal"/>
    <w:link w:val="Heading6Char"/>
    <w:uiPriority w:val="9"/>
    <w:semiHidden/>
    <w:unhideWhenUsed/>
    <w:qFormat/>
    <w:rsid w:val="001C2E22"/>
    <w:pPr>
      <w:numPr>
        <w:ilvl w:val="5"/>
        <w:numId w:val="1"/>
      </w:numPr>
      <w:spacing w:before="240" w:after="60"/>
      <w:outlineLvl w:val="5"/>
    </w:pPr>
    <w:rPr>
      <w:rFonts w:ascii="Calibri" w:eastAsia="Times New Roman" w:hAnsi="Calibri"/>
      <w:b/>
      <w:bCs/>
      <w:sz w:val="22"/>
    </w:rPr>
  </w:style>
  <w:style w:type="paragraph" w:styleId="Heading7">
    <w:name w:val="heading 7"/>
    <w:basedOn w:val="Normal"/>
    <w:next w:val="Normal"/>
    <w:link w:val="Heading7Char"/>
    <w:uiPriority w:val="9"/>
    <w:semiHidden/>
    <w:unhideWhenUsed/>
    <w:qFormat/>
    <w:rsid w:val="001C2E22"/>
    <w:pPr>
      <w:numPr>
        <w:ilvl w:val="6"/>
        <w:numId w:val="1"/>
      </w:numPr>
      <w:spacing w:before="240" w:after="60"/>
      <w:outlineLvl w:val="6"/>
    </w:pPr>
    <w:rPr>
      <w:rFonts w:ascii="Calibri" w:eastAsia="Times New Roman" w:hAnsi="Calibri"/>
      <w:szCs w:val="24"/>
    </w:rPr>
  </w:style>
  <w:style w:type="paragraph" w:styleId="Heading8">
    <w:name w:val="heading 8"/>
    <w:basedOn w:val="Normal"/>
    <w:next w:val="Normal"/>
    <w:link w:val="Heading8Char"/>
    <w:uiPriority w:val="9"/>
    <w:semiHidden/>
    <w:unhideWhenUsed/>
    <w:qFormat/>
    <w:rsid w:val="001C2E22"/>
    <w:pPr>
      <w:numPr>
        <w:ilvl w:val="7"/>
        <w:numId w:val="1"/>
      </w:numPr>
      <w:spacing w:before="240" w:after="60"/>
      <w:outlineLvl w:val="7"/>
    </w:pPr>
    <w:rPr>
      <w:rFonts w:ascii="Calibri" w:eastAsia="Times New Roman" w:hAnsi="Calibri"/>
      <w:i/>
      <w:iCs/>
      <w:szCs w:val="24"/>
    </w:rPr>
  </w:style>
  <w:style w:type="paragraph" w:styleId="Heading9">
    <w:name w:val="heading 9"/>
    <w:basedOn w:val="Normal"/>
    <w:next w:val="Normal"/>
    <w:link w:val="Heading9Char"/>
    <w:uiPriority w:val="9"/>
    <w:semiHidden/>
    <w:unhideWhenUsed/>
    <w:qFormat/>
    <w:rsid w:val="001C2E22"/>
    <w:pPr>
      <w:numPr>
        <w:ilvl w:val="8"/>
        <w:numId w:val="1"/>
      </w:numPr>
      <w:spacing w:before="240" w:after="60"/>
      <w:outlineLvl w:val="8"/>
    </w:pPr>
    <w:rPr>
      <w:rFonts w:ascii="Cambria" w:eastAsia="Times New Roman" w:hAnsi="Cambria"/>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semiHidden/>
    <w:unhideWhenUsed/>
    <w:rsid w:val="00ED5649"/>
    <w:pPr>
      <w:spacing w:after="0" w:line="240" w:lineRule="auto"/>
    </w:pPr>
    <w:rPr>
      <w:rFonts w:ascii="Tahoma" w:hAnsi="Tahoma"/>
      <w:sz w:val="16"/>
      <w:szCs w:val="16"/>
    </w:rPr>
  </w:style>
  <w:style w:type="character" w:customStyle="1" w:styleId="BalloonTextChar">
    <w:name w:val="Balloon Text Char"/>
    <w:link w:val="BalloonText"/>
    <w:uiPriority w:val="99"/>
    <w:semiHidden/>
    <w:rsid w:val="00ED5649"/>
    <w:rPr>
      <w:rFonts w:ascii="Tahoma" w:hAnsi="Tahoma" w:cs="Tahoma"/>
      <w:sz w:val="16"/>
      <w:szCs w:val="16"/>
    </w:rPr>
  </w:style>
  <w:style w:type="table" w:styleId="TableGrid">
    <w:name w:val="Table Grid"/>
    <w:basedOn w:val="TableNormal"/>
    <w:uiPriority w:val="59"/>
    <w:rsid w:val="004F5EED"/>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odyText">
    <w:name w:val="Body Text"/>
    <w:basedOn w:val="Normal"/>
    <w:next w:val="Normal"/>
    <w:link w:val="BodyTextChar"/>
    <w:rsid w:val="00E7798E"/>
    <w:pPr>
      <w:autoSpaceDE w:val="0"/>
      <w:autoSpaceDN w:val="0"/>
      <w:adjustRightInd w:val="0"/>
      <w:spacing w:after="0" w:line="240" w:lineRule="auto"/>
    </w:pPr>
    <w:rPr>
      <w:rFonts w:eastAsia="Times New Roman"/>
      <w:szCs w:val="24"/>
    </w:rPr>
  </w:style>
  <w:style w:type="character" w:customStyle="1" w:styleId="BodyTextChar">
    <w:name w:val="Body Text Char"/>
    <w:link w:val="BodyText"/>
    <w:rsid w:val="00E7798E"/>
    <w:rPr>
      <w:rFonts w:ascii="Times New Roman" w:eastAsia="Times New Roman" w:hAnsi="Times New Roman"/>
      <w:sz w:val="24"/>
      <w:szCs w:val="24"/>
    </w:rPr>
  </w:style>
  <w:style w:type="character" w:styleId="FootnoteReference">
    <w:name w:val="footnote reference"/>
    <w:aliases w:val="ftref,16 Point,Superscript 6 Point"/>
    <w:uiPriority w:val="99"/>
    <w:rsid w:val="00E7798E"/>
    <w:rPr>
      <w:vertAlign w:val="superscript"/>
    </w:rPr>
  </w:style>
  <w:style w:type="paragraph" w:styleId="FootnoteText">
    <w:name w:val="footnote text"/>
    <w:aliases w:val="fn,FOOTNOTES,single space,ALTS FOOTNOTE,Footnote Text Char1,Footnote Text Char Char,Note de bas de page Car,footnote text,Fodnotetekst Tegn,Fodnotetekst Tegn Char,footnote text Char Char Char,footnote,ADB,f,ft"/>
    <w:basedOn w:val="Normal"/>
    <w:link w:val="FootnoteTextChar"/>
    <w:uiPriority w:val="99"/>
    <w:rsid w:val="00E7798E"/>
    <w:pPr>
      <w:keepNext/>
      <w:keepLines/>
      <w:spacing w:after="120" w:line="240" w:lineRule="auto"/>
      <w:ind w:left="288" w:hanging="288"/>
      <w:jc w:val="both"/>
    </w:pPr>
    <w:rPr>
      <w:rFonts w:eastAsia="Times New Roman"/>
      <w:spacing w:val="-3"/>
      <w:sz w:val="20"/>
      <w:szCs w:val="20"/>
    </w:rPr>
  </w:style>
  <w:style w:type="character" w:customStyle="1" w:styleId="FootnoteTextChar">
    <w:name w:val="Footnote Text Char"/>
    <w:aliases w:val="fn Char,FOOTNOTES Char,single space Char,ALTS FOOTNOTE Char,Footnote Text Char1 Char,Footnote Text Char Char Char,Note de bas de page Car Char,footnote text Char,Fodnotetekst Tegn Char1,Fodnotetekst Tegn Char Char,footnote Char,f Char"/>
    <w:link w:val="FootnoteText"/>
    <w:uiPriority w:val="99"/>
    <w:rsid w:val="00E7798E"/>
    <w:rPr>
      <w:rFonts w:ascii="Times New Roman" w:eastAsia="Times New Roman" w:hAnsi="Times New Roman"/>
      <w:spacing w:val="-3"/>
    </w:rPr>
  </w:style>
  <w:style w:type="character" w:styleId="CommentReference">
    <w:name w:val="annotation reference"/>
    <w:semiHidden/>
    <w:unhideWhenUsed/>
    <w:rsid w:val="00FB51B5"/>
    <w:rPr>
      <w:sz w:val="16"/>
      <w:szCs w:val="16"/>
    </w:rPr>
  </w:style>
  <w:style w:type="paragraph" w:styleId="CommentText">
    <w:name w:val="annotation text"/>
    <w:basedOn w:val="Normal"/>
    <w:link w:val="CommentTextChar"/>
    <w:unhideWhenUsed/>
    <w:rsid w:val="00FB51B5"/>
    <w:rPr>
      <w:sz w:val="20"/>
      <w:szCs w:val="20"/>
    </w:rPr>
  </w:style>
  <w:style w:type="character" w:customStyle="1" w:styleId="CommentTextChar">
    <w:name w:val="Comment Text Char"/>
    <w:basedOn w:val="DefaultParagraphFont"/>
    <w:link w:val="CommentText"/>
    <w:uiPriority w:val="99"/>
    <w:rsid w:val="00FB51B5"/>
  </w:style>
  <w:style w:type="paragraph" w:styleId="CommentSubject">
    <w:name w:val="annotation subject"/>
    <w:basedOn w:val="CommentText"/>
    <w:next w:val="CommentText"/>
    <w:link w:val="CommentSubjectChar"/>
    <w:uiPriority w:val="99"/>
    <w:semiHidden/>
    <w:unhideWhenUsed/>
    <w:rsid w:val="00FB51B5"/>
    <w:rPr>
      <w:rFonts w:ascii="Calibri" w:hAnsi="Calibri"/>
      <w:b/>
      <w:bCs/>
    </w:rPr>
  </w:style>
  <w:style w:type="character" w:customStyle="1" w:styleId="CommentSubjectChar">
    <w:name w:val="Comment Subject Char"/>
    <w:link w:val="CommentSubject"/>
    <w:uiPriority w:val="99"/>
    <w:semiHidden/>
    <w:rsid w:val="00FB51B5"/>
    <w:rPr>
      <w:b/>
      <w:bCs/>
    </w:rPr>
  </w:style>
  <w:style w:type="paragraph" w:customStyle="1" w:styleId="Default">
    <w:name w:val="Default"/>
    <w:link w:val="DefaultChar"/>
    <w:rsid w:val="00FB51B5"/>
    <w:pPr>
      <w:autoSpaceDE w:val="0"/>
      <w:autoSpaceDN w:val="0"/>
      <w:adjustRightInd w:val="0"/>
    </w:pPr>
    <w:rPr>
      <w:rFonts w:ascii="Times New Roman" w:eastAsia="Times New Roman" w:hAnsi="Times New Roman"/>
      <w:color w:val="000000"/>
      <w:sz w:val="24"/>
      <w:szCs w:val="24"/>
    </w:rPr>
  </w:style>
  <w:style w:type="paragraph" w:styleId="Header">
    <w:name w:val="header"/>
    <w:basedOn w:val="Normal"/>
    <w:link w:val="HeaderChar"/>
    <w:uiPriority w:val="99"/>
    <w:rsid w:val="00B7182C"/>
    <w:pPr>
      <w:tabs>
        <w:tab w:val="center" w:pos="4320"/>
        <w:tab w:val="right" w:pos="8640"/>
      </w:tabs>
      <w:spacing w:after="0" w:line="240" w:lineRule="auto"/>
    </w:pPr>
    <w:rPr>
      <w:rFonts w:eastAsia="Times New Roman"/>
      <w:sz w:val="20"/>
      <w:szCs w:val="20"/>
      <w:lang w:val="es-ES"/>
    </w:rPr>
  </w:style>
  <w:style w:type="character" w:customStyle="1" w:styleId="HeaderChar">
    <w:name w:val="Header Char"/>
    <w:link w:val="Header"/>
    <w:uiPriority w:val="99"/>
    <w:rsid w:val="00B7182C"/>
    <w:rPr>
      <w:rFonts w:ascii="Times New Roman" w:eastAsia="Times New Roman" w:hAnsi="Times New Roman"/>
      <w:lang w:val="es-ES"/>
    </w:rPr>
  </w:style>
  <w:style w:type="paragraph" w:styleId="Footer">
    <w:name w:val="footer"/>
    <w:basedOn w:val="Normal"/>
    <w:link w:val="FooterChar"/>
    <w:uiPriority w:val="99"/>
    <w:unhideWhenUsed/>
    <w:rsid w:val="008C5169"/>
    <w:pPr>
      <w:tabs>
        <w:tab w:val="center" w:pos="4680"/>
        <w:tab w:val="right" w:pos="9360"/>
      </w:tabs>
    </w:pPr>
    <w:rPr>
      <w:rFonts w:ascii="Calibri" w:hAnsi="Calibri"/>
      <w:sz w:val="22"/>
    </w:rPr>
  </w:style>
  <w:style w:type="character" w:customStyle="1" w:styleId="FooterChar">
    <w:name w:val="Footer Char"/>
    <w:link w:val="Footer"/>
    <w:uiPriority w:val="99"/>
    <w:rsid w:val="008C5169"/>
    <w:rPr>
      <w:sz w:val="22"/>
      <w:szCs w:val="22"/>
    </w:rPr>
  </w:style>
  <w:style w:type="paragraph" w:styleId="Title">
    <w:name w:val="Title"/>
    <w:basedOn w:val="Normal"/>
    <w:link w:val="TitleChar"/>
    <w:qFormat/>
    <w:rsid w:val="00BF6F36"/>
    <w:pPr>
      <w:tabs>
        <w:tab w:val="left" w:pos="1440"/>
        <w:tab w:val="left" w:pos="3060"/>
      </w:tabs>
      <w:spacing w:after="0" w:line="240" w:lineRule="auto"/>
      <w:jc w:val="center"/>
      <w:outlineLvl w:val="0"/>
    </w:pPr>
    <w:rPr>
      <w:rFonts w:eastAsia="Times New Roman"/>
      <w:szCs w:val="20"/>
    </w:rPr>
  </w:style>
  <w:style w:type="character" w:customStyle="1" w:styleId="TitleChar">
    <w:name w:val="Title Char"/>
    <w:link w:val="Title"/>
    <w:rsid w:val="00BF6F36"/>
    <w:rPr>
      <w:rFonts w:ascii="Times New Roman" w:eastAsia="Times New Roman" w:hAnsi="Times New Roman"/>
      <w:sz w:val="24"/>
    </w:rPr>
  </w:style>
  <w:style w:type="paragraph" w:customStyle="1" w:styleId="Newpage">
    <w:name w:val="Newpage"/>
    <w:basedOn w:val="Normal"/>
    <w:link w:val="NewpageChar"/>
    <w:rsid w:val="00BF6F36"/>
    <w:pPr>
      <w:keepNext/>
      <w:tabs>
        <w:tab w:val="left" w:pos="1440"/>
        <w:tab w:val="left" w:pos="3060"/>
      </w:tabs>
      <w:spacing w:before="240" w:after="0" w:line="240" w:lineRule="auto"/>
      <w:jc w:val="center"/>
    </w:pPr>
    <w:rPr>
      <w:rFonts w:eastAsia="Times New Roman"/>
      <w:b/>
      <w:smallCaps/>
      <w:szCs w:val="20"/>
    </w:rPr>
  </w:style>
  <w:style w:type="paragraph" w:customStyle="1" w:styleId="Chapter">
    <w:name w:val="Chapter"/>
    <w:basedOn w:val="Normal"/>
    <w:next w:val="Normal"/>
    <w:rsid w:val="001C2E22"/>
    <w:pPr>
      <w:keepNext/>
      <w:numPr>
        <w:numId w:val="1"/>
      </w:numPr>
      <w:tabs>
        <w:tab w:val="left" w:pos="1440"/>
      </w:tabs>
      <w:spacing w:before="240" w:after="240" w:line="240" w:lineRule="auto"/>
      <w:jc w:val="center"/>
    </w:pPr>
    <w:rPr>
      <w:rFonts w:eastAsia="Times New Roman"/>
      <w:b/>
      <w:smallCaps/>
      <w:szCs w:val="20"/>
    </w:rPr>
  </w:style>
  <w:style w:type="paragraph" w:customStyle="1" w:styleId="Paragraph">
    <w:name w:val="Paragraph"/>
    <w:aliases w:val="paragraph,p,PARAGRAPH,PG,pa,at"/>
    <w:basedOn w:val="BodyTextIndent"/>
    <w:link w:val="ParagraphChar"/>
    <w:rsid w:val="001C2E22"/>
    <w:pPr>
      <w:tabs>
        <w:tab w:val="num" w:pos="720"/>
      </w:tabs>
      <w:spacing w:before="120"/>
      <w:ind w:left="720" w:hanging="720"/>
      <w:jc w:val="both"/>
      <w:outlineLvl w:val="1"/>
    </w:pPr>
    <w:rPr>
      <w:rFonts w:eastAsia="Times New Roman"/>
      <w:szCs w:val="20"/>
    </w:rPr>
  </w:style>
  <w:style w:type="paragraph" w:customStyle="1" w:styleId="subpar">
    <w:name w:val="subpar"/>
    <w:basedOn w:val="BodyTextIndent3"/>
    <w:rsid w:val="001C2E22"/>
    <w:pPr>
      <w:tabs>
        <w:tab w:val="num" w:pos="1152"/>
      </w:tabs>
      <w:spacing w:before="120"/>
      <w:ind w:left="1152" w:hanging="432"/>
      <w:jc w:val="both"/>
      <w:outlineLvl w:val="2"/>
    </w:pPr>
    <w:rPr>
      <w:rFonts w:eastAsia="Times New Roman"/>
      <w:szCs w:val="20"/>
    </w:rPr>
  </w:style>
  <w:style w:type="paragraph" w:customStyle="1" w:styleId="SubSubPar">
    <w:name w:val="SubSubPar"/>
    <w:basedOn w:val="subpar"/>
    <w:rsid w:val="001C2E22"/>
    <w:pPr>
      <w:tabs>
        <w:tab w:val="clear" w:pos="1152"/>
        <w:tab w:val="left" w:pos="0"/>
        <w:tab w:val="num" w:pos="1296"/>
      </w:tabs>
      <w:ind w:left="1296" w:hanging="288"/>
    </w:pPr>
  </w:style>
  <w:style w:type="character" w:customStyle="1" w:styleId="ParagraphChar">
    <w:name w:val="Paragraph Char"/>
    <w:aliases w:val="paragraph Char,p Char,PARAGRAPH Char,PG Char,pa Char,at Char"/>
    <w:link w:val="Paragraph"/>
    <w:rsid w:val="00BF6F36"/>
    <w:rPr>
      <w:rFonts w:ascii="Times New Roman" w:eastAsia="Times New Roman" w:hAnsi="Times New Roman"/>
      <w:sz w:val="24"/>
    </w:rPr>
  </w:style>
  <w:style w:type="paragraph" w:styleId="BodyTextIndent">
    <w:name w:val="Body Text Indent"/>
    <w:basedOn w:val="Normal"/>
    <w:link w:val="BodyTextIndentChar"/>
    <w:uiPriority w:val="99"/>
    <w:semiHidden/>
    <w:unhideWhenUsed/>
    <w:rsid w:val="00BF6F36"/>
    <w:pPr>
      <w:spacing w:after="120" w:line="240" w:lineRule="auto"/>
      <w:ind w:left="360"/>
    </w:pPr>
  </w:style>
  <w:style w:type="character" w:customStyle="1" w:styleId="BodyTextIndentChar">
    <w:name w:val="Body Text Indent Char"/>
    <w:link w:val="BodyTextIndent"/>
    <w:uiPriority w:val="99"/>
    <w:semiHidden/>
    <w:rsid w:val="00BF6F36"/>
    <w:rPr>
      <w:rFonts w:ascii="Times New Roman" w:hAnsi="Times New Roman"/>
      <w:sz w:val="24"/>
      <w:szCs w:val="22"/>
    </w:rPr>
  </w:style>
  <w:style w:type="paragraph" w:styleId="BodyTextIndent3">
    <w:name w:val="Body Text Indent 3"/>
    <w:basedOn w:val="Normal"/>
    <w:link w:val="BodyTextIndent3Char"/>
    <w:uiPriority w:val="99"/>
    <w:semiHidden/>
    <w:unhideWhenUsed/>
    <w:rsid w:val="00BF6F36"/>
    <w:pPr>
      <w:spacing w:after="120" w:line="240" w:lineRule="auto"/>
      <w:ind w:left="360"/>
    </w:pPr>
    <w:rPr>
      <w:szCs w:val="16"/>
    </w:rPr>
  </w:style>
  <w:style w:type="character" w:customStyle="1" w:styleId="BodyTextIndent3Char">
    <w:name w:val="Body Text Indent 3 Char"/>
    <w:link w:val="BodyTextIndent3"/>
    <w:uiPriority w:val="99"/>
    <w:semiHidden/>
    <w:rsid w:val="00BF6F36"/>
    <w:rPr>
      <w:rFonts w:ascii="Times New Roman" w:hAnsi="Times New Roman"/>
      <w:sz w:val="24"/>
      <w:szCs w:val="16"/>
    </w:rPr>
  </w:style>
  <w:style w:type="table" w:customStyle="1" w:styleId="MediumGrid11">
    <w:name w:val="Medium Grid 11"/>
    <w:basedOn w:val="TableNormal"/>
    <w:uiPriority w:val="67"/>
    <w:rsid w:val="00B45A32"/>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Pr>
    <w:tcPr>
      <w:shd w:val="clear" w:color="auto" w:fill="C0C0C0"/>
    </w:tcPr>
    <w:tblStylePr w:type="firstRow">
      <w:rPr>
        <w:b/>
        <w:bCs/>
      </w:rPr>
    </w:tblStylePr>
    <w:tblStylePr w:type="lastRow">
      <w:rPr>
        <w:b/>
        <w:bCs/>
      </w:rPr>
      <w:tblPr/>
      <w:tcPr>
        <w:tcBorders>
          <w:top w:val="single" w:sz="18" w:space="0" w:color="404040"/>
        </w:tcBorders>
      </w:tcPr>
    </w:tblStylePr>
    <w:tblStylePr w:type="firstCol">
      <w:rPr>
        <w:b/>
        <w:bCs/>
      </w:rPr>
    </w:tblStylePr>
    <w:tblStylePr w:type="lastCol">
      <w:rPr>
        <w:b/>
        <w:bCs/>
      </w:rPr>
    </w:tblStylePr>
    <w:tblStylePr w:type="band1Vert">
      <w:tblPr/>
      <w:tcPr>
        <w:shd w:val="clear" w:color="auto" w:fill="808080"/>
      </w:tcPr>
    </w:tblStylePr>
    <w:tblStylePr w:type="band1Horz">
      <w:tblPr/>
      <w:tcPr>
        <w:shd w:val="clear" w:color="auto" w:fill="808080"/>
      </w:tcPr>
    </w:tblStylePr>
  </w:style>
  <w:style w:type="character" w:customStyle="1" w:styleId="Heading1Char">
    <w:name w:val="Heading 1 Char"/>
    <w:link w:val="Heading1"/>
    <w:uiPriority w:val="9"/>
    <w:rsid w:val="00256B20"/>
    <w:rPr>
      <w:rFonts w:ascii="Cambria" w:eastAsia="Times New Roman" w:hAnsi="Cambria" w:cs="Times New Roman"/>
      <w:b/>
      <w:bCs/>
      <w:kern w:val="32"/>
      <w:sz w:val="32"/>
      <w:szCs w:val="32"/>
    </w:rPr>
  </w:style>
  <w:style w:type="paragraph" w:styleId="TOCHeading">
    <w:name w:val="TOC Heading"/>
    <w:basedOn w:val="Heading1"/>
    <w:next w:val="Normal"/>
    <w:uiPriority w:val="39"/>
    <w:unhideWhenUsed/>
    <w:qFormat/>
    <w:rsid w:val="00256B20"/>
    <w:pPr>
      <w:keepLines/>
      <w:spacing w:before="480" w:after="0"/>
      <w:outlineLvl w:val="9"/>
    </w:pPr>
    <w:rPr>
      <w:color w:val="365F91"/>
      <w:kern w:val="0"/>
      <w:sz w:val="28"/>
      <w:szCs w:val="28"/>
    </w:rPr>
  </w:style>
  <w:style w:type="paragraph" w:styleId="TOC1">
    <w:name w:val="toc 1"/>
    <w:basedOn w:val="Normal"/>
    <w:next w:val="Normal"/>
    <w:autoRedefine/>
    <w:uiPriority w:val="39"/>
    <w:unhideWhenUsed/>
    <w:qFormat/>
    <w:rsid w:val="00F97DF7"/>
    <w:pPr>
      <w:tabs>
        <w:tab w:val="right" w:leader="dot" w:pos="8741"/>
      </w:tabs>
      <w:spacing w:before="60" w:after="60" w:line="240" w:lineRule="auto"/>
      <w:ind w:left="547" w:hanging="547"/>
    </w:pPr>
    <w:rPr>
      <w:smallCaps/>
    </w:rPr>
  </w:style>
  <w:style w:type="paragraph" w:styleId="TOC2">
    <w:name w:val="toc 2"/>
    <w:basedOn w:val="Normal"/>
    <w:next w:val="Normal"/>
    <w:autoRedefine/>
    <w:uiPriority w:val="39"/>
    <w:unhideWhenUsed/>
    <w:qFormat/>
    <w:rsid w:val="00063F2E"/>
    <w:pPr>
      <w:tabs>
        <w:tab w:val="left" w:pos="1152"/>
        <w:tab w:val="right" w:leader="dot" w:pos="8741"/>
      </w:tabs>
      <w:spacing w:after="0" w:line="240" w:lineRule="auto"/>
    </w:pPr>
  </w:style>
  <w:style w:type="character" w:styleId="Hyperlink">
    <w:name w:val="Hyperlink"/>
    <w:uiPriority w:val="99"/>
    <w:unhideWhenUsed/>
    <w:rsid w:val="00256B20"/>
    <w:rPr>
      <w:color w:val="0000FF"/>
      <w:u w:val="single"/>
    </w:rPr>
  </w:style>
  <w:style w:type="paragraph" w:styleId="TOC3">
    <w:name w:val="toc 3"/>
    <w:basedOn w:val="Normal"/>
    <w:next w:val="Normal"/>
    <w:autoRedefine/>
    <w:uiPriority w:val="39"/>
    <w:unhideWhenUsed/>
    <w:qFormat/>
    <w:rsid w:val="00256B20"/>
    <w:pPr>
      <w:tabs>
        <w:tab w:val="left" w:pos="1728"/>
        <w:tab w:val="right" w:leader="dot" w:pos="8741"/>
      </w:tabs>
      <w:spacing w:after="0" w:line="240" w:lineRule="auto"/>
      <w:ind w:left="1714" w:hanging="562"/>
    </w:pPr>
    <w:rPr>
      <w:rFonts w:eastAsia="Times New Roman"/>
    </w:rPr>
  </w:style>
  <w:style w:type="paragraph" w:customStyle="1" w:styleId="FirstHeading">
    <w:name w:val="FirstHeading"/>
    <w:basedOn w:val="Normal"/>
    <w:next w:val="Normal"/>
    <w:link w:val="FirstHeadingChar"/>
    <w:rsid w:val="001C2E22"/>
    <w:pPr>
      <w:tabs>
        <w:tab w:val="left" w:pos="0"/>
        <w:tab w:val="left" w:pos="86"/>
      </w:tabs>
      <w:spacing w:before="120" w:after="120"/>
      <w:ind w:left="720" w:hanging="720"/>
    </w:pPr>
    <w:rPr>
      <w:rFonts w:eastAsia="Times New Roman"/>
      <w:b/>
      <w:smallCaps/>
      <w:sz w:val="22"/>
      <w:szCs w:val="24"/>
    </w:rPr>
  </w:style>
  <w:style w:type="character" w:customStyle="1" w:styleId="NewpageChar">
    <w:name w:val="Newpage Char"/>
    <w:link w:val="Newpage"/>
    <w:rsid w:val="001C2E22"/>
    <w:rPr>
      <w:rFonts w:ascii="Times New Roman" w:eastAsia="Times New Roman" w:hAnsi="Times New Roman"/>
      <w:b/>
      <w:smallCaps/>
      <w:sz w:val="24"/>
    </w:rPr>
  </w:style>
  <w:style w:type="character" w:customStyle="1" w:styleId="FirstHeadingChar">
    <w:name w:val="FirstHeading Char"/>
    <w:link w:val="FirstHeading"/>
    <w:rsid w:val="001C2E22"/>
    <w:rPr>
      <w:rFonts w:ascii="Times New Roman" w:eastAsia="Times New Roman" w:hAnsi="Times New Roman"/>
      <w:b/>
      <w:smallCaps/>
      <w:sz w:val="22"/>
      <w:szCs w:val="24"/>
    </w:rPr>
  </w:style>
  <w:style w:type="paragraph" w:customStyle="1" w:styleId="SecHeading">
    <w:name w:val="SecHeading"/>
    <w:basedOn w:val="Normal"/>
    <w:next w:val="Paragraph"/>
    <w:link w:val="SecHeadingChar"/>
    <w:rsid w:val="001C2E22"/>
    <w:pPr>
      <w:tabs>
        <w:tab w:val="num" w:pos="1296"/>
      </w:tabs>
      <w:spacing w:before="120" w:after="120"/>
      <w:ind w:left="1296" w:hanging="576"/>
    </w:pPr>
    <w:rPr>
      <w:rFonts w:eastAsia="Times New Roman"/>
      <w:b/>
      <w:smallCaps/>
      <w:sz w:val="22"/>
      <w:szCs w:val="24"/>
    </w:rPr>
  </w:style>
  <w:style w:type="character" w:customStyle="1" w:styleId="SecHeadingChar">
    <w:name w:val="SecHeading Char"/>
    <w:link w:val="SecHeading"/>
    <w:rsid w:val="001C2E22"/>
    <w:rPr>
      <w:rFonts w:ascii="Times New Roman" w:eastAsia="Times New Roman" w:hAnsi="Times New Roman"/>
      <w:b/>
      <w:smallCaps/>
      <w:sz w:val="22"/>
      <w:szCs w:val="24"/>
    </w:rPr>
  </w:style>
  <w:style w:type="paragraph" w:customStyle="1" w:styleId="SubHeading1">
    <w:name w:val="SubHeading1"/>
    <w:basedOn w:val="SecHeading"/>
    <w:link w:val="SubHeading1Char"/>
    <w:rsid w:val="001C2E22"/>
    <w:pPr>
      <w:keepNext/>
      <w:tabs>
        <w:tab w:val="clear" w:pos="1296"/>
        <w:tab w:val="num" w:pos="1872"/>
      </w:tabs>
      <w:spacing w:line="240" w:lineRule="auto"/>
      <w:ind w:left="1872"/>
    </w:pPr>
    <w:rPr>
      <w:b w:val="0"/>
    </w:rPr>
  </w:style>
  <w:style w:type="character" w:customStyle="1" w:styleId="SubHeading1Char">
    <w:name w:val="SubHeading1 Char"/>
    <w:link w:val="SubHeading1"/>
    <w:rsid w:val="001C2E22"/>
    <w:rPr>
      <w:rFonts w:ascii="Times New Roman" w:eastAsia="Times New Roman" w:hAnsi="Times New Roman"/>
      <w:b/>
      <w:smallCaps/>
      <w:sz w:val="24"/>
      <w:szCs w:val="24"/>
    </w:rPr>
  </w:style>
  <w:style w:type="paragraph" w:customStyle="1" w:styleId="Subheading2">
    <w:name w:val="Subheading2"/>
    <w:basedOn w:val="SecHeading"/>
    <w:link w:val="Subheading2Char"/>
    <w:rsid w:val="001C2E22"/>
    <w:pPr>
      <w:keepNext/>
      <w:tabs>
        <w:tab w:val="clear" w:pos="1296"/>
        <w:tab w:val="num" w:pos="2376"/>
      </w:tabs>
      <w:spacing w:line="240" w:lineRule="auto"/>
      <w:ind w:left="2376" w:hanging="288"/>
    </w:pPr>
    <w:rPr>
      <w:b w:val="0"/>
    </w:rPr>
  </w:style>
  <w:style w:type="character" w:customStyle="1" w:styleId="Subheading2Char">
    <w:name w:val="Subheading2 Char"/>
    <w:link w:val="Subheading2"/>
    <w:rsid w:val="001C2E22"/>
    <w:rPr>
      <w:rFonts w:ascii="Times New Roman" w:eastAsia="Times New Roman" w:hAnsi="Times New Roman"/>
      <w:b/>
      <w:smallCaps/>
      <w:sz w:val="24"/>
      <w:szCs w:val="24"/>
    </w:rPr>
  </w:style>
  <w:style w:type="paragraph" w:customStyle="1" w:styleId="Regtable">
    <w:name w:val="Regtable"/>
    <w:basedOn w:val="Normal"/>
    <w:link w:val="RegtableChar"/>
    <w:rsid w:val="001C2E22"/>
    <w:pPr>
      <w:keepLines/>
      <w:framePr w:wrap="around" w:vAnchor="text" w:hAnchor="text" w:y="1"/>
      <w:spacing w:before="20" w:after="20"/>
    </w:pPr>
    <w:rPr>
      <w:rFonts w:eastAsia="Times New Roman"/>
      <w:b/>
      <w:smallCaps/>
      <w:szCs w:val="24"/>
    </w:rPr>
  </w:style>
  <w:style w:type="character" w:customStyle="1" w:styleId="RegtableChar">
    <w:name w:val="Regtable Char"/>
    <w:link w:val="Regtable"/>
    <w:rsid w:val="001C2E22"/>
    <w:rPr>
      <w:rFonts w:ascii="Times New Roman" w:eastAsia="Times New Roman" w:hAnsi="Times New Roman"/>
      <w:b/>
      <w:smallCaps/>
      <w:sz w:val="24"/>
      <w:szCs w:val="24"/>
    </w:rPr>
  </w:style>
  <w:style w:type="paragraph" w:customStyle="1" w:styleId="TableTitle">
    <w:name w:val="TableTitle"/>
    <w:basedOn w:val="Normal"/>
    <w:link w:val="TableTitleChar"/>
    <w:rsid w:val="001C2E22"/>
    <w:pPr>
      <w:framePr w:wrap="around" w:vAnchor="text" w:hAnchor="text" w:y="1"/>
      <w:spacing w:before="20" w:after="20"/>
    </w:pPr>
    <w:rPr>
      <w:rFonts w:ascii="Times New Roman Bold" w:eastAsia="Times New Roman" w:hAnsi="Times New Roman Bold"/>
      <w:b/>
      <w:smallCaps/>
      <w:spacing w:val="-3"/>
      <w:szCs w:val="24"/>
    </w:rPr>
  </w:style>
  <w:style w:type="character" w:customStyle="1" w:styleId="TableTitleChar">
    <w:name w:val="TableTitle Char"/>
    <w:link w:val="TableTitle"/>
    <w:rsid w:val="001C2E22"/>
    <w:rPr>
      <w:rFonts w:ascii="Times New Roman Bold" w:eastAsia="Times New Roman" w:hAnsi="Times New Roman Bold" w:cs="Times New Roman Bold"/>
      <w:b/>
      <w:smallCaps/>
      <w:spacing w:val="-3"/>
      <w:sz w:val="24"/>
      <w:szCs w:val="24"/>
    </w:rPr>
  </w:style>
  <w:style w:type="character" w:customStyle="1" w:styleId="Heading2Char">
    <w:name w:val="Heading 2 Char"/>
    <w:link w:val="Heading2"/>
    <w:uiPriority w:val="9"/>
    <w:rsid w:val="007C18C4"/>
    <w:rPr>
      <w:rFonts w:ascii="Times New Roman" w:eastAsia="Times New Roman" w:hAnsi="Times New Roman"/>
      <w:bCs/>
      <w:i/>
      <w:iCs/>
      <w:sz w:val="24"/>
      <w:szCs w:val="28"/>
      <w:u w:val="single"/>
    </w:rPr>
  </w:style>
  <w:style w:type="character" w:customStyle="1" w:styleId="Heading3Char">
    <w:name w:val="Heading 3 Char"/>
    <w:link w:val="Heading3"/>
    <w:uiPriority w:val="9"/>
    <w:semiHidden/>
    <w:rsid w:val="001C2E22"/>
    <w:rPr>
      <w:rFonts w:ascii="Cambria" w:eastAsia="Times New Roman" w:hAnsi="Cambria"/>
      <w:b/>
      <w:bCs/>
      <w:sz w:val="26"/>
      <w:szCs w:val="26"/>
    </w:rPr>
  </w:style>
  <w:style w:type="character" w:customStyle="1" w:styleId="Heading4Char">
    <w:name w:val="Heading 4 Char"/>
    <w:link w:val="Heading4"/>
    <w:uiPriority w:val="9"/>
    <w:semiHidden/>
    <w:rsid w:val="001C2E22"/>
    <w:rPr>
      <w:rFonts w:eastAsia="Times New Roman"/>
      <w:b/>
      <w:bCs/>
      <w:sz w:val="28"/>
      <w:szCs w:val="28"/>
    </w:rPr>
  </w:style>
  <w:style w:type="character" w:customStyle="1" w:styleId="Heading5Char">
    <w:name w:val="Heading 5 Char"/>
    <w:link w:val="Heading5"/>
    <w:uiPriority w:val="9"/>
    <w:semiHidden/>
    <w:rsid w:val="001C2E22"/>
    <w:rPr>
      <w:rFonts w:eastAsia="Times New Roman"/>
      <w:b/>
      <w:bCs/>
      <w:i/>
      <w:iCs/>
      <w:sz w:val="26"/>
      <w:szCs w:val="26"/>
    </w:rPr>
  </w:style>
  <w:style w:type="character" w:customStyle="1" w:styleId="Heading6Char">
    <w:name w:val="Heading 6 Char"/>
    <w:link w:val="Heading6"/>
    <w:uiPriority w:val="9"/>
    <w:semiHidden/>
    <w:rsid w:val="001C2E22"/>
    <w:rPr>
      <w:rFonts w:eastAsia="Times New Roman"/>
      <w:b/>
      <w:bCs/>
      <w:sz w:val="22"/>
      <w:szCs w:val="22"/>
    </w:rPr>
  </w:style>
  <w:style w:type="character" w:customStyle="1" w:styleId="Heading7Char">
    <w:name w:val="Heading 7 Char"/>
    <w:link w:val="Heading7"/>
    <w:uiPriority w:val="9"/>
    <w:semiHidden/>
    <w:rsid w:val="001C2E22"/>
    <w:rPr>
      <w:rFonts w:eastAsia="Times New Roman"/>
      <w:sz w:val="24"/>
      <w:szCs w:val="24"/>
    </w:rPr>
  </w:style>
  <w:style w:type="character" w:customStyle="1" w:styleId="Heading8Char">
    <w:name w:val="Heading 8 Char"/>
    <w:link w:val="Heading8"/>
    <w:uiPriority w:val="9"/>
    <w:semiHidden/>
    <w:rsid w:val="001C2E22"/>
    <w:rPr>
      <w:rFonts w:eastAsia="Times New Roman"/>
      <w:i/>
      <w:iCs/>
      <w:sz w:val="24"/>
      <w:szCs w:val="24"/>
    </w:rPr>
  </w:style>
  <w:style w:type="character" w:customStyle="1" w:styleId="Heading9Char">
    <w:name w:val="Heading 9 Char"/>
    <w:link w:val="Heading9"/>
    <w:uiPriority w:val="9"/>
    <w:semiHidden/>
    <w:rsid w:val="001C2E22"/>
    <w:rPr>
      <w:rFonts w:ascii="Cambria" w:eastAsia="Times New Roman" w:hAnsi="Cambria"/>
      <w:sz w:val="22"/>
      <w:szCs w:val="22"/>
    </w:rPr>
  </w:style>
  <w:style w:type="paragraph" w:customStyle="1" w:styleId="Banknumbered">
    <w:name w:val="Bank numbered"/>
    <w:basedOn w:val="Normal"/>
    <w:link w:val="BanknumberedChar"/>
    <w:qFormat/>
    <w:rsid w:val="00BC3594"/>
    <w:pPr>
      <w:numPr>
        <w:numId w:val="4"/>
      </w:numPr>
      <w:spacing w:before="120" w:after="0" w:line="240" w:lineRule="auto"/>
      <w:ind w:left="0" w:firstLine="0"/>
    </w:pPr>
  </w:style>
  <w:style w:type="character" w:customStyle="1" w:styleId="BanknumberedChar">
    <w:name w:val="Bank numbered Char"/>
    <w:link w:val="Banknumbered"/>
    <w:rsid w:val="00BC3594"/>
    <w:rPr>
      <w:rFonts w:ascii="Times New Roman" w:hAnsi="Times New Roman"/>
      <w:sz w:val="24"/>
      <w:szCs w:val="22"/>
    </w:rPr>
  </w:style>
  <w:style w:type="paragraph" w:customStyle="1" w:styleId="Bullet">
    <w:name w:val="Bullet"/>
    <w:basedOn w:val="Normal"/>
    <w:link w:val="BulletChar"/>
    <w:qFormat/>
    <w:rsid w:val="00BC3594"/>
    <w:pPr>
      <w:numPr>
        <w:numId w:val="5"/>
      </w:numPr>
      <w:spacing w:before="120" w:after="0" w:line="240" w:lineRule="auto"/>
    </w:pPr>
  </w:style>
  <w:style w:type="character" w:customStyle="1" w:styleId="BulletChar">
    <w:name w:val="Bullet Char"/>
    <w:link w:val="Bullet"/>
    <w:rsid w:val="00BC3594"/>
    <w:rPr>
      <w:rFonts w:ascii="Times New Roman" w:hAnsi="Times New Roman"/>
      <w:sz w:val="24"/>
      <w:szCs w:val="22"/>
    </w:rPr>
  </w:style>
  <w:style w:type="paragraph" w:styleId="ListParagraph">
    <w:name w:val="List Paragraph"/>
    <w:basedOn w:val="Normal"/>
    <w:uiPriority w:val="34"/>
    <w:qFormat/>
    <w:rsid w:val="00015B76"/>
    <w:pPr>
      <w:ind w:left="720"/>
      <w:contextualSpacing/>
    </w:pPr>
  </w:style>
  <w:style w:type="table" w:customStyle="1" w:styleId="LightShading-Accent11">
    <w:name w:val="Light Shading - Accent 11"/>
    <w:basedOn w:val="TableNormal"/>
    <w:uiPriority w:val="30"/>
    <w:qFormat/>
    <w:rsid w:val="00D81DE9"/>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styleId="Caption">
    <w:name w:val="caption"/>
    <w:basedOn w:val="Normal"/>
    <w:next w:val="Normal"/>
    <w:uiPriority w:val="35"/>
    <w:unhideWhenUsed/>
    <w:qFormat/>
    <w:rsid w:val="00F0393C"/>
    <w:pPr>
      <w:spacing w:line="240" w:lineRule="auto"/>
    </w:pPr>
    <w:rPr>
      <w:b/>
      <w:bCs/>
      <w:szCs w:val="18"/>
      <w:u w:val="single"/>
    </w:rPr>
  </w:style>
  <w:style w:type="character" w:styleId="FollowedHyperlink">
    <w:name w:val="FollowedHyperlink"/>
    <w:basedOn w:val="DefaultParagraphFont"/>
    <w:uiPriority w:val="99"/>
    <w:semiHidden/>
    <w:unhideWhenUsed/>
    <w:rsid w:val="00004201"/>
    <w:rPr>
      <w:color w:val="800080" w:themeColor="followedHyperlink"/>
      <w:u w:val="single"/>
    </w:rPr>
  </w:style>
  <w:style w:type="paragraph" w:customStyle="1" w:styleId="Annex">
    <w:name w:val="Annex"/>
    <w:basedOn w:val="Normal"/>
    <w:rsid w:val="00EB5A0E"/>
    <w:pPr>
      <w:spacing w:after="0" w:line="240" w:lineRule="auto"/>
    </w:pPr>
    <w:rPr>
      <w:rFonts w:eastAsia="Times New Roman"/>
      <w:caps/>
      <w:szCs w:val="20"/>
    </w:rPr>
  </w:style>
  <w:style w:type="paragraph" w:styleId="EndnoteText">
    <w:name w:val="endnote text"/>
    <w:basedOn w:val="Normal"/>
    <w:link w:val="EndnoteTextChar"/>
    <w:uiPriority w:val="99"/>
    <w:unhideWhenUsed/>
    <w:rsid w:val="002A3A98"/>
    <w:pPr>
      <w:spacing w:after="0" w:line="240" w:lineRule="auto"/>
    </w:pPr>
    <w:rPr>
      <w:rFonts w:eastAsia="Times New Roman"/>
      <w:sz w:val="20"/>
      <w:szCs w:val="20"/>
    </w:rPr>
  </w:style>
  <w:style w:type="character" w:customStyle="1" w:styleId="EndnoteTextChar">
    <w:name w:val="Endnote Text Char"/>
    <w:basedOn w:val="DefaultParagraphFont"/>
    <w:link w:val="EndnoteText"/>
    <w:uiPriority w:val="99"/>
    <w:rsid w:val="002A3A98"/>
    <w:rPr>
      <w:rFonts w:ascii="Times New Roman" w:eastAsia="Times New Roman" w:hAnsi="Times New Roman"/>
    </w:rPr>
  </w:style>
  <w:style w:type="character" w:styleId="EndnoteReference">
    <w:name w:val="endnote reference"/>
    <w:basedOn w:val="DefaultParagraphFont"/>
    <w:uiPriority w:val="99"/>
    <w:semiHidden/>
    <w:unhideWhenUsed/>
    <w:rsid w:val="002A3A98"/>
    <w:rPr>
      <w:vertAlign w:val="superscript"/>
    </w:rPr>
  </w:style>
  <w:style w:type="character" w:styleId="SubtleEmphasis">
    <w:name w:val="Subtle Emphasis"/>
    <w:basedOn w:val="DefaultParagraphFont"/>
    <w:uiPriority w:val="19"/>
    <w:qFormat/>
    <w:rsid w:val="005D065A"/>
    <w:rPr>
      <w:i/>
      <w:iCs/>
      <w:color w:val="808080" w:themeColor="text1" w:themeTint="7F"/>
    </w:rPr>
  </w:style>
  <w:style w:type="character" w:customStyle="1" w:styleId="DefaultChar">
    <w:name w:val="Default Char"/>
    <w:basedOn w:val="DefaultParagraphFont"/>
    <w:link w:val="Default"/>
    <w:rsid w:val="00357AF4"/>
    <w:rPr>
      <w:rFonts w:ascii="Times New Roman" w:eastAsia="Times New Roman" w:hAnsi="Times New Roman"/>
      <w:color w:val="000000"/>
      <w:sz w:val="24"/>
      <w:szCs w:val="24"/>
    </w:rPr>
  </w:style>
  <w:style w:type="paragraph" w:customStyle="1" w:styleId="Textode">
    <w:name w:val="Texto de"/>
    <w:basedOn w:val="Normal"/>
    <w:uiPriority w:val="99"/>
    <w:rsid w:val="00E941D4"/>
    <w:pPr>
      <w:tabs>
        <w:tab w:val="left" w:pos="3060"/>
      </w:tabs>
      <w:spacing w:after="0" w:line="240" w:lineRule="auto"/>
      <w:jc w:val="center"/>
    </w:pPr>
    <w:rPr>
      <w:rFonts w:eastAsia="Times New Roman"/>
      <w:szCs w:val="24"/>
      <w:lang w:val="es-ES"/>
    </w:rPr>
  </w:style>
  <w:style w:type="paragraph" w:customStyle="1" w:styleId="Ttul">
    <w:name w:val="Títul"/>
    <w:basedOn w:val="Normal"/>
    <w:uiPriority w:val="99"/>
    <w:rsid w:val="00E941D4"/>
    <w:pPr>
      <w:tabs>
        <w:tab w:val="left" w:pos="1440"/>
        <w:tab w:val="left" w:pos="3060"/>
      </w:tabs>
      <w:spacing w:after="0" w:line="240" w:lineRule="auto"/>
      <w:jc w:val="center"/>
      <w:outlineLvl w:val="0"/>
    </w:pPr>
    <w:rPr>
      <w:rFonts w:eastAsia="Times New Roman"/>
      <w:szCs w:val="24"/>
      <w:lang w:val="es-ES"/>
    </w:rPr>
  </w:style>
  <w:style w:type="paragraph" w:styleId="Revision">
    <w:name w:val="Revision"/>
    <w:hidden/>
    <w:uiPriority w:val="71"/>
    <w:rsid w:val="00EE7187"/>
    <w:rPr>
      <w:rFonts w:ascii="Times New Roman" w:hAnsi="Times New Roman"/>
      <w:sz w:val="24"/>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semiHidden="0" w:uiPriority="67" w:unhideWhenUsed="0"/>
    <w:lsdException w:name="No Spacing" w:semiHidden="0" w:uiPriority="68" w:unhideWhenUsed="0"/>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semiHidden="0"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34" w:unhideWhenUsed="0" w:qFormat="1"/>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semiHidden="0" w:uiPriority="37" w:unhideWhenUsed="0"/>
    <w:lsdException w:name="Colorful Shading Accent 6" w:semiHidden="0" w:uiPriority="39" w:unhideWhenUsed="0"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97DF7"/>
    <w:pPr>
      <w:spacing w:after="200" w:line="276" w:lineRule="auto"/>
    </w:pPr>
    <w:rPr>
      <w:rFonts w:ascii="Times New Roman" w:hAnsi="Times New Roman"/>
      <w:sz w:val="24"/>
      <w:szCs w:val="22"/>
    </w:rPr>
  </w:style>
  <w:style w:type="paragraph" w:styleId="Heading1">
    <w:name w:val="heading 1"/>
    <w:basedOn w:val="Normal"/>
    <w:next w:val="Normal"/>
    <w:link w:val="Heading1Char"/>
    <w:uiPriority w:val="9"/>
    <w:qFormat/>
    <w:rsid w:val="00256B20"/>
    <w:pPr>
      <w:keepNext/>
      <w:spacing w:before="240" w:after="60"/>
      <w:outlineLvl w:val="0"/>
    </w:pPr>
    <w:rPr>
      <w:rFonts w:ascii="Cambria" w:eastAsia="Times New Roman" w:hAnsi="Cambria"/>
      <w:b/>
      <w:bCs/>
      <w:kern w:val="32"/>
      <w:sz w:val="32"/>
      <w:szCs w:val="32"/>
    </w:rPr>
  </w:style>
  <w:style w:type="paragraph" w:styleId="Heading2">
    <w:name w:val="heading 2"/>
    <w:basedOn w:val="Normal"/>
    <w:next w:val="Normal"/>
    <w:link w:val="Heading2Char"/>
    <w:uiPriority w:val="9"/>
    <w:unhideWhenUsed/>
    <w:qFormat/>
    <w:rsid w:val="007C18C4"/>
    <w:pPr>
      <w:keepNext/>
      <w:numPr>
        <w:numId w:val="18"/>
      </w:numPr>
      <w:spacing w:before="240" w:after="60"/>
      <w:outlineLvl w:val="1"/>
    </w:pPr>
    <w:rPr>
      <w:rFonts w:eastAsia="Times New Roman"/>
      <w:bCs/>
      <w:i/>
      <w:iCs/>
      <w:szCs w:val="28"/>
      <w:u w:val="single"/>
    </w:rPr>
  </w:style>
  <w:style w:type="paragraph" w:styleId="Heading3">
    <w:name w:val="heading 3"/>
    <w:basedOn w:val="Normal"/>
    <w:next w:val="Normal"/>
    <w:link w:val="Heading3Char"/>
    <w:uiPriority w:val="9"/>
    <w:semiHidden/>
    <w:unhideWhenUsed/>
    <w:qFormat/>
    <w:rsid w:val="001C2E22"/>
    <w:pPr>
      <w:keepNext/>
      <w:numPr>
        <w:ilvl w:val="2"/>
        <w:numId w:val="1"/>
      </w:numPr>
      <w:spacing w:before="240" w:after="60"/>
      <w:outlineLvl w:val="2"/>
    </w:pPr>
    <w:rPr>
      <w:rFonts w:ascii="Cambria" w:eastAsia="Times New Roman" w:hAnsi="Cambria"/>
      <w:b/>
      <w:bCs/>
      <w:sz w:val="26"/>
      <w:szCs w:val="26"/>
    </w:rPr>
  </w:style>
  <w:style w:type="paragraph" w:styleId="Heading4">
    <w:name w:val="heading 4"/>
    <w:basedOn w:val="Normal"/>
    <w:next w:val="Normal"/>
    <w:link w:val="Heading4Char"/>
    <w:uiPriority w:val="9"/>
    <w:semiHidden/>
    <w:unhideWhenUsed/>
    <w:qFormat/>
    <w:rsid w:val="001C2E22"/>
    <w:pPr>
      <w:keepNext/>
      <w:numPr>
        <w:ilvl w:val="3"/>
        <w:numId w:val="1"/>
      </w:numPr>
      <w:spacing w:before="240" w:after="60"/>
      <w:outlineLvl w:val="3"/>
    </w:pPr>
    <w:rPr>
      <w:rFonts w:ascii="Calibri" w:eastAsia="Times New Roman" w:hAnsi="Calibri"/>
      <w:b/>
      <w:bCs/>
      <w:sz w:val="28"/>
      <w:szCs w:val="28"/>
    </w:rPr>
  </w:style>
  <w:style w:type="paragraph" w:styleId="Heading5">
    <w:name w:val="heading 5"/>
    <w:basedOn w:val="Normal"/>
    <w:next w:val="Normal"/>
    <w:link w:val="Heading5Char"/>
    <w:uiPriority w:val="9"/>
    <w:semiHidden/>
    <w:unhideWhenUsed/>
    <w:qFormat/>
    <w:rsid w:val="001C2E22"/>
    <w:pPr>
      <w:numPr>
        <w:ilvl w:val="4"/>
        <w:numId w:val="1"/>
      </w:numPr>
      <w:spacing w:before="240" w:after="60"/>
      <w:outlineLvl w:val="4"/>
    </w:pPr>
    <w:rPr>
      <w:rFonts w:ascii="Calibri" w:eastAsia="Times New Roman" w:hAnsi="Calibri"/>
      <w:b/>
      <w:bCs/>
      <w:i/>
      <w:iCs/>
      <w:sz w:val="26"/>
      <w:szCs w:val="26"/>
    </w:rPr>
  </w:style>
  <w:style w:type="paragraph" w:styleId="Heading6">
    <w:name w:val="heading 6"/>
    <w:basedOn w:val="Normal"/>
    <w:next w:val="Normal"/>
    <w:link w:val="Heading6Char"/>
    <w:uiPriority w:val="9"/>
    <w:semiHidden/>
    <w:unhideWhenUsed/>
    <w:qFormat/>
    <w:rsid w:val="001C2E22"/>
    <w:pPr>
      <w:numPr>
        <w:ilvl w:val="5"/>
        <w:numId w:val="1"/>
      </w:numPr>
      <w:spacing w:before="240" w:after="60"/>
      <w:outlineLvl w:val="5"/>
    </w:pPr>
    <w:rPr>
      <w:rFonts w:ascii="Calibri" w:eastAsia="Times New Roman" w:hAnsi="Calibri"/>
      <w:b/>
      <w:bCs/>
      <w:sz w:val="22"/>
    </w:rPr>
  </w:style>
  <w:style w:type="paragraph" w:styleId="Heading7">
    <w:name w:val="heading 7"/>
    <w:basedOn w:val="Normal"/>
    <w:next w:val="Normal"/>
    <w:link w:val="Heading7Char"/>
    <w:uiPriority w:val="9"/>
    <w:semiHidden/>
    <w:unhideWhenUsed/>
    <w:qFormat/>
    <w:rsid w:val="001C2E22"/>
    <w:pPr>
      <w:numPr>
        <w:ilvl w:val="6"/>
        <w:numId w:val="1"/>
      </w:numPr>
      <w:spacing w:before="240" w:after="60"/>
      <w:outlineLvl w:val="6"/>
    </w:pPr>
    <w:rPr>
      <w:rFonts w:ascii="Calibri" w:eastAsia="Times New Roman" w:hAnsi="Calibri"/>
      <w:szCs w:val="24"/>
    </w:rPr>
  </w:style>
  <w:style w:type="paragraph" w:styleId="Heading8">
    <w:name w:val="heading 8"/>
    <w:basedOn w:val="Normal"/>
    <w:next w:val="Normal"/>
    <w:link w:val="Heading8Char"/>
    <w:uiPriority w:val="9"/>
    <w:semiHidden/>
    <w:unhideWhenUsed/>
    <w:qFormat/>
    <w:rsid w:val="001C2E22"/>
    <w:pPr>
      <w:numPr>
        <w:ilvl w:val="7"/>
        <w:numId w:val="1"/>
      </w:numPr>
      <w:spacing w:before="240" w:after="60"/>
      <w:outlineLvl w:val="7"/>
    </w:pPr>
    <w:rPr>
      <w:rFonts w:ascii="Calibri" w:eastAsia="Times New Roman" w:hAnsi="Calibri"/>
      <w:i/>
      <w:iCs/>
      <w:szCs w:val="24"/>
    </w:rPr>
  </w:style>
  <w:style w:type="paragraph" w:styleId="Heading9">
    <w:name w:val="heading 9"/>
    <w:basedOn w:val="Normal"/>
    <w:next w:val="Normal"/>
    <w:link w:val="Heading9Char"/>
    <w:uiPriority w:val="9"/>
    <w:semiHidden/>
    <w:unhideWhenUsed/>
    <w:qFormat/>
    <w:rsid w:val="001C2E22"/>
    <w:pPr>
      <w:numPr>
        <w:ilvl w:val="8"/>
        <w:numId w:val="1"/>
      </w:numPr>
      <w:spacing w:before="240" w:after="60"/>
      <w:outlineLvl w:val="8"/>
    </w:pPr>
    <w:rPr>
      <w:rFonts w:ascii="Cambria" w:eastAsia="Times New Roman" w:hAnsi="Cambria"/>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semiHidden/>
    <w:unhideWhenUsed/>
    <w:rsid w:val="00ED5649"/>
    <w:pPr>
      <w:spacing w:after="0" w:line="240" w:lineRule="auto"/>
    </w:pPr>
    <w:rPr>
      <w:rFonts w:ascii="Tahoma" w:hAnsi="Tahoma"/>
      <w:sz w:val="16"/>
      <w:szCs w:val="16"/>
    </w:rPr>
  </w:style>
  <w:style w:type="character" w:customStyle="1" w:styleId="BalloonTextChar">
    <w:name w:val="Balloon Text Char"/>
    <w:link w:val="BalloonText"/>
    <w:uiPriority w:val="99"/>
    <w:semiHidden/>
    <w:rsid w:val="00ED5649"/>
    <w:rPr>
      <w:rFonts w:ascii="Tahoma" w:hAnsi="Tahoma" w:cs="Tahoma"/>
      <w:sz w:val="16"/>
      <w:szCs w:val="16"/>
    </w:rPr>
  </w:style>
  <w:style w:type="table" w:styleId="TableGrid">
    <w:name w:val="Table Grid"/>
    <w:basedOn w:val="TableNormal"/>
    <w:uiPriority w:val="59"/>
    <w:rsid w:val="004F5EED"/>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odyText">
    <w:name w:val="Body Text"/>
    <w:basedOn w:val="Normal"/>
    <w:next w:val="Normal"/>
    <w:link w:val="BodyTextChar"/>
    <w:rsid w:val="00E7798E"/>
    <w:pPr>
      <w:autoSpaceDE w:val="0"/>
      <w:autoSpaceDN w:val="0"/>
      <w:adjustRightInd w:val="0"/>
      <w:spacing w:after="0" w:line="240" w:lineRule="auto"/>
    </w:pPr>
    <w:rPr>
      <w:rFonts w:eastAsia="Times New Roman"/>
      <w:szCs w:val="24"/>
    </w:rPr>
  </w:style>
  <w:style w:type="character" w:customStyle="1" w:styleId="BodyTextChar">
    <w:name w:val="Body Text Char"/>
    <w:link w:val="BodyText"/>
    <w:rsid w:val="00E7798E"/>
    <w:rPr>
      <w:rFonts w:ascii="Times New Roman" w:eastAsia="Times New Roman" w:hAnsi="Times New Roman"/>
      <w:sz w:val="24"/>
      <w:szCs w:val="24"/>
    </w:rPr>
  </w:style>
  <w:style w:type="character" w:styleId="FootnoteReference">
    <w:name w:val="footnote reference"/>
    <w:aliases w:val="ftref,16 Point,Superscript 6 Point"/>
    <w:uiPriority w:val="99"/>
    <w:rsid w:val="00E7798E"/>
    <w:rPr>
      <w:vertAlign w:val="superscript"/>
    </w:rPr>
  </w:style>
  <w:style w:type="paragraph" w:styleId="FootnoteText">
    <w:name w:val="footnote text"/>
    <w:aliases w:val="fn,FOOTNOTES,single space,ALTS FOOTNOTE,Footnote Text Char1,Footnote Text Char Char,Note de bas de page Car,footnote text,Fodnotetekst Tegn,Fodnotetekst Tegn Char,footnote text Char Char Char,footnote,ADB,f,ft"/>
    <w:basedOn w:val="Normal"/>
    <w:link w:val="FootnoteTextChar"/>
    <w:uiPriority w:val="99"/>
    <w:rsid w:val="00E7798E"/>
    <w:pPr>
      <w:keepNext/>
      <w:keepLines/>
      <w:spacing w:after="120" w:line="240" w:lineRule="auto"/>
      <w:ind w:left="288" w:hanging="288"/>
      <w:jc w:val="both"/>
    </w:pPr>
    <w:rPr>
      <w:rFonts w:eastAsia="Times New Roman"/>
      <w:spacing w:val="-3"/>
      <w:sz w:val="20"/>
      <w:szCs w:val="20"/>
    </w:rPr>
  </w:style>
  <w:style w:type="character" w:customStyle="1" w:styleId="FootnoteTextChar">
    <w:name w:val="Footnote Text Char"/>
    <w:aliases w:val="fn Char,FOOTNOTES Char,single space Char,ALTS FOOTNOTE Char,Footnote Text Char1 Char,Footnote Text Char Char Char,Note de bas de page Car Char,footnote text Char,Fodnotetekst Tegn Char1,Fodnotetekst Tegn Char Char,footnote Char,f Char"/>
    <w:link w:val="FootnoteText"/>
    <w:uiPriority w:val="99"/>
    <w:rsid w:val="00E7798E"/>
    <w:rPr>
      <w:rFonts w:ascii="Times New Roman" w:eastAsia="Times New Roman" w:hAnsi="Times New Roman"/>
      <w:spacing w:val="-3"/>
    </w:rPr>
  </w:style>
  <w:style w:type="character" w:styleId="CommentReference">
    <w:name w:val="annotation reference"/>
    <w:semiHidden/>
    <w:unhideWhenUsed/>
    <w:rsid w:val="00FB51B5"/>
    <w:rPr>
      <w:sz w:val="16"/>
      <w:szCs w:val="16"/>
    </w:rPr>
  </w:style>
  <w:style w:type="paragraph" w:styleId="CommentText">
    <w:name w:val="annotation text"/>
    <w:basedOn w:val="Normal"/>
    <w:link w:val="CommentTextChar"/>
    <w:unhideWhenUsed/>
    <w:rsid w:val="00FB51B5"/>
    <w:rPr>
      <w:sz w:val="20"/>
      <w:szCs w:val="20"/>
    </w:rPr>
  </w:style>
  <w:style w:type="character" w:customStyle="1" w:styleId="CommentTextChar">
    <w:name w:val="Comment Text Char"/>
    <w:basedOn w:val="DefaultParagraphFont"/>
    <w:link w:val="CommentText"/>
    <w:uiPriority w:val="99"/>
    <w:rsid w:val="00FB51B5"/>
  </w:style>
  <w:style w:type="paragraph" w:styleId="CommentSubject">
    <w:name w:val="annotation subject"/>
    <w:basedOn w:val="CommentText"/>
    <w:next w:val="CommentText"/>
    <w:link w:val="CommentSubjectChar"/>
    <w:uiPriority w:val="99"/>
    <w:semiHidden/>
    <w:unhideWhenUsed/>
    <w:rsid w:val="00FB51B5"/>
    <w:rPr>
      <w:rFonts w:ascii="Calibri" w:hAnsi="Calibri"/>
      <w:b/>
      <w:bCs/>
    </w:rPr>
  </w:style>
  <w:style w:type="character" w:customStyle="1" w:styleId="CommentSubjectChar">
    <w:name w:val="Comment Subject Char"/>
    <w:link w:val="CommentSubject"/>
    <w:uiPriority w:val="99"/>
    <w:semiHidden/>
    <w:rsid w:val="00FB51B5"/>
    <w:rPr>
      <w:b/>
      <w:bCs/>
    </w:rPr>
  </w:style>
  <w:style w:type="paragraph" w:customStyle="1" w:styleId="Default">
    <w:name w:val="Default"/>
    <w:link w:val="DefaultChar"/>
    <w:rsid w:val="00FB51B5"/>
    <w:pPr>
      <w:autoSpaceDE w:val="0"/>
      <w:autoSpaceDN w:val="0"/>
      <w:adjustRightInd w:val="0"/>
    </w:pPr>
    <w:rPr>
      <w:rFonts w:ascii="Times New Roman" w:eastAsia="Times New Roman" w:hAnsi="Times New Roman"/>
      <w:color w:val="000000"/>
      <w:sz w:val="24"/>
      <w:szCs w:val="24"/>
    </w:rPr>
  </w:style>
  <w:style w:type="paragraph" w:styleId="Header">
    <w:name w:val="header"/>
    <w:basedOn w:val="Normal"/>
    <w:link w:val="HeaderChar"/>
    <w:uiPriority w:val="99"/>
    <w:rsid w:val="00B7182C"/>
    <w:pPr>
      <w:tabs>
        <w:tab w:val="center" w:pos="4320"/>
        <w:tab w:val="right" w:pos="8640"/>
      </w:tabs>
      <w:spacing w:after="0" w:line="240" w:lineRule="auto"/>
    </w:pPr>
    <w:rPr>
      <w:rFonts w:eastAsia="Times New Roman"/>
      <w:sz w:val="20"/>
      <w:szCs w:val="20"/>
      <w:lang w:val="es-ES"/>
    </w:rPr>
  </w:style>
  <w:style w:type="character" w:customStyle="1" w:styleId="HeaderChar">
    <w:name w:val="Header Char"/>
    <w:link w:val="Header"/>
    <w:uiPriority w:val="99"/>
    <w:rsid w:val="00B7182C"/>
    <w:rPr>
      <w:rFonts w:ascii="Times New Roman" w:eastAsia="Times New Roman" w:hAnsi="Times New Roman"/>
      <w:lang w:val="es-ES"/>
    </w:rPr>
  </w:style>
  <w:style w:type="paragraph" w:styleId="Footer">
    <w:name w:val="footer"/>
    <w:basedOn w:val="Normal"/>
    <w:link w:val="FooterChar"/>
    <w:uiPriority w:val="99"/>
    <w:unhideWhenUsed/>
    <w:rsid w:val="008C5169"/>
    <w:pPr>
      <w:tabs>
        <w:tab w:val="center" w:pos="4680"/>
        <w:tab w:val="right" w:pos="9360"/>
      </w:tabs>
    </w:pPr>
    <w:rPr>
      <w:rFonts w:ascii="Calibri" w:hAnsi="Calibri"/>
      <w:sz w:val="22"/>
    </w:rPr>
  </w:style>
  <w:style w:type="character" w:customStyle="1" w:styleId="FooterChar">
    <w:name w:val="Footer Char"/>
    <w:link w:val="Footer"/>
    <w:uiPriority w:val="99"/>
    <w:rsid w:val="008C5169"/>
    <w:rPr>
      <w:sz w:val="22"/>
      <w:szCs w:val="22"/>
    </w:rPr>
  </w:style>
  <w:style w:type="paragraph" w:styleId="Title">
    <w:name w:val="Title"/>
    <w:basedOn w:val="Normal"/>
    <w:link w:val="TitleChar"/>
    <w:qFormat/>
    <w:rsid w:val="00BF6F36"/>
    <w:pPr>
      <w:tabs>
        <w:tab w:val="left" w:pos="1440"/>
        <w:tab w:val="left" w:pos="3060"/>
      </w:tabs>
      <w:spacing w:after="0" w:line="240" w:lineRule="auto"/>
      <w:jc w:val="center"/>
      <w:outlineLvl w:val="0"/>
    </w:pPr>
    <w:rPr>
      <w:rFonts w:eastAsia="Times New Roman"/>
      <w:szCs w:val="20"/>
    </w:rPr>
  </w:style>
  <w:style w:type="character" w:customStyle="1" w:styleId="TitleChar">
    <w:name w:val="Title Char"/>
    <w:link w:val="Title"/>
    <w:rsid w:val="00BF6F36"/>
    <w:rPr>
      <w:rFonts w:ascii="Times New Roman" w:eastAsia="Times New Roman" w:hAnsi="Times New Roman"/>
      <w:sz w:val="24"/>
    </w:rPr>
  </w:style>
  <w:style w:type="paragraph" w:customStyle="1" w:styleId="Newpage">
    <w:name w:val="Newpage"/>
    <w:basedOn w:val="Normal"/>
    <w:link w:val="NewpageChar"/>
    <w:rsid w:val="00BF6F36"/>
    <w:pPr>
      <w:keepNext/>
      <w:tabs>
        <w:tab w:val="left" w:pos="1440"/>
        <w:tab w:val="left" w:pos="3060"/>
      </w:tabs>
      <w:spacing w:before="240" w:after="0" w:line="240" w:lineRule="auto"/>
      <w:jc w:val="center"/>
    </w:pPr>
    <w:rPr>
      <w:rFonts w:eastAsia="Times New Roman"/>
      <w:b/>
      <w:smallCaps/>
      <w:szCs w:val="20"/>
    </w:rPr>
  </w:style>
  <w:style w:type="paragraph" w:customStyle="1" w:styleId="Chapter">
    <w:name w:val="Chapter"/>
    <w:basedOn w:val="Normal"/>
    <w:next w:val="Normal"/>
    <w:rsid w:val="001C2E22"/>
    <w:pPr>
      <w:keepNext/>
      <w:numPr>
        <w:numId w:val="1"/>
      </w:numPr>
      <w:tabs>
        <w:tab w:val="left" w:pos="1440"/>
      </w:tabs>
      <w:spacing w:before="240" w:after="240" w:line="240" w:lineRule="auto"/>
      <w:jc w:val="center"/>
    </w:pPr>
    <w:rPr>
      <w:rFonts w:eastAsia="Times New Roman"/>
      <w:b/>
      <w:smallCaps/>
      <w:szCs w:val="20"/>
    </w:rPr>
  </w:style>
  <w:style w:type="paragraph" w:customStyle="1" w:styleId="Paragraph">
    <w:name w:val="Paragraph"/>
    <w:aliases w:val="paragraph,p,PARAGRAPH,PG,pa,at"/>
    <w:basedOn w:val="BodyTextIndent"/>
    <w:link w:val="ParagraphChar"/>
    <w:rsid w:val="001C2E22"/>
    <w:pPr>
      <w:tabs>
        <w:tab w:val="num" w:pos="720"/>
      </w:tabs>
      <w:spacing w:before="120"/>
      <w:ind w:left="720" w:hanging="720"/>
      <w:jc w:val="both"/>
      <w:outlineLvl w:val="1"/>
    </w:pPr>
    <w:rPr>
      <w:rFonts w:eastAsia="Times New Roman"/>
      <w:szCs w:val="20"/>
    </w:rPr>
  </w:style>
  <w:style w:type="paragraph" w:customStyle="1" w:styleId="subpar">
    <w:name w:val="subpar"/>
    <w:basedOn w:val="BodyTextIndent3"/>
    <w:rsid w:val="001C2E22"/>
    <w:pPr>
      <w:tabs>
        <w:tab w:val="num" w:pos="1152"/>
      </w:tabs>
      <w:spacing w:before="120"/>
      <w:ind w:left="1152" w:hanging="432"/>
      <w:jc w:val="both"/>
      <w:outlineLvl w:val="2"/>
    </w:pPr>
    <w:rPr>
      <w:rFonts w:eastAsia="Times New Roman"/>
      <w:szCs w:val="20"/>
    </w:rPr>
  </w:style>
  <w:style w:type="paragraph" w:customStyle="1" w:styleId="SubSubPar">
    <w:name w:val="SubSubPar"/>
    <w:basedOn w:val="subpar"/>
    <w:rsid w:val="001C2E22"/>
    <w:pPr>
      <w:tabs>
        <w:tab w:val="clear" w:pos="1152"/>
        <w:tab w:val="left" w:pos="0"/>
        <w:tab w:val="num" w:pos="1296"/>
      </w:tabs>
      <w:ind w:left="1296" w:hanging="288"/>
    </w:pPr>
  </w:style>
  <w:style w:type="character" w:customStyle="1" w:styleId="ParagraphChar">
    <w:name w:val="Paragraph Char"/>
    <w:aliases w:val="paragraph Char,p Char,PARAGRAPH Char,PG Char,pa Char,at Char"/>
    <w:link w:val="Paragraph"/>
    <w:rsid w:val="00BF6F36"/>
    <w:rPr>
      <w:rFonts w:ascii="Times New Roman" w:eastAsia="Times New Roman" w:hAnsi="Times New Roman"/>
      <w:sz w:val="24"/>
    </w:rPr>
  </w:style>
  <w:style w:type="paragraph" w:styleId="BodyTextIndent">
    <w:name w:val="Body Text Indent"/>
    <w:basedOn w:val="Normal"/>
    <w:link w:val="BodyTextIndentChar"/>
    <w:uiPriority w:val="99"/>
    <w:semiHidden/>
    <w:unhideWhenUsed/>
    <w:rsid w:val="00BF6F36"/>
    <w:pPr>
      <w:spacing w:after="120" w:line="240" w:lineRule="auto"/>
      <w:ind w:left="360"/>
    </w:pPr>
  </w:style>
  <w:style w:type="character" w:customStyle="1" w:styleId="BodyTextIndentChar">
    <w:name w:val="Body Text Indent Char"/>
    <w:link w:val="BodyTextIndent"/>
    <w:uiPriority w:val="99"/>
    <w:semiHidden/>
    <w:rsid w:val="00BF6F36"/>
    <w:rPr>
      <w:rFonts w:ascii="Times New Roman" w:hAnsi="Times New Roman"/>
      <w:sz w:val="24"/>
      <w:szCs w:val="22"/>
    </w:rPr>
  </w:style>
  <w:style w:type="paragraph" w:styleId="BodyTextIndent3">
    <w:name w:val="Body Text Indent 3"/>
    <w:basedOn w:val="Normal"/>
    <w:link w:val="BodyTextIndent3Char"/>
    <w:uiPriority w:val="99"/>
    <w:semiHidden/>
    <w:unhideWhenUsed/>
    <w:rsid w:val="00BF6F36"/>
    <w:pPr>
      <w:spacing w:after="120" w:line="240" w:lineRule="auto"/>
      <w:ind w:left="360"/>
    </w:pPr>
    <w:rPr>
      <w:szCs w:val="16"/>
    </w:rPr>
  </w:style>
  <w:style w:type="character" w:customStyle="1" w:styleId="BodyTextIndent3Char">
    <w:name w:val="Body Text Indent 3 Char"/>
    <w:link w:val="BodyTextIndent3"/>
    <w:uiPriority w:val="99"/>
    <w:semiHidden/>
    <w:rsid w:val="00BF6F36"/>
    <w:rPr>
      <w:rFonts w:ascii="Times New Roman" w:hAnsi="Times New Roman"/>
      <w:sz w:val="24"/>
      <w:szCs w:val="16"/>
    </w:rPr>
  </w:style>
  <w:style w:type="table" w:customStyle="1" w:styleId="MediumGrid11">
    <w:name w:val="Medium Grid 11"/>
    <w:basedOn w:val="TableNormal"/>
    <w:uiPriority w:val="67"/>
    <w:rsid w:val="00B45A32"/>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Pr>
    <w:tcPr>
      <w:shd w:val="clear" w:color="auto" w:fill="C0C0C0"/>
    </w:tcPr>
    <w:tblStylePr w:type="firstRow">
      <w:rPr>
        <w:b/>
        <w:bCs/>
      </w:rPr>
    </w:tblStylePr>
    <w:tblStylePr w:type="lastRow">
      <w:rPr>
        <w:b/>
        <w:bCs/>
      </w:rPr>
      <w:tblPr/>
      <w:tcPr>
        <w:tcBorders>
          <w:top w:val="single" w:sz="18" w:space="0" w:color="404040"/>
        </w:tcBorders>
      </w:tcPr>
    </w:tblStylePr>
    <w:tblStylePr w:type="firstCol">
      <w:rPr>
        <w:b/>
        <w:bCs/>
      </w:rPr>
    </w:tblStylePr>
    <w:tblStylePr w:type="lastCol">
      <w:rPr>
        <w:b/>
        <w:bCs/>
      </w:rPr>
    </w:tblStylePr>
    <w:tblStylePr w:type="band1Vert">
      <w:tblPr/>
      <w:tcPr>
        <w:shd w:val="clear" w:color="auto" w:fill="808080"/>
      </w:tcPr>
    </w:tblStylePr>
    <w:tblStylePr w:type="band1Horz">
      <w:tblPr/>
      <w:tcPr>
        <w:shd w:val="clear" w:color="auto" w:fill="808080"/>
      </w:tcPr>
    </w:tblStylePr>
  </w:style>
  <w:style w:type="character" w:customStyle="1" w:styleId="Heading1Char">
    <w:name w:val="Heading 1 Char"/>
    <w:link w:val="Heading1"/>
    <w:uiPriority w:val="9"/>
    <w:rsid w:val="00256B20"/>
    <w:rPr>
      <w:rFonts w:ascii="Cambria" w:eastAsia="Times New Roman" w:hAnsi="Cambria" w:cs="Times New Roman"/>
      <w:b/>
      <w:bCs/>
      <w:kern w:val="32"/>
      <w:sz w:val="32"/>
      <w:szCs w:val="32"/>
    </w:rPr>
  </w:style>
  <w:style w:type="paragraph" w:styleId="TOCHeading">
    <w:name w:val="TOC Heading"/>
    <w:basedOn w:val="Heading1"/>
    <w:next w:val="Normal"/>
    <w:uiPriority w:val="39"/>
    <w:unhideWhenUsed/>
    <w:qFormat/>
    <w:rsid w:val="00256B20"/>
    <w:pPr>
      <w:keepLines/>
      <w:spacing w:before="480" w:after="0"/>
      <w:outlineLvl w:val="9"/>
    </w:pPr>
    <w:rPr>
      <w:color w:val="365F91"/>
      <w:kern w:val="0"/>
      <w:sz w:val="28"/>
      <w:szCs w:val="28"/>
    </w:rPr>
  </w:style>
  <w:style w:type="paragraph" w:styleId="TOC1">
    <w:name w:val="toc 1"/>
    <w:basedOn w:val="Normal"/>
    <w:next w:val="Normal"/>
    <w:autoRedefine/>
    <w:uiPriority w:val="39"/>
    <w:unhideWhenUsed/>
    <w:qFormat/>
    <w:rsid w:val="00F97DF7"/>
    <w:pPr>
      <w:tabs>
        <w:tab w:val="right" w:leader="dot" w:pos="8741"/>
      </w:tabs>
      <w:spacing w:before="60" w:after="60" w:line="240" w:lineRule="auto"/>
      <w:ind w:left="547" w:hanging="547"/>
    </w:pPr>
    <w:rPr>
      <w:smallCaps/>
    </w:rPr>
  </w:style>
  <w:style w:type="paragraph" w:styleId="TOC2">
    <w:name w:val="toc 2"/>
    <w:basedOn w:val="Normal"/>
    <w:next w:val="Normal"/>
    <w:autoRedefine/>
    <w:uiPriority w:val="39"/>
    <w:unhideWhenUsed/>
    <w:qFormat/>
    <w:rsid w:val="00063F2E"/>
    <w:pPr>
      <w:tabs>
        <w:tab w:val="left" w:pos="1152"/>
        <w:tab w:val="right" w:leader="dot" w:pos="8741"/>
      </w:tabs>
      <w:spacing w:after="0" w:line="240" w:lineRule="auto"/>
    </w:pPr>
  </w:style>
  <w:style w:type="character" w:styleId="Hyperlink">
    <w:name w:val="Hyperlink"/>
    <w:uiPriority w:val="99"/>
    <w:unhideWhenUsed/>
    <w:rsid w:val="00256B20"/>
    <w:rPr>
      <w:color w:val="0000FF"/>
      <w:u w:val="single"/>
    </w:rPr>
  </w:style>
  <w:style w:type="paragraph" w:styleId="TOC3">
    <w:name w:val="toc 3"/>
    <w:basedOn w:val="Normal"/>
    <w:next w:val="Normal"/>
    <w:autoRedefine/>
    <w:uiPriority w:val="39"/>
    <w:unhideWhenUsed/>
    <w:qFormat/>
    <w:rsid w:val="00256B20"/>
    <w:pPr>
      <w:tabs>
        <w:tab w:val="left" w:pos="1728"/>
        <w:tab w:val="right" w:leader="dot" w:pos="8741"/>
      </w:tabs>
      <w:spacing w:after="0" w:line="240" w:lineRule="auto"/>
      <w:ind w:left="1714" w:hanging="562"/>
    </w:pPr>
    <w:rPr>
      <w:rFonts w:eastAsia="Times New Roman"/>
    </w:rPr>
  </w:style>
  <w:style w:type="paragraph" w:customStyle="1" w:styleId="FirstHeading">
    <w:name w:val="FirstHeading"/>
    <w:basedOn w:val="Normal"/>
    <w:next w:val="Normal"/>
    <w:link w:val="FirstHeadingChar"/>
    <w:rsid w:val="001C2E22"/>
    <w:pPr>
      <w:tabs>
        <w:tab w:val="left" w:pos="0"/>
        <w:tab w:val="left" w:pos="86"/>
      </w:tabs>
      <w:spacing w:before="120" w:after="120"/>
      <w:ind w:left="720" w:hanging="720"/>
    </w:pPr>
    <w:rPr>
      <w:rFonts w:eastAsia="Times New Roman"/>
      <w:b/>
      <w:smallCaps/>
      <w:sz w:val="22"/>
      <w:szCs w:val="24"/>
    </w:rPr>
  </w:style>
  <w:style w:type="character" w:customStyle="1" w:styleId="NewpageChar">
    <w:name w:val="Newpage Char"/>
    <w:link w:val="Newpage"/>
    <w:rsid w:val="001C2E22"/>
    <w:rPr>
      <w:rFonts w:ascii="Times New Roman" w:eastAsia="Times New Roman" w:hAnsi="Times New Roman"/>
      <w:b/>
      <w:smallCaps/>
      <w:sz w:val="24"/>
    </w:rPr>
  </w:style>
  <w:style w:type="character" w:customStyle="1" w:styleId="FirstHeadingChar">
    <w:name w:val="FirstHeading Char"/>
    <w:link w:val="FirstHeading"/>
    <w:rsid w:val="001C2E22"/>
    <w:rPr>
      <w:rFonts w:ascii="Times New Roman" w:eastAsia="Times New Roman" w:hAnsi="Times New Roman"/>
      <w:b/>
      <w:smallCaps/>
      <w:sz w:val="22"/>
      <w:szCs w:val="24"/>
    </w:rPr>
  </w:style>
  <w:style w:type="paragraph" w:customStyle="1" w:styleId="SecHeading">
    <w:name w:val="SecHeading"/>
    <w:basedOn w:val="Normal"/>
    <w:next w:val="Paragraph"/>
    <w:link w:val="SecHeadingChar"/>
    <w:rsid w:val="001C2E22"/>
    <w:pPr>
      <w:tabs>
        <w:tab w:val="num" w:pos="1296"/>
      </w:tabs>
      <w:spacing w:before="120" w:after="120"/>
      <w:ind w:left="1296" w:hanging="576"/>
    </w:pPr>
    <w:rPr>
      <w:rFonts w:eastAsia="Times New Roman"/>
      <w:b/>
      <w:smallCaps/>
      <w:sz w:val="22"/>
      <w:szCs w:val="24"/>
    </w:rPr>
  </w:style>
  <w:style w:type="character" w:customStyle="1" w:styleId="SecHeadingChar">
    <w:name w:val="SecHeading Char"/>
    <w:link w:val="SecHeading"/>
    <w:rsid w:val="001C2E22"/>
    <w:rPr>
      <w:rFonts w:ascii="Times New Roman" w:eastAsia="Times New Roman" w:hAnsi="Times New Roman"/>
      <w:b/>
      <w:smallCaps/>
      <w:sz w:val="22"/>
      <w:szCs w:val="24"/>
    </w:rPr>
  </w:style>
  <w:style w:type="paragraph" w:customStyle="1" w:styleId="SubHeading1">
    <w:name w:val="SubHeading1"/>
    <w:basedOn w:val="SecHeading"/>
    <w:link w:val="SubHeading1Char"/>
    <w:rsid w:val="001C2E22"/>
    <w:pPr>
      <w:keepNext/>
      <w:tabs>
        <w:tab w:val="clear" w:pos="1296"/>
        <w:tab w:val="num" w:pos="1872"/>
      </w:tabs>
      <w:spacing w:line="240" w:lineRule="auto"/>
      <w:ind w:left="1872"/>
    </w:pPr>
    <w:rPr>
      <w:b w:val="0"/>
    </w:rPr>
  </w:style>
  <w:style w:type="character" w:customStyle="1" w:styleId="SubHeading1Char">
    <w:name w:val="SubHeading1 Char"/>
    <w:link w:val="SubHeading1"/>
    <w:rsid w:val="001C2E22"/>
    <w:rPr>
      <w:rFonts w:ascii="Times New Roman" w:eastAsia="Times New Roman" w:hAnsi="Times New Roman"/>
      <w:b/>
      <w:smallCaps/>
      <w:sz w:val="24"/>
      <w:szCs w:val="24"/>
    </w:rPr>
  </w:style>
  <w:style w:type="paragraph" w:customStyle="1" w:styleId="Subheading2">
    <w:name w:val="Subheading2"/>
    <w:basedOn w:val="SecHeading"/>
    <w:link w:val="Subheading2Char"/>
    <w:rsid w:val="001C2E22"/>
    <w:pPr>
      <w:keepNext/>
      <w:tabs>
        <w:tab w:val="clear" w:pos="1296"/>
        <w:tab w:val="num" w:pos="2376"/>
      </w:tabs>
      <w:spacing w:line="240" w:lineRule="auto"/>
      <w:ind w:left="2376" w:hanging="288"/>
    </w:pPr>
    <w:rPr>
      <w:b w:val="0"/>
    </w:rPr>
  </w:style>
  <w:style w:type="character" w:customStyle="1" w:styleId="Subheading2Char">
    <w:name w:val="Subheading2 Char"/>
    <w:link w:val="Subheading2"/>
    <w:rsid w:val="001C2E22"/>
    <w:rPr>
      <w:rFonts w:ascii="Times New Roman" w:eastAsia="Times New Roman" w:hAnsi="Times New Roman"/>
      <w:b/>
      <w:smallCaps/>
      <w:sz w:val="24"/>
      <w:szCs w:val="24"/>
    </w:rPr>
  </w:style>
  <w:style w:type="paragraph" w:customStyle="1" w:styleId="Regtable">
    <w:name w:val="Regtable"/>
    <w:basedOn w:val="Normal"/>
    <w:link w:val="RegtableChar"/>
    <w:rsid w:val="001C2E22"/>
    <w:pPr>
      <w:keepLines/>
      <w:framePr w:wrap="around" w:vAnchor="text" w:hAnchor="text" w:y="1"/>
      <w:spacing w:before="20" w:after="20"/>
    </w:pPr>
    <w:rPr>
      <w:rFonts w:eastAsia="Times New Roman"/>
      <w:b/>
      <w:smallCaps/>
      <w:szCs w:val="24"/>
    </w:rPr>
  </w:style>
  <w:style w:type="character" w:customStyle="1" w:styleId="RegtableChar">
    <w:name w:val="Regtable Char"/>
    <w:link w:val="Regtable"/>
    <w:rsid w:val="001C2E22"/>
    <w:rPr>
      <w:rFonts w:ascii="Times New Roman" w:eastAsia="Times New Roman" w:hAnsi="Times New Roman"/>
      <w:b/>
      <w:smallCaps/>
      <w:sz w:val="24"/>
      <w:szCs w:val="24"/>
    </w:rPr>
  </w:style>
  <w:style w:type="paragraph" w:customStyle="1" w:styleId="TableTitle">
    <w:name w:val="TableTitle"/>
    <w:basedOn w:val="Normal"/>
    <w:link w:val="TableTitleChar"/>
    <w:rsid w:val="001C2E22"/>
    <w:pPr>
      <w:framePr w:wrap="around" w:vAnchor="text" w:hAnchor="text" w:y="1"/>
      <w:spacing w:before="20" w:after="20"/>
    </w:pPr>
    <w:rPr>
      <w:rFonts w:ascii="Times New Roman Bold" w:eastAsia="Times New Roman" w:hAnsi="Times New Roman Bold"/>
      <w:b/>
      <w:smallCaps/>
      <w:spacing w:val="-3"/>
      <w:szCs w:val="24"/>
    </w:rPr>
  </w:style>
  <w:style w:type="character" w:customStyle="1" w:styleId="TableTitleChar">
    <w:name w:val="TableTitle Char"/>
    <w:link w:val="TableTitle"/>
    <w:rsid w:val="001C2E22"/>
    <w:rPr>
      <w:rFonts w:ascii="Times New Roman Bold" w:eastAsia="Times New Roman" w:hAnsi="Times New Roman Bold" w:cs="Times New Roman Bold"/>
      <w:b/>
      <w:smallCaps/>
      <w:spacing w:val="-3"/>
      <w:sz w:val="24"/>
      <w:szCs w:val="24"/>
    </w:rPr>
  </w:style>
  <w:style w:type="character" w:customStyle="1" w:styleId="Heading2Char">
    <w:name w:val="Heading 2 Char"/>
    <w:link w:val="Heading2"/>
    <w:uiPriority w:val="9"/>
    <w:rsid w:val="007C18C4"/>
    <w:rPr>
      <w:rFonts w:ascii="Times New Roman" w:eastAsia="Times New Roman" w:hAnsi="Times New Roman"/>
      <w:bCs/>
      <w:i/>
      <w:iCs/>
      <w:sz w:val="24"/>
      <w:szCs w:val="28"/>
      <w:u w:val="single"/>
    </w:rPr>
  </w:style>
  <w:style w:type="character" w:customStyle="1" w:styleId="Heading3Char">
    <w:name w:val="Heading 3 Char"/>
    <w:link w:val="Heading3"/>
    <w:uiPriority w:val="9"/>
    <w:semiHidden/>
    <w:rsid w:val="001C2E22"/>
    <w:rPr>
      <w:rFonts w:ascii="Cambria" w:eastAsia="Times New Roman" w:hAnsi="Cambria"/>
      <w:b/>
      <w:bCs/>
      <w:sz w:val="26"/>
      <w:szCs w:val="26"/>
    </w:rPr>
  </w:style>
  <w:style w:type="character" w:customStyle="1" w:styleId="Heading4Char">
    <w:name w:val="Heading 4 Char"/>
    <w:link w:val="Heading4"/>
    <w:uiPriority w:val="9"/>
    <w:semiHidden/>
    <w:rsid w:val="001C2E22"/>
    <w:rPr>
      <w:rFonts w:eastAsia="Times New Roman"/>
      <w:b/>
      <w:bCs/>
      <w:sz w:val="28"/>
      <w:szCs w:val="28"/>
    </w:rPr>
  </w:style>
  <w:style w:type="character" w:customStyle="1" w:styleId="Heading5Char">
    <w:name w:val="Heading 5 Char"/>
    <w:link w:val="Heading5"/>
    <w:uiPriority w:val="9"/>
    <w:semiHidden/>
    <w:rsid w:val="001C2E22"/>
    <w:rPr>
      <w:rFonts w:eastAsia="Times New Roman"/>
      <w:b/>
      <w:bCs/>
      <w:i/>
      <w:iCs/>
      <w:sz w:val="26"/>
      <w:szCs w:val="26"/>
    </w:rPr>
  </w:style>
  <w:style w:type="character" w:customStyle="1" w:styleId="Heading6Char">
    <w:name w:val="Heading 6 Char"/>
    <w:link w:val="Heading6"/>
    <w:uiPriority w:val="9"/>
    <w:semiHidden/>
    <w:rsid w:val="001C2E22"/>
    <w:rPr>
      <w:rFonts w:eastAsia="Times New Roman"/>
      <w:b/>
      <w:bCs/>
      <w:sz w:val="22"/>
      <w:szCs w:val="22"/>
    </w:rPr>
  </w:style>
  <w:style w:type="character" w:customStyle="1" w:styleId="Heading7Char">
    <w:name w:val="Heading 7 Char"/>
    <w:link w:val="Heading7"/>
    <w:uiPriority w:val="9"/>
    <w:semiHidden/>
    <w:rsid w:val="001C2E22"/>
    <w:rPr>
      <w:rFonts w:eastAsia="Times New Roman"/>
      <w:sz w:val="24"/>
      <w:szCs w:val="24"/>
    </w:rPr>
  </w:style>
  <w:style w:type="character" w:customStyle="1" w:styleId="Heading8Char">
    <w:name w:val="Heading 8 Char"/>
    <w:link w:val="Heading8"/>
    <w:uiPriority w:val="9"/>
    <w:semiHidden/>
    <w:rsid w:val="001C2E22"/>
    <w:rPr>
      <w:rFonts w:eastAsia="Times New Roman"/>
      <w:i/>
      <w:iCs/>
      <w:sz w:val="24"/>
      <w:szCs w:val="24"/>
    </w:rPr>
  </w:style>
  <w:style w:type="character" w:customStyle="1" w:styleId="Heading9Char">
    <w:name w:val="Heading 9 Char"/>
    <w:link w:val="Heading9"/>
    <w:uiPriority w:val="9"/>
    <w:semiHidden/>
    <w:rsid w:val="001C2E22"/>
    <w:rPr>
      <w:rFonts w:ascii="Cambria" w:eastAsia="Times New Roman" w:hAnsi="Cambria"/>
      <w:sz w:val="22"/>
      <w:szCs w:val="22"/>
    </w:rPr>
  </w:style>
  <w:style w:type="paragraph" w:customStyle="1" w:styleId="Banknumbered">
    <w:name w:val="Bank numbered"/>
    <w:basedOn w:val="Normal"/>
    <w:link w:val="BanknumberedChar"/>
    <w:qFormat/>
    <w:rsid w:val="00BC3594"/>
    <w:pPr>
      <w:numPr>
        <w:numId w:val="4"/>
      </w:numPr>
      <w:spacing w:before="120" w:after="0" w:line="240" w:lineRule="auto"/>
      <w:ind w:left="0" w:firstLine="0"/>
    </w:pPr>
  </w:style>
  <w:style w:type="character" w:customStyle="1" w:styleId="BanknumberedChar">
    <w:name w:val="Bank numbered Char"/>
    <w:link w:val="Banknumbered"/>
    <w:rsid w:val="00BC3594"/>
    <w:rPr>
      <w:rFonts w:ascii="Times New Roman" w:hAnsi="Times New Roman"/>
      <w:sz w:val="24"/>
      <w:szCs w:val="22"/>
    </w:rPr>
  </w:style>
  <w:style w:type="paragraph" w:customStyle="1" w:styleId="Bullet">
    <w:name w:val="Bullet"/>
    <w:basedOn w:val="Normal"/>
    <w:link w:val="BulletChar"/>
    <w:qFormat/>
    <w:rsid w:val="00BC3594"/>
    <w:pPr>
      <w:numPr>
        <w:numId w:val="5"/>
      </w:numPr>
      <w:spacing w:before="120" w:after="0" w:line="240" w:lineRule="auto"/>
    </w:pPr>
  </w:style>
  <w:style w:type="character" w:customStyle="1" w:styleId="BulletChar">
    <w:name w:val="Bullet Char"/>
    <w:link w:val="Bullet"/>
    <w:rsid w:val="00BC3594"/>
    <w:rPr>
      <w:rFonts w:ascii="Times New Roman" w:hAnsi="Times New Roman"/>
      <w:sz w:val="24"/>
      <w:szCs w:val="22"/>
    </w:rPr>
  </w:style>
  <w:style w:type="paragraph" w:styleId="ListParagraph">
    <w:name w:val="List Paragraph"/>
    <w:basedOn w:val="Normal"/>
    <w:uiPriority w:val="34"/>
    <w:qFormat/>
    <w:rsid w:val="00015B76"/>
    <w:pPr>
      <w:ind w:left="720"/>
      <w:contextualSpacing/>
    </w:pPr>
  </w:style>
  <w:style w:type="table" w:customStyle="1" w:styleId="LightShading-Accent11">
    <w:name w:val="Light Shading - Accent 11"/>
    <w:basedOn w:val="TableNormal"/>
    <w:uiPriority w:val="30"/>
    <w:qFormat/>
    <w:rsid w:val="00D81DE9"/>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styleId="Caption">
    <w:name w:val="caption"/>
    <w:basedOn w:val="Normal"/>
    <w:next w:val="Normal"/>
    <w:uiPriority w:val="35"/>
    <w:unhideWhenUsed/>
    <w:qFormat/>
    <w:rsid w:val="00F0393C"/>
    <w:pPr>
      <w:spacing w:line="240" w:lineRule="auto"/>
    </w:pPr>
    <w:rPr>
      <w:b/>
      <w:bCs/>
      <w:szCs w:val="18"/>
      <w:u w:val="single"/>
    </w:rPr>
  </w:style>
  <w:style w:type="character" w:styleId="FollowedHyperlink">
    <w:name w:val="FollowedHyperlink"/>
    <w:basedOn w:val="DefaultParagraphFont"/>
    <w:uiPriority w:val="99"/>
    <w:semiHidden/>
    <w:unhideWhenUsed/>
    <w:rsid w:val="00004201"/>
    <w:rPr>
      <w:color w:val="800080" w:themeColor="followedHyperlink"/>
      <w:u w:val="single"/>
    </w:rPr>
  </w:style>
  <w:style w:type="paragraph" w:customStyle="1" w:styleId="Annex">
    <w:name w:val="Annex"/>
    <w:basedOn w:val="Normal"/>
    <w:rsid w:val="00EB5A0E"/>
    <w:pPr>
      <w:spacing w:after="0" w:line="240" w:lineRule="auto"/>
    </w:pPr>
    <w:rPr>
      <w:rFonts w:eastAsia="Times New Roman"/>
      <w:caps/>
      <w:szCs w:val="20"/>
    </w:rPr>
  </w:style>
  <w:style w:type="paragraph" w:styleId="EndnoteText">
    <w:name w:val="endnote text"/>
    <w:basedOn w:val="Normal"/>
    <w:link w:val="EndnoteTextChar"/>
    <w:uiPriority w:val="99"/>
    <w:unhideWhenUsed/>
    <w:rsid w:val="002A3A98"/>
    <w:pPr>
      <w:spacing w:after="0" w:line="240" w:lineRule="auto"/>
    </w:pPr>
    <w:rPr>
      <w:rFonts w:eastAsia="Times New Roman"/>
      <w:sz w:val="20"/>
      <w:szCs w:val="20"/>
    </w:rPr>
  </w:style>
  <w:style w:type="character" w:customStyle="1" w:styleId="EndnoteTextChar">
    <w:name w:val="Endnote Text Char"/>
    <w:basedOn w:val="DefaultParagraphFont"/>
    <w:link w:val="EndnoteText"/>
    <w:uiPriority w:val="99"/>
    <w:rsid w:val="002A3A98"/>
    <w:rPr>
      <w:rFonts w:ascii="Times New Roman" w:eastAsia="Times New Roman" w:hAnsi="Times New Roman"/>
    </w:rPr>
  </w:style>
  <w:style w:type="character" w:styleId="EndnoteReference">
    <w:name w:val="endnote reference"/>
    <w:basedOn w:val="DefaultParagraphFont"/>
    <w:uiPriority w:val="99"/>
    <w:semiHidden/>
    <w:unhideWhenUsed/>
    <w:rsid w:val="002A3A98"/>
    <w:rPr>
      <w:vertAlign w:val="superscript"/>
    </w:rPr>
  </w:style>
  <w:style w:type="character" w:styleId="SubtleEmphasis">
    <w:name w:val="Subtle Emphasis"/>
    <w:basedOn w:val="DefaultParagraphFont"/>
    <w:uiPriority w:val="19"/>
    <w:qFormat/>
    <w:rsid w:val="005D065A"/>
    <w:rPr>
      <w:i/>
      <w:iCs/>
      <w:color w:val="808080" w:themeColor="text1" w:themeTint="7F"/>
    </w:rPr>
  </w:style>
  <w:style w:type="character" w:customStyle="1" w:styleId="DefaultChar">
    <w:name w:val="Default Char"/>
    <w:basedOn w:val="DefaultParagraphFont"/>
    <w:link w:val="Default"/>
    <w:rsid w:val="00357AF4"/>
    <w:rPr>
      <w:rFonts w:ascii="Times New Roman" w:eastAsia="Times New Roman" w:hAnsi="Times New Roman"/>
      <w:color w:val="000000"/>
      <w:sz w:val="24"/>
      <w:szCs w:val="24"/>
    </w:rPr>
  </w:style>
  <w:style w:type="paragraph" w:customStyle="1" w:styleId="Textode">
    <w:name w:val="Texto de"/>
    <w:basedOn w:val="Normal"/>
    <w:uiPriority w:val="99"/>
    <w:rsid w:val="00E941D4"/>
    <w:pPr>
      <w:tabs>
        <w:tab w:val="left" w:pos="3060"/>
      </w:tabs>
      <w:spacing w:after="0" w:line="240" w:lineRule="auto"/>
      <w:jc w:val="center"/>
    </w:pPr>
    <w:rPr>
      <w:rFonts w:eastAsia="Times New Roman"/>
      <w:szCs w:val="24"/>
      <w:lang w:val="es-ES"/>
    </w:rPr>
  </w:style>
  <w:style w:type="paragraph" w:customStyle="1" w:styleId="Ttul">
    <w:name w:val="Títul"/>
    <w:basedOn w:val="Normal"/>
    <w:uiPriority w:val="99"/>
    <w:rsid w:val="00E941D4"/>
    <w:pPr>
      <w:tabs>
        <w:tab w:val="left" w:pos="1440"/>
        <w:tab w:val="left" w:pos="3060"/>
      </w:tabs>
      <w:spacing w:after="0" w:line="240" w:lineRule="auto"/>
      <w:jc w:val="center"/>
      <w:outlineLvl w:val="0"/>
    </w:pPr>
    <w:rPr>
      <w:rFonts w:eastAsia="Times New Roman"/>
      <w:szCs w:val="24"/>
      <w:lang w:val="es-ES"/>
    </w:rPr>
  </w:style>
  <w:style w:type="paragraph" w:styleId="Revision">
    <w:name w:val="Revision"/>
    <w:hidden/>
    <w:uiPriority w:val="71"/>
    <w:rsid w:val="00EE7187"/>
    <w:rPr>
      <w:rFonts w:ascii="Times New Roman" w:hAnsi="Times New Roman"/>
      <w:sz w:val="24"/>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1857583">
      <w:bodyDiv w:val="1"/>
      <w:marLeft w:val="0"/>
      <w:marRight w:val="0"/>
      <w:marTop w:val="0"/>
      <w:marBottom w:val="0"/>
      <w:divBdr>
        <w:top w:val="none" w:sz="0" w:space="0" w:color="auto"/>
        <w:left w:val="none" w:sz="0" w:space="0" w:color="auto"/>
        <w:bottom w:val="none" w:sz="0" w:space="0" w:color="auto"/>
        <w:right w:val="none" w:sz="0" w:space="0" w:color="auto"/>
      </w:divBdr>
    </w:div>
    <w:div w:id="244459414">
      <w:bodyDiv w:val="1"/>
      <w:marLeft w:val="0"/>
      <w:marRight w:val="0"/>
      <w:marTop w:val="0"/>
      <w:marBottom w:val="0"/>
      <w:divBdr>
        <w:top w:val="none" w:sz="0" w:space="0" w:color="auto"/>
        <w:left w:val="none" w:sz="0" w:space="0" w:color="auto"/>
        <w:bottom w:val="none" w:sz="0" w:space="0" w:color="auto"/>
        <w:right w:val="none" w:sz="0" w:space="0" w:color="auto"/>
      </w:divBdr>
    </w:div>
    <w:div w:id="568999477">
      <w:bodyDiv w:val="1"/>
      <w:marLeft w:val="0"/>
      <w:marRight w:val="0"/>
      <w:marTop w:val="0"/>
      <w:marBottom w:val="0"/>
      <w:divBdr>
        <w:top w:val="none" w:sz="0" w:space="0" w:color="auto"/>
        <w:left w:val="none" w:sz="0" w:space="0" w:color="auto"/>
        <w:bottom w:val="none" w:sz="0" w:space="0" w:color="auto"/>
        <w:right w:val="none" w:sz="0" w:space="0" w:color="auto"/>
      </w:divBdr>
    </w:div>
    <w:div w:id="578755161">
      <w:bodyDiv w:val="1"/>
      <w:marLeft w:val="0"/>
      <w:marRight w:val="0"/>
      <w:marTop w:val="0"/>
      <w:marBottom w:val="0"/>
      <w:divBdr>
        <w:top w:val="none" w:sz="0" w:space="0" w:color="auto"/>
        <w:left w:val="none" w:sz="0" w:space="0" w:color="auto"/>
        <w:bottom w:val="none" w:sz="0" w:space="0" w:color="auto"/>
        <w:right w:val="none" w:sz="0" w:space="0" w:color="auto"/>
      </w:divBdr>
    </w:div>
    <w:div w:id="1010450059">
      <w:bodyDiv w:val="1"/>
      <w:marLeft w:val="0"/>
      <w:marRight w:val="0"/>
      <w:marTop w:val="0"/>
      <w:marBottom w:val="0"/>
      <w:divBdr>
        <w:top w:val="none" w:sz="0" w:space="0" w:color="auto"/>
        <w:left w:val="none" w:sz="0" w:space="0" w:color="auto"/>
        <w:bottom w:val="none" w:sz="0" w:space="0" w:color="auto"/>
        <w:right w:val="none" w:sz="0" w:space="0" w:color="auto"/>
      </w:divBdr>
    </w:div>
    <w:div w:id="1057585255">
      <w:bodyDiv w:val="1"/>
      <w:marLeft w:val="0"/>
      <w:marRight w:val="0"/>
      <w:marTop w:val="0"/>
      <w:marBottom w:val="0"/>
      <w:divBdr>
        <w:top w:val="none" w:sz="0" w:space="0" w:color="auto"/>
        <w:left w:val="none" w:sz="0" w:space="0" w:color="auto"/>
        <w:bottom w:val="none" w:sz="0" w:space="0" w:color="auto"/>
        <w:right w:val="none" w:sz="0" w:space="0" w:color="auto"/>
      </w:divBdr>
    </w:div>
    <w:div w:id="1232811989">
      <w:bodyDiv w:val="1"/>
      <w:marLeft w:val="0"/>
      <w:marRight w:val="0"/>
      <w:marTop w:val="0"/>
      <w:marBottom w:val="0"/>
      <w:divBdr>
        <w:top w:val="none" w:sz="0" w:space="0" w:color="auto"/>
        <w:left w:val="none" w:sz="0" w:space="0" w:color="auto"/>
        <w:bottom w:val="none" w:sz="0" w:space="0" w:color="auto"/>
        <w:right w:val="none" w:sz="0" w:space="0" w:color="auto"/>
      </w:divBdr>
    </w:div>
    <w:div w:id="1287659582">
      <w:bodyDiv w:val="1"/>
      <w:marLeft w:val="0"/>
      <w:marRight w:val="0"/>
      <w:marTop w:val="0"/>
      <w:marBottom w:val="0"/>
      <w:divBdr>
        <w:top w:val="none" w:sz="0" w:space="0" w:color="auto"/>
        <w:left w:val="none" w:sz="0" w:space="0" w:color="auto"/>
        <w:bottom w:val="none" w:sz="0" w:space="0" w:color="auto"/>
        <w:right w:val="none" w:sz="0" w:space="0" w:color="auto"/>
      </w:divBdr>
    </w:div>
    <w:div w:id="1312370057">
      <w:bodyDiv w:val="1"/>
      <w:marLeft w:val="0"/>
      <w:marRight w:val="0"/>
      <w:marTop w:val="0"/>
      <w:marBottom w:val="0"/>
      <w:divBdr>
        <w:top w:val="none" w:sz="0" w:space="0" w:color="auto"/>
        <w:left w:val="none" w:sz="0" w:space="0" w:color="auto"/>
        <w:bottom w:val="none" w:sz="0" w:space="0" w:color="auto"/>
        <w:right w:val="none" w:sz="0" w:space="0" w:color="auto"/>
      </w:divBdr>
    </w:div>
    <w:div w:id="1327368160">
      <w:bodyDiv w:val="1"/>
      <w:marLeft w:val="0"/>
      <w:marRight w:val="0"/>
      <w:marTop w:val="0"/>
      <w:marBottom w:val="0"/>
      <w:divBdr>
        <w:top w:val="none" w:sz="0" w:space="0" w:color="auto"/>
        <w:left w:val="none" w:sz="0" w:space="0" w:color="auto"/>
        <w:bottom w:val="none" w:sz="0" w:space="0" w:color="auto"/>
        <w:right w:val="none" w:sz="0" w:space="0" w:color="auto"/>
      </w:divBdr>
    </w:div>
    <w:div w:id="1763138262">
      <w:bodyDiv w:val="1"/>
      <w:marLeft w:val="0"/>
      <w:marRight w:val="0"/>
      <w:marTop w:val="0"/>
      <w:marBottom w:val="0"/>
      <w:divBdr>
        <w:top w:val="none" w:sz="0" w:space="0" w:color="auto"/>
        <w:left w:val="none" w:sz="0" w:space="0" w:color="auto"/>
        <w:bottom w:val="none" w:sz="0" w:space="0" w:color="auto"/>
        <w:right w:val="none" w:sz="0" w:space="0" w:color="auto"/>
      </w:divBdr>
    </w:div>
    <w:div w:id="1784691428">
      <w:bodyDiv w:val="1"/>
      <w:marLeft w:val="0"/>
      <w:marRight w:val="0"/>
      <w:marTop w:val="0"/>
      <w:marBottom w:val="0"/>
      <w:divBdr>
        <w:top w:val="none" w:sz="0" w:space="0" w:color="auto"/>
        <w:left w:val="none" w:sz="0" w:space="0" w:color="auto"/>
        <w:bottom w:val="none" w:sz="0" w:space="0" w:color="auto"/>
        <w:right w:val="none" w:sz="0" w:space="0" w:color="auto"/>
      </w:divBdr>
    </w:div>
    <w:div w:id="1814322792">
      <w:bodyDiv w:val="1"/>
      <w:marLeft w:val="0"/>
      <w:marRight w:val="0"/>
      <w:marTop w:val="0"/>
      <w:marBottom w:val="0"/>
      <w:divBdr>
        <w:top w:val="none" w:sz="0" w:space="0" w:color="auto"/>
        <w:left w:val="none" w:sz="0" w:space="0" w:color="auto"/>
        <w:bottom w:val="none" w:sz="0" w:space="0" w:color="auto"/>
        <w:right w:val="none" w:sz="0" w:space="0" w:color="auto"/>
      </w:divBdr>
    </w:div>
    <w:div w:id="199603079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4.emf"/><Relationship Id="rId18" Type="http://schemas.microsoft.com/office/2011/relationships/people" Target="people.xml"/><Relationship Id="rId3" Type="http://schemas.openxmlformats.org/officeDocument/2006/relationships/styles" Target="styles.xml"/><Relationship Id="rId21" Type="http://schemas.openxmlformats.org/officeDocument/2006/relationships/customXml" Target="../customXml/item4.xml"/><Relationship Id="rId7" Type="http://schemas.openxmlformats.org/officeDocument/2006/relationships/footnotes" Target="footnotes.xml"/><Relationship Id="rId12" Type="http://schemas.openxmlformats.org/officeDocument/2006/relationships/image" Target="media/image3.emf"/><Relationship Id="rId2" Type="http://schemas.openxmlformats.org/officeDocument/2006/relationships/numbering" Target="numbering.xml"/><Relationship Id="rId16" Type="http://schemas.openxmlformats.org/officeDocument/2006/relationships/theme" Target="theme/theme1.xml"/><Relationship Id="rId20" Type="http://schemas.openxmlformats.org/officeDocument/2006/relationships/customXml" Target="../customXml/item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emf"/><Relationship Id="rId24" Type="http://schemas.openxmlformats.org/officeDocument/2006/relationships/customXml" Target="../customXml/item8.xml"/><Relationship Id="rId5" Type="http://schemas.openxmlformats.org/officeDocument/2006/relationships/settings" Target="settings.xml"/><Relationship Id="rId15" Type="http://schemas.openxmlformats.org/officeDocument/2006/relationships/fontTable" Target="fontTable.xml"/><Relationship Id="rId23" Type="http://schemas.openxmlformats.org/officeDocument/2006/relationships/customXml" Target="../customXml/item6.xml"/><Relationship Id="rId10" Type="http://schemas.openxmlformats.org/officeDocument/2006/relationships/image" Target="media/image1.emf"/><Relationship Id="rId19" Type="http://schemas.openxmlformats.org/officeDocument/2006/relationships/customXml" Target="../customXml/item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header" Target="header2.xml"/><Relationship Id="rId22" Type="http://schemas.openxmlformats.org/officeDocument/2006/relationships/customXml" Target="../customXml/item5.xml"/></Relationships>
</file>

<file path=word/_rels/footnotes.xml.rels><?xml version="1.0" encoding="UTF-8" standalone="yes"?>
<Relationships xmlns="http://schemas.openxmlformats.org/package/2006/relationships"><Relationship Id="rId1" Type="http://schemas.openxmlformats.org/officeDocument/2006/relationships/hyperlink" Target="http://idbdocs.iadb.org/wsdocs/getDocument.aspx?DOCNUM=39164838"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item1.xml><?xml version="1.0" encoding="utf-8"?>
<?mso-contentType ?>
<SharedContentType xmlns="Microsoft.SharePoint.Taxonomy.ContentTypeSync" SourceId="ae61f9b1-e23d-4f49-b3d7-56b991556c4b" ContentTypeId="0x010100ACF722E9F6B0B149B0CD8BE2560A6672" PreviousValue="false"/>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ct:contentTypeSchema xmlns:ct="http://schemas.microsoft.com/office/2006/metadata/contentType" xmlns:ma="http://schemas.microsoft.com/office/2006/metadata/properties/metaAttributes" ct:_="" ma:_="" ma:contentTypeName="ez-Operations" ma:contentTypeID="0x010100ACF722E9F6B0B149B0CD8BE2560A667200FB1AA3A77B405748AF5F83AF5A3A43F7" ma:contentTypeVersion="21" ma:contentTypeDescription="The base project type from which other project content types inherit their information." ma:contentTypeScope="" ma:versionID="cebbc5b5c312df96b6527a72be49695f">
  <xsd:schema xmlns:xsd="http://www.w3.org/2001/XMLSchema" xmlns:xs="http://www.w3.org/2001/XMLSchema" xmlns:p="http://schemas.microsoft.com/office/2006/metadata/properties" xmlns:ns2="cdc7663a-08f0-4737-9e8c-148ce897a09c" targetNamespace="http://schemas.microsoft.com/office/2006/metadata/properties" ma:root="true" ma:fieldsID="897385b3f34e90f95ff30cda528b638c"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b26cdb1da78c4bb4b1c1bac2f6ac5911" minOccurs="0"/>
                <xsd:element ref="ns2:TaxCatchAll" minOccurs="0"/>
                <xsd:element ref="ns2:TaxCatchAllLabel" minOccurs="0"/>
                <xsd:element ref="ns2:Project_x0020_Number"/>
                <xsd:element ref="ns2:Access_x0020_to_x0020_Information_x00a0_Policy"/>
                <xsd:element ref="ns2:Document_x0020_Author" minOccurs="0"/>
                <xsd:element ref="ns2:Other_x0020_Author" minOccurs="0"/>
                <xsd:element ref="ns2:Approval_x0020_Number" minOccurs="0"/>
                <xsd:element ref="ns2:g511464f9e53401d84b16fa9b379a574" minOccurs="0"/>
                <xsd:element ref="ns2:Division_x0020_or_x0020_Unit" minOccurs="0"/>
                <xsd:element ref="ns2:Document_x0020_Language_x0020_IDB" minOccurs="0"/>
                <xsd:element ref="ns2:From_x003a_" minOccurs="0"/>
                <xsd:element ref="ns2:To_x003a_" minOccurs="0"/>
                <xsd:element ref="ns2:Identifier" minOccurs="0"/>
                <xsd:element ref="ns2:Fiscal_x0020_Year_x0020_IDB" minOccurs="0"/>
                <xsd:element ref="ns2:ic46d7e087fd4a108fb86518ca413cc6" minOccurs="0"/>
                <xsd:element ref="ns2:nddeef1749674d76abdbe4b239a70bc6" minOccurs="0"/>
                <xsd:element ref="ns2:b2ec7cfb18674cb8803df6b262e8b107" minOccurs="0"/>
                <xsd:element ref="ns2:Phase" minOccurs="0"/>
                <xsd:element ref="ns2:Key_x0020_Document" minOccurs="0"/>
                <xsd:element ref="ns2:Business_x0020_Area" minOccurs="0"/>
                <xsd:element ref="ns2:Project_x0020_Document_x0020_Type" minOccurs="0"/>
                <xsd:element ref="ns2:Operation_x0020_Type" minOccurs="0"/>
                <xsd:element ref="ns2:Package_x0020_Code" minOccurs="0"/>
                <xsd:element ref="ns2:e46fe2894295491da65140ffd2369f49" minOccurs="0"/>
                <xsd:element ref="ns2:SISCOR_x0020_Number" minOccurs="0"/>
                <xsd:element ref="ns2:IDBDocs_x0020_Number" minOccurs="0"/>
                <xsd:element ref="ns2:Migration_x0020_Info" minOccurs="0"/>
                <xsd:element ref="ns2:Record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b26cdb1da78c4bb4b1c1bac2f6ac5911" ma:index="11"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Project_x0020_Number" ma:index="15" ma:displayName="Project Number" ma:internalName="Project_x0020_Number">
      <xsd:simpleType>
        <xsd:restriction base="dms:Text">
          <xsd:maxLength value="255"/>
        </xsd:restriction>
      </xsd:simpleType>
    </xsd:element>
    <xsd:element name="Access_x0020_to_x0020_Information_x00a0_Policy" ma:index="16"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Document_x0020_Author" ma:index="17" nillable="true" ma:displayName="Document Author" ma:internalName="Document_x0020_Author">
      <xsd:simpleType>
        <xsd:restriction base="dms:Text">
          <xsd:maxLength value="255"/>
        </xsd:restriction>
      </xsd:simpleType>
    </xsd:element>
    <xsd:element name="Other_x0020_Author" ma:index="18" nillable="true" ma:displayName="Other Author" ma:internalName="Other_x0020_Author">
      <xsd:simpleType>
        <xsd:restriction base="dms:Text">
          <xsd:maxLength value="255"/>
        </xsd:restriction>
      </xsd:simpleType>
    </xsd:element>
    <xsd:element name="Approval_x0020_Number" ma:index="19" nillable="true" ma:displayName="Approval Number" ma:internalName="Approval_x0020_Number">
      <xsd:simpleType>
        <xsd:restriction base="dms:Text">
          <xsd:maxLength value="255"/>
        </xsd:restriction>
      </xsd:simpleType>
    </xsd:element>
    <xsd:element name="g511464f9e53401d84b16fa9b379a574" ma:index="20"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Division_x0020_or_x0020_Unit" ma:index="22" nillable="true" ma:displayName="Division or Unit" ma:internalName="Division_x0020_or_x0020_Unit">
      <xsd:simpleType>
        <xsd:restriction base="dms:Text">
          <xsd:maxLength value="255"/>
        </xsd:restriction>
      </xsd:simpleType>
    </xsd:element>
    <xsd:element name="Document_x0020_Language_x0020_IDB" ma:index="23" nillable="true" ma:displayName="Document Language IDB" ma:format="Dropdown" ma:internalName="Document_x0020_Language_x0020_IDB">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From_x003a_" ma:index="24" nillable="true" ma:displayName="From:" ma:description="Sender name from email message" ma:internalName="From_x003A_">
      <xsd:simpleType>
        <xsd:restriction base="dms:Text">
          <xsd:maxLength value="255"/>
        </xsd:restriction>
      </xsd:simpleType>
    </xsd:element>
    <xsd:element name="To_x003a_" ma:index="25" nillable="true" ma:displayName="To:" ma:description="Addressee names from email message&#10;" ma:internalName="To_x003A_">
      <xsd:simpleType>
        <xsd:restriction base="dms:Text">
          <xsd:maxLength value="255"/>
        </xsd:restriction>
      </xsd:simpleType>
    </xsd:element>
    <xsd:element name="Identifier" ma:index="26" nillable="true" ma:displayName="Identifier" ma:internalName="Identifier">
      <xsd:simpleType>
        <xsd:restriction base="dms:Text">
          <xsd:maxLength value="255"/>
        </xsd:restriction>
      </xsd:simpleType>
    </xsd:element>
    <xsd:element name="Fiscal_x0020_Year_x0020_IDB" ma:index="27" nillable="true" ma:displayName="Fiscal Year IDB" ma:internalName="Fiscal_x0020_Year_x0020_IDB">
      <xsd:simpleType>
        <xsd:restriction base="dms:Text">
          <xsd:maxLength value="255"/>
        </xsd:restriction>
      </xsd:simpleType>
    </xsd:element>
    <xsd:element name="ic46d7e087fd4a108fb86518ca413cc6" ma:index="28"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nddeef1749674d76abdbe4b239a70bc6" ma:index="30"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32"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Phase" ma:index="34" nillable="true" ma:displayName="Phase" ma:internalName="Phase">
      <xsd:simpleType>
        <xsd:restriction base="dms:Text">
          <xsd:maxLength value="255"/>
        </xsd:restriction>
      </xsd:simpleType>
    </xsd:element>
    <xsd:element name="Key_x0020_Document" ma:index="35" nillable="true" ma:displayName="Key Document" ma:default="0" ma:internalName="Key_x0020_Document">
      <xsd:simpleType>
        <xsd:restriction base="dms:Boolean"/>
      </xsd:simpleType>
    </xsd:element>
    <xsd:element name="Business_x0020_Area" ma:index="36" nillable="true" ma:displayName="Business Area" ma:internalName="Business_x0020_Area">
      <xsd:simpleType>
        <xsd:restriction base="dms:Text">
          <xsd:maxLength value="255"/>
        </xsd:restriction>
      </xsd:simpleType>
    </xsd:element>
    <xsd:element name="Project_x0020_Document_x0020_Type" ma:index="37" nillable="true" ma:displayName="Project Document Type" ma:internalName="Project_x0020_Document_x0020_Type">
      <xsd:simpleType>
        <xsd:restriction base="dms:Text">
          <xsd:maxLength value="255"/>
        </xsd:restriction>
      </xsd:simpleType>
    </xsd:element>
    <xsd:element name="Operation_x0020_Type" ma:index="38" nillable="true" ma:displayName="Operation Type" ma:internalName="Operation_x0020_Type">
      <xsd:simpleType>
        <xsd:restriction base="dms:Text">
          <xsd:maxLength value="255"/>
        </xsd:restriction>
      </xsd:simpleType>
    </xsd:element>
    <xsd:element name="Package_x0020_Code" ma:index="39" nillable="true" ma:displayName="Package Code" ma:internalName="Package_x0020_Code">
      <xsd:simpleType>
        <xsd:restriction base="dms:Text">
          <xsd:maxLength value="255"/>
        </xsd:restriction>
      </xsd:simpleType>
    </xsd:element>
    <xsd:element name="e46fe2894295491da65140ffd2369f49" ma:index="40" nillable="true" ma:taxonomy="true" ma:internalName="e46fe2894295491da65140ffd2369f49" ma:taxonomyFieldName="Function_x0020_Operations_x0020_IDB" ma:displayName="Function Operations IDB"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SISCOR_x0020_Number" ma:index="42" nillable="true" ma:displayName="SISCOR Number" ma:internalName="SISCOR_x0020_Number">
      <xsd:simpleType>
        <xsd:restriction base="dms:Text">
          <xsd:maxLength value="255"/>
        </xsd:restriction>
      </xsd:simpleType>
    </xsd:element>
    <xsd:element name="IDBDocs_x0020_Number" ma:index="43" nillable="true" ma:displayName="IDBDocs Number" ma:internalName="IDBDocs_x0020_Number">
      <xsd:simpleType>
        <xsd:restriction base="dms:Text">
          <xsd:maxLength value="255"/>
        </xsd:restriction>
      </xsd:simpleType>
    </xsd:element>
    <xsd:element name="Migration_x0020_Info" ma:index="44" nillable="true" ma:displayName="Migration Info" ma:internalName="Migration_x0020_Info">
      <xsd:simpleType>
        <xsd:restriction base="dms:Note"/>
      </xsd:simpleType>
    </xsd:element>
    <xsd:element name="Record_x0020_Number" ma:index="45" nillable="true" ma:displayName="Record Number" ma:internalName="Record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p:properties xmlns:p="http://schemas.microsoft.com/office/2006/metadata/properties" xmlns:xsi="http://www.w3.org/2001/XMLSchema-instance" xmlns:pc="http://schemas.microsoft.com/office/infopath/2007/PartnerControls">
  <documentManagement>
    <Project_x0020_Document_x0020_Type xmlns="cdc7663a-08f0-4737-9e8c-148ce897a09c" xsi:nil="true"/>
    <Record_x0020_Number xmlns="cdc7663a-08f0-4737-9e8c-148ce897a09c" xsi:nil="true"/>
    <Key_x0020_Document xmlns="cdc7663a-08f0-4737-9e8c-148ce897a09c">false</Key_x0020_Document>
    <Division_x0020_or_x0020_Unit xmlns="cdc7663a-08f0-4737-9e8c-148ce897a09c">INE/ENE</Division_x0020_or_x0020_Unit>
    <Other_x0020_Author xmlns="cdc7663a-08f0-4737-9e8c-148ce897a09c" xsi:nil="true"/>
    <IDBDocs_x0020_Number xmlns="cdc7663a-08f0-4737-9e8c-148ce897a09c">39163751</IDBDocs_x0020_Number>
    <Document_x0020_Author xmlns="cdc7663a-08f0-4737-9e8c-148ce897a09c">Cova Leon,Haydemar</Document_x0020_Author>
    <Operation_x0020_Type xmlns="cdc7663a-08f0-4737-9e8c-148ce897a09c" xsi:nil="true"/>
    <TaxCatchAll xmlns="cdc7663a-08f0-4737-9e8c-148ce897a09c"/>
    <Fiscal_x0020_Year_x0020_IDB xmlns="cdc7663a-08f0-4737-9e8c-148ce897a09c">2015</Fiscal_x0020_Year_x0020_IDB>
    <Project_x0020_Number xmlns="cdc7663a-08f0-4737-9e8c-148ce897a09c">EC-L1140</Project_x0020_Number>
    <Package_x0020_Code xmlns="cdc7663a-08f0-4737-9e8c-148ce897a09c" xsi:nil="true"/>
    <Migration_x0020_Info xmlns="cdc7663a-08f0-4737-9e8c-148ce897a09c">MS WORDLPLoan Proposal0N</Migration_x0020_Info>
    <Approval_x0020_Number xmlns="cdc7663a-08f0-4737-9e8c-148ce897a09c" xsi:nil="true"/>
    <Business_x0020_Area xmlns="cdc7663a-08f0-4737-9e8c-148ce897a09c" xsi:nil="true"/>
    <SISCOR_x0020_Number xmlns="cdc7663a-08f0-4737-9e8c-148ce897a09c" xsi:nil="true"/>
    <Identifier xmlns="cdc7663a-08f0-4737-9e8c-148ce897a09c"> FULL DOC</Identifier>
    <Document_x0020_Language_x0020_IDB xmlns="cdc7663a-08f0-4737-9e8c-148ce897a09c">Spanish</Document_x0020_Language_x0020_IDB>
    <Phase xmlns="cdc7663a-08f0-4737-9e8c-148ce897a09c" xsi:nil="true"/>
    <Access_x0020_to_x0020_Information_x00a0_Policy xmlns="cdc7663a-08f0-4737-9e8c-148ce897a09c">Confidential</Access_x0020_to_x0020_Information_x00a0_Policy>
    <b26cdb1da78c4bb4b1c1bac2f6ac5911 xmlns="cdc7663a-08f0-4737-9e8c-148ce897a09c">
      <Terms xmlns="http://schemas.microsoft.com/office/infopath/2007/PartnerControls"/>
    </b26cdb1da78c4bb4b1c1bac2f6ac5911>
    <ic46d7e087fd4a108fb86518ca413cc6 xmlns="cdc7663a-08f0-4737-9e8c-148ce897a09c">
      <Terms xmlns="http://schemas.microsoft.com/office/infopath/2007/PartnerControls"/>
    </ic46d7e087fd4a108fb86518ca413cc6>
    <e46fe2894295491da65140ffd2369f49 xmlns="cdc7663a-08f0-4737-9e8c-148ce897a09c">
      <Terms xmlns="http://schemas.microsoft.com/office/infopath/2007/PartnerControls"/>
    </e46fe2894295491da65140ffd2369f49>
    <b2ec7cfb18674cb8803df6b262e8b107 xmlns="cdc7663a-08f0-4737-9e8c-148ce897a09c">
      <Terms xmlns="http://schemas.microsoft.com/office/infopath/2007/PartnerControls"/>
    </b2ec7cfb18674cb8803df6b262e8b107>
    <g511464f9e53401d84b16fa9b379a574 xmlns="cdc7663a-08f0-4737-9e8c-148ce897a09c">
      <Terms xmlns="http://schemas.microsoft.com/office/infopath/2007/PartnerControls"/>
    </g511464f9e53401d84b16fa9b379a574>
    <nddeef1749674d76abdbe4b239a70bc6 xmlns="cdc7663a-08f0-4737-9e8c-148ce897a09c">
      <Terms xmlns="http://schemas.microsoft.com/office/infopath/2007/PartnerControls"/>
    </nddeef1749674d76abdbe4b239a70bc6>
    <_dlc_DocId xmlns="cdc7663a-08f0-4737-9e8c-148ce897a09c">EZSHARE-1908190663-61</_dlc_DocId>
    <From_x003a_ xmlns="cdc7663a-08f0-4737-9e8c-148ce897a09c" xsi:nil="true"/>
    <To_x003a_ xmlns="cdc7663a-08f0-4737-9e8c-148ce897a09c" xsi:nil="true"/>
    <_dlc_DocIdUrl xmlns="cdc7663a-08f0-4737-9e8c-148ce897a09c">
      <Url>https://idbg.sharepoint.com/teams/EZ-EC-LON/EC-L1140/_layouts/15/DocIdRedir.aspx?ID=EZSHARE-1908190663-61</Url>
      <Description>EZSHARE-1908190663-61</Description>
    </_dlc_DocIdUrl>
  </documentManagement>
</p:properties>
</file>

<file path=customXml/item7.xml><?xml version="1.0" encoding="utf-8"?>
<?mso-contentType ?>
<FormUrls xmlns="http://schemas.microsoft.com/sharepoint/v3/contenttype/forms/url">
  <Display>_catalogs/masterpage/ECMForms/OperationsCT/View.aspx</Display>
  <Edit>_catalogs/masterpage/ECMForms/OperationsCT/Edit.aspx</Edit>
</FormUrls>
</file>

<file path=customXml/item8.xml><?xml version="1.0" encoding="utf-8"?>
<?mso-contentType ?>
<FormUrls xmlns="http://schemas.microsoft.com/sharepoint/v3/contenttype/forms/url">
  <Display>_catalogs/masterpage/ECMForms/OperationsCT/View.aspx</Display>
  <Edit>_catalogs/masterpage/ECMForms/OperationsCT/Edit.aspx</Edit>
</FormUrls>
</file>

<file path=customXml/itemProps1.xml><?xml version="1.0" encoding="utf-8"?>
<ds:datastoreItem xmlns:ds="http://schemas.openxmlformats.org/officeDocument/2006/customXml" ds:itemID="{3C9845F8-F280-4F1B-B3C1-7004ED9A4F6D}"/>
</file>

<file path=customXml/itemProps2.xml><?xml version="1.0" encoding="utf-8"?>
<ds:datastoreItem xmlns:ds="http://schemas.openxmlformats.org/officeDocument/2006/customXml" ds:itemID="{3D17D314-736F-4CFE-8AB7-2A1889C1B99B}"/>
</file>

<file path=customXml/itemProps3.xml><?xml version="1.0" encoding="utf-8"?>
<ds:datastoreItem xmlns:ds="http://schemas.openxmlformats.org/officeDocument/2006/customXml" ds:itemID="{C8537EED-0EB9-450F-80F3-324EAAED2196}"/>
</file>

<file path=customXml/itemProps4.xml><?xml version="1.0" encoding="utf-8"?>
<ds:datastoreItem xmlns:ds="http://schemas.openxmlformats.org/officeDocument/2006/customXml" ds:itemID="{7C1D43A6-390A-4CE0-B027-2A5853F7C4F2}"/>
</file>

<file path=customXml/itemProps5.xml><?xml version="1.0" encoding="utf-8"?>
<ds:datastoreItem xmlns:ds="http://schemas.openxmlformats.org/officeDocument/2006/customXml" ds:itemID="{35E31390-2B0C-4BB1-8000-E595B7915C5F}"/>
</file>

<file path=customXml/itemProps6.xml><?xml version="1.0" encoding="utf-8"?>
<ds:datastoreItem xmlns:ds="http://schemas.openxmlformats.org/officeDocument/2006/customXml" ds:itemID="{B0231124-B852-4DAA-AD8B-4C3C648CA57C}"/>
</file>

<file path=customXml/itemProps7.xml><?xml version="1.0" encoding="utf-8"?>
<ds:datastoreItem xmlns:ds="http://schemas.openxmlformats.org/officeDocument/2006/customXml" ds:itemID="{6E23B794-9553-4B2F-9149-78195F697F42}"/>
</file>

<file path=customXml/itemProps8.xml><?xml version="1.0" encoding="utf-8"?>
<ds:datastoreItem xmlns:ds="http://schemas.openxmlformats.org/officeDocument/2006/customXml" ds:itemID="{4F937148-A7BE-4F47-B61E-BDFCE205615D}"/>
</file>

<file path=docProps/app.xml><?xml version="1.0" encoding="utf-8"?>
<Properties xmlns="http://schemas.openxmlformats.org/officeDocument/2006/extended-properties" xmlns:vt="http://schemas.openxmlformats.org/officeDocument/2006/docPropsVTypes">
  <Template>Normal.dotm</Template>
  <TotalTime>6</TotalTime>
  <Pages>18</Pages>
  <Words>4750</Words>
  <Characters>27076</Characters>
  <Application>Microsoft Office Word</Application>
  <DocSecurity>0</DocSecurity>
  <Lines>225</Lines>
  <Paragraphs>63</Paragraphs>
  <ScaleCrop>false</ScaleCrop>
  <HeadingPairs>
    <vt:vector size="2" baseType="variant">
      <vt:variant>
        <vt:lpstr>Title</vt:lpstr>
      </vt:variant>
      <vt:variant>
        <vt:i4>1</vt:i4>
      </vt:variant>
    </vt:vector>
  </HeadingPairs>
  <TitlesOfParts>
    <vt:vector size="1" baseType="lpstr">
      <vt:lpstr/>
    </vt:vector>
  </TitlesOfParts>
  <Company>Inter-American Development Bank</Company>
  <LinksUpToDate>false</LinksUpToDate>
  <CharactersWithSpaces>31763</CharactersWithSpaces>
  <SharedDoc>false</SharedDoc>
  <HLinks>
    <vt:vector size="6" baseType="variant">
      <vt:variant>
        <vt:i4>7667755</vt:i4>
      </vt:variant>
      <vt:variant>
        <vt:i4>42</vt:i4>
      </vt:variant>
      <vt:variant>
        <vt:i4>0</vt:i4>
      </vt:variant>
      <vt:variant>
        <vt:i4>5</vt:i4>
      </vt:variant>
      <vt:variant>
        <vt:lpwstr>http://idbdocs.iadb.org/wsdocs/getDocument.aspx?DOCNUM=36234574</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EC-L1140 - Plan de Monitoreo y Evaluacion </dc:title>
  <dc:creator>christiaang</dc:creator>
  <cp:lastModifiedBy>Test</cp:lastModifiedBy>
  <cp:revision>6</cp:revision>
  <cp:lastPrinted>2011-04-14T23:49:00Z</cp:lastPrinted>
  <dcterms:created xsi:type="dcterms:W3CDTF">2014-12-09T21:41:00Z</dcterms:created>
  <dcterms:modified xsi:type="dcterms:W3CDTF">2015-01-15T16:33:00Z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axKeyword">
    <vt:lpwstr/>
  </property>
  <property fmtid="{D5CDD505-2E9C-101B-9397-08002B2CF9AE}" pid="3" name="Sub_x002d_Sector">
    <vt:lpwstr/>
  </property>
  <property fmtid="{D5CDD505-2E9C-101B-9397-08002B2CF9AE}" pid="4" name="ContentTypeId">
    <vt:lpwstr>0x010100ACF722E9F6B0B149B0CD8BE2560A667200FB1AA3A77B405748AF5F83AF5A3A43F7</vt:lpwstr>
  </property>
  <property fmtid="{D5CDD505-2E9C-101B-9397-08002B2CF9AE}" pid="5" name="TaxKeywordTaxHTField">
    <vt:lpwstr/>
  </property>
  <property fmtid="{D5CDD505-2E9C-101B-9397-08002B2CF9AE}" pid="6" name="Series Operations IDB">
    <vt:lpwstr>19;#Loan Proposal|6ee86b6f-6e46-485b-8bfb-87a1f44622ac</vt:lpwstr>
  </property>
  <property fmtid="{D5CDD505-2E9C-101B-9397-08002B2CF9AE}" pid="7" name="Sub-Sector">
    <vt:lpwstr/>
  </property>
  <property fmtid="{D5CDD505-2E9C-101B-9397-08002B2CF9AE}" pid="8" name="Country">
    <vt:lpwstr/>
  </property>
  <property fmtid="{D5CDD505-2E9C-101B-9397-08002B2CF9AE}" pid="9" name="Fund IDB">
    <vt:lpwstr/>
  </property>
  <property fmtid="{D5CDD505-2E9C-101B-9397-08002B2CF9AE}" pid="10" name="Series_x0020_Operations_x0020_IDB">
    <vt:lpwstr>19;#Loan Proposal|6ee86b6f-6e46-485b-8bfb-87a1f44622ac</vt:lpwstr>
  </property>
  <property fmtid="{D5CDD505-2E9C-101B-9397-08002B2CF9AE}" pid="11" name="To:">
    <vt:lpwstr/>
  </property>
  <property fmtid="{D5CDD505-2E9C-101B-9397-08002B2CF9AE}" pid="12" name="From:">
    <vt:lpwstr/>
  </property>
  <property fmtid="{D5CDD505-2E9C-101B-9397-08002B2CF9AE}" pid="13" name="Sector IDB">
    <vt:lpwstr/>
  </property>
  <property fmtid="{D5CDD505-2E9C-101B-9397-08002B2CF9AE}" pid="14" name="Function Operations IDB">
    <vt:lpwstr/>
  </property>
  <property fmtid="{D5CDD505-2E9C-101B-9397-08002B2CF9AE}" pid="16" name="Disclosure Activity">
    <vt:lpwstr>Loan Proposal</vt:lpwstr>
  </property>
  <property fmtid="{D5CDD505-2E9C-101B-9397-08002B2CF9AE}" pid="18" name="ATI Disclose Document Workflow v5">
    <vt:lpwstr/>
  </property>
  <property fmtid="{D5CDD505-2E9C-101B-9397-08002B2CF9AE}" pid="21" name="Webtopic">
    <vt:lpwstr>Energy</vt:lpwstr>
  </property>
  <property fmtid="{D5CDD505-2E9C-101B-9397-08002B2CF9AE}" pid="23" name="Disclosed">
    <vt:bool>false</vt:bool>
  </property>
  <property fmtid="{D5CDD505-2E9C-101B-9397-08002B2CF9AE}" pid="25" name="ATI Undisclose Document Workflow">
    <vt:lpwstr/>
  </property>
  <property fmtid="{D5CDD505-2E9C-101B-9397-08002B2CF9AE}" pid="26" name="_dlc_DocIdItemGuid">
    <vt:lpwstr>f285aba9-f263-4611-a6d0-7cfb78553773</vt:lpwstr>
  </property>
</Properties>
</file>