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0D702F" w14:textId="77777777" w:rsidR="00C8772D" w:rsidRPr="009464C2" w:rsidRDefault="00C8772D" w:rsidP="00C8772D">
      <w:pPr>
        <w:pStyle w:val="Title"/>
        <w:tabs>
          <w:tab w:val="clear" w:pos="1440"/>
          <w:tab w:val="clear" w:pos="3060"/>
        </w:tabs>
        <w:outlineLvl w:val="9"/>
        <w:rPr>
          <w:smallCaps/>
          <w:sz w:val="22"/>
          <w:szCs w:val="22"/>
          <w:lang w:val="es-ES_tradnl"/>
        </w:rPr>
      </w:pPr>
      <w:r w:rsidRPr="009464C2">
        <w:rPr>
          <w:smallCaps/>
          <w:sz w:val="22"/>
          <w:szCs w:val="22"/>
          <w:lang w:val="es-ES_tradnl"/>
        </w:rPr>
        <w:t>Docume</w:t>
      </w:r>
      <w:r w:rsidRPr="008847B8">
        <w:rPr>
          <w:smallCaps/>
          <w:sz w:val="22"/>
          <w:szCs w:val="22"/>
          <w:lang w:val="es-ES_tradnl"/>
        </w:rPr>
        <w:t xml:space="preserve">nto del Banco Interamericano de </w:t>
      </w:r>
      <w:r>
        <w:rPr>
          <w:smallCaps/>
          <w:sz w:val="22"/>
          <w:szCs w:val="22"/>
          <w:lang w:val="es-ES_tradnl"/>
        </w:rPr>
        <w:t>D</w:t>
      </w:r>
      <w:r w:rsidRPr="008847B8">
        <w:rPr>
          <w:smallCaps/>
          <w:sz w:val="22"/>
          <w:szCs w:val="22"/>
          <w:lang w:val="es-ES_tradnl"/>
        </w:rPr>
        <w:t>esarrollo</w:t>
      </w:r>
      <w:r w:rsidRPr="009464C2">
        <w:rPr>
          <w:smallCaps/>
          <w:sz w:val="22"/>
          <w:szCs w:val="22"/>
          <w:lang w:val="es-ES_tradnl"/>
        </w:rPr>
        <w:t xml:space="preserve"> </w:t>
      </w:r>
    </w:p>
    <w:p w14:paraId="4C957AFD" w14:textId="77777777" w:rsidR="00C8772D" w:rsidRPr="009464C2" w:rsidRDefault="00C8772D" w:rsidP="00C8772D">
      <w:pPr>
        <w:pStyle w:val="ListParagraph"/>
        <w:spacing w:line="360" w:lineRule="auto"/>
        <w:ind w:left="0"/>
        <w:jc w:val="center"/>
        <w:rPr>
          <w:b/>
          <w:lang w:val="es-ES_tradnl"/>
        </w:rPr>
      </w:pPr>
    </w:p>
    <w:p w14:paraId="1D9C136E" w14:textId="77777777" w:rsidR="00C8772D" w:rsidRPr="009464C2" w:rsidRDefault="00C8772D" w:rsidP="00C8772D">
      <w:pPr>
        <w:tabs>
          <w:tab w:val="left" w:pos="1440"/>
          <w:tab w:val="left" w:pos="3060"/>
        </w:tabs>
        <w:jc w:val="center"/>
        <w:rPr>
          <w:b/>
          <w:smallCaps/>
          <w:lang w:val="es-ES_tradnl"/>
        </w:rPr>
      </w:pPr>
    </w:p>
    <w:p w14:paraId="07A21C6F" w14:textId="77777777" w:rsidR="00C8772D" w:rsidRPr="009464C2" w:rsidRDefault="00C8772D" w:rsidP="00C8772D">
      <w:pPr>
        <w:tabs>
          <w:tab w:val="left" w:pos="1440"/>
          <w:tab w:val="left" w:pos="3060"/>
        </w:tabs>
        <w:jc w:val="center"/>
        <w:rPr>
          <w:b/>
          <w:smallCaps/>
          <w:lang w:val="es-ES_tradnl"/>
        </w:rPr>
      </w:pPr>
    </w:p>
    <w:p w14:paraId="71298E03" w14:textId="77777777" w:rsidR="00C8772D" w:rsidRPr="005D16B6" w:rsidRDefault="00C8772D" w:rsidP="00C8772D">
      <w:pPr>
        <w:tabs>
          <w:tab w:val="left" w:pos="1440"/>
          <w:tab w:val="left" w:pos="3060"/>
        </w:tabs>
        <w:jc w:val="center"/>
        <w:rPr>
          <w:b/>
          <w:smallCaps/>
          <w:highlight w:val="lightGray"/>
          <w:lang w:val="es-ES"/>
        </w:rPr>
      </w:pPr>
      <w:r>
        <w:rPr>
          <w:b/>
          <w:smallCaps/>
          <w:highlight w:val="lightGray"/>
          <w:lang w:val="es-ES"/>
        </w:rPr>
        <w:t>ECUADOR</w:t>
      </w:r>
    </w:p>
    <w:p w14:paraId="6239F210" w14:textId="77777777" w:rsidR="00C8772D" w:rsidRPr="005D16B6" w:rsidRDefault="00C8772D" w:rsidP="00C8772D">
      <w:pPr>
        <w:tabs>
          <w:tab w:val="left" w:pos="1440"/>
          <w:tab w:val="left" w:pos="3060"/>
        </w:tabs>
        <w:jc w:val="center"/>
        <w:rPr>
          <w:b/>
          <w:smallCaps/>
          <w:highlight w:val="lightGray"/>
          <w:lang w:val="es-ES"/>
        </w:rPr>
      </w:pPr>
    </w:p>
    <w:p w14:paraId="64083C15" w14:textId="77777777" w:rsidR="00C8772D" w:rsidRPr="005D16B6" w:rsidRDefault="00C8772D" w:rsidP="00C8772D">
      <w:pPr>
        <w:tabs>
          <w:tab w:val="left" w:pos="1440"/>
          <w:tab w:val="left" w:pos="3060"/>
        </w:tabs>
        <w:jc w:val="center"/>
        <w:rPr>
          <w:b/>
          <w:smallCaps/>
          <w:highlight w:val="lightGray"/>
          <w:lang w:val="es-ES"/>
        </w:rPr>
      </w:pPr>
    </w:p>
    <w:p w14:paraId="2AF5DD87" w14:textId="77777777" w:rsidR="00C8772D" w:rsidRPr="005D16B6" w:rsidRDefault="00C8772D" w:rsidP="00C8772D">
      <w:pPr>
        <w:tabs>
          <w:tab w:val="left" w:pos="1440"/>
          <w:tab w:val="left" w:pos="3060"/>
        </w:tabs>
        <w:jc w:val="center"/>
        <w:rPr>
          <w:b/>
          <w:smallCaps/>
          <w:highlight w:val="lightGray"/>
          <w:lang w:val="es-ES"/>
        </w:rPr>
      </w:pPr>
      <w:r w:rsidRPr="005D16B6">
        <w:rPr>
          <w:b/>
          <w:smallCaps/>
          <w:highlight w:val="lightGray"/>
          <w:lang w:val="es-ES"/>
        </w:rPr>
        <w:t>Apoyo a</w:t>
      </w:r>
      <w:r>
        <w:rPr>
          <w:b/>
          <w:smallCaps/>
          <w:highlight w:val="lightGray"/>
          <w:lang w:val="es-ES"/>
        </w:rPr>
        <w:t>l Cambio de la Matriz Energética del Ecuador</w:t>
      </w:r>
    </w:p>
    <w:p w14:paraId="35404D19" w14:textId="77777777" w:rsidR="00C8772D" w:rsidRPr="008847B8" w:rsidRDefault="00C8772D" w:rsidP="00C8772D">
      <w:pPr>
        <w:tabs>
          <w:tab w:val="left" w:pos="1440"/>
          <w:tab w:val="left" w:pos="3060"/>
        </w:tabs>
        <w:jc w:val="center"/>
        <w:rPr>
          <w:b/>
          <w:smallCaps/>
          <w:lang w:val="pt-BR"/>
        </w:rPr>
      </w:pPr>
      <w:r w:rsidRPr="008847B8">
        <w:rPr>
          <w:b/>
          <w:smallCaps/>
          <w:highlight w:val="lightGray"/>
          <w:lang w:val="pt-BR"/>
        </w:rPr>
        <w:t>EC-L1140</w:t>
      </w:r>
    </w:p>
    <w:p w14:paraId="7EDA95BD" w14:textId="77777777" w:rsidR="00C8772D" w:rsidRPr="00727F6C" w:rsidRDefault="00C8772D" w:rsidP="00C8772D">
      <w:pPr>
        <w:pStyle w:val="Newpage"/>
        <w:rPr>
          <w:rFonts w:cs="Times New Roman"/>
          <w:b w:val="0"/>
          <w:caps/>
          <w:smallCaps w:val="0"/>
          <w:sz w:val="22"/>
          <w:szCs w:val="22"/>
          <w:lang w:val="pt-BR"/>
        </w:rPr>
      </w:pPr>
    </w:p>
    <w:p w14:paraId="22AF75D0" w14:textId="77777777" w:rsidR="00C8772D" w:rsidRPr="00C62F89" w:rsidRDefault="00C8772D" w:rsidP="00C8772D">
      <w:pPr>
        <w:tabs>
          <w:tab w:val="left" w:pos="1440"/>
          <w:tab w:val="left" w:pos="3060"/>
        </w:tabs>
        <w:jc w:val="center"/>
        <w:rPr>
          <w:smallCaps/>
          <w:lang w:val="pt-BR"/>
        </w:rPr>
      </w:pPr>
    </w:p>
    <w:p w14:paraId="404773AB" w14:textId="77777777" w:rsidR="00C8772D" w:rsidRPr="009464C2" w:rsidRDefault="00C8772D" w:rsidP="00C8772D">
      <w:pPr>
        <w:jc w:val="center"/>
        <w:rPr>
          <w:lang w:val="pt-BR"/>
        </w:rPr>
      </w:pPr>
      <w:r w:rsidRPr="009464C2">
        <w:rPr>
          <w:lang w:val="pt-BR"/>
        </w:rPr>
        <w:t xml:space="preserve">Anexo de </w:t>
      </w:r>
      <w:proofErr w:type="spellStart"/>
      <w:r w:rsidRPr="009464C2">
        <w:rPr>
          <w:lang w:val="pt-BR"/>
        </w:rPr>
        <w:t>Análisis</w:t>
      </w:r>
      <w:proofErr w:type="spellEnd"/>
      <w:r w:rsidRPr="009464C2">
        <w:rPr>
          <w:lang w:val="pt-BR"/>
        </w:rPr>
        <w:t xml:space="preserve"> Económico</w:t>
      </w:r>
    </w:p>
    <w:p w14:paraId="102D4F6D" w14:textId="77777777" w:rsidR="00C8772D" w:rsidRPr="008847B8" w:rsidRDefault="00C8772D" w:rsidP="00C8772D">
      <w:pPr>
        <w:tabs>
          <w:tab w:val="left" w:pos="1440"/>
          <w:tab w:val="left" w:pos="3060"/>
        </w:tabs>
        <w:outlineLvl w:val="0"/>
        <w:rPr>
          <w:b/>
          <w:smallCaps/>
          <w:lang w:val="pt-BR"/>
        </w:rPr>
      </w:pPr>
    </w:p>
    <w:p w14:paraId="354CB615" w14:textId="77777777" w:rsidR="00C8772D" w:rsidRPr="00727F6C" w:rsidRDefault="00C8772D" w:rsidP="00C8772D">
      <w:pPr>
        <w:pStyle w:val="ListParagraph"/>
        <w:spacing w:line="360" w:lineRule="auto"/>
        <w:ind w:left="0"/>
        <w:jc w:val="center"/>
        <w:rPr>
          <w:b/>
          <w:lang w:val="pt-BR"/>
        </w:rPr>
      </w:pPr>
    </w:p>
    <w:p w14:paraId="5AF200EB" w14:textId="77777777" w:rsidR="00C8772D" w:rsidRPr="00C62F89" w:rsidRDefault="00C8772D" w:rsidP="00C8772D">
      <w:pPr>
        <w:pStyle w:val="ListParagraph"/>
        <w:spacing w:line="360" w:lineRule="auto"/>
        <w:ind w:left="0"/>
        <w:jc w:val="center"/>
        <w:rPr>
          <w:b/>
          <w:lang w:val="pt-BR"/>
        </w:rPr>
      </w:pPr>
    </w:p>
    <w:p w14:paraId="111A278B" w14:textId="77777777" w:rsidR="00C8772D" w:rsidRPr="00C62F89" w:rsidRDefault="00C8772D" w:rsidP="00C8772D">
      <w:pPr>
        <w:pStyle w:val="ListParagraph"/>
        <w:spacing w:line="360" w:lineRule="auto"/>
        <w:ind w:left="0"/>
        <w:jc w:val="center"/>
        <w:rPr>
          <w:b/>
          <w:lang w:val="pt-BR"/>
        </w:rPr>
      </w:pPr>
    </w:p>
    <w:p w14:paraId="336BAFC0" w14:textId="77777777" w:rsidR="00C8772D" w:rsidRPr="00C62F89" w:rsidRDefault="00C8772D" w:rsidP="00C8772D">
      <w:pPr>
        <w:pStyle w:val="ListParagraph"/>
        <w:spacing w:line="360" w:lineRule="auto"/>
        <w:ind w:left="0"/>
        <w:jc w:val="center"/>
        <w:rPr>
          <w:b/>
          <w:lang w:val="pt-BR"/>
        </w:rPr>
      </w:pPr>
    </w:p>
    <w:p w14:paraId="454231B1" w14:textId="77777777" w:rsidR="00C8772D" w:rsidRPr="00C62F89" w:rsidRDefault="00C8772D" w:rsidP="00C8772D">
      <w:pPr>
        <w:pStyle w:val="ListParagraph"/>
        <w:spacing w:line="360" w:lineRule="auto"/>
        <w:ind w:left="0"/>
        <w:jc w:val="center"/>
        <w:rPr>
          <w:b/>
          <w:lang w:val="pt-BR"/>
        </w:rPr>
      </w:pPr>
    </w:p>
    <w:p w14:paraId="17791E15" w14:textId="77777777" w:rsidR="00C8772D" w:rsidRPr="00C62F89" w:rsidRDefault="00C8772D" w:rsidP="00C8772D">
      <w:pPr>
        <w:pStyle w:val="ListParagraph"/>
        <w:spacing w:line="360" w:lineRule="auto"/>
        <w:ind w:left="0"/>
        <w:jc w:val="center"/>
        <w:rPr>
          <w:b/>
          <w:lang w:val="pt-BR"/>
        </w:rPr>
      </w:pPr>
    </w:p>
    <w:p w14:paraId="1C83C9BF" w14:textId="77777777" w:rsidR="00C8772D" w:rsidRPr="00C62F89" w:rsidRDefault="00C8772D" w:rsidP="00C8772D">
      <w:pPr>
        <w:pStyle w:val="ListParagraph"/>
        <w:spacing w:line="360" w:lineRule="auto"/>
        <w:ind w:left="0"/>
        <w:jc w:val="center"/>
        <w:rPr>
          <w:b/>
          <w:lang w:val="pt-BR"/>
        </w:rPr>
      </w:pPr>
    </w:p>
    <w:p w14:paraId="06DF6E1F" w14:textId="77777777" w:rsidR="00C8772D" w:rsidRPr="00C62F89" w:rsidRDefault="00C8772D" w:rsidP="00C8772D">
      <w:pPr>
        <w:pStyle w:val="ListParagraph"/>
        <w:spacing w:line="360" w:lineRule="auto"/>
        <w:ind w:left="0"/>
        <w:jc w:val="center"/>
        <w:rPr>
          <w:b/>
          <w:lang w:val="pt-BR"/>
        </w:rPr>
      </w:pPr>
    </w:p>
    <w:p w14:paraId="4490448C" w14:textId="77777777" w:rsidR="00C8772D" w:rsidRPr="00C62F89" w:rsidRDefault="00C8772D" w:rsidP="00C8772D">
      <w:pPr>
        <w:pStyle w:val="ListParagraph"/>
        <w:spacing w:line="360" w:lineRule="auto"/>
        <w:ind w:left="0"/>
        <w:jc w:val="center"/>
        <w:rPr>
          <w:b/>
          <w:lang w:val="pt-BR"/>
        </w:rPr>
      </w:pPr>
    </w:p>
    <w:p w14:paraId="6DA28BEB" w14:textId="77777777" w:rsidR="00C8772D" w:rsidRPr="00C62F89" w:rsidRDefault="00C8772D" w:rsidP="00C8772D">
      <w:pPr>
        <w:pStyle w:val="ListParagraph"/>
        <w:spacing w:line="360" w:lineRule="auto"/>
        <w:ind w:left="0"/>
        <w:jc w:val="center"/>
        <w:rPr>
          <w:b/>
          <w:lang w:val="pt-BR"/>
        </w:rPr>
      </w:pPr>
    </w:p>
    <w:p w14:paraId="0FDEA724" w14:textId="77777777" w:rsidR="00C8772D" w:rsidRPr="00C62F89" w:rsidRDefault="00C8772D" w:rsidP="00C8772D">
      <w:pPr>
        <w:tabs>
          <w:tab w:val="left" w:pos="1440"/>
          <w:tab w:val="left" w:pos="3060"/>
        </w:tabs>
        <w:jc w:val="center"/>
        <w:rPr>
          <w:lang w:val="pt-BR"/>
        </w:rPr>
      </w:pPr>
    </w:p>
    <w:p w14:paraId="6BBED1CA" w14:textId="77777777" w:rsidR="00C8772D" w:rsidRPr="00C62F89" w:rsidRDefault="00C8772D" w:rsidP="00C8772D">
      <w:pPr>
        <w:tabs>
          <w:tab w:val="left" w:pos="1440"/>
          <w:tab w:val="left" w:pos="3060"/>
        </w:tabs>
        <w:jc w:val="center"/>
        <w:rPr>
          <w:lang w:val="pt-BR"/>
        </w:rPr>
      </w:pPr>
    </w:p>
    <w:p w14:paraId="128317B0" w14:textId="77777777" w:rsidR="00C8772D" w:rsidRPr="00C62F89" w:rsidRDefault="00C8772D" w:rsidP="00C8772D">
      <w:pPr>
        <w:tabs>
          <w:tab w:val="left" w:pos="1440"/>
          <w:tab w:val="left" w:pos="3060"/>
        </w:tabs>
        <w:jc w:val="center"/>
        <w:rPr>
          <w:lang w:val="pt-BR"/>
        </w:rPr>
      </w:pPr>
    </w:p>
    <w:p w14:paraId="4A308497" w14:textId="77777777" w:rsidR="00C8772D" w:rsidRPr="00C62F89" w:rsidRDefault="00C8772D" w:rsidP="00C8772D">
      <w:pPr>
        <w:tabs>
          <w:tab w:val="left" w:pos="1440"/>
          <w:tab w:val="left" w:pos="3060"/>
        </w:tabs>
        <w:jc w:val="center"/>
        <w:rPr>
          <w:lang w:val="pt-BR"/>
        </w:rPr>
      </w:pPr>
    </w:p>
    <w:p w14:paraId="425B83E6" w14:textId="77777777" w:rsidR="00C8772D" w:rsidRPr="002E1E5C" w:rsidRDefault="00C8772D" w:rsidP="00C8772D">
      <w:pPr>
        <w:pStyle w:val="BodyText"/>
        <w:pBdr>
          <w:top w:val="single" w:sz="4" w:space="1" w:color="auto"/>
          <w:left w:val="single" w:sz="4" w:space="4" w:color="auto"/>
          <w:bottom w:val="single" w:sz="4" w:space="1" w:color="auto"/>
          <w:right w:val="single" w:sz="4" w:space="5" w:color="auto"/>
        </w:pBdr>
        <w:tabs>
          <w:tab w:val="left" w:pos="1440"/>
        </w:tabs>
        <w:jc w:val="both"/>
        <w:rPr>
          <w:sz w:val="22"/>
          <w:szCs w:val="22"/>
          <w:lang w:val="es-ES_tradnl"/>
        </w:rPr>
      </w:pPr>
      <w:r w:rsidRPr="002E1E5C">
        <w:rPr>
          <w:sz w:val="22"/>
          <w:szCs w:val="22"/>
          <w:lang w:val="es-ES_tradnl"/>
        </w:rPr>
        <w:t>Este documento fue preparado por:</w:t>
      </w:r>
    </w:p>
    <w:p w14:paraId="4BDFEFBC" w14:textId="77777777" w:rsidR="00C8772D" w:rsidRPr="005D16B6" w:rsidRDefault="00C8772D" w:rsidP="00C8772D">
      <w:pPr>
        <w:pStyle w:val="BodyText"/>
        <w:pBdr>
          <w:top w:val="single" w:sz="4" w:space="1" w:color="auto"/>
          <w:left w:val="single" w:sz="4" w:space="4" w:color="auto"/>
          <w:bottom w:val="single" w:sz="4" w:space="1" w:color="auto"/>
          <w:right w:val="single" w:sz="4" w:space="5" w:color="auto"/>
        </w:pBdr>
        <w:tabs>
          <w:tab w:val="left" w:pos="1440"/>
        </w:tabs>
        <w:jc w:val="both"/>
        <w:rPr>
          <w:sz w:val="22"/>
          <w:szCs w:val="22"/>
          <w:lang w:val="es-ES"/>
        </w:rPr>
      </w:pPr>
      <w:r w:rsidRPr="005D16B6">
        <w:rPr>
          <w:sz w:val="22"/>
          <w:szCs w:val="22"/>
          <w:lang w:val="es-ES"/>
        </w:rPr>
        <w:t>Fernando Lecaros, consultor.</w:t>
      </w:r>
    </w:p>
    <w:p w14:paraId="68FCEFB0" w14:textId="77777777" w:rsidR="00C8772D" w:rsidRPr="005D16B6" w:rsidRDefault="00C8772D" w:rsidP="00C8772D">
      <w:pPr>
        <w:pStyle w:val="BodyText"/>
        <w:pBdr>
          <w:top w:val="single" w:sz="4" w:space="1" w:color="auto"/>
          <w:left w:val="single" w:sz="4" w:space="4" w:color="auto"/>
          <w:bottom w:val="single" w:sz="4" w:space="1" w:color="auto"/>
          <w:right w:val="single" w:sz="4" w:space="5" w:color="auto"/>
        </w:pBdr>
        <w:tabs>
          <w:tab w:val="left" w:pos="1440"/>
        </w:tabs>
        <w:jc w:val="both"/>
        <w:rPr>
          <w:sz w:val="22"/>
          <w:szCs w:val="22"/>
          <w:lang w:val="es-ES"/>
        </w:rPr>
      </w:pPr>
    </w:p>
    <w:p w14:paraId="4A841E76" w14:textId="77777777" w:rsidR="00C8772D" w:rsidRPr="005D16B6" w:rsidRDefault="00C8772D" w:rsidP="00C8772D">
      <w:pPr>
        <w:pStyle w:val="BodyText"/>
        <w:pBdr>
          <w:top w:val="single" w:sz="4" w:space="1" w:color="auto"/>
          <w:left w:val="single" w:sz="4" w:space="4" w:color="auto"/>
          <w:bottom w:val="single" w:sz="4" w:space="1" w:color="auto"/>
          <w:right w:val="single" w:sz="4" w:space="5" w:color="auto"/>
        </w:pBdr>
        <w:tabs>
          <w:tab w:val="left" w:pos="1440"/>
        </w:tabs>
        <w:jc w:val="both"/>
        <w:rPr>
          <w:b/>
          <w:sz w:val="22"/>
          <w:szCs w:val="22"/>
          <w:lang w:val="es-ES"/>
        </w:rPr>
      </w:pPr>
    </w:p>
    <w:p w14:paraId="49916172" w14:textId="77777777" w:rsidR="00C8772D" w:rsidRDefault="00C8772D" w:rsidP="00C8772D">
      <w:r w:rsidRPr="009464C2">
        <w:br w:type="page"/>
      </w:r>
      <w:r w:rsidRPr="009464C2">
        <w:lastRenderedPageBreak/>
        <w:t xml:space="preserve"> </w:t>
      </w:r>
      <w:bookmarkStart w:id="0" w:name="_GoBack"/>
      <w:bookmarkEnd w:id="0"/>
    </w:p>
    <w:sdt>
      <w:sdtPr>
        <w:rPr>
          <w:rFonts w:eastAsia="Calibri" w:cs="Times New Roman"/>
          <w:b w:val="0"/>
          <w:bCs w:val="0"/>
          <w:szCs w:val="22"/>
          <w:lang w:eastAsia="en-US"/>
        </w:rPr>
        <w:id w:val="1068002781"/>
        <w:docPartObj>
          <w:docPartGallery w:val="Table of Contents"/>
          <w:docPartUnique/>
        </w:docPartObj>
      </w:sdtPr>
      <w:sdtEndPr>
        <w:rPr>
          <w:noProof/>
        </w:rPr>
      </w:sdtEndPr>
      <w:sdtContent>
        <w:p w14:paraId="69541E50" w14:textId="77777777" w:rsidR="00C8772D" w:rsidRDefault="00C8772D" w:rsidP="00C8772D">
          <w:pPr>
            <w:pStyle w:val="TOCHeading"/>
            <w:jc w:val="center"/>
            <w:rPr>
              <w:lang w:val="es-ES"/>
            </w:rPr>
          </w:pPr>
          <w:r w:rsidRPr="008847B8">
            <w:rPr>
              <w:lang w:val="es-ES"/>
            </w:rPr>
            <w:t>TABLA</w:t>
          </w:r>
          <w:r>
            <w:t xml:space="preserve"> DE </w:t>
          </w:r>
          <w:r w:rsidRPr="008847B8">
            <w:rPr>
              <w:lang w:val="es-ES"/>
            </w:rPr>
            <w:t>CONTENIDO</w:t>
          </w:r>
        </w:p>
        <w:p w14:paraId="5B1BE357" w14:textId="77777777" w:rsidR="00C8772D" w:rsidRDefault="00C8772D" w:rsidP="00C8772D">
          <w:pPr>
            <w:pStyle w:val="TOC1"/>
            <w:rPr>
              <w:rFonts w:asciiTheme="minorHAnsi" w:hAnsiTheme="minorHAnsi" w:cstheme="minorBidi"/>
              <w:smallCaps w:val="0"/>
              <w:noProof/>
              <w:sz w:val="22"/>
              <w:lang w:eastAsia="en-US"/>
            </w:rPr>
          </w:pPr>
          <w:r>
            <w:fldChar w:fldCharType="begin"/>
          </w:r>
          <w:r>
            <w:instrText xml:space="preserve"> TOC \o "1-3" \h \z \u </w:instrText>
          </w:r>
          <w:r>
            <w:fldChar w:fldCharType="separate"/>
          </w:r>
          <w:hyperlink w:anchor="_Toc401572106" w:history="1">
            <w:r w:rsidRPr="00184EFD">
              <w:rPr>
                <w:rStyle w:val="Hyperlink"/>
                <w:noProof/>
                <w:lang w:val="es-ES"/>
              </w:rPr>
              <w:t>I.</w:t>
            </w:r>
            <w:r>
              <w:rPr>
                <w:rFonts w:asciiTheme="minorHAnsi" w:hAnsiTheme="minorHAnsi" w:cstheme="minorBidi"/>
                <w:smallCaps w:val="0"/>
                <w:noProof/>
                <w:sz w:val="22"/>
                <w:lang w:eastAsia="en-US"/>
              </w:rPr>
              <w:tab/>
            </w:r>
            <w:r w:rsidRPr="00184EFD">
              <w:rPr>
                <w:rStyle w:val="Hyperlink"/>
                <w:noProof/>
                <w:lang w:val="es-ES"/>
              </w:rPr>
              <w:t>Introducción (Análisis de Beneficio-Costo)</w:t>
            </w:r>
            <w:r>
              <w:rPr>
                <w:noProof/>
                <w:webHidden/>
              </w:rPr>
              <w:tab/>
            </w:r>
            <w:r>
              <w:rPr>
                <w:noProof/>
                <w:webHidden/>
              </w:rPr>
              <w:fldChar w:fldCharType="begin"/>
            </w:r>
            <w:r>
              <w:rPr>
                <w:noProof/>
                <w:webHidden/>
              </w:rPr>
              <w:instrText xml:space="preserve"> PAGEREF _Toc401572106 \h </w:instrText>
            </w:r>
            <w:r>
              <w:rPr>
                <w:noProof/>
                <w:webHidden/>
              </w:rPr>
            </w:r>
            <w:r>
              <w:rPr>
                <w:noProof/>
                <w:webHidden/>
              </w:rPr>
              <w:fldChar w:fldCharType="separate"/>
            </w:r>
            <w:r w:rsidR="0004674A">
              <w:rPr>
                <w:noProof/>
                <w:webHidden/>
              </w:rPr>
              <w:t>3</w:t>
            </w:r>
            <w:r>
              <w:rPr>
                <w:noProof/>
                <w:webHidden/>
              </w:rPr>
              <w:fldChar w:fldCharType="end"/>
            </w:r>
          </w:hyperlink>
        </w:p>
        <w:p w14:paraId="57ED593F" w14:textId="77777777" w:rsidR="00C8772D" w:rsidRDefault="0004674A" w:rsidP="00C8772D">
          <w:pPr>
            <w:pStyle w:val="TOC1"/>
            <w:rPr>
              <w:rFonts w:asciiTheme="minorHAnsi" w:hAnsiTheme="minorHAnsi" w:cstheme="minorBidi"/>
              <w:smallCaps w:val="0"/>
              <w:noProof/>
              <w:sz w:val="22"/>
              <w:lang w:eastAsia="en-US"/>
            </w:rPr>
          </w:pPr>
          <w:hyperlink w:anchor="_Toc401572107" w:history="1">
            <w:r w:rsidR="00C8772D" w:rsidRPr="00184EFD">
              <w:rPr>
                <w:rStyle w:val="Hyperlink"/>
                <w:noProof/>
                <w:lang w:val="es-ES"/>
              </w:rPr>
              <w:t>II.</w:t>
            </w:r>
            <w:r w:rsidR="00C8772D">
              <w:rPr>
                <w:rFonts w:asciiTheme="minorHAnsi" w:hAnsiTheme="minorHAnsi" w:cstheme="minorBidi"/>
                <w:smallCaps w:val="0"/>
                <w:noProof/>
                <w:sz w:val="22"/>
                <w:lang w:eastAsia="en-US"/>
              </w:rPr>
              <w:tab/>
            </w:r>
            <w:r w:rsidR="00C8772D" w:rsidRPr="00184EFD">
              <w:rPr>
                <w:rStyle w:val="Hyperlink"/>
                <w:noProof/>
                <w:lang w:val="es-ES"/>
              </w:rPr>
              <w:t>Análisis del cambio de la matriz energética del sector eléctrico con inversiones en hidroeléctricas, transmisión y distribución</w:t>
            </w:r>
            <w:r w:rsidR="00C8772D">
              <w:rPr>
                <w:noProof/>
                <w:webHidden/>
              </w:rPr>
              <w:tab/>
            </w:r>
            <w:r w:rsidR="00C8772D">
              <w:rPr>
                <w:noProof/>
                <w:webHidden/>
              </w:rPr>
              <w:fldChar w:fldCharType="begin"/>
            </w:r>
            <w:r w:rsidR="00C8772D">
              <w:rPr>
                <w:noProof/>
                <w:webHidden/>
              </w:rPr>
              <w:instrText xml:space="preserve"> PAGEREF _Toc401572107 \h </w:instrText>
            </w:r>
            <w:r w:rsidR="00C8772D">
              <w:rPr>
                <w:noProof/>
                <w:webHidden/>
              </w:rPr>
            </w:r>
            <w:r w:rsidR="00C8772D">
              <w:rPr>
                <w:noProof/>
                <w:webHidden/>
              </w:rPr>
              <w:fldChar w:fldCharType="separate"/>
            </w:r>
            <w:r>
              <w:rPr>
                <w:noProof/>
                <w:webHidden/>
              </w:rPr>
              <w:t>7</w:t>
            </w:r>
            <w:r w:rsidR="00C8772D">
              <w:rPr>
                <w:noProof/>
                <w:webHidden/>
              </w:rPr>
              <w:fldChar w:fldCharType="end"/>
            </w:r>
          </w:hyperlink>
        </w:p>
        <w:p w14:paraId="47859B28" w14:textId="77777777" w:rsidR="00C8772D" w:rsidRDefault="0004674A" w:rsidP="00C8772D">
          <w:pPr>
            <w:pStyle w:val="TOC2"/>
            <w:rPr>
              <w:rFonts w:asciiTheme="minorHAnsi" w:hAnsiTheme="minorHAnsi" w:cstheme="minorBidi"/>
              <w:noProof/>
              <w:sz w:val="22"/>
              <w:lang w:eastAsia="en-US"/>
            </w:rPr>
          </w:pPr>
          <w:hyperlink w:anchor="_Toc401572108" w:history="1">
            <w:r w:rsidR="00C8772D" w:rsidRPr="00184EFD">
              <w:rPr>
                <w:rStyle w:val="Hyperlink"/>
                <w:noProof/>
                <w:lang w:val="es-ES"/>
              </w:rPr>
              <w:t>A.</w:t>
            </w:r>
            <w:r w:rsidR="00C8772D">
              <w:rPr>
                <w:rFonts w:asciiTheme="minorHAnsi" w:hAnsiTheme="minorHAnsi" w:cstheme="minorBidi"/>
                <w:noProof/>
                <w:sz w:val="22"/>
                <w:lang w:eastAsia="en-US"/>
              </w:rPr>
              <w:tab/>
            </w:r>
            <w:r w:rsidR="00C8772D" w:rsidRPr="00184EFD">
              <w:rPr>
                <w:rStyle w:val="Hyperlink"/>
                <w:noProof/>
                <w:lang w:val="es-ES"/>
              </w:rPr>
              <w:t>Suposiciones y Metodología.</w:t>
            </w:r>
            <w:r w:rsidR="00C8772D">
              <w:rPr>
                <w:noProof/>
                <w:webHidden/>
              </w:rPr>
              <w:tab/>
            </w:r>
            <w:r w:rsidR="00C8772D">
              <w:rPr>
                <w:noProof/>
                <w:webHidden/>
              </w:rPr>
              <w:fldChar w:fldCharType="begin"/>
            </w:r>
            <w:r w:rsidR="00C8772D">
              <w:rPr>
                <w:noProof/>
                <w:webHidden/>
              </w:rPr>
              <w:instrText xml:space="preserve"> PAGEREF _Toc401572108 \h </w:instrText>
            </w:r>
            <w:r w:rsidR="00C8772D">
              <w:rPr>
                <w:noProof/>
                <w:webHidden/>
              </w:rPr>
            </w:r>
            <w:r w:rsidR="00C8772D">
              <w:rPr>
                <w:noProof/>
                <w:webHidden/>
              </w:rPr>
              <w:fldChar w:fldCharType="separate"/>
            </w:r>
            <w:r>
              <w:rPr>
                <w:noProof/>
                <w:webHidden/>
              </w:rPr>
              <w:t>7</w:t>
            </w:r>
            <w:r w:rsidR="00C8772D">
              <w:rPr>
                <w:noProof/>
                <w:webHidden/>
              </w:rPr>
              <w:fldChar w:fldCharType="end"/>
            </w:r>
          </w:hyperlink>
        </w:p>
        <w:p w14:paraId="6B9E1C21" w14:textId="77777777" w:rsidR="00C8772D" w:rsidRDefault="0004674A" w:rsidP="00C8772D">
          <w:pPr>
            <w:pStyle w:val="TOC2"/>
            <w:rPr>
              <w:rFonts w:asciiTheme="minorHAnsi" w:hAnsiTheme="minorHAnsi" w:cstheme="minorBidi"/>
              <w:noProof/>
              <w:sz w:val="22"/>
              <w:lang w:eastAsia="en-US"/>
            </w:rPr>
          </w:pPr>
          <w:hyperlink w:anchor="_Toc401572109" w:history="1">
            <w:r w:rsidR="00C8772D" w:rsidRPr="00184EFD">
              <w:rPr>
                <w:rStyle w:val="Hyperlink"/>
                <w:noProof/>
                <w:lang w:val="es-ES"/>
              </w:rPr>
              <w:t>B.</w:t>
            </w:r>
            <w:r w:rsidR="00C8772D">
              <w:rPr>
                <w:rFonts w:asciiTheme="minorHAnsi" w:hAnsiTheme="minorHAnsi" w:cstheme="minorBidi"/>
                <w:noProof/>
                <w:sz w:val="22"/>
                <w:lang w:eastAsia="en-US"/>
              </w:rPr>
              <w:tab/>
            </w:r>
            <w:r w:rsidR="00C8772D" w:rsidRPr="00184EFD">
              <w:rPr>
                <w:rStyle w:val="Hyperlink"/>
                <w:noProof/>
                <w:lang w:val="es-ES"/>
              </w:rPr>
              <w:t>Beneficios</w:t>
            </w:r>
            <w:r w:rsidR="00C8772D">
              <w:rPr>
                <w:noProof/>
                <w:webHidden/>
              </w:rPr>
              <w:tab/>
            </w:r>
            <w:r w:rsidR="00C8772D">
              <w:rPr>
                <w:noProof/>
                <w:webHidden/>
              </w:rPr>
              <w:fldChar w:fldCharType="begin"/>
            </w:r>
            <w:r w:rsidR="00C8772D">
              <w:rPr>
                <w:noProof/>
                <w:webHidden/>
              </w:rPr>
              <w:instrText xml:space="preserve"> PAGEREF _Toc401572109 \h </w:instrText>
            </w:r>
            <w:r w:rsidR="00C8772D">
              <w:rPr>
                <w:noProof/>
                <w:webHidden/>
              </w:rPr>
            </w:r>
            <w:r w:rsidR="00C8772D">
              <w:rPr>
                <w:noProof/>
                <w:webHidden/>
              </w:rPr>
              <w:fldChar w:fldCharType="separate"/>
            </w:r>
            <w:r>
              <w:rPr>
                <w:noProof/>
                <w:webHidden/>
              </w:rPr>
              <w:t>8</w:t>
            </w:r>
            <w:r w:rsidR="00C8772D">
              <w:rPr>
                <w:noProof/>
                <w:webHidden/>
              </w:rPr>
              <w:fldChar w:fldCharType="end"/>
            </w:r>
          </w:hyperlink>
        </w:p>
        <w:p w14:paraId="2BAA0C96" w14:textId="77777777" w:rsidR="00C8772D" w:rsidRDefault="0004674A" w:rsidP="00C8772D">
          <w:pPr>
            <w:pStyle w:val="TOC2"/>
            <w:rPr>
              <w:rFonts w:asciiTheme="minorHAnsi" w:hAnsiTheme="minorHAnsi" w:cstheme="minorBidi"/>
              <w:noProof/>
              <w:sz w:val="22"/>
              <w:lang w:eastAsia="en-US"/>
            </w:rPr>
          </w:pPr>
          <w:hyperlink w:anchor="_Toc401572110" w:history="1">
            <w:r w:rsidR="00C8772D" w:rsidRPr="00184EFD">
              <w:rPr>
                <w:rStyle w:val="Hyperlink"/>
                <w:noProof/>
                <w:lang w:val="es-ES"/>
              </w:rPr>
              <w:t>a.</w:t>
            </w:r>
            <w:r w:rsidR="00C8772D">
              <w:rPr>
                <w:rFonts w:asciiTheme="minorHAnsi" w:hAnsiTheme="minorHAnsi" w:cstheme="minorBidi"/>
                <w:noProof/>
                <w:sz w:val="22"/>
                <w:lang w:eastAsia="en-US"/>
              </w:rPr>
              <w:tab/>
            </w:r>
            <w:r w:rsidR="00C8772D" w:rsidRPr="00184EFD">
              <w:rPr>
                <w:rStyle w:val="Hyperlink"/>
                <w:noProof/>
                <w:lang w:val="es-ES"/>
              </w:rPr>
              <w:t>Costos</w:t>
            </w:r>
            <w:r w:rsidR="00C8772D">
              <w:rPr>
                <w:noProof/>
                <w:webHidden/>
              </w:rPr>
              <w:tab/>
            </w:r>
            <w:r w:rsidR="00C8772D">
              <w:rPr>
                <w:noProof/>
                <w:webHidden/>
              </w:rPr>
              <w:fldChar w:fldCharType="begin"/>
            </w:r>
            <w:r w:rsidR="00C8772D">
              <w:rPr>
                <w:noProof/>
                <w:webHidden/>
              </w:rPr>
              <w:instrText xml:space="preserve"> PAGEREF _Toc401572110 \h </w:instrText>
            </w:r>
            <w:r w:rsidR="00C8772D">
              <w:rPr>
                <w:noProof/>
                <w:webHidden/>
              </w:rPr>
            </w:r>
            <w:r w:rsidR="00C8772D">
              <w:rPr>
                <w:noProof/>
                <w:webHidden/>
              </w:rPr>
              <w:fldChar w:fldCharType="separate"/>
            </w:r>
            <w:r>
              <w:rPr>
                <w:noProof/>
                <w:webHidden/>
              </w:rPr>
              <w:t>10</w:t>
            </w:r>
            <w:r w:rsidR="00C8772D">
              <w:rPr>
                <w:noProof/>
                <w:webHidden/>
              </w:rPr>
              <w:fldChar w:fldCharType="end"/>
            </w:r>
          </w:hyperlink>
        </w:p>
        <w:p w14:paraId="35B18DDD" w14:textId="77777777" w:rsidR="00C8772D" w:rsidRDefault="0004674A" w:rsidP="00C8772D">
          <w:pPr>
            <w:pStyle w:val="TOC2"/>
            <w:rPr>
              <w:rFonts w:asciiTheme="minorHAnsi" w:hAnsiTheme="minorHAnsi" w:cstheme="minorBidi"/>
              <w:noProof/>
              <w:sz w:val="22"/>
              <w:lang w:eastAsia="en-US"/>
            </w:rPr>
          </w:pPr>
          <w:hyperlink w:anchor="_Toc401572111" w:history="1">
            <w:r w:rsidR="00C8772D" w:rsidRPr="00184EFD">
              <w:rPr>
                <w:rStyle w:val="Hyperlink"/>
                <w:noProof/>
                <w:lang w:val="es-ES"/>
              </w:rPr>
              <w:t>C.</w:t>
            </w:r>
            <w:r w:rsidR="00C8772D">
              <w:rPr>
                <w:rFonts w:asciiTheme="minorHAnsi" w:hAnsiTheme="minorHAnsi" w:cstheme="minorBidi"/>
                <w:noProof/>
                <w:sz w:val="22"/>
                <w:lang w:eastAsia="en-US"/>
              </w:rPr>
              <w:tab/>
            </w:r>
            <w:r w:rsidR="00C8772D" w:rsidRPr="00184EFD">
              <w:rPr>
                <w:rStyle w:val="Hyperlink"/>
                <w:noProof/>
                <w:lang w:val="es-ES"/>
              </w:rPr>
              <w:t>Tasa interna de retorno y Valor Presente Neto (VPN)</w:t>
            </w:r>
            <w:r w:rsidR="00C8772D">
              <w:rPr>
                <w:noProof/>
                <w:webHidden/>
              </w:rPr>
              <w:tab/>
            </w:r>
            <w:r w:rsidR="00C8772D">
              <w:rPr>
                <w:noProof/>
                <w:webHidden/>
              </w:rPr>
              <w:fldChar w:fldCharType="begin"/>
            </w:r>
            <w:r w:rsidR="00C8772D">
              <w:rPr>
                <w:noProof/>
                <w:webHidden/>
              </w:rPr>
              <w:instrText xml:space="preserve"> PAGEREF _Toc401572111 \h </w:instrText>
            </w:r>
            <w:r w:rsidR="00C8772D">
              <w:rPr>
                <w:noProof/>
                <w:webHidden/>
              </w:rPr>
            </w:r>
            <w:r w:rsidR="00C8772D">
              <w:rPr>
                <w:noProof/>
                <w:webHidden/>
              </w:rPr>
              <w:fldChar w:fldCharType="separate"/>
            </w:r>
            <w:r>
              <w:rPr>
                <w:noProof/>
                <w:webHidden/>
              </w:rPr>
              <w:t>10</w:t>
            </w:r>
            <w:r w:rsidR="00C8772D">
              <w:rPr>
                <w:noProof/>
                <w:webHidden/>
              </w:rPr>
              <w:fldChar w:fldCharType="end"/>
            </w:r>
          </w:hyperlink>
        </w:p>
        <w:p w14:paraId="779C3A0A" w14:textId="77777777" w:rsidR="00C8772D" w:rsidRDefault="0004674A" w:rsidP="00C8772D">
          <w:pPr>
            <w:pStyle w:val="TOC2"/>
            <w:rPr>
              <w:rFonts w:asciiTheme="minorHAnsi" w:hAnsiTheme="minorHAnsi" w:cstheme="minorBidi"/>
              <w:noProof/>
              <w:sz w:val="22"/>
              <w:lang w:eastAsia="en-US"/>
            </w:rPr>
          </w:pPr>
          <w:hyperlink w:anchor="_Toc401572112" w:history="1">
            <w:r w:rsidR="00C8772D" w:rsidRPr="00184EFD">
              <w:rPr>
                <w:rStyle w:val="Hyperlink"/>
                <w:noProof/>
                <w:lang w:val="es-ES"/>
              </w:rPr>
              <w:t>D.</w:t>
            </w:r>
            <w:r w:rsidR="00C8772D">
              <w:rPr>
                <w:rFonts w:asciiTheme="minorHAnsi" w:hAnsiTheme="minorHAnsi" w:cstheme="minorBidi"/>
                <w:noProof/>
                <w:sz w:val="22"/>
                <w:lang w:eastAsia="en-US"/>
              </w:rPr>
              <w:tab/>
            </w:r>
            <w:r w:rsidR="00C8772D" w:rsidRPr="00184EFD">
              <w:rPr>
                <w:rStyle w:val="Hyperlink"/>
                <w:noProof/>
                <w:lang w:val="es-ES"/>
              </w:rPr>
              <w:t>Análisis de Sensibilidad</w:t>
            </w:r>
            <w:r w:rsidR="00C8772D">
              <w:rPr>
                <w:noProof/>
                <w:webHidden/>
              </w:rPr>
              <w:tab/>
            </w:r>
            <w:r w:rsidR="00C8772D">
              <w:rPr>
                <w:noProof/>
                <w:webHidden/>
              </w:rPr>
              <w:fldChar w:fldCharType="begin"/>
            </w:r>
            <w:r w:rsidR="00C8772D">
              <w:rPr>
                <w:noProof/>
                <w:webHidden/>
              </w:rPr>
              <w:instrText xml:space="preserve"> PAGEREF _Toc401572112 \h </w:instrText>
            </w:r>
            <w:r w:rsidR="00C8772D">
              <w:rPr>
                <w:noProof/>
                <w:webHidden/>
              </w:rPr>
            </w:r>
            <w:r w:rsidR="00C8772D">
              <w:rPr>
                <w:noProof/>
                <w:webHidden/>
              </w:rPr>
              <w:fldChar w:fldCharType="separate"/>
            </w:r>
            <w:r>
              <w:rPr>
                <w:noProof/>
                <w:webHidden/>
              </w:rPr>
              <w:t>11</w:t>
            </w:r>
            <w:r w:rsidR="00C8772D">
              <w:rPr>
                <w:noProof/>
                <w:webHidden/>
              </w:rPr>
              <w:fldChar w:fldCharType="end"/>
            </w:r>
          </w:hyperlink>
        </w:p>
        <w:p w14:paraId="3F6B7AE8" w14:textId="77777777" w:rsidR="00C8772D" w:rsidRDefault="0004674A" w:rsidP="00C8772D">
          <w:pPr>
            <w:pStyle w:val="TOC1"/>
            <w:rPr>
              <w:rFonts w:asciiTheme="minorHAnsi" w:hAnsiTheme="minorHAnsi" w:cstheme="minorBidi"/>
              <w:smallCaps w:val="0"/>
              <w:noProof/>
              <w:sz w:val="22"/>
              <w:lang w:eastAsia="en-US"/>
            </w:rPr>
          </w:pPr>
          <w:hyperlink w:anchor="_Toc401572113" w:history="1">
            <w:r w:rsidR="00C8772D" w:rsidRPr="00184EFD">
              <w:rPr>
                <w:rStyle w:val="Hyperlink"/>
                <w:noProof/>
                <w:lang w:val="es-ES"/>
              </w:rPr>
              <w:t>III.</w:t>
            </w:r>
            <w:r w:rsidR="00C8772D">
              <w:rPr>
                <w:rFonts w:asciiTheme="minorHAnsi" w:hAnsiTheme="minorHAnsi" w:cstheme="minorBidi"/>
                <w:smallCaps w:val="0"/>
                <w:noProof/>
                <w:sz w:val="22"/>
                <w:lang w:eastAsia="en-US"/>
              </w:rPr>
              <w:tab/>
            </w:r>
            <w:r w:rsidR="00C8772D" w:rsidRPr="00184EFD">
              <w:rPr>
                <w:rStyle w:val="Hyperlink"/>
                <w:noProof/>
                <w:lang w:val="es-ES"/>
              </w:rPr>
              <w:t>Política de racionalización del consumo de GLP</w:t>
            </w:r>
            <w:r w:rsidR="00C8772D">
              <w:rPr>
                <w:noProof/>
                <w:webHidden/>
              </w:rPr>
              <w:tab/>
            </w:r>
            <w:r w:rsidR="00C8772D">
              <w:rPr>
                <w:noProof/>
                <w:webHidden/>
              </w:rPr>
              <w:fldChar w:fldCharType="begin"/>
            </w:r>
            <w:r w:rsidR="00C8772D">
              <w:rPr>
                <w:noProof/>
                <w:webHidden/>
              </w:rPr>
              <w:instrText xml:space="preserve"> PAGEREF _Toc401572113 \h </w:instrText>
            </w:r>
            <w:r w:rsidR="00C8772D">
              <w:rPr>
                <w:noProof/>
                <w:webHidden/>
              </w:rPr>
            </w:r>
            <w:r w:rsidR="00C8772D">
              <w:rPr>
                <w:noProof/>
                <w:webHidden/>
              </w:rPr>
              <w:fldChar w:fldCharType="separate"/>
            </w:r>
            <w:r>
              <w:rPr>
                <w:noProof/>
                <w:webHidden/>
              </w:rPr>
              <w:t>12</w:t>
            </w:r>
            <w:r w:rsidR="00C8772D">
              <w:rPr>
                <w:noProof/>
                <w:webHidden/>
              </w:rPr>
              <w:fldChar w:fldCharType="end"/>
            </w:r>
          </w:hyperlink>
        </w:p>
        <w:p w14:paraId="1956F811" w14:textId="77777777" w:rsidR="00C8772D" w:rsidRDefault="0004674A" w:rsidP="00C8772D">
          <w:pPr>
            <w:pStyle w:val="TOC2"/>
            <w:rPr>
              <w:rFonts w:asciiTheme="minorHAnsi" w:hAnsiTheme="minorHAnsi" w:cstheme="minorBidi"/>
              <w:noProof/>
              <w:sz w:val="22"/>
              <w:lang w:eastAsia="en-US"/>
            </w:rPr>
          </w:pPr>
          <w:hyperlink w:anchor="_Toc401572115" w:history="1">
            <w:r w:rsidR="00C8772D" w:rsidRPr="00184EFD">
              <w:rPr>
                <w:rStyle w:val="Hyperlink"/>
                <w:noProof/>
                <w:lang w:val="es-ES"/>
              </w:rPr>
              <w:t>E.</w:t>
            </w:r>
            <w:r w:rsidR="00C8772D">
              <w:rPr>
                <w:rFonts w:asciiTheme="minorHAnsi" w:hAnsiTheme="minorHAnsi" w:cstheme="minorBidi"/>
                <w:noProof/>
                <w:sz w:val="22"/>
                <w:lang w:eastAsia="en-US"/>
              </w:rPr>
              <w:tab/>
            </w:r>
            <w:r w:rsidR="00C8772D" w:rsidRPr="00184EFD">
              <w:rPr>
                <w:rStyle w:val="Hyperlink"/>
                <w:noProof/>
                <w:lang w:val="es-ES"/>
              </w:rPr>
              <w:t>Suposiciones y Metodología.</w:t>
            </w:r>
            <w:r w:rsidR="00C8772D">
              <w:rPr>
                <w:noProof/>
                <w:webHidden/>
              </w:rPr>
              <w:tab/>
            </w:r>
            <w:r w:rsidR="00C8772D">
              <w:rPr>
                <w:noProof/>
                <w:webHidden/>
              </w:rPr>
              <w:fldChar w:fldCharType="begin"/>
            </w:r>
            <w:r w:rsidR="00C8772D">
              <w:rPr>
                <w:noProof/>
                <w:webHidden/>
              </w:rPr>
              <w:instrText xml:space="preserve"> PAGEREF _Toc401572115 \h </w:instrText>
            </w:r>
            <w:r w:rsidR="00C8772D">
              <w:rPr>
                <w:noProof/>
                <w:webHidden/>
              </w:rPr>
            </w:r>
            <w:r w:rsidR="00C8772D">
              <w:rPr>
                <w:noProof/>
                <w:webHidden/>
              </w:rPr>
              <w:fldChar w:fldCharType="separate"/>
            </w:r>
            <w:r>
              <w:rPr>
                <w:noProof/>
                <w:webHidden/>
              </w:rPr>
              <w:t>12</w:t>
            </w:r>
            <w:r w:rsidR="00C8772D">
              <w:rPr>
                <w:noProof/>
                <w:webHidden/>
              </w:rPr>
              <w:fldChar w:fldCharType="end"/>
            </w:r>
          </w:hyperlink>
        </w:p>
        <w:p w14:paraId="3877593A" w14:textId="77777777" w:rsidR="00C8772D" w:rsidRDefault="0004674A" w:rsidP="00C8772D">
          <w:pPr>
            <w:pStyle w:val="TOC2"/>
            <w:rPr>
              <w:rFonts w:asciiTheme="minorHAnsi" w:hAnsiTheme="minorHAnsi" w:cstheme="minorBidi"/>
              <w:noProof/>
              <w:sz w:val="22"/>
              <w:lang w:eastAsia="en-US"/>
            </w:rPr>
          </w:pPr>
          <w:hyperlink w:anchor="_Toc401572116" w:history="1">
            <w:r w:rsidR="00C8772D" w:rsidRPr="00184EFD">
              <w:rPr>
                <w:rStyle w:val="Hyperlink"/>
                <w:noProof/>
                <w:lang w:val="es-ES"/>
              </w:rPr>
              <w:t>F.</w:t>
            </w:r>
            <w:r w:rsidR="00C8772D">
              <w:rPr>
                <w:rFonts w:asciiTheme="minorHAnsi" w:hAnsiTheme="minorHAnsi" w:cstheme="minorBidi"/>
                <w:noProof/>
                <w:sz w:val="22"/>
                <w:lang w:eastAsia="en-US"/>
              </w:rPr>
              <w:tab/>
            </w:r>
            <w:r w:rsidR="00C8772D" w:rsidRPr="00184EFD">
              <w:rPr>
                <w:rStyle w:val="Hyperlink"/>
                <w:noProof/>
                <w:lang w:val="es-ES"/>
              </w:rPr>
              <w:t>Beneficios</w:t>
            </w:r>
            <w:r w:rsidR="00C8772D">
              <w:rPr>
                <w:noProof/>
                <w:webHidden/>
              </w:rPr>
              <w:tab/>
            </w:r>
            <w:r w:rsidR="00C8772D">
              <w:rPr>
                <w:noProof/>
                <w:webHidden/>
              </w:rPr>
              <w:fldChar w:fldCharType="begin"/>
            </w:r>
            <w:r w:rsidR="00C8772D">
              <w:rPr>
                <w:noProof/>
                <w:webHidden/>
              </w:rPr>
              <w:instrText xml:space="preserve"> PAGEREF _Toc401572116 \h </w:instrText>
            </w:r>
            <w:r w:rsidR="00C8772D">
              <w:rPr>
                <w:noProof/>
                <w:webHidden/>
              </w:rPr>
            </w:r>
            <w:r w:rsidR="00C8772D">
              <w:rPr>
                <w:noProof/>
                <w:webHidden/>
              </w:rPr>
              <w:fldChar w:fldCharType="separate"/>
            </w:r>
            <w:r>
              <w:rPr>
                <w:noProof/>
                <w:webHidden/>
              </w:rPr>
              <w:t>15</w:t>
            </w:r>
            <w:r w:rsidR="00C8772D">
              <w:rPr>
                <w:noProof/>
                <w:webHidden/>
              </w:rPr>
              <w:fldChar w:fldCharType="end"/>
            </w:r>
          </w:hyperlink>
        </w:p>
        <w:p w14:paraId="55A6D09F" w14:textId="77777777" w:rsidR="00C8772D" w:rsidRDefault="0004674A" w:rsidP="00C8772D">
          <w:pPr>
            <w:pStyle w:val="TOC2"/>
            <w:rPr>
              <w:rFonts w:asciiTheme="minorHAnsi" w:hAnsiTheme="minorHAnsi" w:cstheme="minorBidi"/>
              <w:noProof/>
              <w:sz w:val="22"/>
              <w:lang w:eastAsia="en-US"/>
            </w:rPr>
          </w:pPr>
          <w:hyperlink w:anchor="_Toc401572117" w:history="1">
            <w:r w:rsidR="00C8772D" w:rsidRPr="00184EFD">
              <w:rPr>
                <w:rStyle w:val="Hyperlink"/>
                <w:noProof/>
                <w:lang w:val="es-ES"/>
              </w:rPr>
              <w:t>G.</w:t>
            </w:r>
            <w:r w:rsidR="00C8772D">
              <w:rPr>
                <w:rFonts w:asciiTheme="minorHAnsi" w:hAnsiTheme="minorHAnsi" w:cstheme="minorBidi"/>
                <w:noProof/>
                <w:sz w:val="22"/>
                <w:lang w:eastAsia="en-US"/>
              </w:rPr>
              <w:tab/>
            </w:r>
            <w:r w:rsidR="00C8772D" w:rsidRPr="00184EFD">
              <w:rPr>
                <w:rStyle w:val="Hyperlink"/>
                <w:noProof/>
                <w:lang w:val="es-ES"/>
              </w:rPr>
              <w:t>Costos</w:t>
            </w:r>
            <w:r w:rsidR="00C8772D">
              <w:rPr>
                <w:noProof/>
                <w:webHidden/>
              </w:rPr>
              <w:tab/>
            </w:r>
            <w:r w:rsidR="00C8772D">
              <w:rPr>
                <w:noProof/>
                <w:webHidden/>
              </w:rPr>
              <w:fldChar w:fldCharType="begin"/>
            </w:r>
            <w:r w:rsidR="00C8772D">
              <w:rPr>
                <w:noProof/>
                <w:webHidden/>
              </w:rPr>
              <w:instrText xml:space="preserve"> PAGEREF _Toc401572117 \h </w:instrText>
            </w:r>
            <w:r w:rsidR="00C8772D">
              <w:rPr>
                <w:noProof/>
                <w:webHidden/>
              </w:rPr>
            </w:r>
            <w:r w:rsidR="00C8772D">
              <w:rPr>
                <w:noProof/>
                <w:webHidden/>
              </w:rPr>
              <w:fldChar w:fldCharType="separate"/>
            </w:r>
            <w:r>
              <w:rPr>
                <w:noProof/>
                <w:webHidden/>
              </w:rPr>
              <w:t>15</w:t>
            </w:r>
            <w:r w:rsidR="00C8772D">
              <w:rPr>
                <w:noProof/>
                <w:webHidden/>
              </w:rPr>
              <w:fldChar w:fldCharType="end"/>
            </w:r>
          </w:hyperlink>
        </w:p>
        <w:p w14:paraId="7B9E59B2" w14:textId="77777777" w:rsidR="00C8772D" w:rsidRDefault="0004674A" w:rsidP="00C8772D">
          <w:pPr>
            <w:pStyle w:val="TOC2"/>
            <w:rPr>
              <w:rFonts w:asciiTheme="minorHAnsi" w:hAnsiTheme="minorHAnsi" w:cstheme="minorBidi"/>
              <w:noProof/>
              <w:sz w:val="22"/>
              <w:lang w:eastAsia="en-US"/>
            </w:rPr>
          </w:pPr>
          <w:hyperlink w:anchor="_Toc401572118" w:history="1">
            <w:r w:rsidR="00C8772D" w:rsidRPr="00184EFD">
              <w:rPr>
                <w:rStyle w:val="Hyperlink"/>
                <w:noProof/>
                <w:lang w:val="es-ES"/>
              </w:rPr>
              <w:t>H.</w:t>
            </w:r>
            <w:r w:rsidR="00C8772D">
              <w:rPr>
                <w:rFonts w:asciiTheme="minorHAnsi" w:hAnsiTheme="minorHAnsi" w:cstheme="minorBidi"/>
                <w:noProof/>
                <w:sz w:val="22"/>
                <w:lang w:eastAsia="en-US"/>
              </w:rPr>
              <w:tab/>
            </w:r>
            <w:r w:rsidR="00C8772D" w:rsidRPr="00184EFD">
              <w:rPr>
                <w:rStyle w:val="Hyperlink"/>
                <w:noProof/>
              </w:rPr>
              <w:t>Tasa interna de retorno y Valor Presente Neto (VPN)</w:t>
            </w:r>
            <w:r w:rsidR="00C8772D">
              <w:rPr>
                <w:noProof/>
                <w:webHidden/>
              </w:rPr>
              <w:tab/>
            </w:r>
            <w:r w:rsidR="00C8772D">
              <w:rPr>
                <w:noProof/>
                <w:webHidden/>
              </w:rPr>
              <w:fldChar w:fldCharType="begin"/>
            </w:r>
            <w:r w:rsidR="00C8772D">
              <w:rPr>
                <w:noProof/>
                <w:webHidden/>
              </w:rPr>
              <w:instrText xml:space="preserve"> PAGEREF _Toc401572118 \h </w:instrText>
            </w:r>
            <w:r w:rsidR="00C8772D">
              <w:rPr>
                <w:noProof/>
                <w:webHidden/>
              </w:rPr>
            </w:r>
            <w:r w:rsidR="00C8772D">
              <w:rPr>
                <w:noProof/>
                <w:webHidden/>
              </w:rPr>
              <w:fldChar w:fldCharType="separate"/>
            </w:r>
            <w:r>
              <w:rPr>
                <w:noProof/>
                <w:webHidden/>
              </w:rPr>
              <w:t>16</w:t>
            </w:r>
            <w:r w:rsidR="00C8772D">
              <w:rPr>
                <w:noProof/>
                <w:webHidden/>
              </w:rPr>
              <w:fldChar w:fldCharType="end"/>
            </w:r>
          </w:hyperlink>
        </w:p>
        <w:p w14:paraId="04E3FE20" w14:textId="77777777" w:rsidR="00C8772D" w:rsidRDefault="0004674A" w:rsidP="00C8772D">
          <w:pPr>
            <w:pStyle w:val="TOC2"/>
            <w:rPr>
              <w:rFonts w:asciiTheme="minorHAnsi" w:hAnsiTheme="minorHAnsi" w:cstheme="minorBidi"/>
              <w:noProof/>
              <w:sz w:val="22"/>
              <w:lang w:eastAsia="en-US"/>
            </w:rPr>
          </w:pPr>
          <w:hyperlink w:anchor="_Toc401572119" w:history="1">
            <w:r w:rsidR="00C8772D" w:rsidRPr="00184EFD">
              <w:rPr>
                <w:rStyle w:val="Hyperlink"/>
                <w:noProof/>
                <w:lang w:val="es-ES"/>
              </w:rPr>
              <w:t>I.</w:t>
            </w:r>
            <w:r w:rsidR="00C8772D">
              <w:rPr>
                <w:rFonts w:asciiTheme="minorHAnsi" w:hAnsiTheme="minorHAnsi" w:cstheme="minorBidi"/>
                <w:noProof/>
                <w:sz w:val="22"/>
                <w:lang w:eastAsia="en-US"/>
              </w:rPr>
              <w:tab/>
            </w:r>
            <w:r w:rsidR="00C8772D" w:rsidRPr="00184EFD">
              <w:rPr>
                <w:rStyle w:val="Hyperlink"/>
                <w:noProof/>
                <w:lang w:val="es-ES"/>
              </w:rPr>
              <w:t>Análisis de Sensibilidad</w:t>
            </w:r>
            <w:r w:rsidR="00C8772D">
              <w:rPr>
                <w:noProof/>
                <w:webHidden/>
              </w:rPr>
              <w:tab/>
            </w:r>
            <w:r w:rsidR="00C8772D">
              <w:rPr>
                <w:noProof/>
                <w:webHidden/>
              </w:rPr>
              <w:fldChar w:fldCharType="begin"/>
            </w:r>
            <w:r w:rsidR="00C8772D">
              <w:rPr>
                <w:noProof/>
                <w:webHidden/>
              </w:rPr>
              <w:instrText xml:space="preserve"> PAGEREF _Toc401572119 \h </w:instrText>
            </w:r>
            <w:r w:rsidR="00C8772D">
              <w:rPr>
                <w:noProof/>
                <w:webHidden/>
              </w:rPr>
            </w:r>
            <w:r w:rsidR="00C8772D">
              <w:rPr>
                <w:noProof/>
                <w:webHidden/>
              </w:rPr>
              <w:fldChar w:fldCharType="separate"/>
            </w:r>
            <w:r>
              <w:rPr>
                <w:noProof/>
                <w:webHidden/>
              </w:rPr>
              <w:t>18</w:t>
            </w:r>
            <w:r w:rsidR="00C8772D">
              <w:rPr>
                <w:noProof/>
                <w:webHidden/>
              </w:rPr>
              <w:fldChar w:fldCharType="end"/>
            </w:r>
          </w:hyperlink>
        </w:p>
        <w:p w14:paraId="3998B9DD" w14:textId="77777777" w:rsidR="00C8772D" w:rsidRDefault="0004674A" w:rsidP="00C8772D">
          <w:pPr>
            <w:pStyle w:val="TOC1"/>
            <w:rPr>
              <w:rFonts w:asciiTheme="minorHAnsi" w:hAnsiTheme="minorHAnsi" w:cstheme="minorBidi"/>
              <w:smallCaps w:val="0"/>
              <w:noProof/>
              <w:sz w:val="22"/>
              <w:lang w:eastAsia="en-US"/>
            </w:rPr>
          </w:pPr>
          <w:hyperlink w:anchor="_Toc401572120" w:history="1">
            <w:r w:rsidR="00C8772D" w:rsidRPr="00184EFD">
              <w:rPr>
                <w:rStyle w:val="Hyperlink"/>
                <w:noProof/>
                <w:lang w:val="es-ES"/>
              </w:rPr>
              <w:t>IV.</w:t>
            </w:r>
            <w:r w:rsidR="00C8772D">
              <w:rPr>
                <w:rFonts w:asciiTheme="minorHAnsi" w:hAnsiTheme="minorHAnsi" w:cstheme="minorBidi"/>
                <w:smallCaps w:val="0"/>
                <w:noProof/>
                <w:sz w:val="22"/>
                <w:lang w:eastAsia="en-US"/>
              </w:rPr>
              <w:tab/>
            </w:r>
            <w:r w:rsidR="00C8772D" w:rsidRPr="00184EFD">
              <w:rPr>
                <w:rStyle w:val="Hyperlink"/>
                <w:noProof/>
                <w:lang w:val="es-ES"/>
              </w:rPr>
              <w:t>Consideraciones finales</w:t>
            </w:r>
            <w:r w:rsidR="00C8772D">
              <w:rPr>
                <w:noProof/>
                <w:webHidden/>
              </w:rPr>
              <w:tab/>
            </w:r>
            <w:r w:rsidR="00C8772D">
              <w:rPr>
                <w:noProof/>
                <w:webHidden/>
              </w:rPr>
              <w:fldChar w:fldCharType="begin"/>
            </w:r>
            <w:r w:rsidR="00C8772D">
              <w:rPr>
                <w:noProof/>
                <w:webHidden/>
              </w:rPr>
              <w:instrText xml:space="preserve"> PAGEREF _Toc401572120 \h </w:instrText>
            </w:r>
            <w:r w:rsidR="00C8772D">
              <w:rPr>
                <w:noProof/>
                <w:webHidden/>
              </w:rPr>
            </w:r>
            <w:r w:rsidR="00C8772D">
              <w:rPr>
                <w:noProof/>
                <w:webHidden/>
              </w:rPr>
              <w:fldChar w:fldCharType="separate"/>
            </w:r>
            <w:r>
              <w:rPr>
                <w:noProof/>
                <w:webHidden/>
              </w:rPr>
              <w:t>19</w:t>
            </w:r>
            <w:r w:rsidR="00C8772D">
              <w:rPr>
                <w:noProof/>
                <w:webHidden/>
              </w:rPr>
              <w:fldChar w:fldCharType="end"/>
            </w:r>
          </w:hyperlink>
        </w:p>
        <w:p w14:paraId="331F1B84" w14:textId="77777777" w:rsidR="00C8772D" w:rsidRDefault="00C8772D" w:rsidP="00C8772D">
          <w:r>
            <w:rPr>
              <w:b/>
              <w:bCs/>
              <w:noProof/>
            </w:rPr>
            <w:fldChar w:fldCharType="end"/>
          </w:r>
        </w:p>
      </w:sdtContent>
    </w:sdt>
    <w:p w14:paraId="4B6F74B0" w14:textId="77777777" w:rsidR="00C8772D" w:rsidRDefault="00C8772D" w:rsidP="00C8772D">
      <w:pPr>
        <w:rPr>
          <w:lang w:val="es-ES_tradnl"/>
        </w:rPr>
      </w:pPr>
    </w:p>
    <w:p w14:paraId="0DDC66B2" w14:textId="77777777" w:rsidR="00C8772D" w:rsidRDefault="00C8772D" w:rsidP="00C8772D">
      <w:pPr>
        <w:rPr>
          <w:lang w:val="es-ES_tradnl"/>
        </w:rPr>
      </w:pPr>
    </w:p>
    <w:p w14:paraId="5B5C7D93" w14:textId="77777777" w:rsidR="00C8772D" w:rsidRDefault="00C8772D" w:rsidP="00C8772D">
      <w:pPr>
        <w:rPr>
          <w:lang w:val="es-ES_tradnl"/>
        </w:rPr>
      </w:pPr>
    </w:p>
    <w:p w14:paraId="064A521D" w14:textId="77777777" w:rsidR="00C8772D" w:rsidRDefault="00C8772D" w:rsidP="00C8772D">
      <w:pPr>
        <w:rPr>
          <w:lang w:val="es-ES_tradnl"/>
        </w:rPr>
      </w:pPr>
    </w:p>
    <w:p w14:paraId="6C3CD09D" w14:textId="77777777" w:rsidR="00C8772D" w:rsidRDefault="00C8772D" w:rsidP="00C8772D">
      <w:pPr>
        <w:pStyle w:val="Heading1"/>
        <w:rPr>
          <w:lang w:val="es-ES_tradnl"/>
        </w:rPr>
      </w:pPr>
    </w:p>
    <w:p w14:paraId="741C0C12" w14:textId="77777777" w:rsidR="00C8772D" w:rsidRDefault="00C8772D" w:rsidP="00C8772D">
      <w:pPr>
        <w:rPr>
          <w:lang w:val="es-ES_tradnl"/>
        </w:rPr>
      </w:pPr>
    </w:p>
    <w:p w14:paraId="73080419" w14:textId="77777777" w:rsidR="00C8772D" w:rsidRDefault="00C8772D" w:rsidP="00C8772D">
      <w:pPr>
        <w:rPr>
          <w:lang w:val="es-ES_tradnl"/>
        </w:rPr>
      </w:pPr>
    </w:p>
    <w:p w14:paraId="15923323" w14:textId="77777777" w:rsidR="00C8772D" w:rsidRDefault="00C8772D" w:rsidP="00C8772D">
      <w:pPr>
        <w:rPr>
          <w:lang w:val="es-ES_tradnl"/>
        </w:rPr>
      </w:pPr>
    </w:p>
    <w:p w14:paraId="24C08987" w14:textId="77777777" w:rsidR="00C8772D" w:rsidRDefault="00C8772D" w:rsidP="00C8772D">
      <w:pPr>
        <w:rPr>
          <w:lang w:val="es-ES_tradnl"/>
        </w:rPr>
      </w:pPr>
    </w:p>
    <w:p w14:paraId="0968C249" w14:textId="77777777" w:rsidR="00C8772D" w:rsidRDefault="00C8772D" w:rsidP="00C8772D">
      <w:pPr>
        <w:rPr>
          <w:lang w:val="es-ES_tradnl"/>
        </w:rPr>
      </w:pPr>
    </w:p>
    <w:p w14:paraId="12F20D84" w14:textId="77777777" w:rsidR="00C8772D" w:rsidRDefault="00C8772D" w:rsidP="00C8772D">
      <w:pPr>
        <w:rPr>
          <w:lang w:val="es-ES_tradnl"/>
        </w:rPr>
      </w:pPr>
    </w:p>
    <w:p w14:paraId="6AFD2DC2" w14:textId="77777777" w:rsidR="00C8772D" w:rsidRPr="009464C2" w:rsidRDefault="00C8772D" w:rsidP="00C8772D">
      <w:pPr>
        <w:rPr>
          <w:b/>
          <w:lang w:val="es-ES_tradnl"/>
        </w:rPr>
      </w:pPr>
    </w:p>
    <w:p w14:paraId="0DD15D25" w14:textId="77777777" w:rsidR="00C8772D" w:rsidRPr="00C62F89" w:rsidRDefault="00C8772D" w:rsidP="00C8772D">
      <w:pPr>
        <w:pStyle w:val="Heading1"/>
        <w:numPr>
          <w:ilvl w:val="0"/>
          <w:numId w:val="4"/>
        </w:numPr>
        <w:ind w:left="360"/>
        <w:rPr>
          <w:lang w:val="es-ES"/>
        </w:rPr>
      </w:pPr>
      <w:bookmarkStart w:id="1" w:name="_Toc401572106"/>
      <w:r w:rsidRPr="001D318F">
        <w:rPr>
          <w:lang w:val="es-ES"/>
        </w:rPr>
        <w:lastRenderedPageBreak/>
        <w:t xml:space="preserve">Introducción </w:t>
      </w:r>
      <w:r w:rsidRPr="00C62F89">
        <w:rPr>
          <w:lang w:val="es-ES"/>
        </w:rPr>
        <w:t>(Análisis de Beneficio-Costo)</w:t>
      </w:r>
      <w:bookmarkEnd w:id="1"/>
    </w:p>
    <w:p w14:paraId="33EF1D0C" w14:textId="77777777" w:rsidR="00C8772D" w:rsidRDefault="00C8772D" w:rsidP="00C8772D">
      <w:pPr>
        <w:pStyle w:val="Banknumbered"/>
        <w:numPr>
          <w:ilvl w:val="0"/>
          <w:numId w:val="0"/>
        </w:numPr>
        <w:jc w:val="both"/>
        <w:rPr>
          <w:lang w:val="es-ES"/>
        </w:rPr>
      </w:pPr>
      <w:r w:rsidRPr="005D16B6">
        <w:rPr>
          <w:lang w:val="es-ES"/>
        </w:rPr>
        <w:t xml:space="preserve">La evaluación económica de instrumentos basados en políticas difiere de la evaluación de proyectos de inversión puesto que habitualmente no hay un vínculo directo entre los recursos transferidos al Gobierno y los resultados específicos del programa al cual se brinda apoyo.  Sin embargo, la implementación de políticas juega con frecuencia un papel crítico al facilitar la ejecución de programas y proyectos específicos, y por lo tanto tiene </w:t>
      </w:r>
      <w:r w:rsidRPr="005D16B6">
        <w:rPr>
          <w:i/>
          <w:lang w:val="es-ES"/>
        </w:rPr>
        <w:t>per se</w:t>
      </w:r>
      <w:r w:rsidRPr="005D16B6">
        <w:rPr>
          <w:lang w:val="es-ES"/>
        </w:rPr>
        <w:t xml:space="preserve"> un</w:t>
      </w:r>
      <w:r>
        <w:rPr>
          <w:lang w:val="es-ES"/>
        </w:rPr>
        <w:t xml:space="preserve"> </w:t>
      </w:r>
      <w:r w:rsidRPr="005D16B6">
        <w:rPr>
          <w:lang w:val="es-ES"/>
        </w:rPr>
        <w:t xml:space="preserve">valor económico.  </w:t>
      </w:r>
    </w:p>
    <w:p w14:paraId="773A2F92" w14:textId="77777777" w:rsidR="00C8772D" w:rsidRDefault="00C8772D" w:rsidP="00C8772D">
      <w:pPr>
        <w:pStyle w:val="Banknumbered"/>
        <w:numPr>
          <w:ilvl w:val="0"/>
          <w:numId w:val="0"/>
        </w:numPr>
        <w:jc w:val="both"/>
        <w:rPr>
          <w:lang w:val="es-ES"/>
        </w:rPr>
      </w:pPr>
      <w:r>
        <w:rPr>
          <w:lang w:val="es-ES"/>
        </w:rPr>
        <w:t xml:space="preserve">El énfasis del PBL es, como su título lo indica, el apoyo al cambio de la matriz energética en el Ecuador.  </w:t>
      </w:r>
      <w:r w:rsidRPr="005D16B6">
        <w:rPr>
          <w:lang w:val="es-ES"/>
        </w:rPr>
        <w:t>Este anexo provee una reseña cualitativa y cuantitativa de los diferentes resultados que se obtendrían con los indicadores asociados con la</w:t>
      </w:r>
      <w:r>
        <w:rPr>
          <w:lang w:val="es-ES"/>
        </w:rPr>
        <w:t>s</w:t>
      </w:r>
      <w:r w:rsidRPr="005D16B6">
        <w:rPr>
          <w:lang w:val="es-ES"/>
        </w:rPr>
        <w:t xml:space="preserve"> </w:t>
      </w:r>
      <w:r>
        <w:rPr>
          <w:lang w:val="es-ES"/>
        </w:rPr>
        <w:t>inversiones conducentes al cambio de la matriz energética del Ecuador.</w:t>
      </w:r>
      <w:r w:rsidRPr="005D16B6">
        <w:rPr>
          <w:lang w:val="es-ES"/>
        </w:rPr>
        <w:t xml:space="preserve"> No se intentó correlacionar el monto de la operación—destinado al Tesoro y determinado con base en necesidades de financiación y liquidez de Hacienda—con los resultados de los diferentes programas que se facilitarían. </w:t>
      </w:r>
    </w:p>
    <w:p w14:paraId="0E3FE88E" w14:textId="77777777" w:rsidR="00C8772D" w:rsidRDefault="00C8772D" w:rsidP="00C8772D">
      <w:pPr>
        <w:pStyle w:val="Banknumbered"/>
        <w:numPr>
          <w:ilvl w:val="0"/>
          <w:numId w:val="0"/>
        </w:numPr>
        <w:jc w:val="both"/>
        <w:rPr>
          <w:lang w:val="es-ES"/>
        </w:rPr>
      </w:pPr>
      <w:r w:rsidRPr="005D16B6">
        <w:rPr>
          <w:lang w:val="es-ES"/>
        </w:rPr>
        <w:t>La lógica del análisis de beneficio-costo se fundamenta en l</w:t>
      </w:r>
      <w:r>
        <w:rPr>
          <w:lang w:val="es-ES"/>
        </w:rPr>
        <w:t>os</w:t>
      </w:r>
      <w:r w:rsidRPr="005D16B6">
        <w:rPr>
          <w:lang w:val="es-ES"/>
        </w:rPr>
        <w:t xml:space="preserve"> siguiente</w:t>
      </w:r>
      <w:r>
        <w:rPr>
          <w:lang w:val="es-ES"/>
        </w:rPr>
        <w:t>s elementos de la matriz de política:</w:t>
      </w:r>
    </w:p>
    <w:p w14:paraId="44C95472" w14:textId="77777777" w:rsidR="00C8772D" w:rsidRDefault="00C8772D" w:rsidP="00C8772D">
      <w:pPr>
        <w:pStyle w:val="Banknumbered"/>
        <w:numPr>
          <w:ilvl w:val="0"/>
          <w:numId w:val="0"/>
        </w:numPr>
        <w:spacing w:after="120"/>
        <w:jc w:val="center"/>
        <w:rPr>
          <w:lang w:val="es-ES"/>
        </w:rPr>
      </w:pPr>
      <w:r>
        <w:rPr>
          <w:lang w:val="es-ES"/>
        </w:rPr>
        <w:t xml:space="preserve">Tabla 1. Compromisos de </w:t>
      </w:r>
      <w:r w:rsidRPr="00C62F89">
        <w:rPr>
          <w:lang w:val="es-ES"/>
        </w:rPr>
        <w:t>política</w:t>
      </w:r>
      <w:r>
        <w:rPr>
          <w:lang w:val="es-ES"/>
        </w:rPr>
        <w:t xml:space="preserve"> del Programa</w:t>
      </w: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0"/>
        <w:gridCol w:w="1549"/>
        <w:gridCol w:w="2129"/>
        <w:gridCol w:w="2250"/>
        <w:gridCol w:w="2502"/>
      </w:tblGrid>
      <w:tr w:rsidR="00C12307" w:rsidRPr="00C2375C" w14:paraId="133BE994" w14:textId="77777777" w:rsidTr="0086140B">
        <w:trPr>
          <w:tblHeader/>
        </w:trPr>
        <w:tc>
          <w:tcPr>
            <w:tcW w:w="1650" w:type="dxa"/>
            <w:shd w:val="clear" w:color="000000" w:fill="BFBFBF"/>
            <w:vAlign w:val="center"/>
          </w:tcPr>
          <w:p w14:paraId="24004C0C" w14:textId="77777777" w:rsidR="00C12307" w:rsidRDefault="00C12307" w:rsidP="0086140B">
            <w:pPr>
              <w:jc w:val="center"/>
              <w:rPr>
                <w:b/>
                <w:sz w:val="18"/>
              </w:rPr>
            </w:pPr>
            <w:proofErr w:type="spellStart"/>
            <w:r>
              <w:rPr>
                <w:b/>
                <w:sz w:val="18"/>
              </w:rPr>
              <w:t>Temas</w:t>
            </w:r>
            <w:proofErr w:type="spellEnd"/>
          </w:p>
        </w:tc>
        <w:tc>
          <w:tcPr>
            <w:tcW w:w="1549" w:type="dxa"/>
            <w:shd w:val="clear" w:color="000000" w:fill="BFBFBF"/>
            <w:vAlign w:val="center"/>
          </w:tcPr>
          <w:p w14:paraId="3A721CE3" w14:textId="77777777" w:rsidR="00C12307" w:rsidRDefault="00C12307" w:rsidP="0086140B">
            <w:pPr>
              <w:jc w:val="center"/>
              <w:rPr>
                <w:b/>
                <w:sz w:val="18"/>
              </w:rPr>
            </w:pPr>
            <w:proofErr w:type="spellStart"/>
            <w:r>
              <w:rPr>
                <w:b/>
                <w:sz w:val="18"/>
              </w:rPr>
              <w:t>Objetivos</w:t>
            </w:r>
            <w:proofErr w:type="spellEnd"/>
          </w:p>
        </w:tc>
        <w:tc>
          <w:tcPr>
            <w:tcW w:w="2129" w:type="dxa"/>
            <w:shd w:val="clear" w:color="000000" w:fill="BFBFBF"/>
            <w:vAlign w:val="center"/>
          </w:tcPr>
          <w:p w14:paraId="46CAF09A" w14:textId="77777777" w:rsidR="00C12307" w:rsidRDefault="00C12307" w:rsidP="0086140B">
            <w:pPr>
              <w:jc w:val="center"/>
              <w:rPr>
                <w:b/>
                <w:sz w:val="18"/>
              </w:rPr>
            </w:pPr>
            <w:proofErr w:type="spellStart"/>
            <w:r w:rsidRPr="00756E9F">
              <w:rPr>
                <w:b/>
                <w:sz w:val="18"/>
              </w:rPr>
              <w:t>Mecanismos</w:t>
            </w:r>
            <w:proofErr w:type="spellEnd"/>
            <w:r w:rsidRPr="00756E9F">
              <w:rPr>
                <w:b/>
                <w:sz w:val="18"/>
              </w:rPr>
              <w:t xml:space="preserve"> </w:t>
            </w:r>
            <w:proofErr w:type="spellStart"/>
            <w:r w:rsidRPr="00756E9F">
              <w:rPr>
                <w:b/>
                <w:sz w:val="18"/>
              </w:rPr>
              <w:t>Activadores</w:t>
            </w:r>
            <w:proofErr w:type="spellEnd"/>
            <w:r w:rsidRPr="00756E9F">
              <w:rPr>
                <w:b/>
                <w:sz w:val="18"/>
              </w:rPr>
              <w:t xml:space="preserve"> </w:t>
            </w:r>
            <w:proofErr w:type="spellStart"/>
            <w:r w:rsidRPr="00756E9F">
              <w:rPr>
                <w:b/>
                <w:sz w:val="18"/>
              </w:rPr>
              <w:t>Programático</w:t>
            </w:r>
            <w:proofErr w:type="spellEnd"/>
            <w:r w:rsidRPr="00756E9F">
              <w:rPr>
                <w:b/>
                <w:sz w:val="18"/>
              </w:rPr>
              <w:t xml:space="preserve"> </w:t>
            </w:r>
            <w:r>
              <w:rPr>
                <w:b/>
                <w:sz w:val="18"/>
              </w:rPr>
              <w:t xml:space="preserve">I </w:t>
            </w:r>
          </w:p>
        </w:tc>
        <w:tc>
          <w:tcPr>
            <w:tcW w:w="2250" w:type="dxa"/>
            <w:shd w:val="clear" w:color="000000" w:fill="BFBFBF"/>
            <w:vAlign w:val="center"/>
          </w:tcPr>
          <w:p w14:paraId="727D305D" w14:textId="77777777" w:rsidR="00C12307" w:rsidRPr="00675F6C" w:rsidRDefault="00C12307" w:rsidP="0086140B">
            <w:pPr>
              <w:jc w:val="center"/>
              <w:rPr>
                <w:b/>
                <w:sz w:val="18"/>
                <w:lang w:val="es-ES"/>
              </w:rPr>
            </w:pPr>
            <w:proofErr w:type="spellStart"/>
            <w:r w:rsidRPr="00756E9F">
              <w:rPr>
                <w:b/>
                <w:sz w:val="18"/>
              </w:rPr>
              <w:t>Mecanismos</w:t>
            </w:r>
            <w:proofErr w:type="spellEnd"/>
            <w:r w:rsidRPr="00756E9F">
              <w:rPr>
                <w:b/>
                <w:sz w:val="18"/>
              </w:rPr>
              <w:t xml:space="preserve"> </w:t>
            </w:r>
            <w:proofErr w:type="spellStart"/>
            <w:r w:rsidRPr="00756E9F">
              <w:rPr>
                <w:b/>
                <w:sz w:val="18"/>
              </w:rPr>
              <w:t>Activadores</w:t>
            </w:r>
            <w:proofErr w:type="spellEnd"/>
            <w:r w:rsidRPr="00756E9F">
              <w:rPr>
                <w:b/>
                <w:sz w:val="18"/>
              </w:rPr>
              <w:t xml:space="preserve"> </w:t>
            </w:r>
            <w:proofErr w:type="spellStart"/>
            <w:r w:rsidRPr="00756E9F">
              <w:rPr>
                <w:b/>
                <w:sz w:val="18"/>
              </w:rPr>
              <w:t>Programático</w:t>
            </w:r>
            <w:proofErr w:type="spellEnd"/>
            <w:r w:rsidRPr="00756E9F">
              <w:rPr>
                <w:b/>
                <w:sz w:val="18"/>
              </w:rPr>
              <w:t xml:space="preserve"> </w:t>
            </w:r>
            <w:r>
              <w:rPr>
                <w:b/>
                <w:sz w:val="18"/>
              </w:rPr>
              <w:t xml:space="preserve">II </w:t>
            </w:r>
          </w:p>
        </w:tc>
        <w:tc>
          <w:tcPr>
            <w:tcW w:w="2502" w:type="dxa"/>
            <w:shd w:val="clear" w:color="000000" w:fill="BFBFBF"/>
            <w:vAlign w:val="center"/>
          </w:tcPr>
          <w:p w14:paraId="47B5599E" w14:textId="77777777" w:rsidR="00C12307" w:rsidRPr="00675F6C" w:rsidRDefault="00C12307" w:rsidP="0086140B">
            <w:pPr>
              <w:jc w:val="center"/>
              <w:rPr>
                <w:b/>
                <w:sz w:val="18"/>
                <w:lang w:val="es-ES"/>
              </w:rPr>
            </w:pPr>
            <w:proofErr w:type="spellStart"/>
            <w:r w:rsidRPr="00756E9F">
              <w:rPr>
                <w:b/>
                <w:sz w:val="18"/>
              </w:rPr>
              <w:t>Mecanismos</w:t>
            </w:r>
            <w:proofErr w:type="spellEnd"/>
            <w:r w:rsidRPr="00756E9F">
              <w:rPr>
                <w:b/>
                <w:sz w:val="18"/>
              </w:rPr>
              <w:t xml:space="preserve"> </w:t>
            </w:r>
            <w:proofErr w:type="spellStart"/>
            <w:r w:rsidRPr="00756E9F">
              <w:rPr>
                <w:b/>
                <w:sz w:val="18"/>
              </w:rPr>
              <w:t>Activadores</w:t>
            </w:r>
            <w:proofErr w:type="spellEnd"/>
            <w:r w:rsidRPr="00756E9F">
              <w:rPr>
                <w:b/>
                <w:sz w:val="18"/>
              </w:rPr>
              <w:t xml:space="preserve"> </w:t>
            </w:r>
            <w:proofErr w:type="spellStart"/>
            <w:r w:rsidRPr="00756E9F">
              <w:rPr>
                <w:b/>
                <w:sz w:val="18"/>
              </w:rPr>
              <w:t>Programático</w:t>
            </w:r>
            <w:proofErr w:type="spellEnd"/>
            <w:r w:rsidRPr="00756E9F">
              <w:rPr>
                <w:b/>
                <w:sz w:val="18"/>
              </w:rPr>
              <w:t xml:space="preserve"> </w:t>
            </w:r>
            <w:r>
              <w:rPr>
                <w:b/>
                <w:sz w:val="18"/>
              </w:rPr>
              <w:t xml:space="preserve">III </w:t>
            </w:r>
          </w:p>
        </w:tc>
      </w:tr>
      <w:tr w:rsidR="00C12307" w14:paraId="50E6224E" w14:textId="77777777" w:rsidTr="0086140B">
        <w:trPr>
          <w:trHeight w:val="251"/>
        </w:trPr>
        <w:tc>
          <w:tcPr>
            <w:tcW w:w="10080" w:type="dxa"/>
            <w:gridSpan w:val="5"/>
          </w:tcPr>
          <w:p w14:paraId="7C7C8ACF" w14:textId="77777777" w:rsidR="00C12307" w:rsidRDefault="00C12307" w:rsidP="0086140B">
            <w:pPr>
              <w:jc w:val="both"/>
              <w:rPr>
                <w:b/>
              </w:rPr>
            </w:pPr>
            <w:r>
              <w:rPr>
                <w:b/>
              </w:rPr>
              <w:t xml:space="preserve">I. </w:t>
            </w:r>
            <w:proofErr w:type="spellStart"/>
            <w:r>
              <w:rPr>
                <w:b/>
              </w:rPr>
              <w:t>Estabilidad</w:t>
            </w:r>
            <w:proofErr w:type="spellEnd"/>
            <w:r>
              <w:rPr>
                <w:b/>
              </w:rPr>
              <w:t xml:space="preserve"> </w:t>
            </w:r>
            <w:proofErr w:type="spellStart"/>
            <w:r>
              <w:rPr>
                <w:b/>
              </w:rPr>
              <w:t>Macroeconómica</w:t>
            </w:r>
            <w:proofErr w:type="spellEnd"/>
          </w:p>
        </w:tc>
      </w:tr>
      <w:tr w:rsidR="00C12307" w:rsidRPr="00C12307" w14:paraId="35B6C9B5" w14:textId="77777777" w:rsidTr="0086140B">
        <w:trPr>
          <w:trHeight w:val="1187"/>
        </w:trPr>
        <w:tc>
          <w:tcPr>
            <w:tcW w:w="1650" w:type="dxa"/>
            <w:vAlign w:val="center"/>
          </w:tcPr>
          <w:p w14:paraId="27BEF4F6" w14:textId="77777777" w:rsidR="00C12307" w:rsidRDefault="00C12307" w:rsidP="0086140B">
            <w:pPr>
              <w:jc w:val="center"/>
              <w:rPr>
                <w:bCs/>
                <w:color w:val="000000"/>
                <w:sz w:val="18"/>
              </w:rPr>
            </w:pPr>
          </w:p>
        </w:tc>
        <w:tc>
          <w:tcPr>
            <w:tcW w:w="1549" w:type="dxa"/>
            <w:vAlign w:val="center"/>
          </w:tcPr>
          <w:p w14:paraId="63C8470C" w14:textId="77777777" w:rsidR="00C12307" w:rsidRDefault="00C12307" w:rsidP="0086140B">
            <w:pPr>
              <w:jc w:val="center"/>
              <w:rPr>
                <w:bCs/>
                <w:color w:val="000000"/>
                <w:sz w:val="18"/>
              </w:rPr>
            </w:pPr>
            <w:r w:rsidRPr="00CF4837">
              <w:rPr>
                <w:color w:val="000000"/>
                <w:sz w:val="18"/>
                <w:szCs w:val="18"/>
                <w:lang w:val="es-ES_tradnl"/>
              </w:rPr>
              <w:t>Marco General de Políticas Macroeconómicas estable.</w:t>
            </w:r>
          </w:p>
        </w:tc>
        <w:tc>
          <w:tcPr>
            <w:tcW w:w="2129" w:type="dxa"/>
            <w:vAlign w:val="center"/>
          </w:tcPr>
          <w:p w14:paraId="155A94B8" w14:textId="77777777" w:rsidR="00C12307" w:rsidRPr="002A2D18" w:rsidRDefault="00C12307" w:rsidP="0086140B">
            <w:pPr>
              <w:jc w:val="center"/>
              <w:rPr>
                <w:bCs/>
                <w:color w:val="000000"/>
                <w:sz w:val="18"/>
                <w:lang w:val="es-MX"/>
              </w:rPr>
            </w:pPr>
            <w:r w:rsidRPr="00CF4837">
              <w:rPr>
                <w:color w:val="000000"/>
                <w:sz w:val="18"/>
                <w:szCs w:val="18"/>
                <w:lang w:val="es-ES_tradnl"/>
              </w:rPr>
              <w:t>Marco macroeconómico consistente con los objetivos del Programa y con los lineamientos establecidos en la carta de política sectorial.</w:t>
            </w:r>
          </w:p>
        </w:tc>
        <w:tc>
          <w:tcPr>
            <w:tcW w:w="2250" w:type="dxa"/>
            <w:vAlign w:val="center"/>
          </w:tcPr>
          <w:p w14:paraId="4F0805E6" w14:textId="77777777" w:rsidR="00C12307" w:rsidRPr="002A2D18" w:rsidRDefault="00C12307" w:rsidP="0086140B">
            <w:pPr>
              <w:jc w:val="center"/>
              <w:rPr>
                <w:sz w:val="18"/>
                <w:lang w:val="es-MX"/>
              </w:rPr>
            </w:pPr>
            <w:r w:rsidRPr="00CF4837">
              <w:rPr>
                <w:color w:val="000000"/>
                <w:sz w:val="18"/>
                <w:szCs w:val="18"/>
                <w:lang w:val="es-ES_tradnl"/>
              </w:rPr>
              <w:t>Marco macroeconómico consistente con los objetivos del Programa y con los lineamientos establecidos en la carta de política sectorial.</w:t>
            </w:r>
          </w:p>
        </w:tc>
        <w:tc>
          <w:tcPr>
            <w:tcW w:w="2502" w:type="dxa"/>
            <w:vAlign w:val="center"/>
          </w:tcPr>
          <w:p w14:paraId="01D72518" w14:textId="77777777" w:rsidR="00C12307" w:rsidRPr="002A2D18" w:rsidRDefault="00C12307" w:rsidP="0086140B">
            <w:pPr>
              <w:jc w:val="center"/>
              <w:rPr>
                <w:color w:val="000000"/>
                <w:sz w:val="18"/>
                <w:lang w:val="es-MX"/>
              </w:rPr>
            </w:pPr>
            <w:r w:rsidRPr="00CF4837">
              <w:rPr>
                <w:color w:val="000000"/>
                <w:sz w:val="18"/>
                <w:szCs w:val="18"/>
                <w:lang w:val="es-ES_tradnl"/>
              </w:rPr>
              <w:t>Marco macroeconómico consistente con los objetivos del Programa y con los lineamientos establecidos en la carta de política sectorial.</w:t>
            </w:r>
          </w:p>
        </w:tc>
      </w:tr>
      <w:tr w:rsidR="00C12307" w14:paraId="7E3A2DDF" w14:textId="77777777" w:rsidTr="0086140B">
        <w:trPr>
          <w:tblHeader/>
        </w:trPr>
        <w:tc>
          <w:tcPr>
            <w:tcW w:w="10080" w:type="dxa"/>
            <w:gridSpan w:val="5"/>
            <w:shd w:val="clear" w:color="000000" w:fill="000000"/>
          </w:tcPr>
          <w:p w14:paraId="4065033E" w14:textId="77777777" w:rsidR="00C12307" w:rsidRDefault="00C12307" w:rsidP="0086140B">
            <w:pPr>
              <w:rPr>
                <w:b/>
                <w:bCs/>
                <w:color w:val="000000"/>
                <w:lang w:val="es-MX"/>
              </w:rPr>
            </w:pPr>
            <w:r>
              <w:rPr>
                <w:b/>
                <w:bCs/>
                <w:color w:val="000000"/>
                <w:lang w:val="es-MX"/>
              </w:rPr>
              <w:t xml:space="preserve">II. </w:t>
            </w:r>
            <w:r>
              <w:rPr>
                <w:b/>
                <w:lang w:val="es-MX"/>
              </w:rPr>
              <w:t>Sector energético sostenible</w:t>
            </w:r>
          </w:p>
        </w:tc>
      </w:tr>
      <w:tr w:rsidR="00C12307" w:rsidRPr="00C12307" w14:paraId="3A3014BD" w14:textId="77777777" w:rsidTr="0086140B">
        <w:trPr>
          <w:trHeight w:val="1187"/>
        </w:trPr>
        <w:tc>
          <w:tcPr>
            <w:tcW w:w="1650" w:type="dxa"/>
            <w:vMerge w:val="restart"/>
            <w:vAlign w:val="center"/>
          </w:tcPr>
          <w:p w14:paraId="18FEC7BD" w14:textId="77777777" w:rsidR="00C12307" w:rsidRPr="002A2D18" w:rsidRDefault="00C12307" w:rsidP="0086140B">
            <w:pPr>
              <w:jc w:val="center"/>
              <w:rPr>
                <w:bCs/>
                <w:color w:val="000000"/>
                <w:sz w:val="18"/>
                <w:lang w:val="es-MX"/>
              </w:rPr>
            </w:pPr>
            <w:r w:rsidRPr="002A2D18">
              <w:rPr>
                <w:bCs/>
                <w:color w:val="000000"/>
                <w:sz w:val="18"/>
                <w:lang w:val="es-MX"/>
              </w:rPr>
              <w:t xml:space="preserve">Necesidad de generar acciones encaminadas a disminuir el nivel de consumo </w:t>
            </w:r>
            <w:r>
              <w:rPr>
                <w:bCs/>
                <w:color w:val="000000"/>
                <w:sz w:val="18"/>
                <w:lang w:val="es-MX"/>
              </w:rPr>
              <w:t>de</w:t>
            </w:r>
            <w:r w:rsidRPr="002A2D18">
              <w:rPr>
                <w:bCs/>
                <w:color w:val="000000"/>
                <w:sz w:val="18"/>
                <w:lang w:val="es-MX"/>
              </w:rPr>
              <w:t xml:space="preserve"> combustibles fósiles.  </w:t>
            </w:r>
          </w:p>
        </w:tc>
        <w:tc>
          <w:tcPr>
            <w:tcW w:w="1549" w:type="dxa"/>
            <w:vMerge w:val="restart"/>
            <w:vAlign w:val="center"/>
          </w:tcPr>
          <w:p w14:paraId="01415D94" w14:textId="77777777" w:rsidR="00C12307" w:rsidRPr="002A2D18" w:rsidRDefault="00C12307" w:rsidP="0086140B">
            <w:pPr>
              <w:jc w:val="center"/>
              <w:rPr>
                <w:bCs/>
                <w:color w:val="000000"/>
                <w:sz w:val="18"/>
                <w:lang w:val="es-MX"/>
              </w:rPr>
            </w:pPr>
            <w:r w:rsidRPr="002A2D18">
              <w:rPr>
                <w:bCs/>
                <w:color w:val="000000"/>
                <w:sz w:val="18"/>
                <w:lang w:val="es-MX"/>
              </w:rPr>
              <w:t>Definición de una estrategia</w:t>
            </w:r>
            <w:r>
              <w:rPr>
                <w:bCs/>
                <w:color w:val="000000"/>
                <w:sz w:val="18"/>
                <w:lang w:val="es-MX"/>
              </w:rPr>
              <w:t xml:space="preserve"> e implementación de acciones</w:t>
            </w:r>
            <w:r w:rsidRPr="002A2D18">
              <w:rPr>
                <w:bCs/>
                <w:color w:val="000000"/>
                <w:sz w:val="18"/>
                <w:lang w:val="es-MX"/>
              </w:rPr>
              <w:t xml:space="preserve"> encaminada</w:t>
            </w:r>
            <w:r>
              <w:rPr>
                <w:bCs/>
                <w:color w:val="000000"/>
                <w:sz w:val="18"/>
                <w:lang w:val="es-MX"/>
              </w:rPr>
              <w:t>s</w:t>
            </w:r>
            <w:r w:rsidRPr="002A2D18">
              <w:rPr>
                <w:bCs/>
                <w:color w:val="000000"/>
                <w:sz w:val="18"/>
                <w:lang w:val="es-MX"/>
              </w:rPr>
              <w:t xml:space="preserve"> a la reducción del consumo y </w:t>
            </w:r>
            <w:r>
              <w:rPr>
                <w:bCs/>
                <w:color w:val="000000"/>
                <w:sz w:val="18"/>
                <w:lang w:val="es-MX"/>
              </w:rPr>
              <w:t xml:space="preserve">sustitución de </w:t>
            </w:r>
            <w:r w:rsidRPr="002A2D18">
              <w:rPr>
                <w:bCs/>
                <w:color w:val="000000"/>
                <w:sz w:val="18"/>
                <w:lang w:val="es-MX"/>
              </w:rPr>
              <w:t>subsidios asociados a combustibles fósiles</w:t>
            </w:r>
            <w:r>
              <w:rPr>
                <w:bCs/>
                <w:color w:val="000000"/>
                <w:sz w:val="18"/>
                <w:lang w:val="es-MX"/>
              </w:rPr>
              <w:t xml:space="preserve"> en el sector residencial y en la generación eléctrica.</w:t>
            </w:r>
          </w:p>
        </w:tc>
        <w:tc>
          <w:tcPr>
            <w:tcW w:w="2129" w:type="dxa"/>
            <w:tcBorders>
              <w:bottom w:val="single" w:sz="4" w:space="0" w:color="000000"/>
            </w:tcBorders>
            <w:vAlign w:val="center"/>
          </w:tcPr>
          <w:p w14:paraId="43AFA7EB" w14:textId="77777777" w:rsidR="00C12307" w:rsidRPr="002A2D18" w:rsidRDefault="00C12307" w:rsidP="0086140B">
            <w:pPr>
              <w:jc w:val="center"/>
              <w:rPr>
                <w:bCs/>
                <w:color w:val="000000"/>
                <w:sz w:val="18"/>
                <w:lang w:val="es-MX"/>
              </w:rPr>
            </w:pPr>
            <w:r>
              <w:rPr>
                <w:bCs/>
                <w:color w:val="000000"/>
                <w:sz w:val="18"/>
                <w:lang w:val="es-MX"/>
              </w:rPr>
              <w:t>Dictamen de la Secretaria Nacional de Planificación y Desarrollo (</w:t>
            </w:r>
            <w:r w:rsidRPr="00822CC5">
              <w:rPr>
                <w:color w:val="000000"/>
                <w:sz w:val="18"/>
                <w:lang w:val="es-MX"/>
              </w:rPr>
              <w:t>SENPLADES</w:t>
            </w:r>
            <w:r>
              <w:rPr>
                <w:color w:val="000000"/>
                <w:sz w:val="18"/>
                <w:lang w:val="es-MX"/>
              </w:rPr>
              <w:t xml:space="preserve">) de la iniciativa para </w:t>
            </w:r>
            <w:r>
              <w:rPr>
                <w:bCs/>
                <w:color w:val="000000"/>
                <w:sz w:val="18"/>
                <w:lang w:val="es-MX"/>
              </w:rPr>
              <w:t xml:space="preserve">la sustitución  </w:t>
            </w:r>
            <w:r w:rsidRPr="002A2D18">
              <w:rPr>
                <w:bCs/>
                <w:color w:val="000000"/>
                <w:sz w:val="18"/>
                <w:lang w:val="es-MX"/>
              </w:rPr>
              <w:t>del uso de Gas Licuado de Petróleo (GLP) por electricidad en el sector residencial</w:t>
            </w:r>
            <w:r>
              <w:rPr>
                <w:bCs/>
                <w:color w:val="000000"/>
                <w:sz w:val="18"/>
                <w:lang w:val="es-MX"/>
              </w:rPr>
              <w:t>, aprobado</w:t>
            </w:r>
            <w:r w:rsidRPr="002A2D18">
              <w:rPr>
                <w:bCs/>
                <w:color w:val="000000"/>
                <w:sz w:val="18"/>
                <w:lang w:val="es-MX"/>
              </w:rPr>
              <w:t xml:space="preserve">. </w:t>
            </w:r>
          </w:p>
        </w:tc>
        <w:tc>
          <w:tcPr>
            <w:tcW w:w="2250" w:type="dxa"/>
            <w:tcBorders>
              <w:bottom w:val="single" w:sz="4" w:space="0" w:color="000000"/>
            </w:tcBorders>
            <w:vAlign w:val="center"/>
          </w:tcPr>
          <w:p w14:paraId="44C9C235" w14:textId="77777777" w:rsidR="00C12307" w:rsidRPr="002A2D18" w:rsidRDefault="00C12307" w:rsidP="0086140B">
            <w:pPr>
              <w:jc w:val="center"/>
              <w:rPr>
                <w:sz w:val="18"/>
                <w:lang w:val="es-MX"/>
              </w:rPr>
            </w:pPr>
            <w:r>
              <w:rPr>
                <w:bCs/>
                <w:color w:val="000000"/>
                <w:sz w:val="18"/>
                <w:lang w:val="es-MX"/>
              </w:rPr>
              <w:t>Plan</w:t>
            </w:r>
            <w:r w:rsidRPr="002A2D18">
              <w:rPr>
                <w:bCs/>
                <w:color w:val="000000"/>
                <w:sz w:val="18"/>
                <w:lang w:val="es-MX"/>
              </w:rPr>
              <w:t xml:space="preserve"> para </w:t>
            </w:r>
            <w:r>
              <w:rPr>
                <w:bCs/>
                <w:color w:val="000000"/>
                <w:sz w:val="18"/>
                <w:lang w:val="es-MX"/>
              </w:rPr>
              <w:t>la sustitución</w:t>
            </w:r>
            <w:r w:rsidRPr="002A2D18">
              <w:rPr>
                <w:bCs/>
                <w:color w:val="000000"/>
                <w:sz w:val="18"/>
                <w:lang w:val="es-MX"/>
              </w:rPr>
              <w:t xml:space="preserve"> del uso de Gas Licuado de Petróleo (GLP) por electricidad en el sector residencial, </w:t>
            </w:r>
            <w:r>
              <w:rPr>
                <w:bCs/>
                <w:color w:val="000000"/>
                <w:sz w:val="18"/>
                <w:lang w:val="es-MX"/>
              </w:rPr>
              <w:t>en ejecución</w:t>
            </w:r>
            <w:r w:rsidRPr="002A2D18">
              <w:rPr>
                <w:bCs/>
                <w:color w:val="000000"/>
                <w:sz w:val="18"/>
                <w:lang w:val="es-MX"/>
              </w:rPr>
              <w:t xml:space="preserve">. </w:t>
            </w:r>
          </w:p>
        </w:tc>
        <w:tc>
          <w:tcPr>
            <w:tcW w:w="2502" w:type="dxa"/>
            <w:tcBorders>
              <w:bottom w:val="single" w:sz="4" w:space="0" w:color="000000"/>
            </w:tcBorders>
            <w:vAlign w:val="center"/>
          </w:tcPr>
          <w:p w14:paraId="0B2C3669" w14:textId="77777777" w:rsidR="00C12307" w:rsidRDefault="00C12307" w:rsidP="0086140B">
            <w:pPr>
              <w:jc w:val="center"/>
              <w:rPr>
                <w:color w:val="000000"/>
                <w:sz w:val="18"/>
                <w:lang w:val="es-MX"/>
              </w:rPr>
            </w:pPr>
            <w:r>
              <w:rPr>
                <w:bCs/>
                <w:color w:val="000000"/>
                <w:sz w:val="18"/>
                <w:lang w:val="es-MX"/>
              </w:rPr>
              <w:t>Plan</w:t>
            </w:r>
            <w:r w:rsidRPr="002A2D18">
              <w:rPr>
                <w:bCs/>
                <w:color w:val="000000"/>
                <w:sz w:val="18"/>
                <w:lang w:val="es-MX"/>
              </w:rPr>
              <w:t xml:space="preserve"> para </w:t>
            </w:r>
            <w:r>
              <w:rPr>
                <w:bCs/>
                <w:color w:val="000000"/>
                <w:sz w:val="18"/>
                <w:lang w:val="es-MX"/>
              </w:rPr>
              <w:t>la sustitución</w:t>
            </w:r>
            <w:r w:rsidRPr="002A2D18">
              <w:rPr>
                <w:bCs/>
                <w:color w:val="000000"/>
                <w:sz w:val="18"/>
                <w:lang w:val="es-MX"/>
              </w:rPr>
              <w:t xml:space="preserve"> del uso de Gas Licuado de Petróleo (GLP) por electricidad en el sector residencial, </w:t>
            </w:r>
            <w:r>
              <w:rPr>
                <w:bCs/>
                <w:color w:val="000000"/>
                <w:sz w:val="18"/>
                <w:lang w:val="es-MX"/>
              </w:rPr>
              <w:t>meta anual alcanzada</w:t>
            </w:r>
            <w:r w:rsidRPr="002A2D18">
              <w:rPr>
                <w:bCs/>
                <w:color w:val="000000"/>
                <w:sz w:val="18"/>
                <w:lang w:val="es-MX"/>
              </w:rPr>
              <w:t xml:space="preserve">. </w:t>
            </w:r>
          </w:p>
        </w:tc>
      </w:tr>
      <w:tr w:rsidR="00C12307" w:rsidRPr="00C12307" w14:paraId="59E3DB72" w14:textId="77777777" w:rsidTr="0086140B">
        <w:trPr>
          <w:trHeight w:val="1187"/>
        </w:trPr>
        <w:tc>
          <w:tcPr>
            <w:tcW w:w="1650" w:type="dxa"/>
            <w:vMerge/>
            <w:vAlign w:val="center"/>
          </w:tcPr>
          <w:p w14:paraId="61987225" w14:textId="77777777" w:rsidR="00C12307" w:rsidRPr="002A2D18" w:rsidRDefault="00C12307" w:rsidP="0086140B">
            <w:pPr>
              <w:jc w:val="center"/>
              <w:rPr>
                <w:bCs/>
                <w:color w:val="000000"/>
                <w:sz w:val="18"/>
                <w:lang w:val="es-MX"/>
              </w:rPr>
            </w:pPr>
          </w:p>
        </w:tc>
        <w:tc>
          <w:tcPr>
            <w:tcW w:w="1549" w:type="dxa"/>
            <w:vMerge/>
            <w:vAlign w:val="center"/>
          </w:tcPr>
          <w:p w14:paraId="305FED54" w14:textId="77777777" w:rsidR="00C12307" w:rsidRPr="002A2D18" w:rsidRDefault="00C12307" w:rsidP="0086140B">
            <w:pPr>
              <w:jc w:val="center"/>
              <w:rPr>
                <w:bCs/>
                <w:color w:val="000000"/>
                <w:sz w:val="18"/>
                <w:lang w:val="es-MX"/>
              </w:rPr>
            </w:pPr>
          </w:p>
        </w:tc>
        <w:tc>
          <w:tcPr>
            <w:tcW w:w="2129" w:type="dxa"/>
            <w:shd w:val="clear" w:color="auto" w:fill="auto"/>
            <w:vAlign w:val="center"/>
          </w:tcPr>
          <w:p w14:paraId="6B207AF7" w14:textId="77777777" w:rsidR="00C12307" w:rsidRPr="002A2D18" w:rsidRDefault="00C12307" w:rsidP="0086140B">
            <w:pPr>
              <w:jc w:val="center"/>
              <w:rPr>
                <w:bCs/>
                <w:color w:val="000000"/>
                <w:sz w:val="18"/>
                <w:lang w:val="es-MX"/>
              </w:rPr>
            </w:pPr>
            <w:r>
              <w:rPr>
                <w:bCs/>
                <w:color w:val="000000"/>
                <w:sz w:val="18"/>
                <w:lang w:val="es-MX"/>
              </w:rPr>
              <w:t xml:space="preserve">Alcance del proyecto de política del Ministerio de Recursos Naturales No Renovables (MRNNR) para la </w:t>
            </w:r>
            <w:r w:rsidRPr="00A14346">
              <w:rPr>
                <w:bCs/>
                <w:i/>
                <w:color w:val="000000"/>
                <w:sz w:val="18"/>
                <w:lang w:val="es-MX"/>
              </w:rPr>
              <w:t xml:space="preserve">Sustitución de subsidio </w:t>
            </w:r>
            <w:r>
              <w:rPr>
                <w:bCs/>
                <w:i/>
                <w:color w:val="000000"/>
                <w:sz w:val="18"/>
                <w:lang w:val="es-MX"/>
              </w:rPr>
              <w:t xml:space="preserve">al </w:t>
            </w:r>
            <w:r w:rsidRPr="00A14346">
              <w:rPr>
                <w:bCs/>
                <w:i/>
                <w:color w:val="000000"/>
                <w:sz w:val="18"/>
                <w:lang w:val="es-MX"/>
              </w:rPr>
              <w:t>GLP</w:t>
            </w:r>
            <w:r>
              <w:rPr>
                <w:bCs/>
                <w:i/>
                <w:color w:val="000000"/>
                <w:sz w:val="18"/>
                <w:lang w:val="es-MX"/>
              </w:rPr>
              <w:t xml:space="preserve"> por </w:t>
            </w:r>
            <w:r w:rsidRPr="00A14346">
              <w:rPr>
                <w:bCs/>
                <w:i/>
                <w:color w:val="000000"/>
                <w:sz w:val="18"/>
                <w:lang w:val="es-MX"/>
              </w:rPr>
              <w:t xml:space="preserve">Electricidad con alcance en </w:t>
            </w:r>
            <w:r>
              <w:rPr>
                <w:bCs/>
                <w:i/>
                <w:color w:val="000000"/>
                <w:sz w:val="18"/>
                <w:lang w:val="es-MX"/>
              </w:rPr>
              <w:t xml:space="preserve">la </w:t>
            </w:r>
            <w:r w:rsidRPr="00A14346">
              <w:rPr>
                <w:bCs/>
                <w:i/>
                <w:color w:val="000000"/>
                <w:sz w:val="18"/>
                <w:lang w:val="es-MX"/>
              </w:rPr>
              <w:t>población vulnerable sin acceso al servicio eléctrico</w:t>
            </w:r>
            <w:r w:rsidRPr="002A2D18">
              <w:rPr>
                <w:bCs/>
                <w:color w:val="000000"/>
                <w:sz w:val="18"/>
                <w:lang w:val="es-MX"/>
              </w:rPr>
              <w:t xml:space="preserve">, </w:t>
            </w:r>
            <w:r>
              <w:rPr>
                <w:bCs/>
                <w:color w:val="000000"/>
                <w:sz w:val="18"/>
                <w:lang w:val="es-MX"/>
              </w:rPr>
              <w:t>diseñado.</w:t>
            </w:r>
          </w:p>
        </w:tc>
        <w:tc>
          <w:tcPr>
            <w:tcW w:w="2250" w:type="dxa"/>
            <w:shd w:val="clear" w:color="auto" w:fill="auto"/>
            <w:vAlign w:val="center"/>
          </w:tcPr>
          <w:p w14:paraId="581A528F" w14:textId="77777777" w:rsidR="00C12307" w:rsidRPr="002A2D18" w:rsidRDefault="00C12307" w:rsidP="0086140B">
            <w:pPr>
              <w:jc w:val="center"/>
              <w:rPr>
                <w:bCs/>
                <w:color w:val="000000"/>
                <w:sz w:val="18"/>
                <w:lang w:val="es-MX"/>
              </w:rPr>
            </w:pPr>
            <w:r>
              <w:rPr>
                <w:bCs/>
                <w:color w:val="000000"/>
                <w:sz w:val="18"/>
                <w:lang w:val="es-MX"/>
              </w:rPr>
              <w:t xml:space="preserve">Términos de Referencia  para el desarrollo del proyecto de política </w:t>
            </w:r>
            <w:r w:rsidRPr="00400ABE">
              <w:rPr>
                <w:bCs/>
                <w:i/>
                <w:color w:val="000000"/>
                <w:sz w:val="18"/>
                <w:lang w:val="es-MX"/>
              </w:rPr>
              <w:t>Sustitución de subsidio GLP-Electricidad con alcance en población vulnerable sin acceso al servicio eléctrico</w:t>
            </w:r>
            <w:r w:rsidRPr="002A2D18">
              <w:rPr>
                <w:bCs/>
                <w:color w:val="000000"/>
                <w:sz w:val="18"/>
                <w:lang w:val="es-MX"/>
              </w:rPr>
              <w:t xml:space="preserve">, </w:t>
            </w:r>
            <w:r>
              <w:rPr>
                <w:bCs/>
                <w:color w:val="000000"/>
                <w:sz w:val="18"/>
                <w:lang w:val="es-MX"/>
              </w:rPr>
              <w:t>contratado y concluido.</w:t>
            </w:r>
          </w:p>
        </w:tc>
        <w:tc>
          <w:tcPr>
            <w:tcW w:w="2502" w:type="dxa"/>
            <w:shd w:val="clear" w:color="auto" w:fill="auto"/>
            <w:vAlign w:val="center"/>
          </w:tcPr>
          <w:p w14:paraId="04DE2952" w14:textId="77777777" w:rsidR="00C12307" w:rsidRPr="00E00BA1" w:rsidRDefault="00C12307" w:rsidP="0086140B">
            <w:pPr>
              <w:jc w:val="center"/>
              <w:rPr>
                <w:bCs/>
                <w:color w:val="000000"/>
                <w:sz w:val="18"/>
                <w:lang w:val="es-MX"/>
              </w:rPr>
            </w:pPr>
            <w:r>
              <w:rPr>
                <w:bCs/>
                <w:color w:val="000000"/>
                <w:sz w:val="18"/>
                <w:lang w:val="es-MX"/>
              </w:rPr>
              <w:t xml:space="preserve">Proyecto de política del Ministerio de Recursos Naturales No Renovables (MRNNR) para la </w:t>
            </w:r>
            <w:r w:rsidRPr="00400ABE">
              <w:rPr>
                <w:bCs/>
                <w:i/>
                <w:color w:val="000000"/>
                <w:sz w:val="18"/>
                <w:lang w:val="es-MX"/>
              </w:rPr>
              <w:t>Sustitución de subsidio GLP-Electricidad con alcance en población vulnerable sin acceso al servicio eléctrico</w:t>
            </w:r>
            <w:r w:rsidRPr="00E00BA1">
              <w:rPr>
                <w:bCs/>
                <w:color w:val="000000"/>
                <w:sz w:val="18"/>
                <w:lang w:val="es-MX"/>
              </w:rPr>
              <w:t xml:space="preserve">, </w:t>
            </w:r>
            <w:r>
              <w:rPr>
                <w:bCs/>
                <w:color w:val="000000"/>
                <w:sz w:val="18"/>
                <w:lang w:val="es-MX"/>
              </w:rPr>
              <w:t xml:space="preserve">aprobado por </w:t>
            </w:r>
            <w:r w:rsidRPr="00E00BA1">
              <w:rPr>
                <w:bCs/>
                <w:color w:val="000000"/>
                <w:sz w:val="18"/>
                <w:lang w:val="es-MX"/>
              </w:rPr>
              <w:t>las autoridades</w:t>
            </w:r>
            <w:r>
              <w:rPr>
                <w:bCs/>
                <w:color w:val="000000"/>
                <w:sz w:val="18"/>
                <w:lang w:val="es-MX"/>
              </w:rPr>
              <w:t xml:space="preserve"> del sector.</w:t>
            </w:r>
          </w:p>
        </w:tc>
      </w:tr>
      <w:tr w:rsidR="00C12307" w:rsidRPr="00C12307" w14:paraId="3186809E" w14:textId="77777777" w:rsidTr="0086140B">
        <w:trPr>
          <w:trHeight w:val="1187"/>
        </w:trPr>
        <w:tc>
          <w:tcPr>
            <w:tcW w:w="1650" w:type="dxa"/>
            <w:vMerge/>
            <w:vAlign w:val="center"/>
          </w:tcPr>
          <w:p w14:paraId="15668826" w14:textId="77777777" w:rsidR="00C12307" w:rsidRPr="002A2D18" w:rsidRDefault="00C12307" w:rsidP="0086140B">
            <w:pPr>
              <w:jc w:val="center"/>
              <w:rPr>
                <w:bCs/>
                <w:color w:val="000000"/>
                <w:sz w:val="18"/>
                <w:lang w:val="es-MX"/>
              </w:rPr>
            </w:pPr>
          </w:p>
        </w:tc>
        <w:tc>
          <w:tcPr>
            <w:tcW w:w="1549" w:type="dxa"/>
            <w:vMerge/>
            <w:vAlign w:val="center"/>
          </w:tcPr>
          <w:p w14:paraId="1981C437" w14:textId="77777777" w:rsidR="00C12307" w:rsidRPr="002A2D18" w:rsidRDefault="00C12307" w:rsidP="0086140B">
            <w:pPr>
              <w:jc w:val="center"/>
              <w:rPr>
                <w:bCs/>
                <w:color w:val="000000"/>
                <w:sz w:val="18"/>
                <w:lang w:val="es-MX"/>
              </w:rPr>
            </w:pPr>
          </w:p>
        </w:tc>
        <w:tc>
          <w:tcPr>
            <w:tcW w:w="2129" w:type="dxa"/>
            <w:vAlign w:val="center"/>
          </w:tcPr>
          <w:p w14:paraId="2251447B" w14:textId="77777777" w:rsidR="00C12307" w:rsidRPr="002A2D18" w:rsidRDefault="00C12307" w:rsidP="0086140B">
            <w:pPr>
              <w:jc w:val="center"/>
              <w:rPr>
                <w:bCs/>
                <w:color w:val="000000"/>
                <w:sz w:val="18"/>
                <w:lang w:val="es-MX"/>
              </w:rPr>
            </w:pPr>
            <w:r w:rsidRPr="002A2D18">
              <w:rPr>
                <w:bCs/>
                <w:color w:val="000000"/>
                <w:sz w:val="18"/>
                <w:lang w:val="es-MX"/>
              </w:rPr>
              <w:t>Esquema tarifario</w:t>
            </w:r>
            <w:r>
              <w:rPr>
                <w:rStyle w:val="FootnoteReference"/>
                <w:bCs/>
                <w:color w:val="000000"/>
                <w:sz w:val="18"/>
                <w:lang w:val="es-MX"/>
              </w:rPr>
              <w:footnoteReference w:id="1"/>
            </w:r>
            <w:r w:rsidRPr="002A2D18">
              <w:rPr>
                <w:bCs/>
                <w:color w:val="000000"/>
                <w:sz w:val="18"/>
                <w:lang w:val="es-MX"/>
              </w:rPr>
              <w:t xml:space="preserve"> para la transición de GLP a electricidad en el sector residencial con acceso al servicio eléctrico, </w:t>
            </w:r>
            <w:r>
              <w:rPr>
                <w:bCs/>
                <w:color w:val="000000"/>
                <w:sz w:val="18"/>
                <w:lang w:val="es-MX"/>
              </w:rPr>
              <w:t>diseñado y aprobado</w:t>
            </w:r>
            <w:r w:rsidRPr="002A2D18">
              <w:rPr>
                <w:bCs/>
                <w:color w:val="000000"/>
                <w:sz w:val="18"/>
                <w:lang w:val="es-MX"/>
              </w:rPr>
              <w:t xml:space="preserve">. </w:t>
            </w:r>
          </w:p>
        </w:tc>
        <w:tc>
          <w:tcPr>
            <w:tcW w:w="2250" w:type="dxa"/>
            <w:vAlign w:val="center"/>
          </w:tcPr>
          <w:p w14:paraId="22BCD5A3" w14:textId="77777777" w:rsidR="00C12307" w:rsidRDefault="00C12307" w:rsidP="0086140B">
            <w:pPr>
              <w:jc w:val="center"/>
              <w:rPr>
                <w:bCs/>
                <w:color w:val="000000"/>
                <w:sz w:val="18"/>
                <w:lang w:val="es-MX"/>
              </w:rPr>
            </w:pPr>
          </w:p>
          <w:p w14:paraId="415C9579" w14:textId="77777777" w:rsidR="00C12307" w:rsidRPr="002A2D18" w:rsidRDefault="00C12307" w:rsidP="0086140B">
            <w:pPr>
              <w:jc w:val="center"/>
              <w:rPr>
                <w:bCs/>
                <w:color w:val="000000"/>
                <w:sz w:val="18"/>
                <w:lang w:val="es-MX"/>
              </w:rPr>
            </w:pPr>
            <w:r w:rsidRPr="002A2D18">
              <w:rPr>
                <w:bCs/>
                <w:color w:val="000000"/>
                <w:sz w:val="18"/>
                <w:lang w:val="es-MX"/>
              </w:rPr>
              <w:t xml:space="preserve">Esquema tarifario para la transición de GLP a electricidad en el sector residencial con acceso al servicio eléctrico, </w:t>
            </w:r>
            <w:r>
              <w:rPr>
                <w:bCs/>
                <w:color w:val="000000"/>
                <w:sz w:val="18"/>
                <w:lang w:val="es-MX"/>
              </w:rPr>
              <w:t>publicado e implementado</w:t>
            </w:r>
            <w:r w:rsidRPr="002A2D18">
              <w:rPr>
                <w:bCs/>
                <w:color w:val="000000"/>
                <w:sz w:val="18"/>
                <w:lang w:val="es-MX"/>
              </w:rPr>
              <w:t>.</w:t>
            </w:r>
          </w:p>
          <w:p w14:paraId="17DF12D5" w14:textId="77777777" w:rsidR="00C12307" w:rsidRPr="002A2D18" w:rsidRDefault="00C12307" w:rsidP="0086140B">
            <w:pPr>
              <w:jc w:val="center"/>
              <w:rPr>
                <w:bCs/>
                <w:color w:val="000000"/>
                <w:sz w:val="18"/>
                <w:lang w:val="es-MX"/>
              </w:rPr>
            </w:pPr>
          </w:p>
        </w:tc>
        <w:tc>
          <w:tcPr>
            <w:tcW w:w="2502" w:type="dxa"/>
            <w:vAlign w:val="center"/>
          </w:tcPr>
          <w:p w14:paraId="63E240FB" w14:textId="77777777" w:rsidR="00C12307" w:rsidRPr="002A2D18" w:rsidRDefault="00C12307" w:rsidP="0086140B">
            <w:pPr>
              <w:jc w:val="center"/>
              <w:rPr>
                <w:bCs/>
                <w:color w:val="000000"/>
                <w:sz w:val="18"/>
                <w:lang w:val="es-MX"/>
              </w:rPr>
            </w:pPr>
            <w:r w:rsidRPr="002A2D18">
              <w:rPr>
                <w:bCs/>
                <w:color w:val="000000"/>
                <w:sz w:val="18"/>
                <w:lang w:val="es-MX"/>
              </w:rPr>
              <w:t xml:space="preserve">Esquema tarifario para la transición de GLP a electricidad en el sector residencial con acceso al servicio eléctrico, </w:t>
            </w:r>
            <w:r>
              <w:rPr>
                <w:bCs/>
                <w:color w:val="000000"/>
                <w:sz w:val="18"/>
                <w:lang w:val="es-MX"/>
              </w:rPr>
              <w:t>vigente</w:t>
            </w:r>
            <w:r w:rsidRPr="002A2D18">
              <w:rPr>
                <w:bCs/>
                <w:color w:val="000000"/>
                <w:sz w:val="18"/>
                <w:lang w:val="es-MX"/>
              </w:rPr>
              <w:t>.</w:t>
            </w:r>
          </w:p>
          <w:p w14:paraId="79E3C196" w14:textId="77777777" w:rsidR="00C12307" w:rsidRDefault="00C12307" w:rsidP="0086140B">
            <w:pPr>
              <w:jc w:val="center"/>
              <w:rPr>
                <w:bCs/>
                <w:color w:val="000000"/>
                <w:sz w:val="18"/>
                <w:lang w:val="es-MX"/>
              </w:rPr>
            </w:pPr>
          </w:p>
        </w:tc>
      </w:tr>
      <w:tr w:rsidR="00C12307" w:rsidRPr="00C12307" w14:paraId="389A2F6E" w14:textId="77777777" w:rsidTr="0086140B">
        <w:trPr>
          <w:trHeight w:val="1187"/>
        </w:trPr>
        <w:tc>
          <w:tcPr>
            <w:tcW w:w="1650" w:type="dxa"/>
            <w:vMerge/>
            <w:vAlign w:val="center"/>
          </w:tcPr>
          <w:p w14:paraId="1001013F" w14:textId="77777777" w:rsidR="00C12307" w:rsidRDefault="00C12307" w:rsidP="0086140B">
            <w:pPr>
              <w:jc w:val="center"/>
              <w:rPr>
                <w:bCs/>
                <w:color w:val="000000"/>
                <w:sz w:val="18"/>
                <w:lang w:val="es-MX"/>
              </w:rPr>
            </w:pPr>
          </w:p>
        </w:tc>
        <w:tc>
          <w:tcPr>
            <w:tcW w:w="1549" w:type="dxa"/>
            <w:vMerge/>
            <w:vAlign w:val="center"/>
          </w:tcPr>
          <w:p w14:paraId="11998B2E" w14:textId="77777777" w:rsidR="00C12307" w:rsidRDefault="00C12307" w:rsidP="0086140B">
            <w:pPr>
              <w:jc w:val="center"/>
              <w:rPr>
                <w:bCs/>
                <w:color w:val="000000"/>
                <w:sz w:val="18"/>
                <w:lang w:val="es-MX"/>
              </w:rPr>
            </w:pPr>
          </w:p>
        </w:tc>
        <w:tc>
          <w:tcPr>
            <w:tcW w:w="2129" w:type="dxa"/>
            <w:vAlign w:val="center"/>
          </w:tcPr>
          <w:p w14:paraId="4A7D2D84" w14:textId="77777777" w:rsidR="00C12307" w:rsidRPr="00B474EC" w:rsidRDefault="00C12307" w:rsidP="0086140B">
            <w:pPr>
              <w:jc w:val="center"/>
              <w:rPr>
                <w:bCs/>
                <w:color w:val="000000"/>
                <w:sz w:val="18"/>
                <w:lang w:val="es-MX"/>
              </w:rPr>
            </w:pPr>
            <w:r>
              <w:rPr>
                <w:bCs/>
                <w:color w:val="000000"/>
                <w:sz w:val="18"/>
                <w:lang w:val="es-MX"/>
              </w:rPr>
              <w:t xml:space="preserve">Política </w:t>
            </w:r>
            <w:r w:rsidRPr="00A14346">
              <w:rPr>
                <w:bCs/>
                <w:i/>
                <w:color w:val="000000"/>
                <w:sz w:val="18"/>
                <w:lang w:val="es-MX"/>
              </w:rPr>
              <w:t>para la Optimización de la Generación Eléctrica (OGE</w:t>
            </w:r>
            <w:r>
              <w:rPr>
                <w:bCs/>
                <w:i/>
                <w:color w:val="000000"/>
                <w:sz w:val="18"/>
                <w:lang w:val="es-MX"/>
              </w:rPr>
              <w:t>&amp;EE</w:t>
            </w:r>
            <w:r w:rsidRPr="00A14346">
              <w:rPr>
                <w:bCs/>
                <w:i/>
                <w:color w:val="000000"/>
                <w:sz w:val="18"/>
                <w:lang w:val="es-MX"/>
              </w:rPr>
              <w:t xml:space="preserve">) en la actividad </w:t>
            </w:r>
            <w:proofErr w:type="spellStart"/>
            <w:r w:rsidRPr="00A14346">
              <w:rPr>
                <w:bCs/>
                <w:i/>
                <w:color w:val="000000"/>
                <w:sz w:val="18"/>
                <w:lang w:val="es-MX"/>
              </w:rPr>
              <w:t>hidrocarburífera</w:t>
            </w:r>
            <w:proofErr w:type="spellEnd"/>
            <w:r w:rsidRPr="00C36243">
              <w:rPr>
                <w:rStyle w:val="FootnoteReference"/>
                <w:bCs/>
                <w:color w:val="000000"/>
                <w:sz w:val="18"/>
                <w:lang w:val="es-MX"/>
              </w:rPr>
              <w:footnoteReference w:id="2"/>
            </w:r>
            <w:r>
              <w:rPr>
                <w:bCs/>
                <w:color w:val="000000"/>
                <w:sz w:val="18"/>
                <w:lang w:val="es-MX"/>
              </w:rPr>
              <w:t xml:space="preserve">, diseñada por PETROAMAZONAS en acuerdo con </w:t>
            </w:r>
            <w:r>
              <w:rPr>
                <w:sz w:val="18"/>
                <w:szCs w:val="18"/>
                <w:lang w:val="es-MX"/>
              </w:rPr>
              <w:t>el MRNNR</w:t>
            </w:r>
            <w:r>
              <w:rPr>
                <w:bCs/>
                <w:color w:val="000000"/>
                <w:sz w:val="18"/>
                <w:lang w:val="es-MX"/>
              </w:rPr>
              <w:t>, en ejecución</w:t>
            </w:r>
            <w:r w:rsidRPr="00C36243">
              <w:rPr>
                <w:bCs/>
                <w:color w:val="000000"/>
                <w:sz w:val="18"/>
                <w:lang w:val="es-MX"/>
              </w:rPr>
              <w:t>.</w:t>
            </w:r>
          </w:p>
        </w:tc>
        <w:tc>
          <w:tcPr>
            <w:tcW w:w="2250" w:type="dxa"/>
            <w:vAlign w:val="center"/>
          </w:tcPr>
          <w:p w14:paraId="3F47F792" w14:textId="77777777" w:rsidR="00C12307" w:rsidRDefault="00C12307" w:rsidP="0086140B">
            <w:pPr>
              <w:jc w:val="center"/>
              <w:rPr>
                <w:bCs/>
                <w:color w:val="000000"/>
                <w:sz w:val="18"/>
                <w:lang w:val="es-MX"/>
              </w:rPr>
            </w:pPr>
            <w:r>
              <w:rPr>
                <w:bCs/>
                <w:color w:val="000000"/>
                <w:sz w:val="18"/>
                <w:lang w:val="es-MX"/>
              </w:rPr>
              <w:t xml:space="preserve">Reducción de la demanda de diésel en la actividad </w:t>
            </w:r>
            <w:proofErr w:type="spellStart"/>
            <w:r>
              <w:rPr>
                <w:bCs/>
                <w:color w:val="000000"/>
                <w:sz w:val="18"/>
                <w:lang w:val="es-MX"/>
              </w:rPr>
              <w:t>hidrocarburifera</w:t>
            </w:r>
            <w:proofErr w:type="spellEnd"/>
            <w:r>
              <w:rPr>
                <w:bCs/>
                <w:color w:val="000000"/>
                <w:sz w:val="18"/>
                <w:lang w:val="es-MX"/>
              </w:rPr>
              <w:t xml:space="preserve"> a través de la iniciativa OGE, meta anual alcanzada.</w:t>
            </w:r>
          </w:p>
          <w:p w14:paraId="46F174FB" w14:textId="77777777" w:rsidR="00C12307" w:rsidRDefault="00C12307" w:rsidP="0086140B">
            <w:pPr>
              <w:jc w:val="center"/>
              <w:rPr>
                <w:bCs/>
                <w:color w:val="000000"/>
                <w:sz w:val="18"/>
                <w:lang w:val="es-MX"/>
              </w:rPr>
            </w:pPr>
          </w:p>
          <w:p w14:paraId="38218BF6" w14:textId="77777777" w:rsidR="00C12307" w:rsidRPr="00C36243" w:rsidRDefault="00C12307" w:rsidP="0086140B">
            <w:pPr>
              <w:jc w:val="center"/>
              <w:rPr>
                <w:bCs/>
                <w:color w:val="000000"/>
                <w:sz w:val="18"/>
                <w:highlight w:val="cyan"/>
                <w:lang w:val="es-MX"/>
              </w:rPr>
            </w:pPr>
          </w:p>
        </w:tc>
        <w:tc>
          <w:tcPr>
            <w:tcW w:w="2502" w:type="dxa"/>
            <w:vAlign w:val="center"/>
          </w:tcPr>
          <w:p w14:paraId="7A0340D8" w14:textId="77777777" w:rsidR="00C12307" w:rsidRDefault="00C12307" w:rsidP="0086140B">
            <w:pPr>
              <w:jc w:val="center"/>
              <w:rPr>
                <w:bCs/>
                <w:color w:val="000000"/>
                <w:sz w:val="18"/>
                <w:lang w:val="es-MX"/>
              </w:rPr>
            </w:pPr>
            <w:r>
              <w:rPr>
                <w:bCs/>
                <w:color w:val="000000"/>
                <w:sz w:val="18"/>
                <w:lang w:val="es-MX"/>
              </w:rPr>
              <w:t xml:space="preserve">Reducción de la demanda de diésel en la actividad </w:t>
            </w:r>
            <w:proofErr w:type="spellStart"/>
            <w:r>
              <w:rPr>
                <w:bCs/>
                <w:color w:val="000000"/>
                <w:sz w:val="18"/>
                <w:lang w:val="es-MX"/>
              </w:rPr>
              <w:t>hidrocarburifera</w:t>
            </w:r>
            <w:proofErr w:type="spellEnd"/>
            <w:r>
              <w:rPr>
                <w:bCs/>
                <w:color w:val="000000"/>
                <w:sz w:val="18"/>
                <w:lang w:val="es-MX"/>
              </w:rPr>
              <w:t xml:space="preserve"> a través de la iniciativa OGE, meta anual alcanzada.</w:t>
            </w:r>
          </w:p>
          <w:p w14:paraId="69DB8E8F" w14:textId="77777777" w:rsidR="00C12307" w:rsidRDefault="00C12307" w:rsidP="0086140B">
            <w:pPr>
              <w:jc w:val="center"/>
              <w:rPr>
                <w:bCs/>
                <w:color w:val="000000"/>
                <w:sz w:val="18"/>
                <w:lang w:val="es-MX"/>
              </w:rPr>
            </w:pPr>
          </w:p>
          <w:p w14:paraId="26F8F9F7" w14:textId="77777777" w:rsidR="00C12307" w:rsidRPr="00C36243" w:rsidRDefault="00C12307" w:rsidP="0086140B">
            <w:pPr>
              <w:jc w:val="center"/>
              <w:rPr>
                <w:bCs/>
                <w:color w:val="000000"/>
                <w:sz w:val="18"/>
                <w:highlight w:val="cyan"/>
                <w:lang w:val="es-MX"/>
              </w:rPr>
            </w:pPr>
          </w:p>
        </w:tc>
      </w:tr>
      <w:tr w:rsidR="00C12307" w:rsidRPr="00C12307" w14:paraId="56D1B010" w14:textId="77777777" w:rsidTr="0086140B">
        <w:trPr>
          <w:trHeight w:val="260"/>
        </w:trPr>
        <w:tc>
          <w:tcPr>
            <w:tcW w:w="1650" w:type="dxa"/>
            <w:vMerge w:val="restart"/>
            <w:vAlign w:val="center"/>
          </w:tcPr>
          <w:p w14:paraId="0E1A595E" w14:textId="77777777" w:rsidR="00C12307" w:rsidRDefault="00C12307" w:rsidP="0086140B">
            <w:pPr>
              <w:jc w:val="center"/>
              <w:rPr>
                <w:bCs/>
                <w:color w:val="000000"/>
                <w:sz w:val="18"/>
                <w:lang w:val="es-MX"/>
              </w:rPr>
            </w:pPr>
            <w:r>
              <w:rPr>
                <w:bCs/>
                <w:color w:val="000000"/>
                <w:sz w:val="18"/>
                <w:lang w:val="es-MX"/>
              </w:rPr>
              <w:t>Necesidad de contar con información sectorial actualizada y coordinada para un mejor planeamiento de las inversiones que contribuyan a la sostenibilidad del sector.</w:t>
            </w:r>
          </w:p>
        </w:tc>
        <w:tc>
          <w:tcPr>
            <w:tcW w:w="1549" w:type="dxa"/>
            <w:vAlign w:val="center"/>
          </w:tcPr>
          <w:p w14:paraId="23E32CCA" w14:textId="77777777" w:rsidR="00C12307" w:rsidRDefault="00C12307" w:rsidP="0086140B">
            <w:pPr>
              <w:jc w:val="center"/>
              <w:rPr>
                <w:bCs/>
                <w:color w:val="000000"/>
                <w:sz w:val="18"/>
                <w:lang w:val="es-MX"/>
              </w:rPr>
            </w:pPr>
            <w:r>
              <w:rPr>
                <w:bCs/>
                <w:color w:val="000000"/>
                <w:sz w:val="18"/>
                <w:lang w:val="es-MX"/>
              </w:rPr>
              <w:t>Elaboración de la Agenda Nacional de Energía como documento estratégico de planificación y coordinación sectorial.</w:t>
            </w:r>
          </w:p>
        </w:tc>
        <w:tc>
          <w:tcPr>
            <w:tcW w:w="2129" w:type="dxa"/>
            <w:vAlign w:val="center"/>
          </w:tcPr>
          <w:p w14:paraId="5D39F95A" w14:textId="77777777" w:rsidR="00C12307" w:rsidRDefault="00C12307" w:rsidP="0086140B">
            <w:pPr>
              <w:jc w:val="center"/>
              <w:rPr>
                <w:bCs/>
                <w:color w:val="000000"/>
                <w:sz w:val="18"/>
                <w:lang w:val="es-MX"/>
              </w:rPr>
            </w:pPr>
            <w:r>
              <w:rPr>
                <w:bCs/>
                <w:color w:val="000000"/>
                <w:sz w:val="18"/>
                <w:lang w:val="es-MX"/>
              </w:rPr>
              <w:t xml:space="preserve"> Agenda Nacional de Energía del Ecuador, propuesta metodológica aprobada.</w:t>
            </w:r>
          </w:p>
        </w:tc>
        <w:tc>
          <w:tcPr>
            <w:tcW w:w="2250" w:type="dxa"/>
            <w:vAlign w:val="center"/>
          </w:tcPr>
          <w:p w14:paraId="141FE5D6" w14:textId="77777777" w:rsidR="00C12307" w:rsidRDefault="00C12307" w:rsidP="0086140B">
            <w:pPr>
              <w:jc w:val="center"/>
              <w:rPr>
                <w:bCs/>
                <w:color w:val="000000"/>
                <w:sz w:val="18"/>
                <w:lang w:val="es-MX"/>
              </w:rPr>
            </w:pPr>
            <w:r>
              <w:rPr>
                <w:bCs/>
                <w:color w:val="000000"/>
                <w:sz w:val="18"/>
                <w:lang w:val="es-MX"/>
              </w:rPr>
              <w:t>Agenda Nacional de Energía del Ecuador preparada y puesta a consideración del Ministerio Coordinador de Sectores Estratégicos (MICSE) para aprobación.</w:t>
            </w:r>
          </w:p>
        </w:tc>
        <w:tc>
          <w:tcPr>
            <w:tcW w:w="2502" w:type="dxa"/>
            <w:vAlign w:val="center"/>
          </w:tcPr>
          <w:p w14:paraId="26C10B0D" w14:textId="77777777" w:rsidR="00C12307" w:rsidRDefault="00C12307" w:rsidP="0086140B">
            <w:pPr>
              <w:jc w:val="center"/>
              <w:rPr>
                <w:color w:val="000000"/>
                <w:sz w:val="18"/>
                <w:lang w:val="es-MX"/>
              </w:rPr>
            </w:pPr>
            <w:r>
              <w:rPr>
                <w:color w:val="000000"/>
                <w:sz w:val="18"/>
                <w:lang w:val="es-MX"/>
              </w:rPr>
              <w:t>Agenda Nacional de Energía del Ecuador, socializada con las instituciones del sector.</w:t>
            </w:r>
          </w:p>
        </w:tc>
      </w:tr>
      <w:tr w:rsidR="00C12307" w:rsidRPr="00C12307" w14:paraId="5A43916C" w14:textId="77777777" w:rsidTr="0086140B">
        <w:trPr>
          <w:trHeight w:val="1538"/>
        </w:trPr>
        <w:tc>
          <w:tcPr>
            <w:tcW w:w="1650" w:type="dxa"/>
            <w:vMerge/>
            <w:vAlign w:val="center"/>
          </w:tcPr>
          <w:p w14:paraId="455C3472" w14:textId="77777777" w:rsidR="00C12307" w:rsidRDefault="00C12307" w:rsidP="0086140B">
            <w:pPr>
              <w:jc w:val="center"/>
              <w:rPr>
                <w:bCs/>
                <w:color w:val="000000"/>
                <w:sz w:val="18"/>
                <w:lang w:val="es-MX"/>
              </w:rPr>
            </w:pPr>
          </w:p>
        </w:tc>
        <w:tc>
          <w:tcPr>
            <w:tcW w:w="1549" w:type="dxa"/>
            <w:vAlign w:val="center"/>
          </w:tcPr>
          <w:p w14:paraId="7D54E30F" w14:textId="77777777" w:rsidR="00C12307" w:rsidRDefault="00C12307" w:rsidP="0086140B">
            <w:pPr>
              <w:jc w:val="center"/>
              <w:rPr>
                <w:bCs/>
                <w:color w:val="000000"/>
                <w:sz w:val="18"/>
                <w:lang w:val="es-MX"/>
              </w:rPr>
            </w:pPr>
            <w:r>
              <w:rPr>
                <w:bCs/>
                <w:color w:val="000000"/>
                <w:sz w:val="18"/>
                <w:lang w:val="es-MX"/>
              </w:rPr>
              <w:t>Preparación y actualización del Balance y Prospectiva Energética Nacional.</w:t>
            </w:r>
          </w:p>
        </w:tc>
        <w:tc>
          <w:tcPr>
            <w:tcW w:w="2129" w:type="dxa"/>
            <w:vAlign w:val="center"/>
          </w:tcPr>
          <w:p w14:paraId="3C97BAFF" w14:textId="77777777" w:rsidR="00C12307" w:rsidRDefault="00C12307" w:rsidP="0086140B">
            <w:pPr>
              <w:jc w:val="center"/>
              <w:rPr>
                <w:bCs/>
                <w:color w:val="000000"/>
                <w:sz w:val="18"/>
                <w:lang w:val="es-MX"/>
              </w:rPr>
            </w:pPr>
            <w:r>
              <w:rPr>
                <w:bCs/>
                <w:color w:val="000000"/>
                <w:sz w:val="18"/>
                <w:lang w:val="es-MX"/>
              </w:rPr>
              <w:t>Balance Energético Nacional-BEN 2014</w:t>
            </w:r>
            <w:r>
              <w:rPr>
                <w:rStyle w:val="FootnoteReference"/>
                <w:bCs/>
                <w:color w:val="000000"/>
                <w:sz w:val="18"/>
                <w:lang w:val="es-MX"/>
              </w:rPr>
              <w:footnoteReference w:id="3"/>
            </w:r>
            <w:r>
              <w:rPr>
                <w:bCs/>
                <w:color w:val="000000"/>
                <w:sz w:val="18"/>
                <w:lang w:val="es-MX"/>
              </w:rPr>
              <w:t>, elaborado y publicado.</w:t>
            </w:r>
          </w:p>
        </w:tc>
        <w:tc>
          <w:tcPr>
            <w:tcW w:w="2250" w:type="dxa"/>
            <w:vAlign w:val="center"/>
          </w:tcPr>
          <w:p w14:paraId="23EDAEEA" w14:textId="77777777" w:rsidR="00C12307" w:rsidRDefault="00C12307" w:rsidP="0086140B">
            <w:pPr>
              <w:jc w:val="center"/>
              <w:rPr>
                <w:bCs/>
                <w:color w:val="000000"/>
                <w:sz w:val="18"/>
                <w:lang w:val="es-MX"/>
              </w:rPr>
            </w:pPr>
            <w:r>
              <w:rPr>
                <w:bCs/>
                <w:color w:val="000000"/>
                <w:sz w:val="18"/>
                <w:lang w:val="es-MX"/>
              </w:rPr>
              <w:t>Prospectiva Energética de Ecuador 2015 – 2040, preparada y aprobada.</w:t>
            </w:r>
          </w:p>
          <w:p w14:paraId="705C1E85" w14:textId="77777777" w:rsidR="00C12307" w:rsidRDefault="00C12307" w:rsidP="0086140B">
            <w:pPr>
              <w:jc w:val="center"/>
              <w:rPr>
                <w:bCs/>
                <w:color w:val="000000"/>
                <w:sz w:val="18"/>
                <w:lang w:val="es-MX"/>
              </w:rPr>
            </w:pPr>
          </w:p>
          <w:p w14:paraId="190BDA84" w14:textId="77777777" w:rsidR="00C12307" w:rsidRDefault="00C12307" w:rsidP="0086140B">
            <w:pPr>
              <w:jc w:val="center"/>
              <w:rPr>
                <w:bCs/>
                <w:color w:val="000000"/>
                <w:sz w:val="18"/>
                <w:lang w:val="es-MX"/>
              </w:rPr>
            </w:pPr>
            <w:r>
              <w:rPr>
                <w:bCs/>
                <w:color w:val="000000"/>
                <w:sz w:val="18"/>
                <w:lang w:val="es-MX"/>
              </w:rPr>
              <w:t>Balance Energético Nacional 2015, elaborado y publicado.</w:t>
            </w:r>
          </w:p>
        </w:tc>
        <w:tc>
          <w:tcPr>
            <w:tcW w:w="2502" w:type="dxa"/>
            <w:vAlign w:val="center"/>
          </w:tcPr>
          <w:p w14:paraId="76CAB9B7" w14:textId="77777777" w:rsidR="00C12307" w:rsidRDefault="00C12307" w:rsidP="0086140B">
            <w:pPr>
              <w:jc w:val="center"/>
              <w:rPr>
                <w:color w:val="000000"/>
                <w:sz w:val="18"/>
                <w:lang w:val="es-MX"/>
              </w:rPr>
            </w:pPr>
            <w:r>
              <w:rPr>
                <w:bCs/>
                <w:color w:val="000000"/>
                <w:sz w:val="18"/>
                <w:lang w:val="es-MX"/>
              </w:rPr>
              <w:t>Balance Energético Nacional 2016, elaborado y publicado.</w:t>
            </w:r>
          </w:p>
        </w:tc>
      </w:tr>
      <w:tr w:rsidR="00C12307" w:rsidRPr="00C12307" w14:paraId="362DF001" w14:textId="77777777" w:rsidTr="0086140B">
        <w:trPr>
          <w:tblHeader/>
        </w:trPr>
        <w:tc>
          <w:tcPr>
            <w:tcW w:w="10080" w:type="dxa"/>
            <w:gridSpan w:val="5"/>
            <w:shd w:val="clear" w:color="000000" w:fill="000000"/>
          </w:tcPr>
          <w:p w14:paraId="6D2EC44F" w14:textId="77777777" w:rsidR="00C12307" w:rsidRDefault="00C12307" w:rsidP="0086140B">
            <w:pPr>
              <w:rPr>
                <w:b/>
                <w:bCs/>
                <w:color w:val="000000"/>
                <w:lang w:val="es-MX"/>
              </w:rPr>
            </w:pPr>
            <w:r>
              <w:rPr>
                <w:b/>
                <w:bCs/>
                <w:color w:val="000000"/>
                <w:lang w:val="es-MX"/>
              </w:rPr>
              <w:t xml:space="preserve">II. </w:t>
            </w:r>
            <w:r>
              <w:rPr>
                <w:b/>
                <w:lang w:val="es-MX"/>
              </w:rPr>
              <w:t>Fortalecimiento del subsector eléctrico</w:t>
            </w:r>
          </w:p>
        </w:tc>
      </w:tr>
      <w:tr w:rsidR="00C12307" w:rsidRPr="00C12307" w14:paraId="6E77AFAC" w14:textId="77777777" w:rsidTr="0086140B">
        <w:trPr>
          <w:trHeight w:val="2070"/>
        </w:trPr>
        <w:tc>
          <w:tcPr>
            <w:tcW w:w="1650" w:type="dxa"/>
            <w:vAlign w:val="center"/>
          </w:tcPr>
          <w:p w14:paraId="1B5D2005" w14:textId="77777777" w:rsidR="00C12307" w:rsidRDefault="00C12307" w:rsidP="0086140B">
            <w:pPr>
              <w:jc w:val="center"/>
              <w:rPr>
                <w:bCs/>
                <w:color w:val="000000"/>
                <w:sz w:val="18"/>
                <w:lang w:val="es-MX"/>
              </w:rPr>
            </w:pPr>
            <w:r>
              <w:rPr>
                <w:bCs/>
                <w:color w:val="000000"/>
                <w:sz w:val="18"/>
                <w:lang w:val="es-ES"/>
              </w:rPr>
              <w:t xml:space="preserve"> Consumo creciente de combustibles fósiles líquidos en la generación eléctrica no sostenible.</w:t>
            </w:r>
          </w:p>
          <w:p w14:paraId="5EA2287F" w14:textId="77777777" w:rsidR="00C12307" w:rsidRDefault="00C12307" w:rsidP="0086140B">
            <w:pPr>
              <w:jc w:val="center"/>
              <w:rPr>
                <w:bCs/>
                <w:color w:val="000000"/>
                <w:sz w:val="18"/>
                <w:lang w:val="es-MX"/>
              </w:rPr>
            </w:pPr>
          </w:p>
        </w:tc>
        <w:tc>
          <w:tcPr>
            <w:tcW w:w="1549" w:type="dxa"/>
            <w:vAlign w:val="center"/>
          </w:tcPr>
          <w:p w14:paraId="0DF87152" w14:textId="77777777" w:rsidR="00C12307" w:rsidRDefault="00C12307" w:rsidP="0086140B">
            <w:pPr>
              <w:jc w:val="center"/>
              <w:rPr>
                <w:bCs/>
                <w:color w:val="000000"/>
                <w:sz w:val="18"/>
                <w:lang w:val="es-MX"/>
              </w:rPr>
            </w:pPr>
            <w:r>
              <w:rPr>
                <w:bCs/>
                <w:color w:val="000000"/>
                <w:sz w:val="18"/>
                <w:lang w:val="es-ES"/>
              </w:rPr>
              <w:t xml:space="preserve">Reducción del consumo de combustibles líquidos para la generación y expansión de la capacidad de generación con fuentes </w:t>
            </w:r>
            <w:r>
              <w:rPr>
                <w:bCs/>
                <w:color w:val="000000"/>
                <w:sz w:val="18"/>
                <w:lang w:val="es-ES"/>
              </w:rPr>
              <w:lastRenderedPageBreak/>
              <w:t>renovables y gas natural.</w:t>
            </w:r>
          </w:p>
        </w:tc>
        <w:tc>
          <w:tcPr>
            <w:tcW w:w="2129" w:type="dxa"/>
            <w:vAlign w:val="center"/>
          </w:tcPr>
          <w:p w14:paraId="0F2020D2" w14:textId="77777777" w:rsidR="00C12307" w:rsidRPr="006869E5" w:rsidRDefault="00C12307" w:rsidP="0086140B">
            <w:pPr>
              <w:jc w:val="center"/>
              <w:rPr>
                <w:bCs/>
                <w:color w:val="000000"/>
                <w:sz w:val="18"/>
                <w:lang w:val="es-MX"/>
              </w:rPr>
            </w:pPr>
            <w:r>
              <w:rPr>
                <w:bCs/>
                <w:color w:val="000000"/>
                <w:sz w:val="18"/>
                <w:lang w:val="es-MX"/>
              </w:rPr>
              <w:lastRenderedPageBreak/>
              <w:t xml:space="preserve">Resolución del CONELEC del </w:t>
            </w:r>
            <w:r w:rsidRPr="006869E5">
              <w:rPr>
                <w:bCs/>
                <w:color w:val="000000"/>
                <w:sz w:val="18"/>
                <w:lang w:val="es-MX"/>
              </w:rPr>
              <w:t xml:space="preserve">Plan </w:t>
            </w:r>
            <w:r>
              <w:rPr>
                <w:bCs/>
                <w:color w:val="000000"/>
                <w:sz w:val="18"/>
                <w:lang w:val="es-MX"/>
              </w:rPr>
              <w:t>de Expansión y Desarrollo del Sistema Nacional Eléctrico 2013-2022, aprobado.</w:t>
            </w:r>
          </w:p>
          <w:p w14:paraId="5E97DD72" w14:textId="77777777" w:rsidR="00C12307" w:rsidRPr="006869E5" w:rsidRDefault="00C12307" w:rsidP="0086140B">
            <w:pPr>
              <w:rPr>
                <w:bCs/>
                <w:color w:val="000000"/>
                <w:sz w:val="18"/>
                <w:lang w:val="es-MX"/>
              </w:rPr>
            </w:pPr>
          </w:p>
          <w:p w14:paraId="0317515C" w14:textId="77777777" w:rsidR="00C12307" w:rsidRPr="006869E5" w:rsidRDefault="00C12307" w:rsidP="0086140B">
            <w:pPr>
              <w:jc w:val="center"/>
              <w:rPr>
                <w:bCs/>
                <w:color w:val="000000"/>
                <w:sz w:val="18"/>
                <w:lang w:val="es-MX"/>
              </w:rPr>
            </w:pPr>
          </w:p>
        </w:tc>
        <w:tc>
          <w:tcPr>
            <w:tcW w:w="2250" w:type="dxa"/>
            <w:vAlign w:val="center"/>
          </w:tcPr>
          <w:p w14:paraId="3098DBF6" w14:textId="77777777" w:rsidR="00C12307" w:rsidRPr="006840A3" w:rsidRDefault="00C12307" w:rsidP="0086140B">
            <w:pPr>
              <w:jc w:val="center"/>
              <w:rPr>
                <w:bCs/>
                <w:color w:val="000000"/>
                <w:sz w:val="18"/>
                <w:lang w:val="es-MX"/>
              </w:rPr>
            </w:pPr>
            <w:r w:rsidRPr="006840A3">
              <w:rPr>
                <w:bCs/>
                <w:color w:val="000000"/>
                <w:sz w:val="18"/>
                <w:lang w:val="es-MX"/>
              </w:rPr>
              <w:t xml:space="preserve">Entrada en operación de nuevos proyectos </w:t>
            </w:r>
            <w:r w:rsidRPr="002A2D18">
              <w:rPr>
                <w:bCs/>
                <w:sz w:val="18"/>
                <w:lang w:val="es-MX"/>
              </w:rPr>
              <w:t xml:space="preserve">hidroeléctricos por </w:t>
            </w:r>
            <w:r>
              <w:rPr>
                <w:bCs/>
                <w:sz w:val="18"/>
                <w:lang w:val="es-MX"/>
              </w:rPr>
              <w:t>al menos 130</w:t>
            </w:r>
            <w:r w:rsidRPr="002A2D18">
              <w:rPr>
                <w:bCs/>
                <w:sz w:val="18"/>
                <w:lang w:val="es-MX"/>
              </w:rPr>
              <w:t xml:space="preserve"> MW y</w:t>
            </w:r>
            <w:r>
              <w:rPr>
                <w:bCs/>
                <w:sz w:val="18"/>
                <w:lang w:val="es-MX"/>
              </w:rPr>
              <w:t xml:space="preserve"> a base de gas natural por al menos 70</w:t>
            </w:r>
            <w:r w:rsidRPr="002A2D18">
              <w:rPr>
                <w:bCs/>
                <w:sz w:val="18"/>
                <w:lang w:val="es-MX"/>
              </w:rPr>
              <w:t xml:space="preserve"> MW</w:t>
            </w:r>
            <w:r>
              <w:rPr>
                <w:bCs/>
                <w:sz w:val="18"/>
                <w:lang w:val="es-MX"/>
              </w:rPr>
              <w:t>.</w:t>
            </w:r>
            <w:r w:rsidRPr="002A2D18">
              <w:rPr>
                <w:bCs/>
                <w:sz w:val="18"/>
                <w:lang w:val="es-MX"/>
              </w:rPr>
              <w:t xml:space="preserve"> </w:t>
            </w:r>
          </w:p>
        </w:tc>
        <w:tc>
          <w:tcPr>
            <w:tcW w:w="2502" w:type="dxa"/>
            <w:vAlign w:val="center"/>
          </w:tcPr>
          <w:p w14:paraId="733B4648" w14:textId="77777777" w:rsidR="00C12307" w:rsidRPr="002A2D18" w:rsidRDefault="00C12307" w:rsidP="0086140B">
            <w:pPr>
              <w:jc w:val="center"/>
              <w:rPr>
                <w:bCs/>
                <w:sz w:val="18"/>
                <w:lang w:val="es-MX"/>
              </w:rPr>
            </w:pPr>
            <w:r w:rsidRPr="002A2D18">
              <w:rPr>
                <w:bCs/>
                <w:sz w:val="18"/>
                <w:lang w:val="es-MX"/>
              </w:rPr>
              <w:t xml:space="preserve">Entrada en operación de nuevos proyectos hidroeléctricos por </w:t>
            </w:r>
            <w:r>
              <w:rPr>
                <w:bCs/>
                <w:sz w:val="18"/>
                <w:lang w:val="es-MX"/>
              </w:rPr>
              <w:t xml:space="preserve">al menos </w:t>
            </w:r>
            <w:r w:rsidRPr="002A2D18">
              <w:rPr>
                <w:bCs/>
                <w:sz w:val="18"/>
                <w:lang w:val="es-MX"/>
              </w:rPr>
              <w:t>2,</w:t>
            </w:r>
            <w:r>
              <w:rPr>
                <w:bCs/>
                <w:sz w:val="18"/>
                <w:lang w:val="es-MX"/>
              </w:rPr>
              <w:t>000</w:t>
            </w:r>
            <w:r w:rsidRPr="002A2D18">
              <w:rPr>
                <w:bCs/>
                <w:sz w:val="18"/>
                <w:lang w:val="es-MX"/>
              </w:rPr>
              <w:t xml:space="preserve"> MW y</w:t>
            </w:r>
            <w:r>
              <w:rPr>
                <w:bCs/>
                <w:sz w:val="18"/>
                <w:lang w:val="es-MX"/>
              </w:rPr>
              <w:t xml:space="preserve"> </w:t>
            </w:r>
            <w:r w:rsidRPr="002A2D18">
              <w:rPr>
                <w:bCs/>
                <w:sz w:val="18"/>
                <w:lang w:val="es-MX"/>
              </w:rPr>
              <w:t>a base de gas natural</w:t>
            </w:r>
            <w:r>
              <w:rPr>
                <w:bCs/>
                <w:sz w:val="18"/>
                <w:lang w:val="es-MX"/>
              </w:rPr>
              <w:t xml:space="preserve"> por al menos</w:t>
            </w:r>
            <w:r w:rsidRPr="002A2D18">
              <w:rPr>
                <w:bCs/>
                <w:sz w:val="18"/>
                <w:lang w:val="es-MX"/>
              </w:rPr>
              <w:t xml:space="preserve"> 1</w:t>
            </w:r>
            <w:r>
              <w:rPr>
                <w:bCs/>
                <w:sz w:val="18"/>
                <w:lang w:val="es-MX"/>
              </w:rPr>
              <w:t>00</w:t>
            </w:r>
            <w:r w:rsidRPr="002A2D18">
              <w:rPr>
                <w:bCs/>
                <w:sz w:val="18"/>
                <w:lang w:val="es-MX"/>
              </w:rPr>
              <w:t xml:space="preserve"> MW</w:t>
            </w:r>
            <w:r>
              <w:rPr>
                <w:bCs/>
                <w:sz w:val="18"/>
                <w:lang w:val="es-MX"/>
              </w:rPr>
              <w:t>.</w:t>
            </w:r>
            <w:r w:rsidRPr="002A2D18">
              <w:rPr>
                <w:bCs/>
                <w:sz w:val="18"/>
                <w:lang w:val="es-MX"/>
              </w:rPr>
              <w:t xml:space="preserve"> </w:t>
            </w:r>
          </w:p>
          <w:p w14:paraId="440427CD" w14:textId="77777777" w:rsidR="00C12307" w:rsidRPr="002A2D18" w:rsidRDefault="00C12307" w:rsidP="0086140B">
            <w:pPr>
              <w:jc w:val="center"/>
              <w:rPr>
                <w:bCs/>
                <w:sz w:val="18"/>
                <w:lang w:val="es-MX"/>
              </w:rPr>
            </w:pPr>
          </w:p>
        </w:tc>
      </w:tr>
      <w:tr w:rsidR="00C12307" w:rsidRPr="00C12307" w14:paraId="13F9ABFE" w14:textId="77777777" w:rsidTr="0086140B">
        <w:trPr>
          <w:trHeight w:val="1240"/>
        </w:trPr>
        <w:tc>
          <w:tcPr>
            <w:tcW w:w="1650" w:type="dxa"/>
            <w:vMerge w:val="restart"/>
            <w:vAlign w:val="center"/>
          </w:tcPr>
          <w:p w14:paraId="009B4F47" w14:textId="77777777" w:rsidR="00C12307" w:rsidRPr="007D730E" w:rsidRDefault="00C12307" w:rsidP="0086140B">
            <w:pPr>
              <w:jc w:val="center"/>
              <w:rPr>
                <w:bCs/>
                <w:color w:val="000000"/>
                <w:sz w:val="18"/>
                <w:lang w:val="es-MX"/>
              </w:rPr>
            </w:pPr>
            <w:r w:rsidRPr="007D730E">
              <w:rPr>
                <w:bCs/>
                <w:color w:val="000000"/>
                <w:sz w:val="18"/>
                <w:lang w:val="es-MX"/>
              </w:rPr>
              <w:lastRenderedPageBreak/>
              <w:t xml:space="preserve">Mejora de la calidad del servicio de distribución eléctrica y de la sostenibilidad de la electrificación rural. </w:t>
            </w:r>
          </w:p>
          <w:p w14:paraId="613CF895" w14:textId="77777777" w:rsidR="00C12307" w:rsidRPr="007D730E" w:rsidRDefault="00C12307" w:rsidP="0086140B">
            <w:pPr>
              <w:jc w:val="center"/>
              <w:rPr>
                <w:bCs/>
                <w:color w:val="000000"/>
                <w:sz w:val="18"/>
                <w:lang w:val="es-MX"/>
              </w:rPr>
            </w:pPr>
          </w:p>
        </w:tc>
        <w:tc>
          <w:tcPr>
            <w:tcW w:w="1549" w:type="dxa"/>
            <w:vMerge w:val="restart"/>
            <w:vAlign w:val="center"/>
          </w:tcPr>
          <w:p w14:paraId="7B196942" w14:textId="77777777" w:rsidR="00C12307" w:rsidRDefault="00C12307" w:rsidP="0086140B">
            <w:pPr>
              <w:jc w:val="center"/>
              <w:rPr>
                <w:bCs/>
                <w:color w:val="000000"/>
                <w:sz w:val="18"/>
                <w:lang w:val="es-MX"/>
              </w:rPr>
            </w:pPr>
            <w:r>
              <w:rPr>
                <w:bCs/>
                <w:color w:val="000000"/>
                <w:sz w:val="18"/>
                <w:lang w:val="es-MX"/>
              </w:rPr>
              <w:t>Modernización del subsector eléctrico para mejorar su sostenibilidad, confiabilidad y facilitar la incorporación de nuevas cargas que resultan del cambio de la matriz energética.</w:t>
            </w:r>
          </w:p>
          <w:p w14:paraId="18E7FB52" w14:textId="77777777" w:rsidR="00C12307" w:rsidRDefault="00C12307" w:rsidP="0086140B">
            <w:pPr>
              <w:jc w:val="center"/>
              <w:rPr>
                <w:bCs/>
                <w:color w:val="000000"/>
                <w:sz w:val="18"/>
                <w:lang w:val="es-MX"/>
              </w:rPr>
            </w:pPr>
            <w:r>
              <w:rPr>
                <w:bCs/>
                <w:color w:val="000000"/>
                <w:sz w:val="18"/>
                <w:lang w:val="es-MX"/>
              </w:rPr>
              <w:t xml:space="preserve"> </w:t>
            </w:r>
          </w:p>
        </w:tc>
        <w:tc>
          <w:tcPr>
            <w:tcW w:w="2129" w:type="dxa"/>
            <w:vAlign w:val="center"/>
          </w:tcPr>
          <w:p w14:paraId="16A13350" w14:textId="77777777" w:rsidR="00C12307" w:rsidRDefault="00C12307" w:rsidP="0086140B">
            <w:pPr>
              <w:jc w:val="center"/>
              <w:rPr>
                <w:bCs/>
                <w:color w:val="000000"/>
                <w:sz w:val="18"/>
                <w:lang w:val="es-MX"/>
              </w:rPr>
            </w:pPr>
            <w:r>
              <w:rPr>
                <w:bCs/>
                <w:color w:val="000000"/>
                <w:sz w:val="18"/>
                <w:lang w:val="es-MX"/>
              </w:rPr>
              <w:t>Proyecto de ley Orgánica del Servicio Público de Energía Eléctrica (LOSPEE), presentada a la Asamblea Nacional y aprobada</w:t>
            </w:r>
          </w:p>
        </w:tc>
        <w:tc>
          <w:tcPr>
            <w:tcW w:w="2250" w:type="dxa"/>
            <w:vAlign w:val="center"/>
          </w:tcPr>
          <w:p w14:paraId="413A3238" w14:textId="77777777" w:rsidR="00C12307" w:rsidRDefault="00C12307" w:rsidP="0086140B">
            <w:pPr>
              <w:jc w:val="center"/>
              <w:rPr>
                <w:bCs/>
                <w:color w:val="000000"/>
                <w:sz w:val="18"/>
                <w:lang w:val="es-MX"/>
              </w:rPr>
            </w:pPr>
            <w:r>
              <w:rPr>
                <w:bCs/>
                <w:color w:val="000000"/>
                <w:sz w:val="18"/>
                <w:lang w:val="es-MX"/>
              </w:rPr>
              <w:t>LOSPEE publicada y su proyecto de  Reglamento General preparado y puesto a consideración de la Presidencia</w:t>
            </w:r>
          </w:p>
        </w:tc>
        <w:tc>
          <w:tcPr>
            <w:tcW w:w="2502" w:type="dxa"/>
            <w:vAlign w:val="center"/>
          </w:tcPr>
          <w:p w14:paraId="70A563FC" w14:textId="77777777" w:rsidR="00C12307" w:rsidRDefault="00C12307" w:rsidP="0086140B">
            <w:pPr>
              <w:jc w:val="center"/>
              <w:rPr>
                <w:bCs/>
                <w:color w:val="000000"/>
                <w:sz w:val="18"/>
                <w:lang w:val="es-MX"/>
              </w:rPr>
            </w:pPr>
            <w:r>
              <w:rPr>
                <w:bCs/>
                <w:color w:val="000000"/>
                <w:sz w:val="18"/>
                <w:lang w:val="es-MX"/>
              </w:rPr>
              <w:t>Reglamento General de la LOSPE, publicado.</w:t>
            </w:r>
          </w:p>
        </w:tc>
      </w:tr>
      <w:tr w:rsidR="00C12307" w:rsidRPr="00C12307" w14:paraId="55BA6691" w14:textId="77777777" w:rsidTr="0086140B">
        <w:trPr>
          <w:trHeight w:val="1240"/>
        </w:trPr>
        <w:tc>
          <w:tcPr>
            <w:tcW w:w="1650" w:type="dxa"/>
            <w:vMerge/>
            <w:vAlign w:val="center"/>
          </w:tcPr>
          <w:p w14:paraId="6C47E2E6" w14:textId="77777777" w:rsidR="00C12307" w:rsidRPr="002D1C20" w:rsidRDefault="00C12307" w:rsidP="0086140B">
            <w:pPr>
              <w:jc w:val="center"/>
              <w:rPr>
                <w:bCs/>
                <w:color w:val="000000"/>
                <w:sz w:val="18"/>
                <w:lang w:val="es-MX"/>
              </w:rPr>
            </w:pPr>
          </w:p>
        </w:tc>
        <w:tc>
          <w:tcPr>
            <w:tcW w:w="1549" w:type="dxa"/>
            <w:vMerge/>
            <w:vAlign w:val="center"/>
          </w:tcPr>
          <w:p w14:paraId="1CD8712A" w14:textId="77777777" w:rsidR="00C12307" w:rsidRDefault="00C12307" w:rsidP="0086140B">
            <w:pPr>
              <w:jc w:val="center"/>
              <w:rPr>
                <w:bCs/>
                <w:color w:val="000000"/>
                <w:sz w:val="18"/>
                <w:lang w:val="es-MX"/>
              </w:rPr>
            </w:pPr>
          </w:p>
        </w:tc>
        <w:tc>
          <w:tcPr>
            <w:tcW w:w="2129" w:type="dxa"/>
            <w:vAlign w:val="center"/>
          </w:tcPr>
          <w:p w14:paraId="367A2968" w14:textId="77777777" w:rsidR="00C12307" w:rsidRDefault="00C12307" w:rsidP="0086140B">
            <w:pPr>
              <w:jc w:val="center"/>
              <w:rPr>
                <w:bCs/>
                <w:color w:val="000000"/>
                <w:sz w:val="18"/>
                <w:lang w:val="es-MX"/>
              </w:rPr>
            </w:pPr>
            <w:r>
              <w:rPr>
                <w:bCs/>
                <w:color w:val="000000"/>
                <w:sz w:val="18"/>
                <w:lang w:val="es-MX"/>
              </w:rPr>
              <w:t>Política de reducción del déficit tarifario mediante el aumento de la tarifa eléctrica, aprobado por el CONELEC</w:t>
            </w:r>
            <w:r>
              <w:rPr>
                <w:rStyle w:val="FootnoteReference"/>
                <w:bCs/>
                <w:color w:val="000000"/>
                <w:sz w:val="18"/>
                <w:lang w:val="es-MX"/>
              </w:rPr>
              <w:footnoteReference w:id="4"/>
            </w:r>
            <w:r>
              <w:rPr>
                <w:bCs/>
                <w:color w:val="000000"/>
                <w:sz w:val="18"/>
                <w:lang w:val="es-MX"/>
              </w:rPr>
              <w:t xml:space="preserve"> </w:t>
            </w:r>
          </w:p>
        </w:tc>
        <w:tc>
          <w:tcPr>
            <w:tcW w:w="2250" w:type="dxa"/>
            <w:vAlign w:val="center"/>
          </w:tcPr>
          <w:p w14:paraId="079349C2" w14:textId="77777777" w:rsidR="00C12307" w:rsidRDefault="00C12307" w:rsidP="0086140B">
            <w:pPr>
              <w:jc w:val="center"/>
              <w:rPr>
                <w:bCs/>
                <w:color w:val="000000"/>
                <w:sz w:val="18"/>
                <w:lang w:val="es-MX"/>
              </w:rPr>
            </w:pPr>
            <w:r w:rsidRPr="006840A3">
              <w:rPr>
                <w:bCs/>
                <w:color w:val="000000"/>
                <w:sz w:val="18"/>
                <w:lang w:val="es-MX"/>
              </w:rPr>
              <w:t>Indicador de pérdidas eléctricas totales</w:t>
            </w:r>
            <w:r>
              <w:rPr>
                <w:rStyle w:val="FootnoteReference"/>
                <w:bCs/>
                <w:color w:val="000000"/>
                <w:sz w:val="18"/>
                <w:lang w:val="es-MX"/>
              </w:rPr>
              <w:footnoteReference w:id="5"/>
            </w:r>
            <w:r w:rsidRPr="006840A3">
              <w:rPr>
                <w:bCs/>
                <w:color w:val="000000"/>
                <w:sz w:val="18"/>
                <w:lang w:val="es-MX"/>
              </w:rPr>
              <w:t xml:space="preserve"> por debajo de 14%. </w:t>
            </w:r>
          </w:p>
        </w:tc>
        <w:tc>
          <w:tcPr>
            <w:tcW w:w="2502" w:type="dxa"/>
            <w:vAlign w:val="center"/>
          </w:tcPr>
          <w:p w14:paraId="38815C30" w14:textId="77777777" w:rsidR="00C12307" w:rsidRDefault="00C12307" w:rsidP="0086140B">
            <w:pPr>
              <w:jc w:val="center"/>
              <w:rPr>
                <w:bCs/>
                <w:color w:val="000000"/>
                <w:sz w:val="18"/>
                <w:lang w:val="es-MX"/>
              </w:rPr>
            </w:pPr>
            <w:r>
              <w:rPr>
                <w:bCs/>
                <w:color w:val="000000"/>
                <w:sz w:val="18"/>
                <w:lang w:val="es-MX"/>
              </w:rPr>
              <w:t>Índice de recuperación de efectivo, promedio nacional (CRI, por sus siglas en inglés), de las Empresas Públicas Eléctricas Distribuidoras,  por encima de 75%.</w:t>
            </w:r>
          </w:p>
        </w:tc>
      </w:tr>
      <w:tr w:rsidR="00C12307" w:rsidRPr="00C12307" w14:paraId="60C1FBBC" w14:textId="77777777" w:rsidTr="0086140B">
        <w:trPr>
          <w:trHeight w:val="1240"/>
        </w:trPr>
        <w:tc>
          <w:tcPr>
            <w:tcW w:w="1650" w:type="dxa"/>
            <w:vMerge/>
            <w:vAlign w:val="center"/>
          </w:tcPr>
          <w:p w14:paraId="6AFDAD4D" w14:textId="77777777" w:rsidR="00C12307" w:rsidRPr="002D1C20" w:rsidRDefault="00C12307" w:rsidP="0086140B">
            <w:pPr>
              <w:jc w:val="center"/>
              <w:rPr>
                <w:bCs/>
                <w:color w:val="000000"/>
                <w:sz w:val="18"/>
                <w:lang w:val="es-MX"/>
              </w:rPr>
            </w:pPr>
          </w:p>
        </w:tc>
        <w:tc>
          <w:tcPr>
            <w:tcW w:w="1549" w:type="dxa"/>
            <w:vMerge/>
            <w:vAlign w:val="center"/>
          </w:tcPr>
          <w:p w14:paraId="20EE6101" w14:textId="77777777" w:rsidR="00C12307" w:rsidRDefault="00C12307" w:rsidP="0086140B">
            <w:pPr>
              <w:jc w:val="center"/>
              <w:rPr>
                <w:bCs/>
                <w:color w:val="000000"/>
                <w:sz w:val="18"/>
                <w:lang w:val="es-MX"/>
              </w:rPr>
            </w:pPr>
          </w:p>
        </w:tc>
        <w:tc>
          <w:tcPr>
            <w:tcW w:w="2129" w:type="dxa"/>
            <w:vAlign w:val="center"/>
          </w:tcPr>
          <w:p w14:paraId="740C2AC4" w14:textId="77777777" w:rsidR="00C12307" w:rsidRDefault="00C12307" w:rsidP="0086140B">
            <w:pPr>
              <w:jc w:val="center"/>
              <w:rPr>
                <w:bCs/>
                <w:color w:val="000000"/>
                <w:sz w:val="18"/>
                <w:lang w:val="es-MX"/>
              </w:rPr>
            </w:pPr>
            <w:r w:rsidRPr="009454CE">
              <w:rPr>
                <w:bCs/>
                <w:color w:val="000000"/>
                <w:sz w:val="18"/>
                <w:lang w:val="es-MX"/>
              </w:rPr>
              <w:t>Acuerdo Mini</w:t>
            </w:r>
            <w:r w:rsidRPr="00154E1D">
              <w:rPr>
                <w:bCs/>
                <w:color w:val="000000"/>
                <w:sz w:val="18"/>
                <w:lang w:val="es-MX"/>
              </w:rPr>
              <w:t>sterial par</w:t>
            </w:r>
            <w:r w:rsidRPr="009454CE">
              <w:rPr>
                <w:bCs/>
                <w:color w:val="000000"/>
                <w:sz w:val="18"/>
                <w:lang w:val="es-MX"/>
              </w:rPr>
              <w:t xml:space="preserve">a la creación del </w:t>
            </w:r>
            <w:r w:rsidRPr="00154E1D">
              <w:rPr>
                <w:bCs/>
                <w:color w:val="000000"/>
                <w:sz w:val="18"/>
                <w:lang w:val="es-MX"/>
              </w:rPr>
              <w:t>Comité Interinstitucional para la implementación del Programa Nacional de Redes Inteligentes</w:t>
            </w:r>
            <w:r>
              <w:rPr>
                <w:bCs/>
                <w:color w:val="000000"/>
                <w:sz w:val="18"/>
                <w:lang w:val="es-MX"/>
              </w:rPr>
              <w:t>,</w:t>
            </w:r>
            <w:r w:rsidRPr="00154E1D">
              <w:rPr>
                <w:bCs/>
                <w:color w:val="000000"/>
                <w:sz w:val="18"/>
                <w:lang w:val="es-MX"/>
              </w:rPr>
              <w:t xml:space="preserve"> aprobado</w:t>
            </w:r>
            <w:r w:rsidRPr="00256E0D">
              <w:rPr>
                <w:bCs/>
                <w:color w:val="000000"/>
                <w:sz w:val="18"/>
                <w:lang w:val="es-MX"/>
              </w:rPr>
              <w:t>.</w:t>
            </w:r>
          </w:p>
        </w:tc>
        <w:tc>
          <w:tcPr>
            <w:tcW w:w="2250" w:type="dxa"/>
            <w:vAlign w:val="center"/>
          </w:tcPr>
          <w:p w14:paraId="11D1A561" w14:textId="77777777" w:rsidR="00C12307" w:rsidRDefault="00C12307" w:rsidP="0086140B">
            <w:pPr>
              <w:jc w:val="center"/>
              <w:rPr>
                <w:bCs/>
                <w:color w:val="000000"/>
                <w:sz w:val="18"/>
                <w:lang w:val="es-MX"/>
              </w:rPr>
            </w:pPr>
            <w:r w:rsidRPr="006840A3">
              <w:rPr>
                <w:bCs/>
                <w:color w:val="000000"/>
                <w:sz w:val="18"/>
                <w:lang w:val="es-MX"/>
              </w:rPr>
              <w:t xml:space="preserve">Primeros </w:t>
            </w:r>
            <w:r>
              <w:rPr>
                <w:bCs/>
                <w:color w:val="000000"/>
                <w:sz w:val="18"/>
                <w:lang w:val="es-MX"/>
              </w:rPr>
              <w:t>diseños</w:t>
            </w:r>
            <w:r w:rsidRPr="006840A3">
              <w:rPr>
                <w:bCs/>
                <w:color w:val="000000"/>
                <w:sz w:val="18"/>
                <w:lang w:val="es-MX"/>
              </w:rPr>
              <w:t xml:space="preserve"> y capacitación para la incorporación de los principios de las redes inteligentes en el SND, contratados.</w:t>
            </w:r>
          </w:p>
        </w:tc>
        <w:tc>
          <w:tcPr>
            <w:tcW w:w="2502" w:type="dxa"/>
            <w:vAlign w:val="center"/>
          </w:tcPr>
          <w:p w14:paraId="32C23D9A" w14:textId="77777777" w:rsidR="00C12307" w:rsidRDefault="00C12307" w:rsidP="0086140B">
            <w:pPr>
              <w:jc w:val="center"/>
              <w:rPr>
                <w:bCs/>
                <w:color w:val="000000"/>
                <w:sz w:val="18"/>
                <w:lang w:val="es-MX"/>
              </w:rPr>
            </w:pPr>
            <w:r>
              <w:rPr>
                <w:bCs/>
                <w:color w:val="000000"/>
                <w:sz w:val="18"/>
                <w:lang w:val="es-MX"/>
              </w:rPr>
              <w:t xml:space="preserve">Proyectos del PRSND basados en principios de redes inteligentes </w:t>
            </w:r>
            <w:r w:rsidRPr="003B75DB">
              <w:rPr>
                <w:bCs/>
                <w:color w:val="000000"/>
                <w:sz w:val="18"/>
                <w:lang w:val="es-MX"/>
              </w:rPr>
              <w:t>en ejecución</w:t>
            </w:r>
            <w:r>
              <w:rPr>
                <w:bCs/>
                <w:color w:val="000000"/>
                <w:sz w:val="18"/>
                <w:lang w:val="es-MX"/>
              </w:rPr>
              <w:t>.</w:t>
            </w:r>
            <w:r>
              <w:rPr>
                <w:bCs/>
                <w:color w:val="000000"/>
                <w:sz w:val="18"/>
                <w:u w:val="single"/>
                <w:lang w:val="es-MX"/>
              </w:rPr>
              <w:t xml:space="preserve"> </w:t>
            </w:r>
          </w:p>
        </w:tc>
      </w:tr>
      <w:tr w:rsidR="00C12307" w:rsidRPr="00A2537C" w14:paraId="43749A31" w14:textId="77777777" w:rsidTr="0086140B">
        <w:trPr>
          <w:trHeight w:val="710"/>
        </w:trPr>
        <w:tc>
          <w:tcPr>
            <w:tcW w:w="1650" w:type="dxa"/>
            <w:vMerge/>
            <w:vAlign w:val="center"/>
          </w:tcPr>
          <w:p w14:paraId="0CE33D62" w14:textId="77777777" w:rsidR="00C12307" w:rsidRPr="002D1C20" w:rsidRDefault="00C12307" w:rsidP="0086140B">
            <w:pPr>
              <w:jc w:val="center"/>
              <w:rPr>
                <w:bCs/>
                <w:color w:val="000000"/>
                <w:sz w:val="18"/>
                <w:lang w:val="es-MX"/>
              </w:rPr>
            </w:pPr>
          </w:p>
        </w:tc>
        <w:tc>
          <w:tcPr>
            <w:tcW w:w="1549" w:type="dxa"/>
            <w:vMerge/>
            <w:vAlign w:val="center"/>
          </w:tcPr>
          <w:p w14:paraId="04B6832A" w14:textId="77777777" w:rsidR="00C12307" w:rsidRDefault="00C12307" w:rsidP="0086140B">
            <w:pPr>
              <w:jc w:val="center"/>
              <w:rPr>
                <w:bCs/>
                <w:color w:val="000000"/>
                <w:sz w:val="18"/>
                <w:lang w:val="es-MX"/>
              </w:rPr>
            </w:pPr>
          </w:p>
        </w:tc>
        <w:tc>
          <w:tcPr>
            <w:tcW w:w="2129" w:type="dxa"/>
            <w:vAlign w:val="center"/>
          </w:tcPr>
          <w:p w14:paraId="68D29C53" w14:textId="77777777" w:rsidR="00C12307" w:rsidRDefault="00C12307" w:rsidP="0086140B">
            <w:pPr>
              <w:jc w:val="center"/>
              <w:rPr>
                <w:bCs/>
                <w:color w:val="000000"/>
                <w:sz w:val="18"/>
                <w:lang w:val="es-MX"/>
              </w:rPr>
            </w:pPr>
            <w:r>
              <w:rPr>
                <w:bCs/>
                <w:color w:val="000000"/>
                <w:sz w:val="18"/>
                <w:lang w:val="es-MX"/>
              </w:rPr>
              <w:t>Dictamen de prioridad emitido por la SENPLADES  para el desarrollo del</w:t>
            </w:r>
            <w:r w:rsidRPr="009454CE">
              <w:rPr>
                <w:bCs/>
                <w:color w:val="000000"/>
                <w:sz w:val="18"/>
                <w:lang w:val="es-MX"/>
              </w:rPr>
              <w:t xml:space="preserve"> </w:t>
            </w:r>
            <w:r w:rsidRPr="00850282">
              <w:rPr>
                <w:bCs/>
                <w:color w:val="000000"/>
                <w:sz w:val="18"/>
                <w:lang w:val="es-MX"/>
              </w:rPr>
              <w:t>Programa</w:t>
            </w:r>
            <w:r>
              <w:rPr>
                <w:bCs/>
                <w:color w:val="000000"/>
                <w:sz w:val="18"/>
                <w:lang w:val="es-MX"/>
              </w:rPr>
              <w:t xml:space="preserve"> de Mejoramiento de la Distribución (PMD), </w:t>
            </w:r>
            <w:r w:rsidRPr="00850282">
              <w:rPr>
                <w:bCs/>
                <w:color w:val="000000"/>
                <w:sz w:val="18"/>
                <w:lang w:val="es-MX"/>
              </w:rPr>
              <w:t>que facilite la implementación del Programa Nacional de Cocción Eficiente (PNCE), aprobado y primera etapa</w:t>
            </w:r>
            <w:r w:rsidRPr="00850282">
              <w:rPr>
                <w:rStyle w:val="FootnoteReference"/>
                <w:bCs/>
                <w:color w:val="000000"/>
                <w:sz w:val="18"/>
                <w:lang w:val="es-MX"/>
              </w:rPr>
              <w:footnoteReference w:id="6"/>
            </w:r>
            <w:r w:rsidRPr="00850282">
              <w:rPr>
                <w:bCs/>
                <w:color w:val="000000"/>
                <w:sz w:val="18"/>
                <w:lang w:val="es-MX"/>
              </w:rPr>
              <w:t xml:space="preserve"> en ejecución.</w:t>
            </w:r>
          </w:p>
        </w:tc>
        <w:tc>
          <w:tcPr>
            <w:tcW w:w="2250" w:type="dxa"/>
            <w:vAlign w:val="center"/>
          </w:tcPr>
          <w:p w14:paraId="72C41396" w14:textId="77777777" w:rsidR="00C12307" w:rsidRDefault="00C12307" w:rsidP="0086140B">
            <w:pPr>
              <w:jc w:val="center"/>
              <w:rPr>
                <w:bCs/>
                <w:color w:val="000000"/>
                <w:sz w:val="18"/>
                <w:lang w:val="es-MX"/>
              </w:rPr>
            </w:pPr>
            <w:r>
              <w:rPr>
                <w:bCs/>
                <w:color w:val="000000"/>
                <w:sz w:val="18"/>
                <w:lang w:val="es-MX"/>
              </w:rPr>
              <w:t>Programa Nacional para el Reforzamiento del Sistema de Distribución Eléctrica (</w:t>
            </w:r>
            <w:r w:rsidRPr="003B75DB">
              <w:rPr>
                <w:sz w:val="18"/>
                <w:szCs w:val="18"/>
                <w:lang w:val="es-ES_tradnl"/>
              </w:rPr>
              <w:t>PRSND</w:t>
            </w:r>
            <w:r>
              <w:rPr>
                <w:bCs/>
                <w:color w:val="000000"/>
                <w:sz w:val="18"/>
                <w:lang w:val="es-MX"/>
              </w:rPr>
              <w:t>), Segunda Etapa en ejecución.</w:t>
            </w:r>
          </w:p>
        </w:tc>
        <w:tc>
          <w:tcPr>
            <w:tcW w:w="2502" w:type="dxa"/>
            <w:vAlign w:val="center"/>
          </w:tcPr>
          <w:p w14:paraId="67304FDC" w14:textId="77777777" w:rsidR="00C12307" w:rsidRDefault="00C12307" w:rsidP="0086140B">
            <w:pPr>
              <w:jc w:val="center"/>
              <w:rPr>
                <w:bCs/>
                <w:color w:val="000000"/>
                <w:sz w:val="18"/>
                <w:lang w:val="es-MX"/>
              </w:rPr>
            </w:pPr>
            <w:r>
              <w:rPr>
                <w:bCs/>
                <w:color w:val="000000"/>
                <w:sz w:val="18"/>
                <w:lang w:val="es-MX"/>
              </w:rPr>
              <w:t>Primera Etapa del Programa Nacional para el Reforzamiento del Sistema de Distribución Eléctrica (</w:t>
            </w:r>
            <w:r w:rsidRPr="003B75DB">
              <w:rPr>
                <w:sz w:val="18"/>
                <w:szCs w:val="18"/>
                <w:lang w:val="es-ES_tradnl"/>
              </w:rPr>
              <w:t>PRSND</w:t>
            </w:r>
            <w:r>
              <w:rPr>
                <w:bCs/>
                <w:color w:val="000000"/>
                <w:sz w:val="18"/>
                <w:lang w:val="es-MX"/>
              </w:rPr>
              <w:t>), con 50% de avance. Inicio de ejecución de la Tercera Etapa.</w:t>
            </w:r>
          </w:p>
        </w:tc>
      </w:tr>
      <w:tr w:rsidR="00C12307" w:rsidRPr="00C12307" w14:paraId="4FDC6BAA" w14:textId="77777777" w:rsidTr="0086140B">
        <w:trPr>
          <w:trHeight w:val="1240"/>
        </w:trPr>
        <w:tc>
          <w:tcPr>
            <w:tcW w:w="1650" w:type="dxa"/>
            <w:vMerge/>
            <w:vAlign w:val="center"/>
          </w:tcPr>
          <w:p w14:paraId="6B4C1986" w14:textId="77777777" w:rsidR="00C12307" w:rsidRPr="002732F5" w:rsidRDefault="00C12307" w:rsidP="0086140B">
            <w:pPr>
              <w:jc w:val="center"/>
              <w:rPr>
                <w:b/>
                <w:bCs/>
                <w:color w:val="000000"/>
                <w:sz w:val="18"/>
                <w:lang w:val="es-MX"/>
              </w:rPr>
            </w:pPr>
          </w:p>
        </w:tc>
        <w:tc>
          <w:tcPr>
            <w:tcW w:w="1549" w:type="dxa"/>
            <w:vAlign w:val="center"/>
          </w:tcPr>
          <w:p w14:paraId="617C0DB5" w14:textId="77777777" w:rsidR="00C12307" w:rsidRDefault="00C12307" w:rsidP="0086140B">
            <w:pPr>
              <w:jc w:val="center"/>
              <w:rPr>
                <w:bCs/>
                <w:color w:val="000000"/>
                <w:sz w:val="18"/>
                <w:lang w:val="es-MX"/>
              </w:rPr>
            </w:pPr>
          </w:p>
        </w:tc>
        <w:tc>
          <w:tcPr>
            <w:tcW w:w="2129" w:type="dxa"/>
            <w:vAlign w:val="center"/>
          </w:tcPr>
          <w:p w14:paraId="6F26C579" w14:textId="77777777" w:rsidR="00C12307" w:rsidRDefault="00C12307" w:rsidP="0086140B">
            <w:pPr>
              <w:jc w:val="center"/>
              <w:rPr>
                <w:bCs/>
                <w:color w:val="000000"/>
                <w:sz w:val="18"/>
                <w:lang w:val="es-MX"/>
              </w:rPr>
            </w:pPr>
            <w:r w:rsidRPr="00A62C91">
              <w:rPr>
                <w:bCs/>
                <w:color w:val="000000"/>
                <w:sz w:val="18"/>
                <w:lang w:val="es-MX"/>
              </w:rPr>
              <w:t xml:space="preserve">Metodología </w:t>
            </w:r>
            <w:r>
              <w:rPr>
                <w:bCs/>
                <w:color w:val="000000"/>
                <w:sz w:val="18"/>
                <w:lang w:val="es-MX"/>
              </w:rPr>
              <w:t>de sostenibilidad</w:t>
            </w:r>
            <w:r w:rsidRPr="00A62C91">
              <w:rPr>
                <w:bCs/>
                <w:color w:val="000000"/>
                <w:sz w:val="18"/>
                <w:lang w:val="es-MX"/>
              </w:rPr>
              <w:t xml:space="preserve"> para </w:t>
            </w:r>
            <w:r>
              <w:rPr>
                <w:bCs/>
                <w:color w:val="000000"/>
                <w:sz w:val="18"/>
                <w:lang w:val="es-MX"/>
              </w:rPr>
              <w:t>el financiamiento</w:t>
            </w:r>
            <w:r w:rsidRPr="00A62C91">
              <w:rPr>
                <w:bCs/>
                <w:color w:val="000000"/>
                <w:sz w:val="18"/>
                <w:lang w:val="es-MX"/>
              </w:rPr>
              <w:t xml:space="preserve"> </w:t>
            </w:r>
            <w:r>
              <w:rPr>
                <w:bCs/>
                <w:color w:val="000000"/>
                <w:sz w:val="18"/>
                <w:lang w:val="es-MX"/>
              </w:rPr>
              <w:t xml:space="preserve">de  proyectos de </w:t>
            </w:r>
            <w:r w:rsidRPr="00A62C91">
              <w:rPr>
                <w:bCs/>
                <w:color w:val="000000"/>
                <w:sz w:val="18"/>
                <w:lang w:val="es-MX"/>
              </w:rPr>
              <w:t xml:space="preserve">electrificación rural aislada, preparada y aprobada por el </w:t>
            </w:r>
            <w:r w:rsidRPr="001168A9">
              <w:rPr>
                <w:bCs/>
                <w:color w:val="000000"/>
                <w:sz w:val="18"/>
                <w:lang w:val="es-MX"/>
              </w:rPr>
              <w:t>MEER.</w:t>
            </w:r>
          </w:p>
        </w:tc>
        <w:tc>
          <w:tcPr>
            <w:tcW w:w="2250" w:type="dxa"/>
            <w:vAlign w:val="center"/>
          </w:tcPr>
          <w:p w14:paraId="3D72A24D" w14:textId="77777777" w:rsidR="00C12307" w:rsidRDefault="00C12307" w:rsidP="0086140B">
            <w:pPr>
              <w:jc w:val="center"/>
              <w:rPr>
                <w:bCs/>
                <w:color w:val="000000"/>
                <w:sz w:val="18"/>
                <w:lang w:val="es-MX"/>
              </w:rPr>
            </w:pPr>
            <w:r w:rsidRPr="006840A3">
              <w:rPr>
                <w:bCs/>
                <w:color w:val="000000"/>
                <w:sz w:val="18"/>
                <w:lang w:val="es-MX"/>
              </w:rPr>
              <w:t>Proyectos de electrificación rural aislada, seleccionados</w:t>
            </w:r>
            <w:r>
              <w:rPr>
                <w:bCs/>
                <w:color w:val="000000"/>
                <w:sz w:val="18"/>
                <w:lang w:val="es-MX"/>
              </w:rPr>
              <w:t xml:space="preserve"> </w:t>
            </w:r>
            <w:r w:rsidRPr="006840A3">
              <w:rPr>
                <w:bCs/>
                <w:color w:val="000000"/>
                <w:sz w:val="18"/>
                <w:lang w:val="es-MX"/>
              </w:rPr>
              <w:t xml:space="preserve"> y aprobados </w:t>
            </w:r>
            <w:r>
              <w:rPr>
                <w:bCs/>
                <w:color w:val="000000"/>
                <w:sz w:val="18"/>
                <w:lang w:val="es-MX"/>
              </w:rPr>
              <w:t xml:space="preserve">según metodología de sostenibilidad, </w:t>
            </w:r>
            <w:r w:rsidRPr="006840A3">
              <w:rPr>
                <w:bCs/>
                <w:color w:val="000000"/>
                <w:sz w:val="18"/>
                <w:lang w:val="es-MX"/>
              </w:rPr>
              <w:t>para financiamiento</w:t>
            </w:r>
            <w:r>
              <w:rPr>
                <w:bCs/>
                <w:color w:val="000000"/>
                <w:sz w:val="18"/>
                <w:lang w:val="es-MX"/>
              </w:rPr>
              <w:t>.</w:t>
            </w:r>
          </w:p>
        </w:tc>
        <w:tc>
          <w:tcPr>
            <w:tcW w:w="2502" w:type="dxa"/>
            <w:vAlign w:val="center"/>
          </w:tcPr>
          <w:p w14:paraId="71C93AA9" w14:textId="77777777" w:rsidR="00C12307" w:rsidRDefault="00C12307" w:rsidP="0086140B">
            <w:pPr>
              <w:jc w:val="center"/>
              <w:rPr>
                <w:bCs/>
                <w:color w:val="000000"/>
                <w:sz w:val="18"/>
                <w:lang w:val="es-MX"/>
              </w:rPr>
            </w:pPr>
            <w:r w:rsidRPr="006840A3">
              <w:rPr>
                <w:bCs/>
                <w:color w:val="000000"/>
                <w:sz w:val="18"/>
                <w:lang w:val="es-MX"/>
              </w:rPr>
              <w:t xml:space="preserve">Proyectos de electrificación rural </w:t>
            </w:r>
            <w:r>
              <w:rPr>
                <w:bCs/>
                <w:color w:val="000000"/>
                <w:sz w:val="18"/>
                <w:lang w:val="es-MX"/>
              </w:rPr>
              <w:t>aislada 2014</w:t>
            </w:r>
            <w:r w:rsidRPr="006840A3">
              <w:rPr>
                <w:bCs/>
                <w:color w:val="000000"/>
                <w:sz w:val="18"/>
                <w:lang w:val="es-MX"/>
              </w:rPr>
              <w:t xml:space="preserve">, en </w:t>
            </w:r>
            <w:r>
              <w:rPr>
                <w:bCs/>
                <w:color w:val="000000"/>
                <w:sz w:val="18"/>
                <w:lang w:val="es-MX"/>
              </w:rPr>
              <w:t>ejecución</w:t>
            </w:r>
            <w:r w:rsidRPr="006840A3">
              <w:rPr>
                <w:bCs/>
                <w:color w:val="000000"/>
                <w:sz w:val="18"/>
                <w:lang w:val="es-MX"/>
              </w:rPr>
              <w:t>.</w:t>
            </w:r>
          </w:p>
        </w:tc>
      </w:tr>
      <w:tr w:rsidR="00C12307" w:rsidRPr="00C12307" w14:paraId="1F397A97" w14:textId="77777777" w:rsidTr="0086140B">
        <w:trPr>
          <w:trHeight w:val="1240"/>
        </w:trPr>
        <w:tc>
          <w:tcPr>
            <w:tcW w:w="1650" w:type="dxa"/>
            <w:vMerge/>
            <w:vAlign w:val="center"/>
          </w:tcPr>
          <w:p w14:paraId="561B45C7" w14:textId="77777777" w:rsidR="00C12307" w:rsidRPr="002732F5" w:rsidRDefault="00C12307" w:rsidP="0086140B">
            <w:pPr>
              <w:jc w:val="center"/>
              <w:rPr>
                <w:b/>
                <w:bCs/>
                <w:color w:val="000000"/>
                <w:sz w:val="18"/>
                <w:lang w:val="es-MX"/>
              </w:rPr>
            </w:pPr>
          </w:p>
        </w:tc>
        <w:tc>
          <w:tcPr>
            <w:tcW w:w="1549" w:type="dxa"/>
            <w:vMerge w:val="restart"/>
            <w:vAlign w:val="center"/>
          </w:tcPr>
          <w:p w14:paraId="6F50C825" w14:textId="77777777" w:rsidR="00C12307" w:rsidRDefault="00C12307" w:rsidP="0086140B">
            <w:pPr>
              <w:jc w:val="center"/>
              <w:rPr>
                <w:bCs/>
                <w:color w:val="000000"/>
                <w:sz w:val="18"/>
                <w:lang w:val="es-MX"/>
              </w:rPr>
            </w:pPr>
            <w:r>
              <w:rPr>
                <w:bCs/>
                <w:color w:val="000000"/>
                <w:sz w:val="18"/>
                <w:lang w:val="es-MX"/>
              </w:rPr>
              <w:t>Mejora en la provisión del servicio de distribución eléctrico en zonas rurales.</w:t>
            </w:r>
          </w:p>
        </w:tc>
        <w:tc>
          <w:tcPr>
            <w:tcW w:w="2129" w:type="dxa"/>
            <w:vAlign w:val="center"/>
          </w:tcPr>
          <w:p w14:paraId="091B2004" w14:textId="77777777" w:rsidR="00C12307" w:rsidRDefault="00C12307" w:rsidP="0086140B">
            <w:pPr>
              <w:jc w:val="center"/>
              <w:rPr>
                <w:bCs/>
                <w:color w:val="000000"/>
                <w:sz w:val="18"/>
                <w:lang w:val="es-MX"/>
              </w:rPr>
            </w:pPr>
            <w:r>
              <w:rPr>
                <w:bCs/>
                <w:color w:val="000000"/>
                <w:sz w:val="18"/>
                <w:lang w:val="es-MX"/>
              </w:rPr>
              <w:t>Metodología de sostenibilidad</w:t>
            </w:r>
            <w:r>
              <w:rPr>
                <w:rStyle w:val="FootnoteReference"/>
                <w:bCs/>
                <w:color w:val="000000"/>
                <w:sz w:val="18"/>
                <w:lang w:val="es-MX"/>
              </w:rPr>
              <w:footnoteReference w:id="7"/>
            </w:r>
            <w:r>
              <w:rPr>
                <w:bCs/>
                <w:color w:val="000000"/>
                <w:sz w:val="18"/>
                <w:lang w:val="es-MX"/>
              </w:rPr>
              <w:t xml:space="preserve"> para el financiamiento de proyectos de electrificación rural 2013-2014 con extensión de red, implementada.</w:t>
            </w:r>
          </w:p>
        </w:tc>
        <w:tc>
          <w:tcPr>
            <w:tcW w:w="2250" w:type="dxa"/>
            <w:vAlign w:val="center"/>
          </w:tcPr>
          <w:p w14:paraId="70A7F492" w14:textId="77777777" w:rsidR="00C12307" w:rsidRDefault="00C12307" w:rsidP="0086140B">
            <w:pPr>
              <w:jc w:val="center"/>
              <w:rPr>
                <w:bCs/>
                <w:color w:val="000000"/>
                <w:sz w:val="18"/>
                <w:lang w:val="es-MX"/>
              </w:rPr>
            </w:pPr>
            <w:r>
              <w:rPr>
                <w:bCs/>
                <w:color w:val="000000"/>
                <w:sz w:val="18"/>
                <w:lang w:val="es-MX"/>
              </w:rPr>
              <w:t xml:space="preserve">Proyectos de electrificación rural con extensión de red 2013-2014, en construcción. </w:t>
            </w:r>
          </w:p>
        </w:tc>
        <w:tc>
          <w:tcPr>
            <w:tcW w:w="2502" w:type="dxa"/>
            <w:vAlign w:val="center"/>
          </w:tcPr>
          <w:p w14:paraId="765E6AF0" w14:textId="77777777" w:rsidR="00C12307" w:rsidRPr="003406B5" w:rsidRDefault="00C12307" w:rsidP="0086140B">
            <w:pPr>
              <w:jc w:val="center"/>
              <w:rPr>
                <w:bCs/>
                <w:color w:val="000000"/>
                <w:sz w:val="18"/>
                <w:u w:val="single"/>
                <w:lang w:val="es-MX"/>
              </w:rPr>
            </w:pPr>
            <w:r>
              <w:rPr>
                <w:bCs/>
                <w:color w:val="000000"/>
                <w:sz w:val="18"/>
                <w:lang w:val="es-MX"/>
              </w:rPr>
              <w:t>Proyectos de electrificación rural con extensión de red 2013-2014, construidos e incorporados en el sistema comercial de las Empresas Eléctricas Distribuidoras.</w:t>
            </w:r>
          </w:p>
        </w:tc>
      </w:tr>
      <w:tr w:rsidR="00C12307" w:rsidRPr="00C12307" w14:paraId="25B76864" w14:textId="77777777" w:rsidTr="0086140B">
        <w:tc>
          <w:tcPr>
            <w:tcW w:w="1650" w:type="dxa"/>
            <w:vMerge/>
            <w:vAlign w:val="center"/>
          </w:tcPr>
          <w:p w14:paraId="7B20C101" w14:textId="77777777" w:rsidR="00C12307" w:rsidRDefault="00C12307" w:rsidP="0086140B">
            <w:pPr>
              <w:jc w:val="center"/>
              <w:rPr>
                <w:bCs/>
                <w:color w:val="000000"/>
                <w:sz w:val="18"/>
                <w:lang w:val="es-MX"/>
              </w:rPr>
            </w:pPr>
          </w:p>
        </w:tc>
        <w:tc>
          <w:tcPr>
            <w:tcW w:w="1549" w:type="dxa"/>
            <w:vMerge/>
            <w:vAlign w:val="center"/>
          </w:tcPr>
          <w:p w14:paraId="32992E83" w14:textId="77777777" w:rsidR="00C12307" w:rsidRDefault="00C12307" w:rsidP="0086140B">
            <w:pPr>
              <w:jc w:val="center"/>
              <w:rPr>
                <w:bCs/>
                <w:color w:val="000000"/>
                <w:sz w:val="18"/>
                <w:lang w:val="es-MX"/>
              </w:rPr>
            </w:pPr>
          </w:p>
        </w:tc>
        <w:tc>
          <w:tcPr>
            <w:tcW w:w="2129" w:type="dxa"/>
            <w:vAlign w:val="center"/>
          </w:tcPr>
          <w:p w14:paraId="399A27B0" w14:textId="77777777" w:rsidR="00C12307" w:rsidRDefault="00C12307" w:rsidP="0086140B">
            <w:pPr>
              <w:jc w:val="center"/>
              <w:rPr>
                <w:bCs/>
                <w:color w:val="000000"/>
                <w:sz w:val="18"/>
                <w:lang w:val="es-MX"/>
              </w:rPr>
            </w:pPr>
            <w:r>
              <w:rPr>
                <w:bCs/>
                <w:color w:val="000000"/>
                <w:sz w:val="18"/>
                <w:lang w:val="es-MX"/>
              </w:rPr>
              <w:t>Estrategia para la evaluación de impacto de proyectos de electrificación rural, aprobada por el MEER y en proceso de implementación.</w:t>
            </w:r>
          </w:p>
        </w:tc>
        <w:tc>
          <w:tcPr>
            <w:tcW w:w="2250" w:type="dxa"/>
            <w:vAlign w:val="center"/>
          </w:tcPr>
          <w:p w14:paraId="69F16B71" w14:textId="77777777" w:rsidR="00C12307" w:rsidRDefault="00C12307" w:rsidP="0086140B">
            <w:pPr>
              <w:jc w:val="center"/>
              <w:rPr>
                <w:bCs/>
                <w:color w:val="000000"/>
                <w:sz w:val="18"/>
                <w:lang w:val="es-MX"/>
              </w:rPr>
            </w:pPr>
            <w:r>
              <w:rPr>
                <w:bCs/>
                <w:color w:val="000000"/>
                <w:sz w:val="18"/>
                <w:lang w:val="es-MX"/>
              </w:rPr>
              <w:t>Proyectos de tratamiento de la estrategia de evaluación de impacto, ejecutados.</w:t>
            </w:r>
          </w:p>
        </w:tc>
        <w:tc>
          <w:tcPr>
            <w:tcW w:w="2502" w:type="dxa"/>
            <w:vAlign w:val="center"/>
          </w:tcPr>
          <w:p w14:paraId="6DB3CC74" w14:textId="77777777" w:rsidR="00C12307" w:rsidRDefault="00C12307" w:rsidP="0086140B">
            <w:pPr>
              <w:jc w:val="center"/>
              <w:rPr>
                <w:bCs/>
                <w:color w:val="000000"/>
                <w:sz w:val="18"/>
                <w:lang w:val="es-MX"/>
              </w:rPr>
            </w:pPr>
            <w:r>
              <w:rPr>
                <w:bCs/>
                <w:color w:val="000000"/>
                <w:sz w:val="18"/>
                <w:lang w:val="es-MX"/>
              </w:rPr>
              <w:t>Informe final de evaluación de impacto de proyectos de electrificación rural aprobado por el MEER para publicación.</w:t>
            </w:r>
          </w:p>
        </w:tc>
      </w:tr>
      <w:tr w:rsidR="00C12307" w:rsidRPr="00C12307" w14:paraId="303E8601" w14:textId="77777777" w:rsidTr="0086140B">
        <w:trPr>
          <w:tblHeader/>
        </w:trPr>
        <w:tc>
          <w:tcPr>
            <w:tcW w:w="10080" w:type="dxa"/>
            <w:gridSpan w:val="5"/>
            <w:shd w:val="clear" w:color="000000" w:fill="000000"/>
          </w:tcPr>
          <w:p w14:paraId="082C8D89" w14:textId="77777777" w:rsidR="00C12307" w:rsidRPr="00B92B9D" w:rsidRDefault="00C12307" w:rsidP="0086140B">
            <w:pPr>
              <w:rPr>
                <w:b/>
                <w:bCs/>
                <w:color w:val="000000"/>
                <w:lang w:val="es-MX"/>
              </w:rPr>
            </w:pPr>
            <w:r w:rsidRPr="00B92B9D">
              <w:rPr>
                <w:b/>
                <w:bCs/>
                <w:color w:val="000000"/>
                <w:lang w:val="es-MX"/>
              </w:rPr>
              <w:t xml:space="preserve">II. </w:t>
            </w:r>
            <w:r w:rsidRPr="00B92B9D">
              <w:rPr>
                <w:b/>
                <w:lang w:val="es-MX"/>
              </w:rPr>
              <w:t>Apoyo a la integración eléctrica regional</w:t>
            </w:r>
          </w:p>
        </w:tc>
      </w:tr>
      <w:tr w:rsidR="00C12307" w:rsidRPr="00C12307" w14:paraId="2B507701" w14:textId="77777777" w:rsidTr="0086140B">
        <w:tc>
          <w:tcPr>
            <w:tcW w:w="1650" w:type="dxa"/>
            <w:vMerge w:val="restart"/>
            <w:vAlign w:val="center"/>
          </w:tcPr>
          <w:p w14:paraId="69A7A7E8" w14:textId="77777777" w:rsidR="00C12307" w:rsidRDefault="00C12307" w:rsidP="0086140B">
            <w:pPr>
              <w:jc w:val="center"/>
              <w:rPr>
                <w:bCs/>
                <w:color w:val="000000"/>
                <w:sz w:val="18"/>
                <w:lang w:val="es-MX"/>
              </w:rPr>
            </w:pPr>
            <w:r>
              <w:rPr>
                <w:bCs/>
                <w:color w:val="000000"/>
                <w:sz w:val="18"/>
                <w:lang w:val="es-MX"/>
              </w:rPr>
              <w:t>Necesidad de fomentar el intercambio eléctrico comercial en la región como medida para fomentar la integración. Energética Regional, aprovechando la complementariedad de los sistemas y los excedentes de capacidad de generación disponibles.</w:t>
            </w:r>
          </w:p>
        </w:tc>
        <w:tc>
          <w:tcPr>
            <w:tcW w:w="1549" w:type="dxa"/>
            <w:vMerge w:val="restart"/>
            <w:vAlign w:val="center"/>
          </w:tcPr>
          <w:p w14:paraId="5FE15D6D" w14:textId="77777777" w:rsidR="00C12307" w:rsidRDefault="00C12307" w:rsidP="0086140B">
            <w:pPr>
              <w:jc w:val="center"/>
              <w:rPr>
                <w:bCs/>
                <w:color w:val="000000"/>
                <w:sz w:val="18"/>
                <w:lang w:val="es-MX"/>
              </w:rPr>
            </w:pPr>
            <w:r>
              <w:rPr>
                <w:bCs/>
                <w:color w:val="000000"/>
                <w:sz w:val="18"/>
                <w:lang w:val="es-MX"/>
              </w:rPr>
              <w:t>Desarrollo del marco regulatorio e infraestructura que facilite las transacciones comerciales en la región.</w:t>
            </w:r>
          </w:p>
        </w:tc>
        <w:tc>
          <w:tcPr>
            <w:tcW w:w="2129" w:type="dxa"/>
            <w:vAlign w:val="center"/>
          </w:tcPr>
          <w:p w14:paraId="63C9F8E2" w14:textId="77777777" w:rsidR="00C12307" w:rsidRDefault="00C12307" w:rsidP="0086140B">
            <w:pPr>
              <w:jc w:val="center"/>
              <w:rPr>
                <w:bCs/>
                <w:color w:val="000000"/>
                <w:sz w:val="18"/>
                <w:lang w:val="es-MX"/>
              </w:rPr>
            </w:pPr>
            <w:r>
              <w:rPr>
                <w:bCs/>
                <w:color w:val="000000"/>
                <w:sz w:val="18"/>
                <w:lang w:val="es-MX"/>
              </w:rPr>
              <w:t xml:space="preserve">Acuerdo binacional del alcance del anteproyecto de una línea de transmisión en alta tensión (500 </w:t>
            </w:r>
            <w:proofErr w:type="spellStart"/>
            <w:r>
              <w:rPr>
                <w:bCs/>
                <w:color w:val="000000"/>
                <w:sz w:val="18"/>
                <w:lang w:val="es-MX"/>
              </w:rPr>
              <w:t>kV</w:t>
            </w:r>
            <w:proofErr w:type="spellEnd"/>
            <w:r>
              <w:rPr>
                <w:bCs/>
                <w:color w:val="000000"/>
                <w:sz w:val="18"/>
                <w:lang w:val="es-MX"/>
              </w:rPr>
              <w:t>) para la interconexión Ecuador-Perú, alcanzado.</w:t>
            </w:r>
          </w:p>
        </w:tc>
        <w:tc>
          <w:tcPr>
            <w:tcW w:w="2250" w:type="dxa"/>
            <w:vAlign w:val="center"/>
          </w:tcPr>
          <w:p w14:paraId="565DF195" w14:textId="77777777" w:rsidR="00C12307" w:rsidRDefault="00C12307" w:rsidP="0086140B">
            <w:pPr>
              <w:jc w:val="center"/>
              <w:rPr>
                <w:bCs/>
                <w:color w:val="000000"/>
                <w:sz w:val="18"/>
                <w:lang w:val="es-MX"/>
              </w:rPr>
            </w:pPr>
            <w:r>
              <w:rPr>
                <w:bCs/>
                <w:color w:val="000000"/>
                <w:sz w:val="18"/>
                <w:lang w:val="es-MX"/>
              </w:rPr>
              <w:t xml:space="preserve">Anteproyecto de una línea de transmisión en alta tensión (500 </w:t>
            </w:r>
            <w:proofErr w:type="spellStart"/>
            <w:r>
              <w:rPr>
                <w:bCs/>
                <w:color w:val="000000"/>
                <w:sz w:val="18"/>
                <w:lang w:val="es-MX"/>
              </w:rPr>
              <w:t>kV</w:t>
            </w:r>
            <w:proofErr w:type="spellEnd"/>
            <w:r>
              <w:rPr>
                <w:bCs/>
                <w:color w:val="000000"/>
                <w:sz w:val="18"/>
                <w:lang w:val="es-MX"/>
              </w:rPr>
              <w:t>) para la interconexión con Perú, preparación de diseños adjudicados.</w:t>
            </w:r>
          </w:p>
        </w:tc>
        <w:tc>
          <w:tcPr>
            <w:tcW w:w="2502" w:type="dxa"/>
            <w:vAlign w:val="center"/>
          </w:tcPr>
          <w:p w14:paraId="6D09C827" w14:textId="77777777" w:rsidR="00C12307" w:rsidRDefault="00C12307" w:rsidP="0086140B">
            <w:pPr>
              <w:jc w:val="center"/>
              <w:rPr>
                <w:bCs/>
                <w:color w:val="000000"/>
                <w:sz w:val="18"/>
                <w:lang w:val="es-MX"/>
              </w:rPr>
            </w:pPr>
            <w:r>
              <w:rPr>
                <w:bCs/>
                <w:color w:val="000000"/>
                <w:sz w:val="18"/>
                <w:lang w:val="es-MX"/>
              </w:rPr>
              <w:t xml:space="preserve">Anteproyecto de una línea de transmisión en alta tensión (500 </w:t>
            </w:r>
            <w:proofErr w:type="spellStart"/>
            <w:r>
              <w:rPr>
                <w:bCs/>
                <w:color w:val="000000"/>
                <w:sz w:val="18"/>
                <w:lang w:val="es-MX"/>
              </w:rPr>
              <w:t>kV</w:t>
            </w:r>
            <w:proofErr w:type="spellEnd"/>
            <w:r>
              <w:rPr>
                <w:bCs/>
                <w:color w:val="000000"/>
                <w:sz w:val="18"/>
                <w:lang w:val="es-MX"/>
              </w:rPr>
              <w:t>) para la interconexión con Perú, diseños finalizados.</w:t>
            </w:r>
          </w:p>
        </w:tc>
      </w:tr>
      <w:tr w:rsidR="00C12307" w:rsidRPr="00C12307" w14:paraId="54A67371" w14:textId="77777777" w:rsidTr="0086140B">
        <w:trPr>
          <w:trHeight w:val="1459"/>
        </w:trPr>
        <w:tc>
          <w:tcPr>
            <w:tcW w:w="1650" w:type="dxa"/>
            <w:vMerge/>
            <w:vAlign w:val="center"/>
          </w:tcPr>
          <w:p w14:paraId="48F23E59" w14:textId="77777777" w:rsidR="00C12307" w:rsidRDefault="00C12307" w:rsidP="0086140B">
            <w:pPr>
              <w:jc w:val="center"/>
              <w:rPr>
                <w:bCs/>
                <w:color w:val="000000"/>
                <w:sz w:val="18"/>
                <w:lang w:val="es-MX"/>
              </w:rPr>
            </w:pPr>
          </w:p>
        </w:tc>
        <w:tc>
          <w:tcPr>
            <w:tcW w:w="1549" w:type="dxa"/>
            <w:vMerge/>
            <w:vAlign w:val="center"/>
          </w:tcPr>
          <w:p w14:paraId="104EC622" w14:textId="77777777" w:rsidR="00C12307" w:rsidRDefault="00C12307" w:rsidP="0086140B">
            <w:pPr>
              <w:jc w:val="center"/>
              <w:rPr>
                <w:bCs/>
                <w:color w:val="000000"/>
                <w:sz w:val="18"/>
                <w:lang w:val="es-MX"/>
              </w:rPr>
            </w:pPr>
          </w:p>
        </w:tc>
        <w:tc>
          <w:tcPr>
            <w:tcW w:w="2129" w:type="dxa"/>
            <w:vAlign w:val="center"/>
          </w:tcPr>
          <w:p w14:paraId="3913CC1C" w14:textId="77777777" w:rsidR="00C12307" w:rsidRDefault="00C12307" w:rsidP="0086140B">
            <w:pPr>
              <w:jc w:val="center"/>
              <w:rPr>
                <w:bCs/>
                <w:color w:val="000000"/>
                <w:sz w:val="18"/>
                <w:lang w:val="es-MX"/>
              </w:rPr>
            </w:pPr>
            <w:r>
              <w:rPr>
                <w:bCs/>
                <w:color w:val="000000"/>
                <w:sz w:val="18"/>
                <w:lang w:val="es-MX"/>
              </w:rPr>
              <w:t xml:space="preserve">Propuesta de política de armonización normativa para intensificar el intercambio de electricidad con Perú en la conexión existente a 230 </w:t>
            </w:r>
            <w:proofErr w:type="spellStart"/>
            <w:r>
              <w:rPr>
                <w:bCs/>
                <w:color w:val="000000"/>
                <w:sz w:val="18"/>
                <w:lang w:val="es-MX"/>
              </w:rPr>
              <w:t>kV</w:t>
            </w:r>
            <w:proofErr w:type="spellEnd"/>
            <w:r>
              <w:rPr>
                <w:bCs/>
                <w:color w:val="000000"/>
                <w:sz w:val="18"/>
                <w:lang w:val="es-MX"/>
              </w:rPr>
              <w:t>, elaborada.</w:t>
            </w:r>
          </w:p>
          <w:p w14:paraId="478A2C22" w14:textId="77777777" w:rsidR="00C12307" w:rsidRDefault="00C12307" w:rsidP="0086140B">
            <w:pPr>
              <w:jc w:val="center"/>
              <w:rPr>
                <w:bCs/>
                <w:color w:val="000000"/>
                <w:sz w:val="18"/>
                <w:lang w:val="es-MX"/>
              </w:rPr>
            </w:pPr>
          </w:p>
        </w:tc>
        <w:tc>
          <w:tcPr>
            <w:tcW w:w="2250" w:type="dxa"/>
            <w:vAlign w:val="center"/>
          </w:tcPr>
          <w:p w14:paraId="1ACBE5A7" w14:textId="77777777" w:rsidR="00C12307" w:rsidRDefault="00C12307" w:rsidP="0086140B">
            <w:pPr>
              <w:jc w:val="center"/>
              <w:rPr>
                <w:bCs/>
                <w:color w:val="000000"/>
                <w:sz w:val="18"/>
                <w:lang w:val="es-MX"/>
              </w:rPr>
            </w:pPr>
            <w:r>
              <w:rPr>
                <w:bCs/>
                <w:color w:val="000000"/>
                <w:sz w:val="18"/>
                <w:lang w:val="es-MX"/>
              </w:rPr>
              <w:t xml:space="preserve">Propuesta de política de armonización normativa para intensificar el intercambio de electricidad con Perú en la conexión existente a 230 </w:t>
            </w:r>
            <w:proofErr w:type="spellStart"/>
            <w:r>
              <w:rPr>
                <w:bCs/>
                <w:color w:val="000000"/>
                <w:sz w:val="18"/>
                <w:lang w:val="es-MX"/>
              </w:rPr>
              <w:t>kV</w:t>
            </w:r>
            <w:proofErr w:type="spellEnd"/>
            <w:r>
              <w:rPr>
                <w:bCs/>
                <w:color w:val="000000"/>
                <w:sz w:val="18"/>
                <w:lang w:val="es-MX"/>
              </w:rPr>
              <w:t>, socializada entre los dos países.</w:t>
            </w:r>
          </w:p>
        </w:tc>
        <w:tc>
          <w:tcPr>
            <w:tcW w:w="2502" w:type="dxa"/>
            <w:vAlign w:val="center"/>
          </w:tcPr>
          <w:p w14:paraId="1B35EE38" w14:textId="77777777" w:rsidR="00C12307" w:rsidRDefault="00C12307" w:rsidP="0086140B">
            <w:pPr>
              <w:jc w:val="center"/>
              <w:rPr>
                <w:bCs/>
                <w:color w:val="000000"/>
                <w:sz w:val="18"/>
                <w:lang w:val="es-MX"/>
              </w:rPr>
            </w:pPr>
            <w:r>
              <w:rPr>
                <w:bCs/>
                <w:color w:val="000000"/>
                <w:sz w:val="18"/>
                <w:lang w:val="es-MX"/>
              </w:rPr>
              <w:t xml:space="preserve">Normativa para intensificar el intercambio de electricidad con Perú en la conexión existente a 230 </w:t>
            </w:r>
            <w:proofErr w:type="spellStart"/>
            <w:r>
              <w:rPr>
                <w:bCs/>
                <w:color w:val="000000"/>
                <w:sz w:val="18"/>
                <w:lang w:val="es-MX"/>
              </w:rPr>
              <w:t>kV</w:t>
            </w:r>
            <w:proofErr w:type="spellEnd"/>
            <w:r>
              <w:rPr>
                <w:bCs/>
                <w:color w:val="000000"/>
                <w:sz w:val="18"/>
                <w:lang w:val="es-MX"/>
              </w:rPr>
              <w:t xml:space="preserve">, aprobada por </w:t>
            </w:r>
            <w:proofErr w:type="spellStart"/>
            <w:r>
              <w:rPr>
                <w:bCs/>
                <w:color w:val="000000"/>
                <w:sz w:val="18"/>
                <w:lang w:val="es-MX"/>
              </w:rPr>
              <w:t>GdE</w:t>
            </w:r>
            <w:proofErr w:type="spellEnd"/>
            <w:r>
              <w:rPr>
                <w:bCs/>
                <w:color w:val="000000"/>
                <w:sz w:val="18"/>
                <w:lang w:val="es-MX"/>
              </w:rPr>
              <w:t xml:space="preserve">. </w:t>
            </w:r>
          </w:p>
          <w:p w14:paraId="7F0096CF" w14:textId="77777777" w:rsidR="00C12307" w:rsidRDefault="00C12307" w:rsidP="0086140B">
            <w:pPr>
              <w:jc w:val="center"/>
              <w:rPr>
                <w:bCs/>
                <w:color w:val="000000"/>
                <w:sz w:val="18"/>
                <w:lang w:val="es-MX"/>
              </w:rPr>
            </w:pPr>
          </w:p>
        </w:tc>
      </w:tr>
    </w:tbl>
    <w:p w14:paraId="119BF207" w14:textId="77777777" w:rsidR="00C8772D" w:rsidRPr="00C12307" w:rsidRDefault="00C8772D" w:rsidP="00C8772D">
      <w:pPr>
        <w:pStyle w:val="Banknumbered"/>
        <w:numPr>
          <w:ilvl w:val="0"/>
          <w:numId w:val="0"/>
        </w:numPr>
        <w:jc w:val="both"/>
        <w:rPr>
          <w:lang w:val="es-ES_tradnl"/>
        </w:rPr>
      </w:pPr>
    </w:p>
    <w:p w14:paraId="26A0B93B" w14:textId="737DE149" w:rsidR="00C8772D" w:rsidRDefault="00C8772D" w:rsidP="00C8772D">
      <w:pPr>
        <w:pStyle w:val="Banknumbered"/>
        <w:numPr>
          <w:ilvl w:val="0"/>
          <w:numId w:val="0"/>
        </w:numPr>
        <w:jc w:val="both"/>
        <w:rPr>
          <w:lang w:val="es-ES"/>
        </w:rPr>
      </w:pPr>
      <w:r>
        <w:rPr>
          <w:lang w:val="es-ES"/>
        </w:rPr>
        <w:t>En consecuencia con la matriz de política y el objetivo de la ope</w:t>
      </w:r>
      <w:r w:rsidR="00BC0909">
        <w:rPr>
          <w:lang w:val="es-ES"/>
        </w:rPr>
        <w:t xml:space="preserve">ración propuesta, la evaluación </w:t>
      </w:r>
      <w:r>
        <w:rPr>
          <w:lang w:val="es-ES"/>
        </w:rPr>
        <w:t>económica se concentró en los siguientes puntos:</w:t>
      </w:r>
    </w:p>
    <w:p w14:paraId="7EEED93B" w14:textId="77777777" w:rsidR="00C8772D" w:rsidRDefault="00C8772D" w:rsidP="00C8772D">
      <w:pPr>
        <w:pStyle w:val="Banknumbered"/>
        <w:numPr>
          <w:ilvl w:val="0"/>
          <w:numId w:val="0"/>
        </w:numPr>
        <w:jc w:val="both"/>
        <w:rPr>
          <w:lang w:val="es-ES"/>
        </w:rPr>
      </w:pPr>
    </w:p>
    <w:p w14:paraId="2C10B39B" w14:textId="77777777" w:rsidR="00C8772D" w:rsidRDefault="00C8772D" w:rsidP="00C8772D">
      <w:pPr>
        <w:pStyle w:val="Banknumbered"/>
        <w:numPr>
          <w:ilvl w:val="1"/>
          <w:numId w:val="1"/>
        </w:numPr>
        <w:ind w:left="720"/>
        <w:jc w:val="both"/>
        <w:rPr>
          <w:lang w:val="es-ES"/>
        </w:rPr>
      </w:pPr>
      <w:r>
        <w:rPr>
          <w:lang w:val="es-ES"/>
        </w:rPr>
        <w:t>Evaluación de las inversiones en centrales hidroeléctricas orientadas a transformar la matriz energética con la sustitución de combustibles líquidos;</w:t>
      </w:r>
    </w:p>
    <w:p w14:paraId="17C70EDD" w14:textId="77777777" w:rsidR="00C8772D" w:rsidRDefault="00C8772D" w:rsidP="00C8772D">
      <w:pPr>
        <w:pStyle w:val="Banknumbered"/>
        <w:numPr>
          <w:ilvl w:val="1"/>
          <w:numId w:val="1"/>
        </w:numPr>
        <w:ind w:left="720"/>
        <w:jc w:val="both"/>
        <w:rPr>
          <w:lang w:val="es-ES"/>
        </w:rPr>
      </w:pPr>
      <w:r>
        <w:rPr>
          <w:lang w:val="es-ES"/>
        </w:rPr>
        <w:lastRenderedPageBreak/>
        <w:t>Evaluación de la política de sustitución de GLP por electricidad</w:t>
      </w:r>
    </w:p>
    <w:p w14:paraId="4A91E7B0" w14:textId="77777777" w:rsidR="00C8772D" w:rsidRPr="00AF245D" w:rsidRDefault="00C8772D" w:rsidP="00C8772D">
      <w:pPr>
        <w:pStyle w:val="Heading1"/>
        <w:numPr>
          <w:ilvl w:val="0"/>
          <w:numId w:val="4"/>
        </w:numPr>
        <w:tabs>
          <w:tab w:val="left" w:pos="360"/>
        </w:tabs>
        <w:ind w:left="360"/>
        <w:jc w:val="both"/>
        <w:rPr>
          <w:lang w:val="es-ES"/>
        </w:rPr>
      </w:pPr>
      <w:bookmarkStart w:id="2" w:name="_Toc401572107"/>
      <w:r w:rsidRPr="00C62F89">
        <w:rPr>
          <w:lang w:val="es-ES"/>
        </w:rPr>
        <w:t>Análisis del cambio de la matriz energética del sector eléctrico con inversiones en</w:t>
      </w:r>
      <w:r w:rsidRPr="008847B8">
        <w:rPr>
          <w:lang w:val="es-ES"/>
        </w:rPr>
        <w:t xml:space="preserve"> hidroeléctricas</w:t>
      </w:r>
      <w:r w:rsidRPr="00727F6C">
        <w:rPr>
          <w:lang w:val="es-ES"/>
        </w:rPr>
        <w:t>, transmisión y distribución</w:t>
      </w:r>
      <w:bookmarkEnd w:id="2"/>
    </w:p>
    <w:p w14:paraId="5A7215A4" w14:textId="77777777" w:rsidR="00C8772D" w:rsidRDefault="00C8772D" w:rsidP="00C8772D">
      <w:pPr>
        <w:pStyle w:val="Heading2"/>
        <w:numPr>
          <w:ilvl w:val="1"/>
          <w:numId w:val="5"/>
        </w:numPr>
        <w:ind w:left="0" w:firstLine="0"/>
        <w:jc w:val="both"/>
        <w:rPr>
          <w:lang w:val="es-ES"/>
        </w:rPr>
      </w:pPr>
      <w:bookmarkStart w:id="3" w:name="_Toc401572108"/>
      <w:r>
        <w:rPr>
          <w:lang w:val="es-ES"/>
        </w:rPr>
        <w:t>Suposiciones y Metodología.</w:t>
      </w:r>
      <w:bookmarkEnd w:id="3"/>
    </w:p>
    <w:p w14:paraId="65B51216" w14:textId="77777777" w:rsidR="00C8772D" w:rsidRDefault="00C8772D" w:rsidP="00C8772D">
      <w:pPr>
        <w:pStyle w:val="Banknumbered"/>
        <w:numPr>
          <w:ilvl w:val="0"/>
          <w:numId w:val="0"/>
        </w:numPr>
        <w:jc w:val="both"/>
        <w:rPr>
          <w:lang w:val="es-ES"/>
        </w:rPr>
      </w:pPr>
      <w:r>
        <w:rPr>
          <w:lang w:val="es-ES"/>
        </w:rPr>
        <w:t>El Gobierno del Ecuador inició desde 2010 acciones enérgicas para reducir la dependencia de los combustibles fósiles en el sector eléctrico mediante inversiones considerables en nuevos proyectos hidroeléctricos.  Los planes a este respecto se hallan plasmados en el Plan Maestro de Electrificación 2013-2022 (PME) desarrollado por el Consejo Nacional de Energía Eléctrica (CONELEC) y aprobado en septiembre de 2013.</w:t>
      </w:r>
    </w:p>
    <w:p w14:paraId="6E83CA34" w14:textId="77777777" w:rsidR="00C8772D" w:rsidRDefault="00C8772D" w:rsidP="00C8772D">
      <w:pPr>
        <w:pStyle w:val="Banknumbered"/>
        <w:numPr>
          <w:ilvl w:val="0"/>
          <w:numId w:val="0"/>
        </w:numPr>
        <w:jc w:val="both"/>
        <w:rPr>
          <w:lang w:val="es-ES"/>
        </w:rPr>
      </w:pPr>
      <w:r>
        <w:rPr>
          <w:lang w:val="es-ES"/>
        </w:rPr>
        <w:t>Los resultados del plan en cuanto a la reducción de la dependencia de los combustibles fósiles se resumen en la Tabla 1, elaborado con base en el PME:</w:t>
      </w:r>
    </w:p>
    <w:p w14:paraId="50F12287" w14:textId="77777777" w:rsidR="00C8772D" w:rsidRDefault="00C8772D" w:rsidP="00C8772D">
      <w:pPr>
        <w:pStyle w:val="Banknumbered"/>
        <w:numPr>
          <w:ilvl w:val="0"/>
          <w:numId w:val="0"/>
        </w:numPr>
        <w:jc w:val="both"/>
        <w:rPr>
          <w:lang w:val="es-ES"/>
        </w:rPr>
      </w:pPr>
    </w:p>
    <w:p w14:paraId="4DC675A0" w14:textId="77777777" w:rsidR="00C8772D" w:rsidRPr="005B1B9F" w:rsidRDefault="00C8772D" w:rsidP="00C8772D">
      <w:pPr>
        <w:jc w:val="center"/>
        <w:rPr>
          <w:rFonts w:asciiTheme="minorHAnsi" w:hAnsiTheme="minorHAnsi"/>
          <w:sz w:val="20"/>
          <w:szCs w:val="20"/>
          <w:lang w:val="es-ES"/>
        </w:rPr>
      </w:pPr>
      <w:r>
        <w:rPr>
          <w:rFonts w:asciiTheme="minorHAnsi" w:hAnsiTheme="minorHAnsi"/>
          <w:sz w:val="20"/>
          <w:szCs w:val="20"/>
          <w:lang w:val="es-ES"/>
        </w:rPr>
        <w:t>Tabla</w:t>
      </w:r>
      <w:r w:rsidRPr="005B1B9F">
        <w:rPr>
          <w:rFonts w:asciiTheme="minorHAnsi" w:hAnsiTheme="minorHAnsi"/>
          <w:sz w:val="20"/>
          <w:szCs w:val="20"/>
          <w:lang w:val="es-ES"/>
        </w:rPr>
        <w:t xml:space="preserve"> </w:t>
      </w:r>
      <w:r>
        <w:rPr>
          <w:rFonts w:asciiTheme="minorHAnsi" w:hAnsiTheme="minorHAnsi"/>
          <w:sz w:val="20"/>
          <w:szCs w:val="20"/>
          <w:lang w:val="es-ES"/>
        </w:rPr>
        <w:t>2</w:t>
      </w:r>
      <w:r w:rsidRPr="005B1B9F">
        <w:rPr>
          <w:rFonts w:asciiTheme="minorHAnsi" w:hAnsiTheme="minorHAnsi"/>
          <w:sz w:val="20"/>
          <w:szCs w:val="20"/>
          <w:lang w:val="es-ES"/>
        </w:rPr>
        <w:t>: Composición del Abastecimiento—Plan Maestro</w:t>
      </w:r>
    </w:p>
    <w:p w14:paraId="519B5A22" w14:textId="77777777" w:rsidR="00C8772D" w:rsidRDefault="00C8772D" w:rsidP="00C8772D">
      <w:pPr>
        <w:spacing w:before="0"/>
        <w:rPr>
          <w:lang w:val="es-ES"/>
        </w:rPr>
      </w:pPr>
      <w:r>
        <w:rPr>
          <w:noProof/>
        </w:rPr>
        <w:drawing>
          <wp:inline distT="0" distB="0" distL="0" distR="0" wp14:anchorId="0CE3C61C" wp14:editId="1933D706">
            <wp:extent cx="5824855" cy="543630"/>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4855" cy="543630"/>
                    </a:xfrm>
                    <a:prstGeom prst="rect">
                      <a:avLst/>
                    </a:prstGeom>
                    <a:noFill/>
                    <a:ln>
                      <a:noFill/>
                    </a:ln>
                  </pic:spPr>
                </pic:pic>
              </a:graphicData>
            </a:graphic>
          </wp:inline>
        </w:drawing>
      </w:r>
    </w:p>
    <w:p w14:paraId="4FDDB07A" w14:textId="77777777" w:rsidR="00C8772D" w:rsidRDefault="00C8772D" w:rsidP="00C8772D">
      <w:pPr>
        <w:pStyle w:val="Banknumbered"/>
        <w:numPr>
          <w:ilvl w:val="0"/>
          <w:numId w:val="0"/>
        </w:numPr>
        <w:jc w:val="both"/>
        <w:rPr>
          <w:lang w:val="es-ES"/>
        </w:rPr>
      </w:pPr>
    </w:p>
    <w:p w14:paraId="06C82844" w14:textId="77777777" w:rsidR="00C8772D" w:rsidRDefault="00C8772D" w:rsidP="00C8772D">
      <w:pPr>
        <w:pStyle w:val="Banknumbered"/>
        <w:numPr>
          <w:ilvl w:val="0"/>
          <w:numId w:val="0"/>
        </w:numPr>
        <w:jc w:val="both"/>
        <w:rPr>
          <w:lang w:val="es-ES"/>
        </w:rPr>
      </w:pPr>
      <w:r>
        <w:rPr>
          <w:lang w:val="es-ES"/>
        </w:rPr>
        <w:t>Como puede observarse, hay una reducción significativa de la generación térmica la cual es sustituida por energía de origen hidroeléctrico.  Esta transformación es aún más impactante si se considera que en 2006 la capacidad hidroeléctrica era del orden de 47% del total instalado y que la generación correspondiente aportó 44% a la demanda de energía.</w:t>
      </w:r>
    </w:p>
    <w:p w14:paraId="47BD7A6A" w14:textId="77777777" w:rsidR="00C8772D" w:rsidRDefault="00C8772D" w:rsidP="00C8772D">
      <w:pPr>
        <w:pStyle w:val="Banknumbered"/>
        <w:numPr>
          <w:ilvl w:val="0"/>
          <w:numId w:val="0"/>
        </w:numPr>
        <w:jc w:val="both"/>
        <w:rPr>
          <w:lang w:val="es-ES"/>
        </w:rPr>
      </w:pPr>
      <w:r>
        <w:rPr>
          <w:lang w:val="es-ES"/>
        </w:rPr>
        <w:t>La estrategia contenida en el PME, además de la sustitución de generación térmica, involucra la sustitución de otros hidrocarburos por electricidad.  El programa emblemático de este componente consiste en la sustitución de GLP por electricidad mediante la penetración de cocinas de inducción eficientes.  Éstas dan lugar a demandas adicionales tanto en energía como en potencia puesto que se trata de cargas concentradas en horas de punta.</w:t>
      </w:r>
    </w:p>
    <w:p w14:paraId="4B0E19CF" w14:textId="77777777" w:rsidR="00C8772D" w:rsidRDefault="00C8772D" w:rsidP="00C8772D">
      <w:pPr>
        <w:pStyle w:val="Banknumbered"/>
        <w:numPr>
          <w:ilvl w:val="0"/>
          <w:numId w:val="0"/>
        </w:numPr>
        <w:jc w:val="both"/>
        <w:rPr>
          <w:lang w:val="es-ES"/>
        </w:rPr>
      </w:pPr>
      <w:r>
        <w:rPr>
          <w:lang w:val="es-ES"/>
        </w:rPr>
        <w:t>La sustitución de la generación térmica involucra inversiones considerables.  Las inversiones en nuevas centrales de generación sobre el período 2013-2022 son del orden de US$9000 millones</w:t>
      </w:r>
      <w:r>
        <w:rPr>
          <w:rStyle w:val="FootnoteReference"/>
          <w:lang w:val="es-ES"/>
        </w:rPr>
        <w:footnoteReference w:id="8"/>
      </w:r>
      <w:r>
        <w:rPr>
          <w:lang w:val="es-ES"/>
        </w:rPr>
        <w:t xml:space="preserve"> de acuerdo con el PME, equivalentes a un promedio anual de US$900 millones por parte del sector público y del sector privado.  </w:t>
      </w:r>
    </w:p>
    <w:p w14:paraId="77010A37" w14:textId="77777777" w:rsidR="00C8772D" w:rsidRDefault="00C8772D" w:rsidP="00C8772D">
      <w:pPr>
        <w:pStyle w:val="Banknumbered"/>
        <w:numPr>
          <w:ilvl w:val="0"/>
          <w:numId w:val="0"/>
        </w:numPr>
        <w:jc w:val="both"/>
        <w:rPr>
          <w:lang w:val="es-ES"/>
        </w:rPr>
      </w:pPr>
      <w:r>
        <w:rPr>
          <w:lang w:val="es-ES"/>
        </w:rPr>
        <w:t>Para la incorporación de las centrales hidroeléctricas contempladas en el PME, se asocia un plan de transmisión, incluyendo líneas a 500kV, por un monto de $1158 millones durante el período 2013-2022</w:t>
      </w:r>
      <w:r>
        <w:rPr>
          <w:rStyle w:val="FootnoteReference"/>
          <w:lang w:val="es-ES"/>
        </w:rPr>
        <w:footnoteReference w:id="9"/>
      </w:r>
      <w:r>
        <w:rPr>
          <w:lang w:val="es-ES"/>
        </w:rPr>
        <w:t>, de los cuales $576 millones corresponden a las inversiones en el nivel de 500kV, y $140 millones corresponden a inversiones por aumento de demanda asociados principalmente con la sustitución de GLP.</w:t>
      </w:r>
    </w:p>
    <w:p w14:paraId="7DF1CF05" w14:textId="77777777" w:rsidR="00C8772D" w:rsidRDefault="00C8772D" w:rsidP="00C8772D">
      <w:pPr>
        <w:pStyle w:val="Banknumbered"/>
        <w:numPr>
          <w:ilvl w:val="0"/>
          <w:numId w:val="0"/>
        </w:numPr>
        <w:jc w:val="both"/>
        <w:rPr>
          <w:lang w:val="es-ES"/>
        </w:rPr>
      </w:pPr>
      <w:r>
        <w:rPr>
          <w:lang w:val="es-ES"/>
        </w:rPr>
        <w:lastRenderedPageBreak/>
        <w:t xml:space="preserve">Para la sustitución de GLP por electricidad se necesitan inversiones específicas en el sistema de transmisión que suman $1136 millones en los siguientes rubros: medición (219M$), reforzamiento de redes (138M$), transformadores (19M$), alimentadores (11M$), líneas de </w:t>
      </w:r>
      <w:proofErr w:type="spellStart"/>
      <w:r>
        <w:rPr>
          <w:lang w:val="es-ES"/>
        </w:rPr>
        <w:t>subtransmisión</w:t>
      </w:r>
      <w:proofErr w:type="spellEnd"/>
      <w:r>
        <w:rPr>
          <w:lang w:val="es-ES"/>
        </w:rPr>
        <w:t xml:space="preserve"> (180M$) y subestaciones (569M$)</w:t>
      </w:r>
      <w:r>
        <w:rPr>
          <w:rStyle w:val="FootnoteReference"/>
          <w:lang w:val="es-ES"/>
        </w:rPr>
        <w:footnoteReference w:id="10"/>
      </w:r>
      <w:r>
        <w:rPr>
          <w:lang w:val="es-ES"/>
        </w:rPr>
        <w:t xml:space="preserve">.  </w:t>
      </w:r>
    </w:p>
    <w:p w14:paraId="409FFA5D" w14:textId="77777777" w:rsidR="00C8772D" w:rsidRDefault="00C8772D" w:rsidP="00C8772D">
      <w:pPr>
        <w:pStyle w:val="Banknumbered"/>
        <w:numPr>
          <w:ilvl w:val="0"/>
          <w:numId w:val="0"/>
        </w:numPr>
        <w:jc w:val="both"/>
        <w:rPr>
          <w:lang w:val="es-ES"/>
        </w:rPr>
      </w:pPr>
      <w:r>
        <w:rPr>
          <w:lang w:val="es-ES"/>
        </w:rPr>
        <w:t>El análisis Beneficio/Costo busca comprobar que las inversiones orientadas a la reducción de la generación térmica que utiliza combustibles líquidos se justifican con base en los ahorros de costos de combustible.  Para ello se comparan dos escenarios:</w:t>
      </w:r>
    </w:p>
    <w:p w14:paraId="54548BE3" w14:textId="77777777" w:rsidR="00C8772D" w:rsidRDefault="00C8772D" w:rsidP="00C8772D">
      <w:pPr>
        <w:pStyle w:val="Banknumbered"/>
        <w:numPr>
          <w:ilvl w:val="0"/>
          <w:numId w:val="0"/>
        </w:numPr>
        <w:jc w:val="both"/>
        <w:rPr>
          <w:lang w:val="es-ES"/>
        </w:rPr>
      </w:pPr>
      <w:r>
        <w:rPr>
          <w:lang w:val="es-ES"/>
        </w:rPr>
        <w:t xml:space="preserve">El escenario propuesto en el PME, con las inversiones en las grandes hidroeléctricas, la sustitución de GLP por electricidad, y las inversiones complementarias en transmisión y distribución señaladas anteriormente; y un escenario </w:t>
      </w:r>
      <w:proofErr w:type="spellStart"/>
      <w:r>
        <w:rPr>
          <w:lang w:val="es-ES"/>
        </w:rPr>
        <w:t>contrafactual</w:t>
      </w:r>
      <w:proofErr w:type="spellEnd"/>
      <w:r>
        <w:rPr>
          <w:lang w:val="es-ES"/>
        </w:rPr>
        <w:t xml:space="preserve"> en donde no se llevan a cabo las inversiones en grandes hidroeléctricas, se instalan centrales térmicas, y no se lleva a cabo la sustitución de GLP por electricidad, sin las inversiones correspondientes en transmisión y distribución.  El escenario </w:t>
      </w:r>
      <w:proofErr w:type="spellStart"/>
      <w:r>
        <w:rPr>
          <w:lang w:val="es-ES"/>
        </w:rPr>
        <w:t>contrafactual</w:t>
      </w:r>
      <w:proofErr w:type="spellEnd"/>
      <w:r>
        <w:rPr>
          <w:lang w:val="es-ES"/>
        </w:rPr>
        <w:t xml:space="preserve"> supone que se mantienen las hidroeléctricas programadas hasta 2015 (por aproximadamente 980MW) y que se excluyen las grandes hidroeléctricas programadas hasta 2022 (por aproximadamente 3200MW).  Esta escogencia obedece a que las inversiones en hidroeléctricas hasta 2015 permiten cubrir el incremento de la demanda hasta el horizonte de 2022 (excluyendo de esta demanda las demandas adicionales por sustitución de hidrocarburos líquidos, dentro de las cuales el mayor componente está constituido por la sustitución de GLP).  En este escenario </w:t>
      </w:r>
      <w:proofErr w:type="spellStart"/>
      <w:r>
        <w:rPr>
          <w:lang w:val="es-ES"/>
        </w:rPr>
        <w:t>contrafactual</w:t>
      </w:r>
      <w:proofErr w:type="spellEnd"/>
      <w:r>
        <w:rPr>
          <w:lang w:val="es-ES"/>
        </w:rPr>
        <w:t>,  hay costos adicionales por concepto de emisiones de CO</w:t>
      </w:r>
      <w:r>
        <w:rPr>
          <w:vertAlign w:val="subscript"/>
          <w:lang w:val="es-ES"/>
        </w:rPr>
        <w:t>2</w:t>
      </w:r>
      <w:r>
        <w:rPr>
          <w:lang w:val="es-ES"/>
        </w:rPr>
        <w:t xml:space="preserve"> y costos asociados con el suministro de GLP a precios de frontera.</w:t>
      </w:r>
    </w:p>
    <w:p w14:paraId="4A8775F4" w14:textId="77777777" w:rsidR="00C8772D" w:rsidRPr="00C62F89" w:rsidRDefault="00C8772D" w:rsidP="00C8772D">
      <w:pPr>
        <w:pStyle w:val="Heading2"/>
        <w:numPr>
          <w:ilvl w:val="1"/>
          <w:numId w:val="5"/>
        </w:numPr>
        <w:ind w:left="0" w:firstLine="0"/>
        <w:rPr>
          <w:lang w:val="es-ES"/>
        </w:rPr>
      </w:pPr>
      <w:bookmarkStart w:id="4" w:name="_Toc401572109"/>
      <w:r w:rsidRPr="00C62F89">
        <w:rPr>
          <w:lang w:val="es-ES"/>
        </w:rPr>
        <w:t>Beneficios</w:t>
      </w:r>
      <w:bookmarkEnd w:id="4"/>
    </w:p>
    <w:p w14:paraId="49C50076" w14:textId="77777777" w:rsidR="00C8772D" w:rsidRDefault="00C8772D" w:rsidP="00C8772D">
      <w:pPr>
        <w:pStyle w:val="Banknumbered"/>
        <w:numPr>
          <w:ilvl w:val="0"/>
          <w:numId w:val="0"/>
        </w:numPr>
        <w:jc w:val="both"/>
        <w:rPr>
          <w:lang w:val="es-ES"/>
        </w:rPr>
      </w:pPr>
      <w:r>
        <w:rPr>
          <w:lang w:val="es-ES"/>
        </w:rPr>
        <w:t xml:space="preserve">Los beneficios se evalúan con base en la diferencia de costos asociados entre el escenario </w:t>
      </w:r>
      <w:proofErr w:type="spellStart"/>
      <w:r>
        <w:rPr>
          <w:lang w:val="es-ES"/>
        </w:rPr>
        <w:t>contrafactual</w:t>
      </w:r>
      <w:proofErr w:type="spellEnd"/>
      <w:r>
        <w:rPr>
          <w:lang w:val="es-ES"/>
        </w:rPr>
        <w:t xml:space="preserve"> (costos de combustible, operación y mantenimiento, emisiones, costos de GLP no sustituidos) y los costos equivalentes arrojados por el escenario del PME.  </w:t>
      </w:r>
    </w:p>
    <w:p w14:paraId="25AF7B25" w14:textId="77777777" w:rsidR="00C8772D" w:rsidRDefault="00C8772D" w:rsidP="00C8772D">
      <w:pPr>
        <w:pStyle w:val="Banknumbered"/>
        <w:numPr>
          <w:ilvl w:val="0"/>
          <w:numId w:val="0"/>
        </w:numPr>
        <w:jc w:val="both"/>
        <w:rPr>
          <w:lang w:val="es-ES"/>
        </w:rPr>
      </w:pPr>
      <w:r>
        <w:rPr>
          <w:b/>
          <w:lang w:val="es-ES"/>
        </w:rPr>
        <w:t>Costos de combustible.</w:t>
      </w:r>
      <w:r>
        <w:rPr>
          <w:lang w:val="es-ES"/>
        </w:rPr>
        <w:t xml:space="preserve">  Estos costos se evaluaron a precios de frontera para aquellos que se transan en el mercado internacional (</w:t>
      </w:r>
      <w:proofErr w:type="spellStart"/>
      <w:r>
        <w:rPr>
          <w:lang w:val="es-ES"/>
        </w:rPr>
        <w:t>diesel</w:t>
      </w:r>
      <w:proofErr w:type="spellEnd"/>
      <w:r>
        <w:rPr>
          <w:lang w:val="es-ES"/>
        </w:rPr>
        <w:t xml:space="preserve"> y fuel </w:t>
      </w:r>
      <w:proofErr w:type="spellStart"/>
      <w:r>
        <w:rPr>
          <w:lang w:val="es-ES"/>
        </w:rPr>
        <w:t>oil</w:t>
      </w:r>
      <w:proofErr w:type="spellEnd"/>
      <w:r>
        <w:rPr>
          <w:lang w:val="es-ES"/>
        </w:rPr>
        <w:t>) y a costos internos para el gas natural.  Los costos de combustible bajo los dos escenarios se ilustran en la Tabla 3.</w:t>
      </w:r>
    </w:p>
    <w:p w14:paraId="581410D5" w14:textId="77777777" w:rsidR="00C8772D" w:rsidRPr="0082746C" w:rsidRDefault="00C8772D" w:rsidP="00C8772D">
      <w:pPr>
        <w:jc w:val="center"/>
        <w:rPr>
          <w:rFonts w:asciiTheme="minorHAnsi" w:hAnsiTheme="minorHAnsi"/>
          <w:sz w:val="22"/>
          <w:lang w:val="es-ES"/>
        </w:rPr>
      </w:pPr>
      <w:r>
        <w:rPr>
          <w:rFonts w:asciiTheme="minorHAnsi" w:hAnsiTheme="minorHAnsi"/>
          <w:sz w:val="22"/>
          <w:lang w:val="es-ES"/>
        </w:rPr>
        <w:t>Tabla 3. Costos de Combustible por Escenario (M$)</w:t>
      </w:r>
    </w:p>
    <w:p w14:paraId="14D6A5C8" w14:textId="77777777" w:rsidR="00C8772D" w:rsidRDefault="00C8772D" w:rsidP="00C8772D">
      <w:pPr>
        <w:spacing w:before="0"/>
        <w:rPr>
          <w:lang w:val="es-ES"/>
        </w:rPr>
      </w:pPr>
      <w:r>
        <w:rPr>
          <w:noProof/>
        </w:rPr>
        <w:drawing>
          <wp:inline distT="0" distB="0" distL="0" distR="0" wp14:anchorId="74CCB327" wp14:editId="6C01E54A">
            <wp:extent cx="5824855" cy="7414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24855" cy="741400"/>
                    </a:xfrm>
                    <a:prstGeom prst="rect">
                      <a:avLst/>
                    </a:prstGeom>
                    <a:noFill/>
                    <a:ln>
                      <a:noFill/>
                    </a:ln>
                  </pic:spPr>
                </pic:pic>
              </a:graphicData>
            </a:graphic>
          </wp:inline>
        </w:drawing>
      </w:r>
    </w:p>
    <w:p w14:paraId="09A29A70" w14:textId="77777777" w:rsidR="00C8772D" w:rsidRDefault="00C8772D" w:rsidP="00C8772D">
      <w:pPr>
        <w:jc w:val="both"/>
        <w:rPr>
          <w:lang w:val="es-ES"/>
        </w:rPr>
      </w:pPr>
      <w:r>
        <w:rPr>
          <w:lang w:val="es-ES"/>
        </w:rPr>
        <w:t xml:space="preserve">Como puede observarse, los costos de combustible en el PME se reducen de manera drástica a partir de 2016 con la entrada en servicio de las centrales hidroeléctricas del plan, dando lugar a ahorros muy significativos.  </w:t>
      </w:r>
    </w:p>
    <w:p w14:paraId="3E0B77AE" w14:textId="77777777" w:rsidR="00C8772D" w:rsidRDefault="00C8772D" w:rsidP="00C8772D">
      <w:pPr>
        <w:pStyle w:val="Banknumbered"/>
        <w:numPr>
          <w:ilvl w:val="0"/>
          <w:numId w:val="0"/>
        </w:numPr>
        <w:jc w:val="both"/>
        <w:rPr>
          <w:lang w:val="es-ES"/>
        </w:rPr>
      </w:pPr>
      <w:r>
        <w:rPr>
          <w:b/>
          <w:lang w:val="es-ES"/>
        </w:rPr>
        <w:t>Costos de AOM</w:t>
      </w:r>
      <w:r w:rsidRPr="00E216E1">
        <w:rPr>
          <w:rStyle w:val="FootnoteReference"/>
          <w:lang w:val="es-ES"/>
        </w:rPr>
        <w:footnoteReference w:id="11"/>
      </w:r>
      <w:r>
        <w:rPr>
          <w:b/>
          <w:lang w:val="es-ES"/>
        </w:rPr>
        <w:t>.</w:t>
      </w:r>
      <w:r>
        <w:rPr>
          <w:lang w:val="es-ES"/>
        </w:rPr>
        <w:t xml:space="preserve">  La Tabla 4 ilustra los costos correspondientes para los dos escenarios y los ahorros/beneficios del PME.  </w:t>
      </w:r>
    </w:p>
    <w:p w14:paraId="58FB2281" w14:textId="77777777" w:rsidR="00C8772D" w:rsidRPr="008F4208" w:rsidRDefault="00C8772D" w:rsidP="00C8772D">
      <w:pPr>
        <w:jc w:val="center"/>
        <w:rPr>
          <w:rFonts w:asciiTheme="minorHAnsi" w:hAnsiTheme="minorHAnsi"/>
          <w:sz w:val="22"/>
          <w:lang w:val="es-ES"/>
        </w:rPr>
      </w:pPr>
      <w:r>
        <w:rPr>
          <w:rFonts w:asciiTheme="minorHAnsi" w:hAnsiTheme="minorHAnsi"/>
          <w:sz w:val="22"/>
          <w:lang w:val="es-ES"/>
        </w:rPr>
        <w:lastRenderedPageBreak/>
        <w:t>Tabla 4. Costos de Administración, Operación y Mantenimiento por Escenario (M$)</w:t>
      </w:r>
    </w:p>
    <w:p w14:paraId="356795F7" w14:textId="77777777" w:rsidR="00C8772D" w:rsidRDefault="00C8772D" w:rsidP="00C8772D">
      <w:pPr>
        <w:spacing w:before="0"/>
        <w:rPr>
          <w:lang w:val="es-ES"/>
        </w:rPr>
      </w:pPr>
      <w:r>
        <w:rPr>
          <w:noProof/>
        </w:rPr>
        <w:drawing>
          <wp:inline distT="0" distB="0" distL="0" distR="0" wp14:anchorId="1FC626F8" wp14:editId="0FD1BEE7">
            <wp:extent cx="5824855" cy="736283"/>
            <wp:effectExtent l="0" t="0" r="0" b="635"/>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24855" cy="736283"/>
                    </a:xfrm>
                    <a:prstGeom prst="rect">
                      <a:avLst/>
                    </a:prstGeom>
                    <a:noFill/>
                    <a:ln>
                      <a:noFill/>
                    </a:ln>
                  </pic:spPr>
                </pic:pic>
              </a:graphicData>
            </a:graphic>
          </wp:inline>
        </w:drawing>
      </w:r>
    </w:p>
    <w:p w14:paraId="61F0FC2C" w14:textId="77777777" w:rsidR="00C8772D" w:rsidRDefault="00C8772D" w:rsidP="00C8772D">
      <w:pPr>
        <w:jc w:val="both"/>
        <w:rPr>
          <w:lang w:val="es-ES"/>
        </w:rPr>
      </w:pPr>
      <w:r>
        <w:rPr>
          <w:lang w:val="es-ES"/>
        </w:rPr>
        <w:t>Los costos de AOM no varían durante los primeros años antes de que entren a operar las grandes centrales hidráulicas, cuando se reducen de manera importante.</w:t>
      </w:r>
    </w:p>
    <w:p w14:paraId="7506FCD9" w14:textId="77777777" w:rsidR="00C8772D" w:rsidRDefault="00C8772D" w:rsidP="00C8772D">
      <w:pPr>
        <w:pStyle w:val="Banknumbered"/>
        <w:numPr>
          <w:ilvl w:val="0"/>
          <w:numId w:val="0"/>
        </w:numPr>
        <w:jc w:val="both"/>
        <w:rPr>
          <w:lang w:val="es-ES"/>
        </w:rPr>
      </w:pPr>
      <w:r>
        <w:rPr>
          <w:b/>
          <w:lang w:val="es-ES"/>
        </w:rPr>
        <w:t>Costos de GLP.</w:t>
      </w:r>
      <w:r>
        <w:rPr>
          <w:lang w:val="es-ES"/>
        </w:rPr>
        <w:t xml:space="preserve">  En el escenario </w:t>
      </w:r>
      <w:proofErr w:type="spellStart"/>
      <w:r>
        <w:rPr>
          <w:lang w:val="es-ES"/>
        </w:rPr>
        <w:t>contrafactual</w:t>
      </w:r>
      <w:proofErr w:type="spellEnd"/>
      <w:r>
        <w:rPr>
          <w:lang w:val="es-ES"/>
        </w:rPr>
        <w:t xml:space="preserve"> se supone (a) que no hay sustitución de GLP por electricidad, y (b) que la política de subsidios al GLP se mantiene, con lo cual persiste el contrabando.  Los costos en ambos escenarios se valoran a precios de frontera ($92/BEP) y se comparan en la Tabla 5.</w:t>
      </w:r>
    </w:p>
    <w:p w14:paraId="281EFB02" w14:textId="77777777" w:rsidR="00C8772D" w:rsidRPr="00242AB9" w:rsidRDefault="00C8772D" w:rsidP="00C8772D">
      <w:pPr>
        <w:keepNext/>
        <w:jc w:val="center"/>
        <w:rPr>
          <w:rFonts w:asciiTheme="minorHAnsi" w:hAnsiTheme="minorHAnsi"/>
          <w:sz w:val="22"/>
          <w:lang w:val="es-ES"/>
        </w:rPr>
      </w:pPr>
      <w:r>
        <w:rPr>
          <w:rFonts w:asciiTheme="minorHAnsi" w:hAnsiTheme="minorHAnsi"/>
          <w:sz w:val="22"/>
          <w:lang w:val="es-ES"/>
        </w:rPr>
        <w:t>Tabla 5.Costos Asociados con el Suministro de GLP (M$)</w:t>
      </w:r>
    </w:p>
    <w:p w14:paraId="47903E0A" w14:textId="77777777" w:rsidR="00C8772D" w:rsidRDefault="00C8772D" w:rsidP="00C8772D">
      <w:pPr>
        <w:spacing w:before="0"/>
        <w:rPr>
          <w:lang w:val="es-ES"/>
        </w:rPr>
      </w:pPr>
      <w:r>
        <w:rPr>
          <w:noProof/>
        </w:rPr>
        <w:drawing>
          <wp:inline distT="0" distB="0" distL="0" distR="0" wp14:anchorId="7C957057" wp14:editId="0C03C44D">
            <wp:extent cx="5824855" cy="693422"/>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24855" cy="693422"/>
                    </a:xfrm>
                    <a:prstGeom prst="rect">
                      <a:avLst/>
                    </a:prstGeom>
                    <a:noFill/>
                    <a:ln>
                      <a:noFill/>
                    </a:ln>
                  </pic:spPr>
                </pic:pic>
              </a:graphicData>
            </a:graphic>
          </wp:inline>
        </w:drawing>
      </w:r>
    </w:p>
    <w:p w14:paraId="03A8D5F6" w14:textId="77777777" w:rsidR="00C8772D" w:rsidRDefault="00C8772D" w:rsidP="00C8772D">
      <w:pPr>
        <w:pStyle w:val="Banknumbered"/>
        <w:numPr>
          <w:ilvl w:val="0"/>
          <w:numId w:val="0"/>
        </w:numPr>
        <w:jc w:val="both"/>
        <w:rPr>
          <w:b/>
          <w:lang w:val="es-ES"/>
        </w:rPr>
      </w:pPr>
    </w:p>
    <w:p w14:paraId="7F24E70D" w14:textId="77777777" w:rsidR="00C8772D" w:rsidRDefault="00C8772D" w:rsidP="00C8772D">
      <w:pPr>
        <w:pStyle w:val="Banknumbered"/>
        <w:numPr>
          <w:ilvl w:val="0"/>
          <w:numId w:val="0"/>
        </w:numPr>
        <w:jc w:val="both"/>
        <w:rPr>
          <w:lang w:val="es-ES"/>
        </w:rPr>
      </w:pPr>
      <w:r>
        <w:rPr>
          <w:b/>
          <w:lang w:val="es-ES"/>
        </w:rPr>
        <w:t>Costo de emisiones de carbono.</w:t>
      </w:r>
      <w:r>
        <w:rPr>
          <w:lang w:val="es-ES"/>
        </w:rPr>
        <w:t xml:space="preserve">  Uno de los beneficios del escenario asociado con el PME son las menores emisiones asociadas con la generación térmica.  Éstas se valoraron para el escenario </w:t>
      </w:r>
      <w:proofErr w:type="spellStart"/>
      <w:r>
        <w:rPr>
          <w:lang w:val="es-ES"/>
        </w:rPr>
        <w:t>contrafactual</w:t>
      </w:r>
      <w:proofErr w:type="spellEnd"/>
      <w:r>
        <w:rPr>
          <w:lang w:val="es-ES"/>
        </w:rPr>
        <w:t xml:space="preserve"> con base en un valor promedio de emisiones entre 0.45kg/</w:t>
      </w:r>
      <w:proofErr w:type="spellStart"/>
      <w:r>
        <w:rPr>
          <w:lang w:val="es-ES"/>
        </w:rPr>
        <w:t>kWh</w:t>
      </w:r>
      <w:proofErr w:type="spellEnd"/>
      <w:r>
        <w:rPr>
          <w:lang w:val="es-ES"/>
        </w:rPr>
        <w:t xml:space="preserve"> (2013) y 0.33kg/</w:t>
      </w:r>
      <w:proofErr w:type="spellStart"/>
      <w:r>
        <w:rPr>
          <w:lang w:val="es-ES"/>
        </w:rPr>
        <w:t>kWh</w:t>
      </w:r>
      <w:proofErr w:type="spellEnd"/>
      <w:r>
        <w:rPr>
          <w:lang w:val="es-ES"/>
        </w:rPr>
        <w:t xml:space="preserve"> (2021).  Las emisiones decrecen a medida que se retiran las plantas funcionando con combustible </w:t>
      </w:r>
      <w:proofErr w:type="spellStart"/>
      <w:r>
        <w:rPr>
          <w:lang w:val="es-ES"/>
        </w:rPr>
        <w:t>diesel</w:t>
      </w:r>
      <w:proofErr w:type="spellEnd"/>
      <w:r>
        <w:rPr>
          <w:lang w:val="es-ES"/>
        </w:rPr>
        <w:t xml:space="preserve"> a favor del fuel </w:t>
      </w:r>
      <w:proofErr w:type="spellStart"/>
      <w:r>
        <w:rPr>
          <w:lang w:val="es-ES"/>
        </w:rPr>
        <w:t>oil</w:t>
      </w:r>
      <w:proofErr w:type="spellEnd"/>
      <w:r>
        <w:rPr>
          <w:lang w:val="es-ES"/>
        </w:rPr>
        <w:t xml:space="preserve"> y el gas natural.  El costo social asociado con las emisiones de CO</w:t>
      </w:r>
      <w:r>
        <w:rPr>
          <w:vertAlign w:val="subscript"/>
          <w:lang w:val="es-ES"/>
        </w:rPr>
        <w:t>2</w:t>
      </w:r>
      <w:r>
        <w:rPr>
          <w:lang w:val="es-ES"/>
        </w:rPr>
        <w:t xml:space="preserve"> se obtuvo de información del </w:t>
      </w:r>
      <w:proofErr w:type="spellStart"/>
      <w:r w:rsidRPr="006A047B">
        <w:rPr>
          <w:lang w:val="es-ES_tradnl"/>
        </w:rPr>
        <w:t>Environmental</w:t>
      </w:r>
      <w:proofErr w:type="spellEnd"/>
      <w:r w:rsidRPr="006A047B">
        <w:rPr>
          <w:lang w:val="es-ES_tradnl"/>
        </w:rPr>
        <w:t xml:space="preserve"> </w:t>
      </w:r>
      <w:proofErr w:type="spellStart"/>
      <w:r w:rsidRPr="006A047B">
        <w:rPr>
          <w:lang w:val="es-ES_tradnl"/>
        </w:rPr>
        <w:t>Protection</w:t>
      </w:r>
      <w:proofErr w:type="spellEnd"/>
      <w:r>
        <w:rPr>
          <w:lang w:val="es-ES"/>
        </w:rPr>
        <w:t xml:space="preserve"> Agency (EPA) de los EE.UU. que oscila entre $12 y $35 por tonelada de CO</w:t>
      </w:r>
      <w:r>
        <w:rPr>
          <w:vertAlign w:val="subscript"/>
          <w:lang w:val="es-ES"/>
        </w:rPr>
        <w:t>2</w:t>
      </w:r>
      <w:r>
        <w:rPr>
          <w:lang w:val="es-ES"/>
        </w:rPr>
        <w:t xml:space="preserve"> dependiendo de la tasa de descuento.  Se adoptó un valor de $20/ton CO</w:t>
      </w:r>
      <w:r>
        <w:rPr>
          <w:vertAlign w:val="subscript"/>
          <w:lang w:val="es-ES"/>
        </w:rPr>
        <w:t>2</w:t>
      </w:r>
      <w:r>
        <w:rPr>
          <w:lang w:val="es-ES"/>
        </w:rPr>
        <w:t>, el cual es relativamente alto con relación al precio de créditos de carbono en el mercado.  La Tabla 6  muestra los ahorros del PME asociados con las emisiones.</w:t>
      </w:r>
    </w:p>
    <w:p w14:paraId="45C0CFC3" w14:textId="77777777" w:rsidR="00C8772D" w:rsidRPr="009D0F78" w:rsidRDefault="00C8772D" w:rsidP="00C8772D">
      <w:pPr>
        <w:jc w:val="center"/>
        <w:rPr>
          <w:rFonts w:asciiTheme="minorHAnsi" w:hAnsiTheme="minorHAnsi"/>
          <w:sz w:val="22"/>
          <w:lang w:val="es-ES"/>
        </w:rPr>
      </w:pPr>
      <w:r>
        <w:rPr>
          <w:rFonts w:asciiTheme="minorHAnsi" w:hAnsiTheme="minorHAnsi"/>
          <w:sz w:val="22"/>
          <w:lang w:val="es-ES"/>
        </w:rPr>
        <w:t>Tabla 6. Ahorros Asociados con las Emisiones de Carbono (M$)</w:t>
      </w:r>
    </w:p>
    <w:p w14:paraId="10EF5737" w14:textId="77777777" w:rsidR="00C8772D" w:rsidRDefault="00C8772D" w:rsidP="00C8772D">
      <w:pPr>
        <w:rPr>
          <w:lang w:val="es-ES"/>
        </w:rPr>
      </w:pPr>
      <w:r>
        <w:rPr>
          <w:noProof/>
        </w:rPr>
        <w:drawing>
          <wp:inline distT="0" distB="0" distL="0" distR="0" wp14:anchorId="078E79D8" wp14:editId="7FE50BF6">
            <wp:extent cx="5824855" cy="693422"/>
            <wp:effectExtent l="0" t="0" r="0" b="0"/>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24855" cy="693422"/>
                    </a:xfrm>
                    <a:prstGeom prst="rect">
                      <a:avLst/>
                    </a:prstGeom>
                    <a:noFill/>
                    <a:ln>
                      <a:noFill/>
                    </a:ln>
                  </pic:spPr>
                </pic:pic>
              </a:graphicData>
            </a:graphic>
          </wp:inline>
        </w:drawing>
      </w:r>
    </w:p>
    <w:p w14:paraId="48F1979F" w14:textId="77777777" w:rsidR="00C8772D" w:rsidRDefault="00C8772D" w:rsidP="00C8772D">
      <w:pPr>
        <w:pStyle w:val="Banknumbered"/>
        <w:numPr>
          <w:ilvl w:val="0"/>
          <w:numId w:val="0"/>
        </w:numPr>
        <w:rPr>
          <w:b/>
          <w:lang w:val="es-ES"/>
        </w:rPr>
      </w:pPr>
    </w:p>
    <w:p w14:paraId="775282E7" w14:textId="77777777" w:rsidR="00C8772D" w:rsidRDefault="00C8772D" w:rsidP="00C8772D">
      <w:pPr>
        <w:pStyle w:val="Banknumbered"/>
        <w:numPr>
          <w:ilvl w:val="0"/>
          <w:numId w:val="0"/>
        </w:numPr>
        <w:rPr>
          <w:lang w:val="es-ES"/>
        </w:rPr>
      </w:pPr>
      <w:r>
        <w:rPr>
          <w:b/>
          <w:lang w:val="es-ES"/>
        </w:rPr>
        <w:t>Resumen de beneficios del desarrollo asociado con el PME.</w:t>
      </w:r>
      <w:r>
        <w:rPr>
          <w:lang w:val="es-ES"/>
        </w:rPr>
        <w:t xml:space="preserve">  En la Tabla 7 se resumen los ahorros por diferentes rubros y los beneficios totales del PME.</w:t>
      </w:r>
    </w:p>
    <w:p w14:paraId="3374D772" w14:textId="77777777" w:rsidR="00C8772D" w:rsidRPr="00D71273" w:rsidRDefault="00C8772D" w:rsidP="00C8772D">
      <w:pPr>
        <w:keepNext/>
        <w:jc w:val="center"/>
        <w:rPr>
          <w:rFonts w:asciiTheme="minorHAnsi" w:hAnsiTheme="minorHAnsi"/>
          <w:sz w:val="22"/>
          <w:lang w:val="es-ES"/>
        </w:rPr>
      </w:pPr>
      <w:r>
        <w:rPr>
          <w:rFonts w:asciiTheme="minorHAnsi" w:hAnsiTheme="minorHAnsi"/>
          <w:sz w:val="22"/>
          <w:lang w:val="es-ES"/>
        </w:rPr>
        <w:t>Tabla 7. Resumen de Beneficios Brutos del PME por Componente y Beneficios Totales (M$)</w:t>
      </w:r>
    </w:p>
    <w:p w14:paraId="247A1019" w14:textId="77777777" w:rsidR="00C8772D" w:rsidRDefault="00C8772D" w:rsidP="00C8772D">
      <w:pPr>
        <w:spacing w:before="0"/>
        <w:rPr>
          <w:lang w:val="es-ES"/>
        </w:rPr>
      </w:pPr>
      <w:r>
        <w:rPr>
          <w:noProof/>
        </w:rPr>
        <w:drawing>
          <wp:inline distT="0" distB="0" distL="0" distR="0" wp14:anchorId="1108DAED" wp14:editId="1BC361A2">
            <wp:extent cx="5824855" cy="1015459"/>
            <wp:effectExtent l="0" t="0" r="0" b="635"/>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24855" cy="1015459"/>
                    </a:xfrm>
                    <a:prstGeom prst="rect">
                      <a:avLst/>
                    </a:prstGeom>
                    <a:noFill/>
                    <a:ln>
                      <a:noFill/>
                    </a:ln>
                  </pic:spPr>
                </pic:pic>
              </a:graphicData>
            </a:graphic>
          </wp:inline>
        </w:drawing>
      </w:r>
    </w:p>
    <w:p w14:paraId="79C86732" w14:textId="77777777" w:rsidR="00C8772D" w:rsidRDefault="00C8772D" w:rsidP="00C8772D">
      <w:pPr>
        <w:jc w:val="both"/>
        <w:rPr>
          <w:lang w:val="es-ES"/>
        </w:rPr>
      </w:pPr>
      <w:r>
        <w:rPr>
          <w:lang w:val="es-ES"/>
        </w:rPr>
        <w:lastRenderedPageBreak/>
        <w:t xml:space="preserve">Los beneficios asociados con los ahorros de combustible constituyen entre 65% y 70% de los beneficios totales, seguidos por los beneficios asociados con la sustitución de GLP (22% a 30%); los ahorros asociados con los costos de AOM y de emisiones de carbono son relativamente modestos. </w:t>
      </w:r>
    </w:p>
    <w:p w14:paraId="182BDA62" w14:textId="77777777" w:rsidR="00C8772D" w:rsidRPr="00C62F89" w:rsidRDefault="00C8772D" w:rsidP="00C8772D">
      <w:pPr>
        <w:pStyle w:val="Heading2"/>
        <w:numPr>
          <w:ilvl w:val="1"/>
          <w:numId w:val="5"/>
        </w:numPr>
        <w:ind w:left="0" w:firstLine="0"/>
        <w:rPr>
          <w:lang w:val="es-ES"/>
        </w:rPr>
      </w:pPr>
      <w:bookmarkStart w:id="5" w:name="_Toc401572110"/>
      <w:r w:rsidRPr="00C62F89">
        <w:rPr>
          <w:lang w:val="es-ES"/>
        </w:rPr>
        <w:t>Costos</w:t>
      </w:r>
      <w:bookmarkEnd w:id="5"/>
    </w:p>
    <w:p w14:paraId="6565A6C2" w14:textId="77777777" w:rsidR="00C8772D" w:rsidRDefault="00C8772D" w:rsidP="00C8772D">
      <w:pPr>
        <w:pStyle w:val="Banknumbered"/>
        <w:numPr>
          <w:ilvl w:val="0"/>
          <w:numId w:val="0"/>
        </w:numPr>
        <w:jc w:val="both"/>
        <w:rPr>
          <w:lang w:val="es-ES"/>
        </w:rPr>
      </w:pPr>
      <w:r>
        <w:rPr>
          <w:lang w:val="es-ES"/>
        </w:rPr>
        <w:t>Los costos están representados por:</w:t>
      </w:r>
    </w:p>
    <w:p w14:paraId="07BB536C" w14:textId="77777777" w:rsidR="00C8772D" w:rsidRDefault="00C8772D" w:rsidP="00C8772D">
      <w:pPr>
        <w:pStyle w:val="Banknumbered"/>
        <w:numPr>
          <w:ilvl w:val="0"/>
          <w:numId w:val="12"/>
        </w:numPr>
        <w:jc w:val="both"/>
        <w:rPr>
          <w:lang w:val="es-ES"/>
        </w:rPr>
      </w:pPr>
      <w:r>
        <w:rPr>
          <w:lang w:val="es-ES"/>
        </w:rPr>
        <w:t>Costos de inversión del parque generador previsto en el PME;</w:t>
      </w:r>
    </w:p>
    <w:p w14:paraId="387BFBC6" w14:textId="77777777" w:rsidR="00C8772D" w:rsidRDefault="00C8772D" w:rsidP="00C8772D">
      <w:pPr>
        <w:pStyle w:val="Banknumbered"/>
        <w:numPr>
          <w:ilvl w:val="0"/>
          <w:numId w:val="12"/>
        </w:numPr>
        <w:jc w:val="both"/>
        <w:rPr>
          <w:lang w:val="es-ES"/>
        </w:rPr>
      </w:pPr>
      <w:r>
        <w:rPr>
          <w:lang w:val="es-ES"/>
        </w:rPr>
        <w:t xml:space="preserve">Costos de inversión incrementales de transmisión del plan del PME con relación al escenario </w:t>
      </w:r>
      <w:proofErr w:type="spellStart"/>
      <w:r>
        <w:rPr>
          <w:lang w:val="es-ES"/>
        </w:rPr>
        <w:t>contrafactual</w:t>
      </w:r>
      <w:proofErr w:type="spellEnd"/>
      <w:r>
        <w:rPr>
          <w:lang w:val="es-ES"/>
        </w:rPr>
        <w:t>, los cuales están constituidos por las inversiones en las redes de 500kV y otras inversiones en transmisión asociadas con el aumento de demanda de la sustitución de GLP por electricidad;</w:t>
      </w:r>
    </w:p>
    <w:p w14:paraId="0776B4D9" w14:textId="77777777" w:rsidR="00C8772D" w:rsidRDefault="00C8772D" w:rsidP="00C8772D">
      <w:pPr>
        <w:pStyle w:val="Banknumbered"/>
        <w:numPr>
          <w:ilvl w:val="0"/>
          <w:numId w:val="12"/>
        </w:numPr>
        <w:jc w:val="both"/>
        <w:rPr>
          <w:lang w:val="es-ES"/>
        </w:rPr>
      </w:pPr>
      <w:r>
        <w:rPr>
          <w:lang w:val="es-ES"/>
        </w:rPr>
        <w:t xml:space="preserve">Costos de inversión incrementales de distribución con relación al escenario </w:t>
      </w:r>
      <w:proofErr w:type="spellStart"/>
      <w:r>
        <w:rPr>
          <w:lang w:val="es-ES"/>
        </w:rPr>
        <w:t>contrafactual</w:t>
      </w:r>
      <w:proofErr w:type="spellEnd"/>
      <w:r>
        <w:rPr>
          <w:lang w:val="es-ES"/>
        </w:rPr>
        <w:t>, los cuales están constituidos por las inversiones necesarias para enfrentar el aumento de demanda de las cocinas de inducción; y</w:t>
      </w:r>
    </w:p>
    <w:p w14:paraId="70049B1B" w14:textId="77777777" w:rsidR="00C8772D" w:rsidRDefault="00C8772D" w:rsidP="00C8772D">
      <w:pPr>
        <w:pStyle w:val="Banknumbered"/>
        <w:numPr>
          <w:ilvl w:val="0"/>
          <w:numId w:val="12"/>
        </w:numPr>
        <w:rPr>
          <w:lang w:val="es-ES"/>
        </w:rPr>
      </w:pPr>
      <w:r>
        <w:rPr>
          <w:lang w:val="es-ES"/>
        </w:rPr>
        <w:t>Los costos de las cocinas de inducción.</w:t>
      </w:r>
    </w:p>
    <w:p w14:paraId="7BBF5670" w14:textId="77777777" w:rsidR="00C8772D" w:rsidRDefault="00C8772D" w:rsidP="00C8772D">
      <w:pPr>
        <w:jc w:val="both"/>
        <w:rPr>
          <w:lang w:val="es-ES"/>
        </w:rPr>
      </w:pPr>
      <w:r>
        <w:rPr>
          <w:lang w:val="es-ES"/>
        </w:rPr>
        <w:t>La Tabla 8  provee las inversiones correspondientes del PME de los diferentes proyectos hidroeléctricos con base en los presupuestos del Plan Maestro.</w:t>
      </w:r>
    </w:p>
    <w:p w14:paraId="7663FBA6" w14:textId="77777777" w:rsidR="00C8772D" w:rsidRDefault="00C8772D" w:rsidP="00C8772D">
      <w:pPr>
        <w:keepNext/>
        <w:jc w:val="center"/>
        <w:rPr>
          <w:rFonts w:ascii="Calibri" w:hAnsi="Calibri"/>
          <w:sz w:val="20"/>
          <w:szCs w:val="20"/>
          <w:lang w:val="es-ES"/>
        </w:rPr>
      </w:pPr>
      <w:r>
        <w:rPr>
          <w:rFonts w:ascii="Calibri" w:hAnsi="Calibri"/>
          <w:sz w:val="20"/>
          <w:szCs w:val="20"/>
          <w:lang w:val="es-ES"/>
        </w:rPr>
        <w:t xml:space="preserve">Tabla 8. </w:t>
      </w:r>
      <w:r w:rsidRPr="00F57FC2">
        <w:rPr>
          <w:rFonts w:ascii="Calibri" w:hAnsi="Calibri"/>
          <w:sz w:val="20"/>
          <w:szCs w:val="20"/>
          <w:lang w:val="es-ES"/>
        </w:rPr>
        <w:t xml:space="preserve">Costos de Inversión </w:t>
      </w:r>
      <w:r>
        <w:rPr>
          <w:rFonts w:ascii="Calibri" w:hAnsi="Calibri"/>
          <w:sz w:val="20"/>
          <w:szCs w:val="20"/>
          <w:lang w:val="es-ES"/>
        </w:rPr>
        <w:t xml:space="preserve">Asociados con el PME </w:t>
      </w:r>
      <w:r w:rsidRPr="00F57FC2">
        <w:rPr>
          <w:rFonts w:ascii="Calibri" w:hAnsi="Calibri"/>
          <w:sz w:val="20"/>
          <w:szCs w:val="20"/>
          <w:lang w:val="es-ES"/>
        </w:rPr>
        <w:t>(M$)</w:t>
      </w:r>
    </w:p>
    <w:p w14:paraId="74B9FDF9" w14:textId="77777777" w:rsidR="00C8772D" w:rsidRDefault="00C8772D" w:rsidP="00C8772D">
      <w:pPr>
        <w:keepNext/>
        <w:spacing w:before="0"/>
        <w:jc w:val="center"/>
        <w:rPr>
          <w:rFonts w:ascii="Calibri" w:hAnsi="Calibri"/>
          <w:sz w:val="20"/>
          <w:szCs w:val="20"/>
          <w:lang w:val="es-ES"/>
        </w:rPr>
      </w:pPr>
      <w:r>
        <w:rPr>
          <w:rFonts w:ascii="Calibri" w:hAnsi="Calibri"/>
          <w:noProof/>
          <w:sz w:val="20"/>
          <w:szCs w:val="20"/>
        </w:rPr>
        <w:drawing>
          <wp:inline distT="0" distB="0" distL="0" distR="0" wp14:anchorId="31854BC9" wp14:editId="61B91FE1">
            <wp:extent cx="5824855" cy="1199366"/>
            <wp:effectExtent l="0" t="0" r="0" b="0"/>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24855" cy="1199366"/>
                    </a:xfrm>
                    <a:prstGeom prst="rect">
                      <a:avLst/>
                    </a:prstGeom>
                    <a:noFill/>
                    <a:ln>
                      <a:noFill/>
                    </a:ln>
                  </pic:spPr>
                </pic:pic>
              </a:graphicData>
            </a:graphic>
          </wp:inline>
        </w:drawing>
      </w:r>
    </w:p>
    <w:p w14:paraId="1E511E3D" w14:textId="77777777" w:rsidR="00C8772D" w:rsidRDefault="00C8772D" w:rsidP="00C8772D">
      <w:pPr>
        <w:spacing w:before="0"/>
        <w:rPr>
          <w:rFonts w:ascii="Calibri" w:hAnsi="Calibri"/>
          <w:sz w:val="20"/>
          <w:szCs w:val="20"/>
          <w:lang w:val="es-ES"/>
        </w:rPr>
      </w:pPr>
      <w:r>
        <w:rPr>
          <w:rFonts w:ascii="Calibri" w:hAnsi="Calibri"/>
          <w:sz w:val="20"/>
          <w:szCs w:val="20"/>
          <w:lang w:val="es-ES"/>
        </w:rPr>
        <w:t>Fuente: PME Tablas 5.6, 3.44, 4.6</w:t>
      </w:r>
    </w:p>
    <w:p w14:paraId="2901C97A" w14:textId="77777777" w:rsidR="00C8772D" w:rsidRPr="00F57FC2" w:rsidRDefault="00C8772D" w:rsidP="00C8772D">
      <w:pPr>
        <w:jc w:val="both"/>
        <w:rPr>
          <w:lang w:val="es-ES"/>
        </w:rPr>
      </w:pPr>
      <w:r>
        <w:rPr>
          <w:lang w:val="es-ES"/>
        </w:rPr>
        <w:t>Las inversiones suman $12,000 millones sobre el período considerado, de las cuales $9,200 millones corresponden a plantas de generación (76% del total, 60% del total en hidroeléctricas), $1,850 millones corresponden a transmisión y distribución incrementales (15%), y 9% a las cocinas eficientes.  Conviene observar que la inversión en sustitución de GLP aporta 22% a 30% de los beneficios brutos y sólo 9% de los costos.</w:t>
      </w:r>
    </w:p>
    <w:p w14:paraId="449B1374" w14:textId="77777777" w:rsidR="00C8772D" w:rsidRDefault="00C8772D" w:rsidP="00C8772D">
      <w:pPr>
        <w:jc w:val="both"/>
        <w:rPr>
          <w:b/>
          <w:lang w:val="es-ES"/>
        </w:rPr>
      </w:pPr>
    </w:p>
    <w:p w14:paraId="0C462395" w14:textId="77777777" w:rsidR="00C8772D" w:rsidRPr="00C62F89" w:rsidRDefault="00C8772D" w:rsidP="00C8772D">
      <w:pPr>
        <w:pStyle w:val="Heading2"/>
        <w:numPr>
          <w:ilvl w:val="1"/>
          <w:numId w:val="5"/>
        </w:numPr>
        <w:ind w:left="0" w:firstLine="0"/>
        <w:jc w:val="both"/>
        <w:rPr>
          <w:lang w:val="es-ES"/>
        </w:rPr>
      </w:pPr>
      <w:bookmarkStart w:id="6" w:name="_Toc401572111"/>
      <w:r w:rsidRPr="00C62F89">
        <w:rPr>
          <w:lang w:val="es-ES"/>
        </w:rPr>
        <w:t>Tasa interna de retorno y Valor Presente Neto (VPN)</w:t>
      </w:r>
      <w:bookmarkEnd w:id="6"/>
    </w:p>
    <w:p w14:paraId="79CFC7D1" w14:textId="77777777" w:rsidR="00C8772D" w:rsidRDefault="00C8772D" w:rsidP="00C8772D">
      <w:pPr>
        <w:pStyle w:val="Banknumbered"/>
        <w:numPr>
          <w:ilvl w:val="0"/>
          <w:numId w:val="0"/>
        </w:numPr>
        <w:jc w:val="both"/>
        <w:rPr>
          <w:lang w:val="es-ES"/>
        </w:rPr>
      </w:pPr>
      <w:r>
        <w:rPr>
          <w:lang w:val="es-ES"/>
        </w:rPr>
        <w:t>Combinando los resultados de las Tablas 7 y 8 se obtiene la secuencia de beneficios netos indicado en la Tabla 9.</w:t>
      </w:r>
    </w:p>
    <w:p w14:paraId="3331A213" w14:textId="77777777" w:rsidR="00C8772D" w:rsidRPr="00E742DA" w:rsidRDefault="00C8772D" w:rsidP="00C8772D">
      <w:pPr>
        <w:jc w:val="center"/>
        <w:rPr>
          <w:rFonts w:asciiTheme="minorHAnsi" w:hAnsiTheme="minorHAnsi"/>
          <w:sz w:val="18"/>
          <w:szCs w:val="18"/>
          <w:lang w:val="es-ES"/>
        </w:rPr>
      </w:pPr>
      <w:r>
        <w:rPr>
          <w:rFonts w:asciiTheme="minorHAnsi" w:hAnsiTheme="minorHAnsi"/>
          <w:sz w:val="18"/>
          <w:szCs w:val="18"/>
          <w:lang w:val="es-ES"/>
        </w:rPr>
        <w:t xml:space="preserve">Tabla 9. </w:t>
      </w:r>
      <w:r w:rsidRPr="00E742DA">
        <w:rPr>
          <w:rFonts w:asciiTheme="minorHAnsi" w:hAnsiTheme="minorHAnsi"/>
          <w:sz w:val="18"/>
          <w:szCs w:val="18"/>
          <w:lang w:val="es-ES"/>
        </w:rPr>
        <w:t>Secuencia de Beneficios Netos (M$)</w:t>
      </w:r>
    </w:p>
    <w:p w14:paraId="12238434" w14:textId="77777777" w:rsidR="00C8772D" w:rsidRDefault="00C8772D" w:rsidP="00C8772D">
      <w:pPr>
        <w:spacing w:before="0"/>
        <w:rPr>
          <w:lang w:val="es-ES"/>
        </w:rPr>
      </w:pPr>
      <w:r>
        <w:rPr>
          <w:noProof/>
        </w:rPr>
        <w:drawing>
          <wp:inline distT="0" distB="0" distL="0" distR="0" wp14:anchorId="1608EDFB" wp14:editId="6F9E7798">
            <wp:extent cx="5824855" cy="596299"/>
            <wp:effectExtent l="0" t="0" r="0" b="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24855" cy="596299"/>
                    </a:xfrm>
                    <a:prstGeom prst="rect">
                      <a:avLst/>
                    </a:prstGeom>
                    <a:noFill/>
                    <a:ln>
                      <a:noFill/>
                    </a:ln>
                  </pic:spPr>
                </pic:pic>
              </a:graphicData>
            </a:graphic>
          </wp:inline>
        </w:drawing>
      </w:r>
    </w:p>
    <w:p w14:paraId="7793756F" w14:textId="77777777" w:rsidR="00C8772D" w:rsidRDefault="00C8772D" w:rsidP="00C8772D">
      <w:pPr>
        <w:rPr>
          <w:lang w:val="es-ES"/>
        </w:rPr>
      </w:pPr>
      <w:r>
        <w:rPr>
          <w:lang w:val="es-ES"/>
        </w:rPr>
        <w:t>Se obtienen así los siguientes resultados:</w:t>
      </w:r>
    </w:p>
    <w:p w14:paraId="6F0D2C84" w14:textId="77777777" w:rsidR="00C8772D" w:rsidRDefault="00C8772D" w:rsidP="00C8772D">
      <w:pPr>
        <w:rPr>
          <w:lang w:val="es-ES"/>
        </w:rPr>
      </w:pPr>
    </w:p>
    <w:p w14:paraId="6771B445" w14:textId="77777777" w:rsidR="00C8772D" w:rsidRDefault="00C8772D" w:rsidP="00C8772D">
      <w:pPr>
        <w:keepNext/>
        <w:spacing w:before="60"/>
        <w:ind w:left="720"/>
        <w:rPr>
          <w:lang w:val="es-ES"/>
        </w:rPr>
      </w:pPr>
      <w:r>
        <w:rPr>
          <w:lang w:val="es-ES"/>
        </w:rPr>
        <w:t>Tasa de Descuento:</w:t>
      </w:r>
      <w:r>
        <w:rPr>
          <w:lang w:val="es-ES"/>
        </w:rPr>
        <w:tab/>
      </w:r>
      <w:r>
        <w:rPr>
          <w:lang w:val="es-ES"/>
        </w:rPr>
        <w:tab/>
        <w:t>12%</w:t>
      </w:r>
    </w:p>
    <w:p w14:paraId="101D9FB3" w14:textId="77777777" w:rsidR="00C8772D" w:rsidRDefault="00C8772D" w:rsidP="00C8772D">
      <w:pPr>
        <w:keepNext/>
        <w:spacing w:before="60"/>
        <w:ind w:left="720"/>
        <w:rPr>
          <w:lang w:val="es-ES"/>
        </w:rPr>
      </w:pPr>
      <w:r>
        <w:rPr>
          <w:lang w:val="es-ES"/>
        </w:rPr>
        <w:t>VPN Beneficios Brutos</w:t>
      </w:r>
      <w:r>
        <w:rPr>
          <w:lang w:val="es-ES"/>
        </w:rPr>
        <w:tab/>
        <w:t>14,767M$</w:t>
      </w:r>
    </w:p>
    <w:p w14:paraId="5B844754" w14:textId="77777777" w:rsidR="00C8772D" w:rsidRDefault="00C8772D" w:rsidP="00C8772D">
      <w:pPr>
        <w:keepNext/>
        <w:spacing w:before="60"/>
        <w:ind w:left="720"/>
        <w:rPr>
          <w:lang w:val="es-ES"/>
        </w:rPr>
      </w:pPr>
      <w:r>
        <w:rPr>
          <w:lang w:val="es-ES"/>
        </w:rPr>
        <w:t>VPN Costos</w:t>
      </w:r>
      <w:r>
        <w:rPr>
          <w:lang w:val="es-ES"/>
        </w:rPr>
        <w:tab/>
      </w:r>
      <w:r>
        <w:rPr>
          <w:lang w:val="es-ES"/>
        </w:rPr>
        <w:tab/>
      </w:r>
      <w:r>
        <w:rPr>
          <w:lang w:val="es-ES"/>
        </w:rPr>
        <w:tab/>
        <w:t>7,632M$</w:t>
      </w:r>
    </w:p>
    <w:p w14:paraId="7CB14F48" w14:textId="77777777" w:rsidR="00C8772D" w:rsidRDefault="00C8772D" w:rsidP="00C8772D">
      <w:pPr>
        <w:keepNext/>
        <w:spacing w:before="60"/>
        <w:ind w:left="720"/>
        <w:rPr>
          <w:lang w:val="es-ES"/>
        </w:rPr>
      </w:pPr>
      <w:r>
        <w:rPr>
          <w:lang w:val="es-ES"/>
        </w:rPr>
        <w:t>VPN Beneficios Netos</w:t>
      </w:r>
      <w:r>
        <w:rPr>
          <w:lang w:val="es-ES"/>
        </w:rPr>
        <w:tab/>
        <w:t>7,136M$</w:t>
      </w:r>
    </w:p>
    <w:p w14:paraId="393B8155" w14:textId="77777777" w:rsidR="00C8772D" w:rsidRDefault="00C8772D" w:rsidP="00C8772D">
      <w:pPr>
        <w:spacing w:before="60"/>
        <w:ind w:left="720"/>
        <w:rPr>
          <w:lang w:val="es-ES"/>
        </w:rPr>
      </w:pPr>
      <w:r>
        <w:rPr>
          <w:lang w:val="es-ES"/>
        </w:rPr>
        <w:t>Tasa Interna de Retorno</w:t>
      </w:r>
      <w:r>
        <w:rPr>
          <w:lang w:val="es-ES"/>
        </w:rPr>
        <w:tab/>
        <w:t>23%</w:t>
      </w:r>
    </w:p>
    <w:p w14:paraId="3ADD5D3D" w14:textId="77777777" w:rsidR="00C8772D" w:rsidRDefault="00C8772D" w:rsidP="00C8772D">
      <w:pPr>
        <w:spacing w:before="60"/>
        <w:ind w:left="720"/>
        <w:rPr>
          <w:lang w:val="es-ES"/>
        </w:rPr>
      </w:pPr>
    </w:p>
    <w:p w14:paraId="594ED250" w14:textId="77777777" w:rsidR="00C8772D" w:rsidRDefault="00C8772D" w:rsidP="00C8772D">
      <w:pPr>
        <w:spacing w:before="60"/>
        <w:jc w:val="both"/>
        <w:rPr>
          <w:b/>
          <w:lang w:val="es-ES"/>
        </w:rPr>
      </w:pPr>
      <w:r>
        <w:rPr>
          <w:lang w:val="es-ES"/>
        </w:rPr>
        <w:t>Con base en este análisis se puede afirmar que la considerable inversión asociada con las nuevas centrales de generación hidroeléctrica se justifica siempre y cuando se pueda complementar con programas que incentiven la demanda, como el de sustitución de GLP.</w:t>
      </w:r>
    </w:p>
    <w:p w14:paraId="3FE72925" w14:textId="77777777" w:rsidR="00C8772D" w:rsidRDefault="00C8772D" w:rsidP="00C8772D">
      <w:pPr>
        <w:spacing w:before="60"/>
        <w:jc w:val="both"/>
        <w:rPr>
          <w:lang w:val="es-ES"/>
        </w:rPr>
      </w:pPr>
    </w:p>
    <w:p w14:paraId="2222415E" w14:textId="77777777" w:rsidR="00C8772D" w:rsidRPr="00C62F89" w:rsidRDefault="00C8772D" w:rsidP="00C8772D">
      <w:pPr>
        <w:pStyle w:val="Heading2"/>
        <w:numPr>
          <w:ilvl w:val="1"/>
          <w:numId w:val="5"/>
        </w:numPr>
        <w:ind w:left="0" w:firstLine="0"/>
        <w:jc w:val="both"/>
        <w:rPr>
          <w:lang w:val="es-ES"/>
        </w:rPr>
      </w:pPr>
      <w:bookmarkStart w:id="7" w:name="_Toc401572112"/>
      <w:r w:rsidRPr="00C62F89">
        <w:rPr>
          <w:lang w:val="es-ES"/>
        </w:rPr>
        <w:t>Análisis de Sensibilidad</w:t>
      </w:r>
      <w:bookmarkEnd w:id="7"/>
    </w:p>
    <w:p w14:paraId="17326D38" w14:textId="77777777" w:rsidR="00C8772D" w:rsidRDefault="00C8772D" w:rsidP="00C8772D">
      <w:pPr>
        <w:pStyle w:val="Banknumbered"/>
        <w:numPr>
          <w:ilvl w:val="0"/>
          <w:numId w:val="0"/>
        </w:numPr>
        <w:jc w:val="both"/>
        <w:rPr>
          <w:lang w:val="es-ES"/>
        </w:rPr>
      </w:pPr>
      <w:r>
        <w:rPr>
          <w:lang w:val="es-ES"/>
        </w:rPr>
        <w:t>Hay tres interrogantes importantes que están a la base de la estrategia de transformación de la matriz energética y que pueden influenciar los parámetros económicos de la evaluación:</w:t>
      </w:r>
    </w:p>
    <w:p w14:paraId="0494CE6C" w14:textId="77777777" w:rsidR="00C8772D" w:rsidRDefault="00C8772D" w:rsidP="00C8772D">
      <w:pPr>
        <w:pStyle w:val="Banknumbered"/>
        <w:numPr>
          <w:ilvl w:val="0"/>
          <w:numId w:val="13"/>
        </w:numPr>
        <w:jc w:val="both"/>
        <w:rPr>
          <w:lang w:val="es-ES"/>
        </w:rPr>
      </w:pPr>
      <w:r>
        <w:rPr>
          <w:lang w:val="es-ES"/>
        </w:rPr>
        <w:t xml:space="preserve">La penetración efectiva del programa de cocinas eficientes; si por razones sociológicas los consumidores no las adoptan y de todas maneras se llevan a cabo las inversiones en hidroeléctricas, puede ocurrir un período de </w:t>
      </w:r>
      <w:proofErr w:type="spellStart"/>
      <w:r>
        <w:rPr>
          <w:lang w:val="es-ES"/>
        </w:rPr>
        <w:t>sobreinstalación</w:t>
      </w:r>
      <w:proofErr w:type="spellEnd"/>
      <w:r>
        <w:rPr>
          <w:lang w:val="es-ES"/>
        </w:rPr>
        <w:t xml:space="preserve"> de capacidad durante el cual los beneficios esperados no se materializan</w:t>
      </w:r>
      <w:r>
        <w:rPr>
          <w:rStyle w:val="FootnoteReference"/>
          <w:lang w:val="es-ES"/>
        </w:rPr>
        <w:footnoteReference w:id="12"/>
      </w:r>
      <w:r>
        <w:rPr>
          <w:lang w:val="es-ES"/>
        </w:rPr>
        <w:t>;</w:t>
      </w:r>
    </w:p>
    <w:p w14:paraId="5BBFA6E0" w14:textId="77777777" w:rsidR="00C8772D" w:rsidRDefault="00C8772D" w:rsidP="00C8772D">
      <w:pPr>
        <w:pStyle w:val="Banknumbered"/>
        <w:numPr>
          <w:ilvl w:val="0"/>
          <w:numId w:val="13"/>
        </w:numPr>
        <w:jc w:val="both"/>
        <w:rPr>
          <w:lang w:val="es-ES"/>
        </w:rPr>
      </w:pPr>
      <w:r>
        <w:rPr>
          <w:lang w:val="es-ES"/>
        </w:rPr>
        <w:t>En la actualidad se está presentando un descenso en el precio de los combustibles, lo cual puede incidir de manera significativa en los beneficios esperados con la sustitución de combustibles y con la sustitución de GLP por electricidad; y</w:t>
      </w:r>
    </w:p>
    <w:p w14:paraId="6271CE91" w14:textId="77777777" w:rsidR="00C8772D" w:rsidRDefault="00C8772D" w:rsidP="00C8772D">
      <w:pPr>
        <w:pStyle w:val="Banknumbered"/>
        <w:numPr>
          <w:ilvl w:val="0"/>
          <w:numId w:val="13"/>
        </w:numPr>
        <w:jc w:val="both"/>
        <w:rPr>
          <w:lang w:val="es-ES"/>
        </w:rPr>
      </w:pPr>
      <w:r>
        <w:rPr>
          <w:lang w:val="es-ES"/>
        </w:rPr>
        <w:t>Los costos presupuestados de las hidroeléctricas pueden experimentar incrementos considerables afectando la justificación económica de los proyectos.</w:t>
      </w:r>
    </w:p>
    <w:p w14:paraId="430E7FCB" w14:textId="77777777" w:rsidR="00C8772D" w:rsidRDefault="00C8772D" w:rsidP="00C8772D">
      <w:pPr>
        <w:pStyle w:val="Banknumbered"/>
        <w:numPr>
          <w:ilvl w:val="0"/>
          <w:numId w:val="0"/>
        </w:numPr>
        <w:jc w:val="both"/>
        <w:rPr>
          <w:lang w:val="es-ES"/>
        </w:rPr>
      </w:pPr>
      <w:r>
        <w:rPr>
          <w:lang w:val="es-ES"/>
        </w:rPr>
        <w:t>Teniendo en cuenta estas consideraciones, se analizaron las siguientes variantes:</w:t>
      </w:r>
    </w:p>
    <w:p w14:paraId="1E4976E6" w14:textId="77777777" w:rsidR="00C8772D" w:rsidRDefault="00C8772D" w:rsidP="00C8772D">
      <w:pPr>
        <w:pStyle w:val="Banknumbered"/>
        <w:numPr>
          <w:ilvl w:val="0"/>
          <w:numId w:val="6"/>
        </w:numPr>
        <w:ind w:left="720"/>
        <w:jc w:val="both"/>
        <w:rPr>
          <w:lang w:val="es-ES"/>
        </w:rPr>
      </w:pPr>
      <w:r>
        <w:rPr>
          <w:lang w:val="es-ES"/>
        </w:rPr>
        <w:t xml:space="preserve">Suponiendo que sólo se logra el 50% de la meta de penetración de GLP; </w:t>
      </w:r>
    </w:p>
    <w:p w14:paraId="03631B78" w14:textId="77777777" w:rsidR="00C8772D" w:rsidRDefault="00C8772D" w:rsidP="00C8772D">
      <w:pPr>
        <w:pStyle w:val="Banknumbered"/>
        <w:numPr>
          <w:ilvl w:val="0"/>
          <w:numId w:val="6"/>
        </w:numPr>
        <w:ind w:left="720"/>
        <w:jc w:val="both"/>
        <w:rPr>
          <w:lang w:val="es-ES"/>
        </w:rPr>
      </w:pPr>
      <w:r>
        <w:rPr>
          <w:lang w:val="es-ES"/>
        </w:rPr>
        <w:t xml:space="preserve">Suponiendo que los costos de combustible se reducen en 20% con respecto al nivel de las suposiciones del PME; esto equivale a una reducción del precio del fuel </w:t>
      </w:r>
      <w:proofErr w:type="spellStart"/>
      <w:r>
        <w:rPr>
          <w:lang w:val="es-ES"/>
        </w:rPr>
        <w:t>oil</w:t>
      </w:r>
      <w:proofErr w:type="spellEnd"/>
      <w:r>
        <w:rPr>
          <w:lang w:val="es-ES"/>
        </w:rPr>
        <w:t xml:space="preserve"> de $92/BEP a $76/BEP;</w:t>
      </w:r>
    </w:p>
    <w:p w14:paraId="0C2169C4" w14:textId="77777777" w:rsidR="00C8772D" w:rsidRDefault="00C8772D" w:rsidP="00C8772D">
      <w:pPr>
        <w:pStyle w:val="Banknumbered"/>
        <w:numPr>
          <w:ilvl w:val="0"/>
          <w:numId w:val="6"/>
        </w:numPr>
        <w:ind w:left="720"/>
        <w:jc w:val="both"/>
        <w:rPr>
          <w:lang w:val="es-ES"/>
        </w:rPr>
      </w:pPr>
      <w:r>
        <w:rPr>
          <w:lang w:val="es-ES"/>
        </w:rPr>
        <w:t>Un incremento de 20% en el costo de inversión de las hidroeléctricas.</w:t>
      </w:r>
    </w:p>
    <w:p w14:paraId="78E34D41" w14:textId="77777777" w:rsidR="00C8772D" w:rsidRDefault="00C8772D" w:rsidP="00C8772D">
      <w:pPr>
        <w:pStyle w:val="Banknumbered"/>
        <w:numPr>
          <w:ilvl w:val="0"/>
          <w:numId w:val="0"/>
        </w:numPr>
        <w:jc w:val="both"/>
        <w:rPr>
          <w:lang w:val="es-ES"/>
        </w:rPr>
      </w:pPr>
      <w:r>
        <w:rPr>
          <w:lang w:val="es-ES"/>
        </w:rPr>
        <w:t>Se obtuvieron de esta manera los resultados del Tabla 10.</w:t>
      </w:r>
    </w:p>
    <w:p w14:paraId="4317BAA3" w14:textId="77777777" w:rsidR="00C8772D" w:rsidRPr="00A0723D" w:rsidRDefault="00C8772D" w:rsidP="00C8772D">
      <w:pPr>
        <w:jc w:val="center"/>
        <w:rPr>
          <w:rFonts w:ascii="Arial Narrow" w:hAnsi="Arial Narrow"/>
          <w:b/>
          <w:sz w:val="18"/>
          <w:szCs w:val="18"/>
          <w:lang w:val="es-ES"/>
        </w:rPr>
      </w:pPr>
      <w:r>
        <w:rPr>
          <w:rFonts w:ascii="Arial Narrow" w:hAnsi="Arial Narrow"/>
          <w:b/>
          <w:sz w:val="18"/>
          <w:szCs w:val="18"/>
          <w:lang w:val="es-ES"/>
        </w:rPr>
        <w:t xml:space="preserve">Tabla 10. </w:t>
      </w:r>
      <w:r w:rsidRPr="00A0723D">
        <w:rPr>
          <w:rFonts w:ascii="Arial Narrow" w:hAnsi="Arial Narrow"/>
          <w:b/>
          <w:sz w:val="18"/>
          <w:szCs w:val="18"/>
          <w:lang w:val="es-ES"/>
        </w:rPr>
        <w:t>Análisis de Sensibilidad</w:t>
      </w:r>
    </w:p>
    <w:tbl>
      <w:tblPr>
        <w:tblStyle w:val="TableGrid"/>
        <w:tblW w:w="0" w:type="auto"/>
        <w:tblLook w:val="04A0" w:firstRow="1" w:lastRow="0" w:firstColumn="1" w:lastColumn="0" w:noHBand="0" w:noVBand="1"/>
      </w:tblPr>
      <w:tblGrid>
        <w:gridCol w:w="1818"/>
        <w:gridCol w:w="1350"/>
        <w:gridCol w:w="1890"/>
        <w:gridCol w:w="1890"/>
        <w:gridCol w:w="2441"/>
      </w:tblGrid>
      <w:tr w:rsidR="00C8772D" w:rsidRPr="00C12307" w14:paraId="4FEDFBA6" w14:textId="77777777" w:rsidTr="004B4BA5">
        <w:tc>
          <w:tcPr>
            <w:tcW w:w="1818" w:type="dxa"/>
          </w:tcPr>
          <w:p w14:paraId="005FDB02" w14:textId="77777777" w:rsidR="00C8772D" w:rsidRPr="00896DF1" w:rsidRDefault="00C8772D" w:rsidP="004B4BA5">
            <w:pPr>
              <w:spacing w:before="0"/>
              <w:jc w:val="center"/>
              <w:rPr>
                <w:rFonts w:ascii="Arial Narrow" w:hAnsi="Arial Narrow"/>
                <w:b/>
                <w:sz w:val="18"/>
                <w:szCs w:val="18"/>
                <w:lang w:val="es-ES"/>
              </w:rPr>
            </w:pPr>
          </w:p>
        </w:tc>
        <w:tc>
          <w:tcPr>
            <w:tcW w:w="1350" w:type="dxa"/>
          </w:tcPr>
          <w:p w14:paraId="78617C64" w14:textId="77777777" w:rsidR="00C8772D" w:rsidRPr="00896DF1" w:rsidRDefault="00C8772D" w:rsidP="004B4BA5">
            <w:pPr>
              <w:spacing w:before="0"/>
              <w:jc w:val="center"/>
              <w:rPr>
                <w:rFonts w:ascii="Arial Narrow" w:hAnsi="Arial Narrow"/>
                <w:b/>
                <w:sz w:val="18"/>
                <w:szCs w:val="18"/>
                <w:lang w:val="es-ES"/>
              </w:rPr>
            </w:pPr>
            <w:r w:rsidRPr="00896DF1">
              <w:rPr>
                <w:rFonts w:ascii="Arial Narrow" w:hAnsi="Arial Narrow"/>
                <w:b/>
                <w:sz w:val="18"/>
                <w:szCs w:val="18"/>
                <w:lang w:val="es-ES"/>
              </w:rPr>
              <w:t>Caso Base</w:t>
            </w:r>
          </w:p>
        </w:tc>
        <w:tc>
          <w:tcPr>
            <w:tcW w:w="1890" w:type="dxa"/>
          </w:tcPr>
          <w:p w14:paraId="4EEE1006" w14:textId="77777777" w:rsidR="00C8772D" w:rsidRPr="00896DF1" w:rsidRDefault="00C8772D" w:rsidP="004B4BA5">
            <w:pPr>
              <w:spacing w:before="0"/>
              <w:jc w:val="center"/>
              <w:rPr>
                <w:rFonts w:ascii="Arial Narrow" w:hAnsi="Arial Narrow"/>
                <w:b/>
                <w:sz w:val="18"/>
                <w:szCs w:val="18"/>
                <w:lang w:val="es-ES"/>
              </w:rPr>
            </w:pPr>
            <w:r>
              <w:rPr>
                <w:rFonts w:ascii="Arial Narrow" w:hAnsi="Arial Narrow"/>
                <w:b/>
                <w:sz w:val="18"/>
                <w:szCs w:val="18"/>
                <w:lang w:val="es-ES"/>
              </w:rPr>
              <w:t>Con Sustitución Insuficiente de GLP</w:t>
            </w:r>
          </w:p>
        </w:tc>
        <w:tc>
          <w:tcPr>
            <w:tcW w:w="1890" w:type="dxa"/>
          </w:tcPr>
          <w:p w14:paraId="1DE99C76" w14:textId="77777777" w:rsidR="00C8772D" w:rsidRPr="00896DF1" w:rsidRDefault="00C8772D" w:rsidP="004B4BA5">
            <w:pPr>
              <w:spacing w:before="0"/>
              <w:jc w:val="center"/>
              <w:rPr>
                <w:rFonts w:ascii="Arial Narrow" w:hAnsi="Arial Narrow"/>
                <w:b/>
                <w:sz w:val="18"/>
                <w:szCs w:val="18"/>
                <w:lang w:val="es-ES"/>
              </w:rPr>
            </w:pPr>
            <w:r>
              <w:rPr>
                <w:rFonts w:ascii="Arial Narrow" w:hAnsi="Arial Narrow"/>
                <w:b/>
                <w:sz w:val="18"/>
                <w:szCs w:val="18"/>
                <w:lang w:val="es-ES"/>
              </w:rPr>
              <w:t>Con Reducción de Costos de Combustible</w:t>
            </w:r>
          </w:p>
        </w:tc>
        <w:tc>
          <w:tcPr>
            <w:tcW w:w="2441" w:type="dxa"/>
          </w:tcPr>
          <w:p w14:paraId="26240C06" w14:textId="77777777" w:rsidR="00C8772D" w:rsidRPr="00896DF1" w:rsidRDefault="00C8772D" w:rsidP="004B4BA5">
            <w:pPr>
              <w:spacing w:before="0"/>
              <w:jc w:val="center"/>
              <w:rPr>
                <w:rFonts w:ascii="Arial Narrow" w:hAnsi="Arial Narrow"/>
                <w:b/>
                <w:sz w:val="18"/>
                <w:szCs w:val="18"/>
                <w:lang w:val="es-ES"/>
              </w:rPr>
            </w:pPr>
            <w:r>
              <w:rPr>
                <w:rFonts w:ascii="Arial Narrow" w:hAnsi="Arial Narrow"/>
                <w:b/>
                <w:sz w:val="18"/>
                <w:szCs w:val="18"/>
                <w:lang w:val="es-ES"/>
              </w:rPr>
              <w:t>Incremento en Costo de Inversión de Hidroeléctricas</w:t>
            </w:r>
          </w:p>
        </w:tc>
      </w:tr>
      <w:tr w:rsidR="00C8772D" w:rsidRPr="00896DF1" w14:paraId="4BB8E249" w14:textId="77777777" w:rsidTr="004B4BA5">
        <w:tc>
          <w:tcPr>
            <w:tcW w:w="1818" w:type="dxa"/>
          </w:tcPr>
          <w:p w14:paraId="77DBF55B" w14:textId="77777777" w:rsidR="00C8772D" w:rsidRPr="00896DF1" w:rsidRDefault="00C8772D" w:rsidP="004B4BA5">
            <w:pPr>
              <w:spacing w:before="0"/>
              <w:rPr>
                <w:rFonts w:ascii="Arial Narrow" w:hAnsi="Arial Narrow"/>
                <w:sz w:val="18"/>
                <w:szCs w:val="18"/>
                <w:lang w:val="es-ES"/>
              </w:rPr>
            </w:pPr>
            <w:r w:rsidRPr="00896DF1">
              <w:rPr>
                <w:rFonts w:ascii="Arial Narrow" w:hAnsi="Arial Narrow"/>
                <w:sz w:val="18"/>
                <w:szCs w:val="18"/>
                <w:lang w:val="es-ES"/>
              </w:rPr>
              <w:t>VPN Beneficios Brutos</w:t>
            </w:r>
          </w:p>
        </w:tc>
        <w:tc>
          <w:tcPr>
            <w:tcW w:w="1350" w:type="dxa"/>
          </w:tcPr>
          <w:p w14:paraId="4C608D08"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14,767M$</w:t>
            </w:r>
          </w:p>
        </w:tc>
        <w:tc>
          <w:tcPr>
            <w:tcW w:w="1890" w:type="dxa"/>
          </w:tcPr>
          <w:p w14:paraId="2F0F582E"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13,632</w:t>
            </w:r>
          </w:p>
        </w:tc>
        <w:tc>
          <w:tcPr>
            <w:tcW w:w="1890" w:type="dxa"/>
          </w:tcPr>
          <w:p w14:paraId="7AB6A23E"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12,847M$</w:t>
            </w:r>
          </w:p>
        </w:tc>
        <w:tc>
          <w:tcPr>
            <w:tcW w:w="2441" w:type="dxa"/>
          </w:tcPr>
          <w:p w14:paraId="4B7B13F1"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14,767M$</w:t>
            </w:r>
          </w:p>
        </w:tc>
      </w:tr>
      <w:tr w:rsidR="00C8772D" w:rsidRPr="00896DF1" w14:paraId="7FBD080A" w14:textId="77777777" w:rsidTr="004B4BA5">
        <w:tc>
          <w:tcPr>
            <w:tcW w:w="1818" w:type="dxa"/>
          </w:tcPr>
          <w:p w14:paraId="0ECDED47" w14:textId="77777777" w:rsidR="00C8772D" w:rsidRPr="00896DF1" w:rsidRDefault="00C8772D" w:rsidP="004B4BA5">
            <w:pPr>
              <w:spacing w:before="0"/>
              <w:rPr>
                <w:rFonts w:ascii="Arial Narrow" w:hAnsi="Arial Narrow"/>
                <w:sz w:val="18"/>
                <w:szCs w:val="18"/>
                <w:lang w:val="es-ES"/>
              </w:rPr>
            </w:pPr>
            <w:r w:rsidRPr="00896DF1">
              <w:rPr>
                <w:rFonts w:ascii="Arial Narrow" w:hAnsi="Arial Narrow"/>
                <w:sz w:val="18"/>
                <w:szCs w:val="18"/>
                <w:lang w:val="es-ES"/>
              </w:rPr>
              <w:t>VPN Costos</w:t>
            </w:r>
          </w:p>
        </w:tc>
        <w:tc>
          <w:tcPr>
            <w:tcW w:w="1350" w:type="dxa"/>
          </w:tcPr>
          <w:p w14:paraId="0D147FB5"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7,632M$</w:t>
            </w:r>
          </w:p>
        </w:tc>
        <w:tc>
          <w:tcPr>
            <w:tcW w:w="1890" w:type="dxa"/>
          </w:tcPr>
          <w:p w14:paraId="6673FE18"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7,632</w:t>
            </w:r>
          </w:p>
        </w:tc>
        <w:tc>
          <w:tcPr>
            <w:tcW w:w="1890" w:type="dxa"/>
          </w:tcPr>
          <w:p w14:paraId="0AE7D988"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7,632M$</w:t>
            </w:r>
          </w:p>
        </w:tc>
        <w:tc>
          <w:tcPr>
            <w:tcW w:w="2441" w:type="dxa"/>
          </w:tcPr>
          <w:p w14:paraId="7B90DEB7"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8,544M$</w:t>
            </w:r>
          </w:p>
        </w:tc>
      </w:tr>
      <w:tr w:rsidR="00C8772D" w:rsidRPr="00896DF1" w14:paraId="76E78FAD" w14:textId="77777777" w:rsidTr="004B4BA5">
        <w:tc>
          <w:tcPr>
            <w:tcW w:w="1818" w:type="dxa"/>
          </w:tcPr>
          <w:p w14:paraId="11EA67B0" w14:textId="77777777" w:rsidR="00C8772D" w:rsidRPr="00896DF1" w:rsidRDefault="00C8772D" w:rsidP="004B4BA5">
            <w:pPr>
              <w:spacing w:before="0"/>
              <w:rPr>
                <w:rFonts w:ascii="Arial Narrow" w:hAnsi="Arial Narrow"/>
                <w:sz w:val="18"/>
                <w:szCs w:val="18"/>
                <w:lang w:val="es-ES"/>
              </w:rPr>
            </w:pPr>
            <w:r w:rsidRPr="00896DF1">
              <w:rPr>
                <w:rFonts w:ascii="Arial Narrow" w:hAnsi="Arial Narrow"/>
                <w:sz w:val="18"/>
                <w:szCs w:val="18"/>
                <w:lang w:val="es-ES"/>
              </w:rPr>
              <w:t>VPN Beneficios Netos</w:t>
            </w:r>
          </w:p>
        </w:tc>
        <w:tc>
          <w:tcPr>
            <w:tcW w:w="1350" w:type="dxa"/>
          </w:tcPr>
          <w:p w14:paraId="68988EBF"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7,136M$</w:t>
            </w:r>
          </w:p>
        </w:tc>
        <w:tc>
          <w:tcPr>
            <w:tcW w:w="1890" w:type="dxa"/>
          </w:tcPr>
          <w:p w14:paraId="3FA91DFD"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6,001</w:t>
            </w:r>
          </w:p>
        </w:tc>
        <w:tc>
          <w:tcPr>
            <w:tcW w:w="1890" w:type="dxa"/>
          </w:tcPr>
          <w:p w14:paraId="55F03C44"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5,215)M$</w:t>
            </w:r>
          </w:p>
        </w:tc>
        <w:tc>
          <w:tcPr>
            <w:tcW w:w="2441" w:type="dxa"/>
          </w:tcPr>
          <w:p w14:paraId="7C44CFDF"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6,223M$</w:t>
            </w:r>
          </w:p>
        </w:tc>
      </w:tr>
      <w:tr w:rsidR="00C8772D" w:rsidRPr="00896DF1" w14:paraId="08DEA7EE" w14:textId="77777777" w:rsidTr="004B4BA5">
        <w:tc>
          <w:tcPr>
            <w:tcW w:w="1818" w:type="dxa"/>
          </w:tcPr>
          <w:p w14:paraId="2C7FCED1" w14:textId="77777777" w:rsidR="00C8772D" w:rsidRPr="00896DF1" w:rsidRDefault="00C8772D" w:rsidP="004B4BA5">
            <w:pPr>
              <w:spacing w:before="0"/>
              <w:rPr>
                <w:rFonts w:ascii="Arial Narrow" w:hAnsi="Arial Narrow"/>
                <w:sz w:val="18"/>
                <w:szCs w:val="18"/>
                <w:lang w:val="es-ES"/>
              </w:rPr>
            </w:pPr>
            <w:r w:rsidRPr="00896DF1">
              <w:rPr>
                <w:rFonts w:ascii="Arial Narrow" w:hAnsi="Arial Narrow"/>
                <w:sz w:val="18"/>
                <w:szCs w:val="18"/>
                <w:lang w:val="es-ES"/>
              </w:rPr>
              <w:t>TIR</w:t>
            </w:r>
          </w:p>
        </w:tc>
        <w:tc>
          <w:tcPr>
            <w:tcW w:w="1350" w:type="dxa"/>
          </w:tcPr>
          <w:p w14:paraId="3E2E0237"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23%</w:t>
            </w:r>
          </w:p>
        </w:tc>
        <w:tc>
          <w:tcPr>
            <w:tcW w:w="1890" w:type="dxa"/>
          </w:tcPr>
          <w:p w14:paraId="0617CD1A"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21%</w:t>
            </w:r>
          </w:p>
        </w:tc>
        <w:tc>
          <w:tcPr>
            <w:tcW w:w="1890" w:type="dxa"/>
          </w:tcPr>
          <w:p w14:paraId="5A241F1B"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20%</w:t>
            </w:r>
          </w:p>
        </w:tc>
        <w:tc>
          <w:tcPr>
            <w:tcW w:w="2441" w:type="dxa"/>
          </w:tcPr>
          <w:p w14:paraId="36CA45A5"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21%</w:t>
            </w:r>
          </w:p>
        </w:tc>
      </w:tr>
    </w:tbl>
    <w:p w14:paraId="60DD18E5" w14:textId="77777777" w:rsidR="00C8772D" w:rsidRDefault="00C8772D" w:rsidP="00C8772D">
      <w:pPr>
        <w:jc w:val="both"/>
        <w:rPr>
          <w:lang w:val="es-ES"/>
        </w:rPr>
      </w:pPr>
      <w:r>
        <w:rPr>
          <w:lang w:val="es-ES"/>
        </w:rPr>
        <w:lastRenderedPageBreak/>
        <w:t>Se puede concluir que el plan tal como está concebido arroja resultados robustos con beneficios netos positivos y tasas internas de retorno atractivas.</w:t>
      </w:r>
    </w:p>
    <w:p w14:paraId="1D10F551" w14:textId="77777777" w:rsidR="00C8772D" w:rsidRDefault="00C8772D" w:rsidP="00C8772D">
      <w:pPr>
        <w:pStyle w:val="Heading1"/>
        <w:numPr>
          <w:ilvl w:val="0"/>
          <w:numId w:val="4"/>
        </w:numPr>
        <w:ind w:left="360"/>
        <w:jc w:val="both"/>
        <w:rPr>
          <w:lang w:val="es-ES"/>
        </w:rPr>
      </w:pPr>
      <w:bookmarkStart w:id="8" w:name="_Toc401572113"/>
      <w:r w:rsidRPr="00C62F89">
        <w:rPr>
          <w:lang w:val="es-ES"/>
        </w:rPr>
        <w:t>Política de racionalización del consumo de GLP</w:t>
      </w:r>
      <w:bookmarkEnd w:id="8"/>
    </w:p>
    <w:p w14:paraId="2E9FDC06" w14:textId="77777777" w:rsidR="00C8772D" w:rsidRPr="00C62F89" w:rsidRDefault="00C8772D" w:rsidP="00C8772D">
      <w:pPr>
        <w:pStyle w:val="Heading2"/>
        <w:numPr>
          <w:ilvl w:val="0"/>
          <w:numId w:val="14"/>
        </w:numPr>
        <w:rPr>
          <w:lang w:val="es-ES"/>
        </w:rPr>
      </w:pPr>
      <w:bookmarkStart w:id="9" w:name="_Toc401572114"/>
      <w:bookmarkStart w:id="10" w:name="_Toc401572115"/>
      <w:bookmarkEnd w:id="9"/>
      <w:r w:rsidRPr="00C62F89">
        <w:rPr>
          <w:lang w:val="es-ES"/>
        </w:rPr>
        <w:t>Suposiciones y Metodología.</w:t>
      </w:r>
      <w:bookmarkEnd w:id="10"/>
    </w:p>
    <w:p w14:paraId="45C8A37A" w14:textId="77777777" w:rsidR="00C8772D" w:rsidRDefault="00C8772D" w:rsidP="00C8772D">
      <w:pPr>
        <w:pStyle w:val="Banknumbered"/>
        <w:numPr>
          <w:ilvl w:val="0"/>
          <w:numId w:val="0"/>
        </w:numPr>
        <w:jc w:val="both"/>
        <w:rPr>
          <w:lang w:val="es-ES"/>
        </w:rPr>
      </w:pPr>
      <w:r>
        <w:rPr>
          <w:b/>
          <w:lang w:val="es-ES"/>
        </w:rPr>
        <w:t>Problemática del GLP.</w:t>
      </w:r>
      <w:r>
        <w:rPr>
          <w:lang w:val="es-ES"/>
        </w:rPr>
        <w:t xml:space="preserve">  En 2013 se consumieron 12MBEP</w:t>
      </w:r>
      <w:r>
        <w:rPr>
          <w:rStyle w:val="FootnoteReference"/>
          <w:lang w:val="es-ES"/>
        </w:rPr>
        <w:footnoteReference w:id="13"/>
      </w:r>
      <w:r>
        <w:rPr>
          <w:lang w:val="es-ES"/>
        </w:rPr>
        <w:t>, de los cuales 9MBEP se importaron y 3MBEP se produjeron internamente en el Ecuador.  El consumo de GLP representa aproximadamente 12% de la demanda interna de energía y 14% del consumo interno de derivados del petróleo.  El consumo de GLP corresponde al sector doméstico, al sector comercial y al sector industrial.  Sin embargo, se estima que una alta proporción es desviada al contrabando hacia Colombia y Perú; no hay valoraciones precisas del volumen de contrabando, pero puede estar entre 18% y 22% del consumo, dependiendo de la fuente consultada.  Teniendo en cuenta este factor, la utilización del GLP se divide aproximadamente en 73% para uso doméstico, 19% para contrabando, y 8% para los demás sectores (agroindustria, vehículos, e industria).</w:t>
      </w:r>
    </w:p>
    <w:p w14:paraId="3D345C3B" w14:textId="77777777" w:rsidR="00C8772D" w:rsidRDefault="00C8772D" w:rsidP="00C8772D">
      <w:pPr>
        <w:pStyle w:val="Banknumbered"/>
        <w:numPr>
          <w:ilvl w:val="0"/>
          <w:numId w:val="0"/>
        </w:numPr>
        <w:jc w:val="both"/>
        <w:rPr>
          <w:lang w:val="es-ES"/>
        </w:rPr>
      </w:pPr>
      <w:r>
        <w:rPr>
          <w:lang w:val="es-ES"/>
        </w:rPr>
        <w:t>El problema del contrabando se origina en una política de subsidios al GLP que se ha perpetuado en el tiempo.  En el sector doméstico el GLP se distribuye en cilindros de 15kg (nominales) a un precio de $1.60 por cilindro recargado.  Esto equivale aproximadamente a un precio de $0.12 por kg teniendo en cuenta que los cilindros raramente se cargan a más del 90% de su capacidad debido a la acumulación de agua, otros contaminantes, y errores en medición.  Este precio equivale a aproximadamente $14/BEP.  En Colombia el precio del cilindro equivalente está alrededor de $8 y en Perú $15, cinco veces y nueve veces más que en el Ecuador, respectivamente.  Con este diferencial, no es sorprendente que se pueda llegar a los niveles de contrabando estimados anteriormente.  De hecho, 26% del GLP importado se estaría destinando al consumo por fuera del Ecuador.</w:t>
      </w:r>
    </w:p>
    <w:p w14:paraId="1CC32644" w14:textId="77777777" w:rsidR="00C8772D" w:rsidRDefault="00C8772D" w:rsidP="00C8772D">
      <w:pPr>
        <w:pStyle w:val="Banknumbered"/>
        <w:numPr>
          <w:ilvl w:val="0"/>
          <w:numId w:val="0"/>
        </w:numPr>
        <w:jc w:val="both"/>
        <w:rPr>
          <w:lang w:val="es-ES"/>
        </w:rPr>
      </w:pPr>
      <w:r>
        <w:rPr>
          <w:lang w:val="es-ES"/>
        </w:rPr>
        <w:t xml:space="preserve">El precio de importación del GLP está alrededor de US$69/BEP en 2013.  Esto significa que el costo del gas por cilindro de 15kg está por el orden de $7.50; a este valor hay que agregarle los costos de llenado, transporte, y el margen de distribución, con lo cual el cilindro de 15kg debería venderse a no menos de unos $10 (equivalente a </w:t>
      </w:r>
      <w:proofErr w:type="gramStart"/>
      <w:r>
        <w:rPr>
          <w:lang w:val="es-ES"/>
        </w:rPr>
        <w:t>unos</w:t>
      </w:r>
      <w:proofErr w:type="gramEnd"/>
      <w:r>
        <w:rPr>
          <w:lang w:val="es-ES"/>
        </w:rPr>
        <w:t xml:space="preserve"> $, o seis veces más que el precio actual.  Esto equivale a </w:t>
      </w:r>
      <w:proofErr w:type="gramStart"/>
      <w:r>
        <w:rPr>
          <w:lang w:val="es-ES"/>
        </w:rPr>
        <w:t>unos</w:t>
      </w:r>
      <w:proofErr w:type="gramEnd"/>
      <w:r>
        <w:rPr>
          <w:lang w:val="es-ES"/>
        </w:rPr>
        <w:t xml:space="preserve"> $92/BEP.</w:t>
      </w:r>
    </w:p>
    <w:p w14:paraId="059FC896" w14:textId="77777777" w:rsidR="00C8772D" w:rsidRDefault="00C8772D" w:rsidP="00C8772D">
      <w:pPr>
        <w:pStyle w:val="Banknumbered"/>
        <w:numPr>
          <w:ilvl w:val="0"/>
          <w:numId w:val="0"/>
        </w:numPr>
        <w:jc w:val="both"/>
        <w:rPr>
          <w:lang w:val="es-ES"/>
        </w:rPr>
      </w:pPr>
      <w:r>
        <w:rPr>
          <w:b/>
          <w:lang w:val="es-ES"/>
        </w:rPr>
        <w:t>Pérdidas financieras asociadas con el GLP.</w:t>
      </w:r>
      <w:r>
        <w:rPr>
          <w:lang w:val="es-ES"/>
        </w:rPr>
        <w:t xml:space="preserve">  Si en 2013 se comercializaron 12MBEP, las pérdidas del Estado fueron aproximadamente:</w:t>
      </w:r>
    </w:p>
    <w:p w14:paraId="5DDED9B6" w14:textId="77777777" w:rsidR="00C8772D" w:rsidRDefault="00C8772D" w:rsidP="00C8772D">
      <w:pPr>
        <w:pStyle w:val="Banknumbered"/>
        <w:numPr>
          <w:ilvl w:val="0"/>
          <w:numId w:val="7"/>
        </w:numPr>
        <w:ind w:left="720"/>
        <w:jc w:val="both"/>
        <w:rPr>
          <w:lang w:val="es-ES"/>
        </w:rPr>
      </w:pPr>
      <w:r>
        <w:rPr>
          <w:lang w:val="es-ES"/>
        </w:rPr>
        <w:t>Pérdidas por diferencia entre el costo del GLP ($92/BEP) y el precio de venta ($14/BEP) para el consumo interno real (9.7MBEP): $756 millones;</w:t>
      </w:r>
    </w:p>
    <w:p w14:paraId="4953164D" w14:textId="77777777" w:rsidR="00C8772D" w:rsidRDefault="00C8772D" w:rsidP="00C8772D">
      <w:pPr>
        <w:pStyle w:val="Banknumbered"/>
        <w:numPr>
          <w:ilvl w:val="0"/>
          <w:numId w:val="7"/>
        </w:numPr>
        <w:ind w:left="720"/>
        <w:jc w:val="both"/>
        <w:rPr>
          <w:lang w:val="es-ES"/>
        </w:rPr>
      </w:pPr>
      <w:r>
        <w:rPr>
          <w:lang w:val="es-ES"/>
        </w:rPr>
        <w:t>Pérdidas por contrabando, equivalentes a la totalidad del GLP que sale del país ilegalmente (2.3MBEP) valorados al costo de $92/BEP: $212 millones.</w:t>
      </w:r>
    </w:p>
    <w:p w14:paraId="138B5321" w14:textId="77777777" w:rsidR="00C8772D" w:rsidRDefault="00C8772D" w:rsidP="00C8772D">
      <w:pPr>
        <w:jc w:val="both"/>
        <w:rPr>
          <w:lang w:val="es-ES"/>
        </w:rPr>
      </w:pPr>
      <w:r>
        <w:rPr>
          <w:lang w:val="es-ES"/>
        </w:rPr>
        <w:t>Para un total de pérdidas para el Estado de unos $970 millones en 2013.</w:t>
      </w:r>
    </w:p>
    <w:p w14:paraId="6300D395" w14:textId="77777777" w:rsidR="00C8772D" w:rsidRDefault="00C8772D" w:rsidP="00C8772D">
      <w:pPr>
        <w:pStyle w:val="Banknumbered"/>
        <w:numPr>
          <w:ilvl w:val="0"/>
          <w:numId w:val="0"/>
        </w:numPr>
        <w:jc w:val="both"/>
        <w:rPr>
          <w:lang w:val="es-ES"/>
        </w:rPr>
      </w:pPr>
      <w:r>
        <w:rPr>
          <w:b/>
          <w:lang w:val="es-ES"/>
        </w:rPr>
        <w:lastRenderedPageBreak/>
        <w:t>Política propuesta para reducir las pérdidas asociadas con el GLP.</w:t>
      </w:r>
      <w:r>
        <w:rPr>
          <w:lang w:val="es-ES"/>
        </w:rPr>
        <w:t xml:space="preserve">  El monto de las pérdidas representa un lastre importante para las finanzas del Estado, y se han propuesto dos mecanismos para su reducción:</w:t>
      </w:r>
    </w:p>
    <w:p w14:paraId="31C1D69E" w14:textId="77777777" w:rsidR="00C8772D" w:rsidRDefault="00C8772D" w:rsidP="00C8772D">
      <w:pPr>
        <w:pStyle w:val="Banknumbered"/>
        <w:numPr>
          <w:ilvl w:val="0"/>
          <w:numId w:val="8"/>
        </w:numPr>
        <w:ind w:left="720"/>
        <w:jc w:val="both"/>
        <w:rPr>
          <w:lang w:val="es-ES"/>
        </w:rPr>
      </w:pPr>
      <w:r>
        <w:rPr>
          <w:lang w:val="es-ES"/>
        </w:rPr>
        <w:t>La eliminación del subsidio al GLP; y</w:t>
      </w:r>
    </w:p>
    <w:p w14:paraId="74533CEB" w14:textId="77777777" w:rsidR="00C8772D" w:rsidRDefault="00C8772D" w:rsidP="00C8772D">
      <w:pPr>
        <w:pStyle w:val="Banknumbered"/>
        <w:numPr>
          <w:ilvl w:val="0"/>
          <w:numId w:val="8"/>
        </w:numPr>
        <w:ind w:left="720"/>
        <w:jc w:val="both"/>
        <w:rPr>
          <w:lang w:val="es-ES"/>
        </w:rPr>
      </w:pPr>
      <w:r>
        <w:rPr>
          <w:lang w:val="es-ES"/>
        </w:rPr>
        <w:t>La sustitución de GLP por electricidad mediante la diseminación de cocinas de inducción eficientes buscando moderar el impacto sobre los consumidores.</w:t>
      </w:r>
    </w:p>
    <w:p w14:paraId="3854F530" w14:textId="77777777" w:rsidR="00C8772D" w:rsidRDefault="00C8772D" w:rsidP="00C8772D">
      <w:pPr>
        <w:pStyle w:val="Banknumbered"/>
        <w:numPr>
          <w:ilvl w:val="0"/>
          <w:numId w:val="0"/>
        </w:numPr>
        <w:jc w:val="both"/>
        <w:rPr>
          <w:lang w:val="es-ES"/>
        </w:rPr>
      </w:pPr>
      <w:r>
        <w:rPr>
          <w:b/>
          <w:lang w:val="es-ES"/>
        </w:rPr>
        <w:t>Eliminación del subsidio al GLP.</w:t>
      </w:r>
      <w:r>
        <w:rPr>
          <w:lang w:val="es-ES"/>
        </w:rPr>
        <w:t xml:space="preserve">  Los beneficios económicos de esta medida son diferentes a los beneficios financieros para el Estado, tal como se ilustra en la Gráfica 1:</w:t>
      </w:r>
    </w:p>
    <w:p w14:paraId="2E4F08FB" w14:textId="77777777" w:rsidR="00C8772D" w:rsidRPr="00F97685" w:rsidRDefault="00C8772D" w:rsidP="00C8772D">
      <w:pPr>
        <w:keepNext/>
        <w:jc w:val="center"/>
        <w:rPr>
          <w:sz w:val="18"/>
          <w:szCs w:val="18"/>
          <w:lang w:val="es-ES"/>
        </w:rPr>
      </w:pPr>
      <w:r>
        <w:rPr>
          <w:sz w:val="18"/>
          <w:szCs w:val="18"/>
          <w:lang w:val="es-ES"/>
        </w:rPr>
        <w:t>Gráfica 1</w:t>
      </w:r>
      <w:r w:rsidRPr="00F97685">
        <w:rPr>
          <w:sz w:val="18"/>
          <w:szCs w:val="18"/>
          <w:lang w:val="es-ES"/>
        </w:rPr>
        <w:t>: Demanda y Eliminación del Subsidio</w:t>
      </w:r>
    </w:p>
    <w:p w14:paraId="29185728" w14:textId="77777777" w:rsidR="00C8772D" w:rsidRDefault="00C8772D" w:rsidP="00C8772D">
      <w:pPr>
        <w:spacing w:before="0"/>
        <w:jc w:val="center"/>
        <w:rPr>
          <w:lang w:val="es-ES"/>
        </w:rPr>
      </w:pPr>
      <w:r>
        <w:rPr>
          <w:noProof/>
        </w:rPr>
        <w:drawing>
          <wp:inline distT="0" distB="0" distL="0" distR="0" wp14:anchorId="2D5EF203" wp14:editId="2E77373B">
            <wp:extent cx="5257800" cy="2836545"/>
            <wp:effectExtent l="0" t="0" r="0" b="8255"/>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7800" cy="2836545"/>
                    </a:xfrm>
                    <a:prstGeom prst="rect">
                      <a:avLst/>
                    </a:prstGeom>
                    <a:noFill/>
                    <a:ln>
                      <a:noFill/>
                    </a:ln>
                  </pic:spPr>
                </pic:pic>
              </a:graphicData>
            </a:graphic>
          </wp:inline>
        </w:drawing>
      </w:r>
    </w:p>
    <w:p w14:paraId="25D4686F" w14:textId="77777777" w:rsidR="00C8772D" w:rsidRDefault="00C8772D" w:rsidP="00C8772D">
      <w:pPr>
        <w:jc w:val="both"/>
        <w:rPr>
          <w:lang w:val="es-ES"/>
        </w:rPr>
      </w:pPr>
      <w:r>
        <w:rPr>
          <w:lang w:val="es-ES"/>
        </w:rPr>
        <w:t>En la gráfica de demanda, el consumo inicial corresponde a un excedente del consumidor neto igual a las áreas A+B+C.  El costo para el Estado corresponde al área B+C+D+E+F; el consumidor paga el área E+F y el Estado pierde el área B+C+D.  Al eliminarse el subsidio el consumo se reduce a Q</w:t>
      </w:r>
      <w:r>
        <w:rPr>
          <w:vertAlign w:val="subscript"/>
          <w:lang w:val="es-ES"/>
        </w:rPr>
        <w:t>1</w:t>
      </w:r>
      <w:r>
        <w:rPr>
          <w:lang w:val="es-ES"/>
        </w:rPr>
        <w:t xml:space="preserve"> y el excedente neto del consumidor se reduce al área A.  El Estado recupera su pérdida inicial de B+C+D y la ganancia neta económica se reduce al área D que refleja el valor del consumo ineficiente inducido por el subsidio implícito en la diferencia entre el costo y el precio P</w:t>
      </w:r>
      <w:r>
        <w:rPr>
          <w:vertAlign w:val="subscript"/>
          <w:lang w:val="es-ES"/>
        </w:rPr>
        <w:t>0</w:t>
      </w:r>
      <w:r>
        <w:rPr>
          <w:lang w:val="es-ES"/>
        </w:rPr>
        <w:t xml:space="preserve">.  El beneficio neto depende de la elasticidad precio de la demanda; si la elasticidad es muy baja y el consumo no se reduce de manera significativa, el valor económico de la eliminación del subsidio es muy pequeño y el Estado recupera la totalidad de su costo financiero, el cual </w:t>
      </w:r>
      <w:r w:rsidRPr="00EE1386">
        <w:rPr>
          <w:b/>
          <w:lang w:val="es-ES"/>
        </w:rPr>
        <w:t>no</w:t>
      </w:r>
      <w:r>
        <w:rPr>
          <w:lang w:val="es-ES"/>
        </w:rPr>
        <w:t xml:space="preserve"> constituye un beneficio económico.</w:t>
      </w:r>
    </w:p>
    <w:p w14:paraId="60B72810" w14:textId="77777777" w:rsidR="00C8772D" w:rsidRDefault="00C8772D" w:rsidP="00C8772D">
      <w:pPr>
        <w:pStyle w:val="Banknumbered"/>
        <w:numPr>
          <w:ilvl w:val="0"/>
          <w:numId w:val="0"/>
        </w:numPr>
        <w:jc w:val="both"/>
        <w:rPr>
          <w:lang w:val="es-ES"/>
        </w:rPr>
      </w:pPr>
      <w:r>
        <w:rPr>
          <w:b/>
          <w:lang w:val="es-ES"/>
        </w:rPr>
        <w:t>Sustitución de GLP por electricidad.</w:t>
      </w:r>
      <w:r>
        <w:rPr>
          <w:lang w:val="es-ES"/>
        </w:rPr>
        <w:t xml:space="preserve">  El programa del Gobierno consiste en sustituir la cocción con GLP por la cocción con electricidad mediante cocinas de inducción de alta eficiencia, junto con un subsidio a los hogares que lleven a cabo la sustitución por los primeros 80kWh de consumo.</w:t>
      </w:r>
    </w:p>
    <w:p w14:paraId="6D88E16D" w14:textId="77777777" w:rsidR="00C8772D" w:rsidRDefault="00C8772D" w:rsidP="00C8772D">
      <w:pPr>
        <w:pStyle w:val="Banknumbered"/>
        <w:numPr>
          <w:ilvl w:val="0"/>
          <w:numId w:val="0"/>
        </w:numPr>
        <w:jc w:val="both"/>
        <w:rPr>
          <w:lang w:val="es-ES"/>
        </w:rPr>
      </w:pPr>
      <w:r>
        <w:rPr>
          <w:lang w:val="es-ES"/>
        </w:rPr>
        <w:t xml:space="preserve">El uso de electricidad para cocción doméstica es poco usual como solución económica, con excepción de países con bajos costos de electricidad (Noruega, por ejemplo).  La razón está en que la cocción con GLP hace uso directo del hidrocarburo, mientras que en sistemas térmicos la electricidad se genera por medio de hidrocarburos pero requiere toda la infraestructura de </w:t>
      </w:r>
      <w:r>
        <w:rPr>
          <w:lang w:val="es-ES"/>
        </w:rPr>
        <w:lastRenderedPageBreak/>
        <w:t>transmisión y distribución para llegar al consumidor.  En el caso del Ecuador, con las inversiones masivas en hidroeléctricas, el costo marginal de la electricidad puede reducirse de tal manera que la cocción se justifica económicamente, por lo menos por algún tiempo.  Igualmente se presenta un fenómeno de eficiencia, puesto que la combustión con GLP es incompleta en poblaciones situadas en lugares elevados con respecto al nivel del mar, mientras que la electricidad no presenta esta limitación, con lo cual hay una razón adicional para promover la sustitución.</w:t>
      </w:r>
    </w:p>
    <w:p w14:paraId="373CF6DA" w14:textId="77777777" w:rsidR="00C8772D" w:rsidRDefault="00C8772D" w:rsidP="00C8772D">
      <w:pPr>
        <w:pStyle w:val="Banknumbered"/>
        <w:numPr>
          <w:ilvl w:val="0"/>
          <w:numId w:val="0"/>
        </w:numPr>
        <w:jc w:val="both"/>
        <w:rPr>
          <w:lang w:val="es-ES"/>
        </w:rPr>
      </w:pPr>
      <w:r>
        <w:rPr>
          <w:b/>
          <w:lang w:val="es-ES"/>
        </w:rPr>
        <w:t>Lógica de la sustitución: punto de vista del Gobierno.</w:t>
      </w:r>
      <w:r>
        <w:rPr>
          <w:lang w:val="es-ES"/>
        </w:rPr>
        <w:t xml:space="preserve">  Visto desde el punto de vista del Gobierno el balance puede resumirse así:</w:t>
      </w:r>
    </w:p>
    <w:p w14:paraId="38D6E462" w14:textId="77777777" w:rsidR="00C8772D" w:rsidRDefault="00C8772D" w:rsidP="00C8772D">
      <w:pPr>
        <w:pStyle w:val="Banknumbered"/>
        <w:numPr>
          <w:ilvl w:val="0"/>
          <w:numId w:val="9"/>
        </w:numPr>
        <w:ind w:left="720"/>
        <w:jc w:val="both"/>
        <w:rPr>
          <w:lang w:val="es-ES"/>
        </w:rPr>
      </w:pPr>
      <w:r>
        <w:rPr>
          <w:lang w:val="es-ES"/>
        </w:rPr>
        <w:t>Consumo de GLP para cocción: 207 kg anuales por hogar</w:t>
      </w:r>
      <w:r>
        <w:rPr>
          <w:rStyle w:val="FootnoteReference"/>
          <w:lang w:val="es-ES"/>
        </w:rPr>
        <w:footnoteReference w:id="14"/>
      </w:r>
      <w:r>
        <w:rPr>
          <w:lang w:val="es-ES"/>
        </w:rPr>
        <w:t>, equivalentes a 1.7 BEP;</w:t>
      </w:r>
    </w:p>
    <w:p w14:paraId="27045F9E" w14:textId="77777777" w:rsidR="00C8772D" w:rsidRDefault="00C8772D" w:rsidP="00C8772D">
      <w:pPr>
        <w:pStyle w:val="Banknumbered"/>
        <w:numPr>
          <w:ilvl w:val="0"/>
          <w:numId w:val="9"/>
        </w:numPr>
        <w:ind w:left="720"/>
        <w:jc w:val="both"/>
        <w:rPr>
          <w:lang w:val="es-ES"/>
        </w:rPr>
      </w:pPr>
      <w:r>
        <w:rPr>
          <w:lang w:val="es-ES"/>
        </w:rPr>
        <w:t>Costo a precio de frontera del GLP ($92/BEP): $156 anuales por hogar;</w:t>
      </w:r>
    </w:p>
    <w:p w14:paraId="6DD4E5F8" w14:textId="77777777" w:rsidR="00C8772D" w:rsidRDefault="00C8772D" w:rsidP="00C8772D">
      <w:pPr>
        <w:pStyle w:val="Banknumbered"/>
        <w:numPr>
          <w:ilvl w:val="0"/>
          <w:numId w:val="9"/>
        </w:numPr>
        <w:ind w:left="720"/>
        <w:jc w:val="both"/>
        <w:rPr>
          <w:lang w:val="es-ES"/>
        </w:rPr>
      </w:pPr>
      <w:r>
        <w:rPr>
          <w:lang w:val="es-ES"/>
        </w:rPr>
        <w:t>Consumo equivalente en cocinas de inducción: 100kWh/mes</w:t>
      </w:r>
      <w:r>
        <w:rPr>
          <w:rStyle w:val="FootnoteReference"/>
          <w:lang w:val="es-ES"/>
        </w:rPr>
        <w:footnoteReference w:id="15"/>
      </w:r>
      <w:r>
        <w:rPr>
          <w:lang w:val="es-ES"/>
        </w:rPr>
        <w:t xml:space="preserve"> (1200kWh/año);</w:t>
      </w:r>
    </w:p>
    <w:p w14:paraId="1B87566E" w14:textId="77777777" w:rsidR="00C8772D" w:rsidRDefault="00C8772D" w:rsidP="00C8772D">
      <w:pPr>
        <w:pStyle w:val="Banknumbered"/>
        <w:numPr>
          <w:ilvl w:val="0"/>
          <w:numId w:val="9"/>
        </w:numPr>
        <w:ind w:left="720"/>
        <w:jc w:val="both"/>
        <w:rPr>
          <w:lang w:val="es-ES"/>
        </w:rPr>
      </w:pPr>
      <w:r>
        <w:rPr>
          <w:lang w:val="es-ES"/>
        </w:rPr>
        <w:t>Costo de la electricidad en 2016: $60-70/</w:t>
      </w:r>
      <w:proofErr w:type="spellStart"/>
      <w:r>
        <w:rPr>
          <w:lang w:val="es-ES"/>
        </w:rPr>
        <w:t>MWh</w:t>
      </w:r>
      <w:proofErr w:type="spellEnd"/>
      <w:r>
        <w:rPr>
          <w:rStyle w:val="FootnoteReference"/>
          <w:lang w:val="es-ES"/>
        </w:rPr>
        <w:footnoteReference w:id="16"/>
      </w:r>
      <w:r>
        <w:rPr>
          <w:lang w:val="es-ES"/>
        </w:rPr>
        <w:t>;</w:t>
      </w:r>
    </w:p>
    <w:p w14:paraId="320B6CB0" w14:textId="77777777" w:rsidR="00C8772D" w:rsidRDefault="00C8772D" w:rsidP="00C8772D">
      <w:pPr>
        <w:pStyle w:val="Banknumbered"/>
        <w:numPr>
          <w:ilvl w:val="0"/>
          <w:numId w:val="9"/>
        </w:numPr>
        <w:ind w:left="720"/>
        <w:jc w:val="both"/>
        <w:rPr>
          <w:lang w:val="es-ES"/>
        </w:rPr>
      </w:pPr>
      <w:r>
        <w:rPr>
          <w:lang w:val="es-ES"/>
        </w:rPr>
        <w:t>Costo de electricidad por cocina: $72-$84 por hogar-año;</w:t>
      </w:r>
    </w:p>
    <w:p w14:paraId="7B5574A6" w14:textId="77777777" w:rsidR="00C8772D" w:rsidRDefault="00C8772D" w:rsidP="00C8772D">
      <w:pPr>
        <w:pStyle w:val="Banknumbered"/>
        <w:numPr>
          <w:ilvl w:val="0"/>
          <w:numId w:val="9"/>
        </w:numPr>
        <w:ind w:left="720"/>
        <w:jc w:val="both"/>
        <w:rPr>
          <w:lang w:val="es-ES"/>
        </w:rPr>
      </w:pPr>
      <w:r>
        <w:rPr>
          <w:lang w:val="es-ES"/>
        </w:rPr>
        <w:t>Ahorro anual a precios de frontera: $84-$72 por hogar-año;</w:t>
      </w:r>
    </w:p>
    <w:p w14:paraId="186906E8" w14:textId="77777777" w:rsidR="00C8772D" w:rsidRDefault="00C8772D" w:rsidP="00C8772D">
      <w:pPr>
        <w:pStyle w:val="Banknumbered"/>
        <w:numPr>
          <w:ilvl w:val="0"/>
          <w:numId w:val="9"/>
        </w:numPr>
        <w:ind w:left="720"/>
        <w:jc w:val="both"/>
        <w:rPr>
          <w:lang w:val="es-ES"/>
        </w:rPr>
      </w:pPr>
      <w:r>
        <w:rPr>
          <w:lang w:val="es-ES"/>
        </w:rPr>
        <w:t>Costo de la cocina de inducción: $150 (2 hornillas) a $350 (4 hornillas)</w:t>
      </w:r>
      <w:r>
        <w:rPr>
          <w:rStyle w:val="FootnoteReference"/>
          <w:lang w:val="es-ES"/>
        </w:rPr>
        <w:footnoteReference w:id="17"/>
      </w:r>
      <w:r>
        <w:rPr>
          <w:lang w:val="es-ES"/>
        </w:rPr>
        <w:t xml:space="preserve"> por hogar.</w:t>
      </w:r>
    </w:p>
    <w:p w14:paraId="103ABCD7" w14:textId="77777777" w:rsidR="00C8772D" w:rsidRDefault="00C8772D" w:rsidP="00C8772D">
      <w:pPr>
        <w:jc w:val="both"/>
        <w:rPr>
          <w:lang w:val="es-ES"/>
        </w:rPr>
      </w:pPr>
      <w:r>
        <w:rPr>
          <w:lang w:val="es-ES"/>
        </w:rPr>
        <w:t xml:space="preserve">Con ahorros por hogar del orden de $80 anuales, las cocinas se amortizan en un plazo relativamente corto. </w:t>
      </w:r>
    </w:p>
    <w:p w14:paraId="386B2D51" w14:textId="77777777" w:rsidR="00C8772D" w:rsidRDefault="00C8772D" w:rsidP="00C8772D">
      <w:pPr>
        <w:pStyle w:val="Banknumbered"/>
        <w:numPr>
          <w:ilvl w:val="0"/>
          <w:numId w:val="0"/>
        </w:numPr>
        <w:jc w:val="both"/>
        <w:rPr>
          <w:lang w:val="es-ES"/>
        </w:rPr>
      </w:pPr>
      <w:r>
        <w:rPr>
          <w:b/>
          <w:lang w:val="es-ES"/>
        </w:rPr>
        <w:t xml:space="preserve">Lógica de la sustitución: punto de vista de usuarios.  </w:t>
      </w:r>
      <w:r>
        <w:rPr>
          <w:lang w:val="es-ES"/>
        </w:rPr>
        <w:t>La lógica desde el punto de vista de los usuarios es diferente.  La erogación de un hogar para el GLP con la eliminación del subsidio equivale, al igual que en el caso del Gobierno, a unos $156 por hogar-año.  Para inducir el cambio a estufas de inducción, el Gobierno propone aplicar una tarifa eléctrica de $0 para los primeros 80kWh mensuales durante el período 2015-2017 y de $0.04/</w:t>
      </w:r>
      <w:proofErr w:type="spellStart"/>
      <w:r>
        <w:rPr>
          <w:lang w:val="es-ES"/>
        </w:rPr>
        <w:t>kWh</w:t>
      </w:r>
      <w:proofErr w:type="spellEnd"/>
      <w:r>
        <w:rPr>
          <w:lang w:val="es-ES"/>
        </w:rPr>
        <w:t xml:space="preserve"> de 2018 en adelante.  El diferencial de 20kWh se pagaría a la tarifa normal; ésta arroja un valor de alrededor de $0.09 a $0.10/</w:t>
      </w:r>
      <w:proofErr w:type="spellStart"/>
      <w:r>
        <w:rPr>
          <w:lang w:val="es-ES"/>
        </w:rPr>
        <w:t>kWh</w:t>
      </w:r>
      <w:proofErr w:type="spellEnd"/>
      <w:r>
        <w:rPr>
          <w:lang w:val="es-ES"/>
        </w:rPr>
        <w:t xml:space="preserve"> de acuerdo con el pliego tarifario del CONELEC para 2014.</w:t>
      </w:r>
    </w:p>
    <w:p w14:paraId="02B65286" w14:textId="77777777" w:rsidR="00C8772D" w:rsidRDefault="00C8772D" w:rsidP="00C8772D">
      <w:pPr>
        <w:pStyle w:val="Banknumbered"/>
        <w:numPr>
          <w:ilvl w:val="0"/>
          <w:numId w:val="0"/>
        </w:numPr>
        <w:jc w:val="both"/>
        <w:rPr>
          <w:lang w:val="es-ES"/>
        </w:rPr>
      </w:pPr>
      <w:r>
        <w:rPr>
          <w:lang w:val="es-ES"/>
        </w:rPr>
        <w:t>En estas circunstancias, el costo de la electricidad por concepto de cocción por hogar-año sería de $24 por año para 2015-2017 y de $62 para 2018 en adelante.  Al eliminarse el subsidio al GLP, el ahorro por hogar sería de $132 por año para 2015-2017 y de $94 para 2018 en adelante.  El costo anualizado de capital para una cocina de $300 estaría en el orden de $55, con lo cual los usuarios podrían fácilmente amortizarlo con los ahorros al sustituir el GLP por electricidad.  Si el programa se lanza con estos incentivos tarifarios, se puede prever que la penetración de cocinas de inducción esté a la altura de las expectativas del Gobierno (más de 4 millones de cocinas).</w:t>
      </w:r>
    </w:p>
    <w:p w14:paraId="278886D8" w14:textId="77777777" w:rsidR="00C8772D" w:rsidRDefault="00C8772D" w:rsidP="00C8772D">
      <w:pPr>
        <w:pStyle w:val="Banknumbered"/>
        <w:numPr>
          <w:ilvl w:val="0"/>
          <w:numId w:val="0"/>
        </w:numPr>
        <w:jc w:val="both"/>
        <w:rPr>
          <w:lang w:val="es-ES"/>
        </w:rPr>
      </w:pPr>
      <w:r>
        <w:rPr>
          <w:b/>
          <w:lang w:val="es-ES"/>
        </w:rPr>
        <w:lastRenderedPageBreak/>
        <w:t xml:space="preserve">Beneficios del mayor consumo de electricidad.  </w:t>
      </w:r>
      <w:r>
        <w:rPr>
          <w:lang w:val="es-ES"/>
        </w:rPr>
        <w:t>Finalmente, la demanda de electricidad genera un excedente del consumidor, tal como se ilustra en la Gráfica 2.</w:t>
      </w:r>
    </w:p>
    <w:p w14:paraId="3BA9CDBC" w14:textId="77777777" w:rsidR="00C8772D" w:rsidRPr="007C65C0" w:rsidRDefault="00C8772D" w:rsidP="00C8772D">
      <w:pPr>
        <w:keepNext/>
        <w:jc w:val="center"/>
        <w:rPr>
          <w:rFonts w:asciiTheme="minorHAnsi" w:hAnsiTheme="minorHAnsi"/>
          <w:sz w:val="18"/>
          <w:szCs w:val="18"/>
          <w:lang w:val="es-ES"/>
        </w:rPr>
      </w:pPr>
      <w:r>
        <w:rPr>
          <w:rFonts w:asciiTheme="minorHAnsi" w:hAnsiTheme="minorHAnsi"/>
          <w:sz w:val="18"/>
          <w:szCs w:val="18"/>
          <w:lang w:val="es-ES"/>
        </w:rPr>
        <w:t>Gráfica 2—</w:t>
      </w:r>
      <w:r w:rsidRPr="007C65C0">
        <w:rPr>
          <w:rFonts w:asciiTheme="minorHAnsi" w:hAnsiTheme="minorHAnsi"/>
          <w:sz w:val="18"/>
          <w:szCs w:val="18"/>
          <w:lang w:val="es-ES"/>
        </w:rPr>
        <w:t>Excedente del consumidor con mayor suministro de electricidad</w:t>
      </w:r>
    </w:p>
    <w:p w14:paraId="7C4677CA" w14:textId="77777777" w:rsidR="00C8772D" w:rsidRDefault="00C8772D" w:rsidP="00C8772D">
      <w:pPr>
        <w:jc w:val="center"/>
        <w:rPr>
          <w:lang w:val="es-ES"/>
        </w:rPr>
      </w:pPr>
      <w:r>
        <w:rPr>
          <w:noProof/>
        </w:rPr>
        <w:drawing>
          <wp:inline distT="0" distB="0" distL="0" distR="0" wp14:anchorId="2E8E999E" wp14:editId="2FA80B4E">
            <wp:extent cx="2675255" cy="2302933"/>
            <wp:effectExtent l="0" t="0" r="0" b="889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76072" cy="2303636"/>
                    </a:xfrm>
                    <a:prstGeom prst="rect">
                      <a:avLst/>
                    </a:prstGeom>
                    <a:noFill/>
                    <a:ln>
                      <a:noFill/>
                    </a:ln>
                  </pic:spPr>
                </pic:pic>
              </a:graphicData>
            </a:graphic>
          </wp:inline>
        </w:drawing>
      </w:r>
    </w:p>
    <w:p w14:paraId="366E8010" w14:textId="77777777" w:rsidR="00C8772D" w:rsidRPr="007C65C0" w:rsidRDefault="00C8772D" w:rsidP="00C8772D">
      <w:pPr>
        <w:jc w:val="both"/>
        <w:rPr>
          <w:lang w:val="es-ES"/>
        </w:rPr>
      </w:pPr>
      <w:r>
        <w:rPr>
          <w:lang w:val="es-ES"/>
        </w:rPr>
        <w:t>En la Gráfica 2 el consumo de electricidad pasa de Q</w:t>
      </w:r>
      <w:r>
        <w:rPr>
          <w:vertAlign w:val="subscript"/>
          <w:lang w:val="es-ES"/>
        </w:rPr>
        <w:t>0</w:t>
      </w:r>
      <w:r>
        <w:rPr>
          <w:lang w:val="es-ES"/>
        </w:rPr>
        <w:t xml:space="preserve"> a Q</w:t>
      </w:r>
      <w:r>
        <w:rPr>
          <w:vertAlign w:val="subscript"/>
          <w:lang w:val="es-ES"/>
        </w:rPr>
        <w:t>1</w:t>
      </w:r>
      <w:r>
        <w:rPr>
          <w:lang w:val="es-ES"/>
        </w:rPr>
        <w:t xml:space="preserve"> y genera como beneficio el excedente del consumidor neto representado por el área B (el área D constituye el pago de los consumidores con cocinas de inducción por el servicio eléctrico adicional de 100kWh por hogar-mes).  Parte del excedente que se perdió con la eliminación del subsidio del GLP se recupera con un mayor consumo de electricidad respecto al escenario con subsidio al GLP.</w:t>
      </w:r>
    </w:p>
    <w:p w14:paraId="4833AD12" w14:textId="77777777" w:rsidR="00C8772D" w:rsidRPr="00C62F89" w:rsidRDefault="00C8772D" w:rsidP="00C8772D">
      <w:pPr>
        <w:pStyle w:val="Heading2"/>
        <w:numPr>
          <w:ilvl w:val="0"/>
          <w:numId w:val="14"/>
        </w:numPr>
        <w:jc w:val="both"/>
        <w:rPr>
          <w:lang w:val="es-ES"/>
        </w:rPr>
      </w:pPr>
      <w:bookmarkStart w:id="11" w:name="_Toc401572116"/>
      <w:r w:rsidRPr="00C62F89">
        <w:rPr>
          <w:lang w:val="es-ES"/>
        </w:rPr>
        <w:t>Beneficios</w:t>
      </w:r>
      <w:bookmarkEnd w:id="11"/>
    </w:p>
    <w:p w14:paraId="01835B6B" w14:textId="77777777" w:rsidR="00C8772D" w:rsidRDefault="00C8772D" w:rsidP="00C8772D">
      <w:pPr>
        <w:pStyle w:val="Banknumbered"/>
        <w:numPr>
          <w:ilvl w:val="0"/>
          <w:numId w:val="0"/>
        </w:numPr>
        <w:jc w:val="both"/>
        <w:rPr>
          <w:lang w:val="es-ES"/>
        </w:rPr>
      </w:pPr>
      <w:r>
        <w:rPr>
          <w:lang w:val="es-ES"/>
        </w:rPr>
        <w:t>Resumiendo, los beneficios de la sustitución de GLP son:</w:t>
      </w:r>
    </w:p>
    <w:p w14:paraId="2756BD1D" w14:textId="77777777" w:rsidR="00C8772D" w:rsidRDefault="00C8772D" w:rsidP="00C8772D">
      <w:pPr>
        <w:pStyle w:val="Banknumbered"/>
        <w:numPr>
          <w:ilvl w:val="0"/>
          <w:numId w:val="10"/>
        </w:numPr>
        <w:ind w:left="720"/>
        <w:jc w:val="both"/>
        <w:rPr>
          <w:lang w:val="es-ES"/>
        </w:rPr>
      </w:pPr>
      <w:r>
        <w:rPr>
          <w:lang w:val="es-ES"/>
        </w:rPr>
        <w:t>La reducción del valor de consumo ineficiente inducido por el subsidio al GLP;</w:t>
      </w:r>
    </w:p>
    <w:p w14:paraId="45A1BF94" w14:textId="77777777" w:rsidR="00C8772D" w:rsidRDefault="00C8772D" w:rsidP="00C8772D">
      <w:pPr>
        <w:pStyle w:val="Banknumbered"/>
        <w:numPr>
          <w:ilvl w:val="0"/>
          <w:numId w:val="10"/>
        </w:numPr>
        <w:ind w:left="720"/>
        <w:jc w:val="both"/>
        <w:rPr>
          <w:lang w:val="es-ES"/>
        </w:rPr>
      </w:pPr>
      <w:r>
        <w:rPr>
          <w:lang w:val="es-ES"/>
        </w:rPr>
        <w:t>El mayor excedente del consumidor asociado con el mayor suministro de electricidad; y</w:t>
      </w:r>
    </w:p>
    <w:p w14:paraId="693F5F07" w14:textId="77777777" w:rsidR="00C8772D" w:rsidRDefault="00C8772D" w:rsidP="00C8772D">
      <w:pPr>
        <w:pStyle w:val="Banknumbered"/>
        <w:numPr>
          <w:ilvl w:val="0"/>
          <w:numId w:val="10"/>
        </w:numPr>
        <w:ind w:left="720"/>
        <w:jc w:val="both"/>
        <w:rPr>
          <w:lang w:val="es-ES"/>
        </w:rPr>
      </w:pPr>
      <w:r>
        <w:rPr>
          <w:lang w:val="es-ES"/>
        </w:rPr>
        <w:t>La eliminación del contrabando.</w:t>
      </w:r>
    </w:p>
    <w:p w14:paraId="3F2D7200" w14:textId="77777777" w:rsidR="00C8772D" w:rsidRDefault="00C8772D" w:rsidP="00C8772D">
      <w:pPr>
        <w:pStyle w:val="Banknumbered"/>
        <w:numPr>
          <w:ilvl w:val="0"/>
          <w:numId w:val="0"/>
        </w:numPr>
        <w:jc w:val="both"/>
        <w:rPr>
          <w:lang w:val="es-ES"/>
        </w:rPr>
      </w:pPr>
      <w:r>
        <w:rPr>
          <w:lang w:val="es-ES"/>
        </w:rPr>
        <w:t>Los resultados del análisis se muestran en el Tabla 11.</w:t>
      </w:r>
    </w:p>
    <w:p w14:paraId="4D7B3767" w14:textId="77777777" w:rsidR="00C8772D" w:rsidRPr="00295A52" w:rsidRDefault="00C8772D" w:rsidP="00C8772D">
      <w:pPr>
        <w:jc w:val="center"/>
        <w:rPr>
          <w:rFonts w:asciiTheme="minorHAnsi" w:hAnsiTheme="minorHAnsi"/>
          <w:sz w:val="18"/>
          <w:szCs w:val="18"/>
          <w:lang w:val="es-ES"/>
        </w:rPr>
      </w:pPr>
      <w:r>
        <w:rPr>
          <w:rFonts w:asciiTheme="minorHAnsi" w:hAnsiTheme="minorHAnsi"/>
          <w:sz w:val="18"/>
          <w:szCs w:val="18"/>
          <w:lang w:val="es-ES"/>
        </w:rPr>
        <w:t xml:space="preserve">Tabla 11. </w:t>
      </w:r>
      <w:r w:rsidRPr="00295A52">
        <w:rPr>
          <w:rFonts w:asciiTheme="minorHAnsi" w:hAnsiTheme="minorHAnsi"/>
          <w:sz w:val="18"/>
          <w:szCs w:val="18"/>
          <w:lang w:val="es-ES"/>
        </w:rPr>
        <w:t>Beneficios de la Política de Sustitución de GLP</w:t>
      </w:r>
    </w:p>
    <w:p w14:paraId="0B093640" w14:textId="77777777" w:rsidR="00C8772D" w:rsidRDefault="00C8772D" w:rsidP="00C8772D">
      <w:pPr>
        <w:spacing w:before="0"/>
        <w:jc w:val="center"/>
        <w:rPr>
          <w:lang w:val="es-ES"/>
        </w:rPr>
      </w:pPr>
      <w:r>
        <w:rPr>
          <w:noProof/>
        </w:rPr>
        <w:drawing>
          <wp:inline distT="0" distB="0" distL="0" distR="0" wp14:anchorId="5CC67F0F" wp14:editId="4605467A">
            <wp:extent cx="5824855" cy="57095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24855" cy="570954"/>
                    </a:xfrm>
                    <a:prstGeom prst="rect">
                      <a:avLst/>
                    </a:prstGeom>
                    <a:noFill/>
                    <a:ln>
                      <a:noFill/>
                    </a:ln>
                  </pic:spPr>
                </pic:pic>
              </a:graphicData>
            </a:graphic>
          </wp:inline>
        </w:drawing>
      </w:r>
    </w:p>
    <w:p w14:paraId="7B72E1D4" w14:textId="77777777" w:rsidR="00C8772D" w:rsidRDefault="00C8772D" w:rsidP="00C8772D">
      <w:pPr>
        <w:jc w:val="both"/>
        <w:rPr>
          <w:lang w:val="es-ES"/>
        </w:rPr>
      </w:pPr>
      <w:r>
        <w:rPr>
          <w:lang w:val="es-ES"/>
        </w:rPr>
        <w:t>Los beneficios están concentrados en aquellos que obtienen los consumidores por el subsidio a la tarifa eléctrica en el rango de 0-80kWh mensuales y en el beneficio por eliminación del contrabando.</w:t>
      </w:r>
    </w:p>
    <w:p w14:paraId="014E8525" w14:textId="77777777" w:rsidR="00C8772D" w:rsidRPr="00C62F89" w:rsidRDefault="00C8772D" w:rsidP="00C8772D">
      <w:pPr>
        <w:pStyle w:val="Heading2"/>
        <w:numPr>
          <w:ilvl w:val="0"/>
          <w:numId w:val="14"/>
        </w:numPr>
        <w:jc w:val="both"/>
        <w:rPr>
          <w:lang w:val="es-ES"/>
        </w:rPr>
      </w:pPr>
      <w:bookmarkStart w:id="12" w:name="_Toc401572117"/>
      <w:r w:rsidRPr="00C62F89">
        <w:rPr>
          <w:lang w:val="es-ES"/>
        </w:rPr>
        <w:t>Costos</w:t>
      </w:r>
      <w:bookmarkEnd w:id="12"/>
    </w:p>
    <w:p w14:paraId="3C568AF9" w14:textId="77777777" w:rsidR="00C8772D" w:rsidRDefault="00C8772D" w:rsidP="00C8772D">
      <w:pPr>
        <w:pStyle w:val="Banknumbered"/>
        <w:numPr>
          <w:ilvl w:val="0"/>
          <w:numId w:val="0"/>
        </w:numPr>
        <w:jc w:val="both"/>
        <w:rPr>
          <w:lang w:val="es-ES"/>
        </w:rPr>
      </w:pPr>
      <w:r>
        <w:rPr>
          <w:lang w:val="es-ES"/>
        </w:rPr>
        <w:t>Los costos asociados con la política propuesta comprenden:</w:t>
      </w:r>
    </w:p>
    <w:p w14:paraId="5F1E4494" w14:textId="77777777" w:rsidR="00C8772D" w:rsidRDefault="00C8772D" w:rsidP="00C8772D">
      <w:pPr>
        <w:pStyle w:val="Banknumbered"/>
        <w:numPr>
          <w:ilvl w:val="0"/>
          <w:numId w:val="11"/>
        </w:numPr>
        <w:ind w:left="720"/>
        <w:jc w:val="both"/>
        <w:rPr>
          <w:lang w:val="es-ES"/>
        </w:rPr>
      </w:pPr>
      <w:r>
        <w:rPr>
          <w:lang w:val="es-ES"/>
        </w:rPr>
        <w:t>La inversión en cocinas de inducción y las inversiones en las instalaciones de los usuarios para instalar los nuevos equipos (instalación trifásica);</w:t>
      </w:r>
    </w:p>
    <w:p w14:paraId="2739CA11" w14:textId="77777777" w:rsidR="00C8772D" w:rsidRDefault="00C8772D" w:rsidP="00C8772D">
      <w:pPr>
        <w:pStyle w:val="Banknumbered"/>
        <w:numPr>
          <w:ilvl w:val="0"/>
          <w:numId w:val="11"/>
        </w:numPr>
        <w:ind w:left="720"/>
        <w:jc w:val="both"/>
        <w:rPr>
          <w:lang w:val="es-ES"/>
        </w:rPr>
      </w:pPr>
      <w:r>
        <w:rPr>
          <w:lang w:val="es-ES"/>
        </w:rPr>
        <w:lastRenderedPageBreak/>
        <w:t>Los costos de generación asociados con la energía eléctrica necesaria para atender la demanda de las cocinas; y</w:t>
      </w:r>
    </w:p>
    <w:p w14:paraId="6F09C205" w14:textId="77777777" w:rsidR="00C8772D" w:rsidRDefault="00C8772D" w:rsidP="00C8772D">
      <w:pPr>
        <w:pStyle w:val="Banknumbered"/>
        <w:numPr>
          <w:ilvl w:val="0"/>
          <w:numId w:val="11"/>
        </w:numPr>
        <w:ind w:left="720"/>
        <w:jc w:val="both"/>
        <w:rPr>
          <w:lang w:val="es-ES"/>
        </w:rPr>
      </w:pPr>
      <w:r>
        <w:rPr>
          <w:lang w:val="es-ES"/>
        </w:rPr>
        <w:t>Los costos de transmisión y distribución para atender la demanda adicional.</w:t>
      </w:r>
    </w:p>
    <w:p w14:paraId="64651D78" w14:textId="77777777" w:rsidR="00C8772D" w:rsidRDefault="00C8772D" w:rsidP="00C8772D">
      <w:pPr>
        <w:jc w:val="both"/>
        <w:rPr>
          <w:lang w:val="es-ES"/>
        </w:rPr>
      </w:pPr>
      <w:r>
        <w:rPr>
          <w:lang w:val="es-ES"/>
        </w:rPr>
        <w:t>Los costos de implementación de la política misma (estudios, decreto, reglamento) no se consideran significativos.</w:t>
      </w:r>
    </w:p>
    <w:p w14:paraId="162874C4" w14:textId="77777777" w:rsidR="00C8772D" w:rsidRDefault="00C8772D" w:rsidP="00C8772D">
      <w:pPr>
        <w:pStyle w:val="Banknumbered"/>
        <w:numPr>
          <w:ilvl w:val="0"/>
          <w:numId w:val="0"/>
        </w:numPr>
        <w:jc w:val="both"/>
        <w:rPr>
          <w:lang w:val="es-ES"/>
        </w:rPr>
      </w:pPr>
      <w:r>
        <w:rPr>
          <w:b/>
          <w:lang w:val="es-ES"/>
        </w:rPr>
        <w:t xml:space="preserve">Costos de inversión en cocinas de inducción.  </w:t>
      </w:r>
      <w:r>
        <w:rPr>
          <w:lang w:val="es-ES"/>
        </w:rPr>
        <w:t>Los costos de inversión asociados con las cocinas se calcularon con un costo medio de $250 tal como se muestra en la Tabla 11</w:t>
      </w:r>
      <w:r>
        <w:rPr>
          <w:rStyle w:val="FootnoteReference"/>
          <w:lang w:val="es-ES"/>
        </w:rPr>
        <w:footnoteReference w:id="18"/>
      </w:r>
      <w:r>
        <w:rPr>
          <w:lang w:val="es-ES"/>
        </w:rPr>
        <w:t>:</w:t>
      </w:r>
    </w:p>
    <w:p w14:paraId="29143375" w14:textId="77777777" w:rsidR="00C8772D" w:rsidRPr="00C57622" w:rsidRDefault="00C8772D" w:rsidP="00C8772D">
      <w:pPr>
        <w:jc w:val="center"/>
        <w:rPr>
          <w:rFonts w:asciiTheme="minorHAnsi" w:hAnsiTheme="minorHAnsi"/>
          <w:sz w:val="18"/>
          <w:szCs w:val="18"/>
          <w:lang w:val="es-ES"/>
        </w:rPr>
      </w:pPr>
      <w:r>
        <w:rPr>
          <w:rFonts w:asciiTheme="minorHAnsi" w:hAnsiTheme="minorHAnsi"/>
          <w:sz w:val="18"/>
          <w:szCs w:val="18"/>
          <w:lang w:val="es-ES"/>
        </w:rPr>
        <w:t xml:space="preserve">Tabla 12. </w:t>
      </w:r>
      <w:r w:rsidRPr="00C57622">
        <w:rPr>
          <w:rFonts w:asciiTheme="minorHAnsi" w:hAnsiTheme="minorHAnsi"/>
          <w:sz w:val="18"/>
          <w:szCs w:val="18"/>
          <w:lang w:val="es-ES"/>
        </w:rPr>
        <w:t>Inversión en Cocinas de Inducción</w:t>
      </w:r>
    </w:p>
    <w:p w14:paraId="0706E873" w14:textId="77777777" w:rsidR="00C8772D" w:rsidRDefault="00C8772D" w:rsidP="00C8772D">
      <w:pPr>
        <w:spacing w:before="0"/>
        <w:jc w:val="center"/>
        <w:rPr>
          <w:lang w:val="es-ES"/>
        </w:rPr>
      </w:pPr>
      <w:r>
        <w:rPr>
          <w:noProof/>
        </w:rPr>
        <w:drawing>
          <wp:inline distT="0" distB="0" distL="0" distR="0" wp14:anchorId="536DA2F7" wp14:editId="3011C61B">
            <wp:extent cx="5824855" cy="334929"/>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24855" cy="334929"/>
                    </a:xfrm>
                    <a:prstGeom prst="rect">
                      <a:avLst/>
                    </a:prstGeom>
                    <a:noFill/>
                    <a:ln>
                      <a:noFill/>
                    </a:ln>
                  </pic:spPr>
                </pic:pic>
              </a:graphicData>
            </a:graphic>
          </wp:inline>
        </w:drawing>
      </w:r>
    </w:p>
    <w:p w14:paraId="2F102832" w14:textId="77777777" w:rsidR="00C8772D" w:rsidRDefault="00C8772D" w:rsidP="00C8772D">
      <w:pPr>
        <w:pStyle w:val="Banknumbered"/>
        <w:ind w:left="0" w:firstLine="0"/>
        <w:rPr>
          <w:lang w:val="es-ES"/>
        </w:rPr>
      </w:pPr>
      <w:r>
        <w:rPr>
          <w:b/>
          <w:lang w:val="es-ES"/>
        </w:rPr>
        <w:t>Costos de generación, transmisión y distribución.</w:t>
      </w:r>
      <w:r>
        <w:rPr>
          <w:lang w:val="es-ES"/>
        </w:rPr>
        <w:t xml:space="preserve">  Éstos se encuentran calculados en el Plan Maestro y desglosados como sigue:</w:t>
      </w:r>
    </w:p>
    <w:p w14:paraId="19E2C448" w14:textId="77777777" w:rsidR="00C8772D" w:rsidRDefault="00C8772D" w:rsidP="00C8772D">
      <w:pPr>
        <w:keepNext/>
        <w:jc w:val="center"/>
        <w:rPr>
          <w:lang w:val="es-ES"/>
        </w:rPr>
      </w:pPr>
      <w:r>
        <w:rPr>
          <w:noProof/>
        </w:rPr>
        <w:drawing>
          <wp:inline distT="0" distB="0" distL="0" distR="0" wp14:anchorId="34E9D49F" wp14:editId="098EB74D">
            <wp:extent cx="5757545" cy="1600200"/>
            <wp:effectExtent l="0" t="0" r="825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7545" cy="1600200"/>
                    </a:xfrm>
                    <a:prstGeom prst="rect">
                      <a:avLst/>
                    </a:prstGeom>
                    <a:noFill/>
                    <a:ln>
                      <a:noFill/>
                    </a:ln>
                  </pic:spPr>
                </pic:pic>
              </a:graphicData>
            </a:graphic>
          </wp:inline>
        </w:drawing>
      </w:r>
    </w:p>
    <w:p w14:paraId="2B90C7E3" w14:textId="77777777" w:rsidR="00C8772D" w:rsidRPr="00645C0F" w:rsidRDefault="00C8772D" w:rsidP="00C8772D">
      <w:pPr>
        <w:jc w:val="center"/>
        <w:rPr>
          <w:sz w:val="20"/>
          <w:szCs w:val="20"/>
          <w:lang w:val="es-ES"/>
        </w:rPr>
      </w:pPr>
      <w:r w:rsidRPr="00645C0F">
        <w:rPr>
          <w:sz w:val="20"/>
          <w:szCs w:val="20"/>
          <w:lang w:val="es-ES"/>
        </w:rPr>
        <w:t xml:space="preserve">Gráfica </w:t>
      </w:r>
      <w:r>
        <w:rPr>
          <w:sz w:val="20"/>
          <w:szCs w:val="20"/>
          <w:lang w:val="es-ES"/>
        </w:rPr>
        <w:t>3</w:t>
      </w:r>
      <w:r w:rsidRPr="00645C0F">
        <w:rPr>
          <w:sz w:val="20"/>
          <w:szCs w:val="20"/>
          <w:lang w:val="es-ES"/>
        </w:rPr>
        <w:t xml:space="preserve">: Evolución de los Costos del Servicio Eléctrico (PME, </w:t>
      </w:r>
      <w:proofErr w:type="spellStart"/>
      <w:r w:rsidRPr="00645C0F">
        <w:rPr>
          <w:sz w:val="20"/>
          <w:szCs w:val="20"/>
          <w:lang w:val="es-ES"/>
        </w:rPr>
        <w:t>vol</w:t>
      </w:r>
      <w:proofErr w:type="spellEnd"/>
      <w:r w:rsidRPr="00645C0F">
        <w:rPr>
          <w:sz w:val="20"/>
          <w:szCs w:val="20"/>
          <w:lang w:val="es-ES"/>
        </w:rPr>
        <w:t xml:space="preserve"> III, p.223)</w:t>
      </w:r>
    </w:p>
    <w:p w14:paraId="6C511F1C" w14:textId="77777777" w:rsidR="00C8772D" w:rsidRDefault="00C8772D" w:rsidP="00C8772D">
      <w:pPr>
        <w:rPr>
          <w:lang w:val="es-ES"/>
        </w:rPr>
      </w:pPr>
      <w:r>
        <w:rPr>
          <w:lang w:val="es-ES"/>
        </w:rPr>
        <w:t>Los costos asociados con el consumo de las cocinas eléctricas se resumen en la Tabla 13:</w:t>
      </w:r>
    </w:p>
    <w:p w14:paraId="7F237898" w14:textId="77777777" w:rsidR="00C8772D" w:rsidRPr="00D53D7C" w:rsidRDefault="00C8772D" w:rsidP="00C8772D">
      <w:pPr>
        <w:jc w:val="center"/>
        <w:rPr>
          <w:rFonts w:asciiTheme="minorHAnsi" w:hAnsiTheme="minorHAnsi"/>
          <w:sz w:val="18"/>
          <w:szCs w:val="18"/>
          <w:lang w:val="es-ES"/>
        </w:rPr>
      </w:pPr>
      <w:r>
        <w:rPr>
          <w:rFonts w:asciiTheme="minorHAnsi" w:hAnsiTheme="minorHAnsi"/>
          <w:sz w:val="18"/>
          <w:szCs w:val="18"/>
          <w:lang w:val="es-ES"/>
        </w:rPr>
        <w:t>Tabla 13.</w:t>
      </w:r>
      <w:r w:rsidRPr="00D53D7C">
        <w:rPr>
          <w:rFonts w:asciiTheme="minorHAnsi" w:hAnsiTheme="minorHAnsi"/>
          <w:sz w:val="18"/>
          <w:szCs w:val="18"/>
          <w:lang w:val="es-ES"/>
        </w:rPr>
        <w:t xml:space="preserve"> Costo de Suministro de Cocinas Eléctricas (M$)</w:t>
      </w:r>
    </w:p>
    <w:p w14:paraId="0ED64FFD" w14:textId="77777777" w:rsidR="00C8772D" w:rsidRPr="00D53D7C" w:rsidRDefault="00C8772D" w:rsidP="00C8772D">
      <w:pPr>
        <w:spacing w:before="0"/>
        <w:rPr>
          <w:lang w:val="es-ES"/>
        </w:rPr>
      </w:pPr>
      <w:r>
        <w:rPr>
          <w:noProof/>
        </w:rPr>
        <w:drawing>
          <wp:inline distT="0" distB="0" distL="0" distR="0" wp14:anchorId="431AA8CA" wp14:editId="70CA207A">
            <wp:extent cx="5824855" cy="605304"/>
            <wp:effectExtent l="0" t="0" r="0" b="4445"/>
            <wp:docPr id="2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24855" cy="605304"/>
                    </a:xfrm>
                    <a:prstGeom prst="rect">
                      <a:avLst/>
                    </a:prstGeom>
                    <a:noFill/>
                    <a:ln>
                      <a:noFill/>
                    </a:ln>
                  </pic:spPr>
                </pic:pic>
              </a:graphicData>
            </a:graphic>
          </wp:inline>
        </w:drawing>
      </w:r>
    </w:p>
    <w:p w14:paraId="4EC75E9F" w14:textId="77777777" w:rsidR="00C8772D" w:rsidRPr="00727F6C" w:rsidRDefault="00C8772D" w:rsidP="00C8772D">
      <w:pPr>
        <w:pStyle w:val="Heading2"/>
        <w:numPr>
          <w:ilvl w:val="0"/>
          <w:numId w:val="14"/>
        </w:numPr>
        <w:jc w:val="both"/>
        <w:rPr>
          <w:lang w:val="es-ES"/>
        </w:rPr>
      </w:pPr>
      <w:bookmarkStart w:id="13" w:name="_Toc401572118"/>
      <w:r w:rsidRPr="009464C2">
        <w:rPr>
          <w:rStyle w:val="Heading2Char"/>
          <w:b/>
          <w:lang w:val="es-ES_tradnl"/>
        </w:rPr>
        <w:t>Tasa interna de retorno y Valor Presente Neto (VPN)</w:t>
      </w:r>
      <w:bookmarkEnd w:id="13"/>
    </w:p>
    <w:p w14:paraId="5185DF10" w14:textId="77777777" w:rsidR="00C8772D" w:rsidRDefault="00C8772D" w:rsidP="00C8772D">
      <w:pPr>
        <w:pStyle w:val="Banknumbered"/>
        <w:numPr>
          <w:ilvl w:val="0"/>
          <w:numId w:val="0"/>
        </w:numPr>
        <w:jc w:val="both"/>
        <w:rPr>
          <w:lang w:val="es-ES"/>
        </w:rPr>
      </w:pPr>
      <w:r>
        <w:rPr>
          <w:lang w:val="es-ES"/>
        </w:rPr>
        <w:t>Combinando los resultados de las Tablas 11, 12 y 13 se obtiene el resumen de beneficios, costos, y beneficios netos que se muestra en la Tabla 13.</w:t>
      </w:r>
    </w:p>
    <w:p w14:paraId="17CB58D5" w14:textId="77777777" w:rsidR="00C8772D" w:rsidRPr="003C5494" w:rsidRDefault="00C8772D" w:rsidP="00C8772D">
      <w:pPr>
        <w:jc w:val="center"/>
        <w:rPr>
          <w:rFonts w:asciiTheme="minorHAnsi" w:hAnsiTheme="minorHAnsi"/>
          <w:sz w:val="22"/>
          <w:lang w:val="es-ES"/>
        </w:rPr>
      </w:pPr>
      <w:r>
        <w:rPr>
          <w:rFonts w:asciiTheme="minorHAnsi" w:hAnsiTheme="minorHAnsi"/>
          <w:sz w:val="22"/>
          <w:lang w:val="es-ES"/>
        </w:rPr>
        <w:t xml:space="preserve">Tabla 13. </w:t>
      </w:r>
      <w:r w:rsidRPr="003C5494">
        <w:rPr>
          <w:rFonts w:asciiTheme="minorHAnsi" w:hAnsiTheme="minorHAnsi"/>
          <w:sz w:val="22"/>
          <w:lang w:val="es-ES"/>
        </w:rPr>
        <w:t>Secuencia de Beneficios Netos (M$)</w:t>
      </w:r>
    </w:p>
    <w:p w14:paraId="6F1BAC0F" w14:textId="77777777" w:rsidR="00C8772D" w:rsidRDefault="00C8772D" w:rsidP="00C8772D">
      <w:pPr>
        <w:spacing w:before="0"/>
        <w:jc w:val="center"/>
        <w:rPr>
          <w:lang w:val="es-ES"/>
        </w:rPr>
      </w:pPr>
      <w:r>
        <w:rPr>
          <w:noProof/>
        </w:rPr>
        <w:lastRenderedPageBreak/>
        <w:drawing>
          <wp:inline distT="0" distB="0" distL="0" distR="0" wp14:anchorId="154CD305" wp14:editId="3F483378">
            <wp:extent cx="5262245" cy="1849755"/>
            <wp:effectExtent l="0" t="0" r="0" b="4445"/>
            <wp:docPr id="3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65332" cy="1850840"/>
                    </a:xfrm>
                    <a:prstGeom prst="rect">
                      <a:avLst/>
                    </a:prstGeom>
                    <a:noFill/>
                    <a:ln>
                      <a:noFill/>
                    </a:ln>
                  </pic:spPr>
                </pic:pic>
              </a:graphicData>
            </a:graphic>
          </wp:inline>
        </w:drawing>
      </w:r>
    </w:p>
    <w:p w14:paraId="13A49CA2" w14:textId="77777777" w:rsidR="00C8772D" w:rsidRDefault="00C8772D" w:rsidP="00C8772D">
      <w:pPr>
        <w:jc w:val="both"/>
        <w:rPr>
          <w:lang w:val="es-ES"/>
        </w:rPr>
      </w:pPr>
      <w:r>
        <w:rPr>
          <w:lang w:val="es-ES"/>
        </w:rPr>
        <w:t>Se obtienen así los siguientes resultados:</w:t>
      </w:r>
    </w:p>
    <w:p w14:paraId="2D19BCF5" w14:textId="77777777" w:rsidR="00C8772D" w:rsidRDefault="00C8772D" w:rsidP="00C8772D">
      <w:pPr>
        <w:jc w:val="both"/>
        <w:rPr>
          <w:lang w:val="es-ES"/>
        </w:rPr>
      </w:pPr>
    </w:p>
    <w:p w14:paraId="4F72CF21" w14:textId="77777777" w:rsidR="00C8772D" w:rsidRDefault="00C8772D" w:rsidP="00C8772D">
      <w:pPr>
        <w:keepNext/>
        <w:spacing w:before="60"/>
        <w:ind w:left="720"/>
        <w:jc w:val="both"/>
        <w:rPr>
          <w:lang w:val="es-ES"/>
        </w:rPr>
      </w:pPr>
      <w:r>
        <w:rPr>
          <w:lang w:val="es-ES"/>
        </w:rPr>
        <w:t>Tasa de Descuento:</w:t>
      </w:r>
      <w:r>
        <w:rPr>
          <w:lang w:val="es-ES"/>
        </w:rPr>
        <w:tab/>
      </w:r>
      <w:r>
        <w:rPr>
          <w:lang w:val="es-ES"/>
        </w:rPr>
        <w:tab/>
        <w:t xml:space="preserve">        12%</w:t>
      </w:r>
    </w:p>
    <w:p w14:paraId="028113D0" w14:textId="77777777" w:rsidR="00C8772D" w:rsidRDefault="00C8772D" w:rsidP="00C8772D">
      <w:pPr>
        <w:keepNext/>
        <w:spacing w:before="60"/>
        <w:ind w:left="720"/>
        <w:jc w:val="both"/>
        <w:rPr>
          <w:lang w:val="es-ES"/>
        </w:rPr>
      </w:pPr>
      <w:r>
        <w:rPr>
          <w:lang w:val="es-ES"/>
        </w:rPr>
        <w:t>VPN Beneficios Brutos</w:t>
      </w:r>
      <w:r>
        <w:rPr>
          <w:lang w:val="es-ES"/>
        </w:rPr>
        <w:tab/>
        <w:t>1,867 M$</w:t>
      </w:r>
    </w:p>
    <w:p w14:paraId="2CE1B87A" w14:textId="77777777" w:rsidR="00C8772D" w:rsidRDefault="00C8772D" w:rsidP="00C8772D">
      <w:pPr>
        <w:keepNext/>
        <w:spacing w:before="60"/>
        <w:ind w:left="720"/>
        <w:jc w:val="both"/>
        <w:rPr>
          <w:lang w:val="es-ES"/>
        </w:rPr>
      </w:pPr>
      <w:r>
        <w:rPr>
          <w:lang w:val="es-ES"/>
        </w:rPr>
        <w:t>VPN Costos</w:t>
      </w:r>
      <w:r>
        <w:rPr>
          <w:lang w:val="es-ES"/>
        </w:rPr>
        <w:tab/>
      </w:r>
      <w:r>
        <w:rPr>
          <w:lang w:val="es-ES"/>
        </w:rPr>
        <w:tab/>
      </w:r>
      <w:r>
        <w:rPr>
          <w:lang w:val="es-ES"/>
        </w:rPr>
        <w:tab/>
        <w:t>1,851 M$</w:t>
      </w:r>
    </w:p>
    <w:p w14:paraId="6A6EF6B6" w14:textId="77777777" w:rsidR="00C8772D" w:rsidRDefault="00C8772D" w:rsidP="00C8772D">
      <w:pPr>
        <w:keepNext/>
        <w:spacing w:before="60"/>
        <w:ind w:left="720"/>
        <w:jc w:val="both"/>
        <w:rPr>
          <w:lang w:val="es-ES"/>
        </w:rPr>
      </w:pPr>
      <w:r>
        <w:rPr>
          <w:lang w:val="es-ES"/>
        </w:rPr>
        <w:t>VPN Beneficios Netos</w:t>
      </w:r>
      <w:r>
        <w:rPr>
          <w:lang w:val="es-ES"/>
        </w:rPr>
        <w:tab/>
        <w:t xml:space="preserve">     16 M$</w:t>
      </w:r>
    </w:p>
    <w:p w14:paraId="3DFBA585" w14:textId="77777777" w:rsidR="00C8772D" w:rsidRDefault="00C8772D" w:rsidP="00C8772D">
      <w:pPr>
        <w:spacing w:before="60"/>
        <w:ind w:left="720"/>
        <w:jc w:val="both"/>
        <w:rPr>
          <w:lang w:val="es-ES"/>
        </w:rPr>
      </w:pPr>
      <w:r>
        <w:rPr>
          <w:lang w:val="es-ES"/>
        </w:rPr>
        <w:t>Tasa Interna de Retorno</w:t>
      </w:r>
      <w:r>
        <w:rPr>
          <w:lang w:val="es-ES"/>
        </w:rPr>
        <w:tab/>
        <w:t xml:space="preserve">        14%</w:t>
      </w:r>
    </w:p>
    <w:p w14:paraId="7A09AD63" w14:textId="77777777" w:rsidR="00C8772D" w:rsidRDefault="00C8772D" w:rsidP="00C8772D">
      <w:pPr>
        <w:spacing w:before="60"/>
        <w:ind w:left="720"/>
        <w:jc w:val="both"/>
        <w:rPr>
          <w:lang w:val="es-ES"/>
        </w:rPr>
      </w:pPr>
    </w:p>
    <w:p w14:paraId="604DB981" w14:textId="77777777" w:rsidR="00C8772D" w:rsidRDefault="00C8772D" w:rsidP="00C8772D">
      <w:pPr>
        <w:jc w:val="both"/>
        <w:rPr>
          <w:lang w:val="es-ES"/>
        </w:rPr>
      </w:pPr>
      <w:r>
        <w:rPr>
          <w:lang w:val="es-ES"/>
        </w:rPr>
        <w:t xml:space="preserve">Estos resultados indican que la estrategia del Gobierno se justifica económicamente; el resultado es conservador puesto que los beneficios no se prolongan más allá de 2022, lo cual no es justificable dado que el caso </w:t>
      </w:r>
      <w:proofErr w:type="spellStart"/>
      <w:r>
        <w:rPr>
          <w:lang w:val="es-ES"/>
        </w:rPr>
        <w:t>contrafactual</w:t>
      </w:r>
      <w:proofErr w:type="spellEnd"/>
      <w:r>
        <w:rPr>
          <w:lang w:val="es-ES"/>
        </w:rPr>
        <w:t>, con una persistencia del contrabando más allá de unos pocos años, sería insostenible.</w:t>
      </w:r>
    </w:p>
    <w:p w14:paraId="20D28486" w14:textId="77777777" w:rsidR="00C8772D" w:rsidRPr="00C62F89" w:rsidRDefault="00C8772D" w:rsidP="00C8772D">
      <w:pPr>
        <w:pStyle w:val="Heading2"/>
        <w:numPr>
          <w:ilvl w:val="1"/>
          <w:numId w:val="5"/>
        </w:numPr>
        <w:ind w:left="0" w:firstLine="0"/>
        <w:jc w:val="both"/>
        <w:rPr>
          <w:lang w:val="es-ES"/>
        </w:rPr>
      </w:pPr>
      <w:bookmarkStart w:id="14" w:name="_Toc401572119"/>
      <w:r w:rsidRPr="00C62F89">
        <w:rPr>
          <w:lang w:val="es-ES"/>
        </w:rPr>
        <w:lastRenderedPageBreak/>
        <w:t>Análisis de Sensibilidad</w:t>
      </w:r>
      <w:bookmarkEnd w:id="14"/>
    </w:p>
    <w:p w14:paraId="4732C96B" w14:textId="77777777" w:rsidR="00C8772D" w:rsidRDefault="00C8772D" w:rsidP="00C8772D">
      <w:pPr>
        <w:pStyle w:val="Banknumbered"/>
        <w:keepLines/>
        <w:numPr>
          <w:ilvl w:val="0"/>
          <w:numId w:val="0"/>
        </w:numPr>
        <w:jc w:val="both"/>
        <w:rPr>
          <w:lang w:val="es-ES"/>
        </w:rPr>
      </w:pPr>
      <w:r>
        <w:rPr>
          <w:lang w:val="es-ES"/>
        </w:rPr>
        <w:t>Los parámetros más inciertos del análisis base corresponden a las elasticidades precio tanto del GLP como la electricidad.  En el caso de la electricidad se utilizó un valor representativo empleado para estos análisis (-0.4)</w:t>
      </w:r>
      <w:r>
        <w:rPr>
          <w:rStyle w:val="FootnoteReference"/>
          <w:lang w:val="es-ES"/>
        </w:rPr>
        <w:footnoteReference w:id="19"/>
      </w:r>
      <w:r>
        <w:rPr>
          <w:lang w:val="es-ES"/>
        </w:rPr>
        <w:t>.  En el caso del GLP se utilizó un valor relativamente inelástico (-0.1)</w:t>
      </w:r>
      <w:r>
        <w:rPr>
          <w:rStyle w:val="FootnoteReference"/>
          <w:lang w:val="es-ES"/>
        </w:rPr>
        <w:footnoteReference w:id="20"/>
      </w:r>
      <w:r>
        <w:rPr>
          <w:lang w:val="es-ES"/>
        </w:rPr>
        <w:t>.  El consumo de GLP se considera más inelástico que la electricidad en la medida en que se trata de un energético de uso específico para generación de calor (cocción, calentamiento de agua) y en la medida en que los sustitutos sean limitados: (a) la sustitución por energéticos tradicionales (leña, carbón vegetal) prácticamente no ocurre cuando ya se tiene acceso a energía moderna, y (b) la sustitución por electricidad, aunque factible, es generalmente una opción de mayor costo (con excepción de situaciones especiales como la del Ecuador en los próximos años o la de Colombia en la década de 1970</w:t>
      </w:r>
      <w:r>
        <w:rPr>
          <w:rStyle w:val="FootnoteReference"/>
          <w:lang w:val="es-ES"/>
        </w:rPr>
        <w:footnoteReference w:id="21"/>
      </w:r>
      <w:r>
        <w:rPr>
          <w:lang w:val="es-ES"/>
        </w:rPr>
        <w:t>).  La sustitución del GLP sí se da con mucha facilidad cuando se establecen redes de gas natural domiciliario, lo cual no es el caso actual del Ecuador.</w:t>
      </w:r>
    </w:p>
    <w:p w14:paraId="0265E551" w14:textId="77777777" w:rsidR="00C8772D" w:rsidRDefault="00C8772D" w:rsidP="00C8772D">
      <w:pPr>
        <w:pStyle w:val="Banknumbered"/>
        <w:numPr>
          <w:ilvl w:val="0"/>
          <w:numId w:val="0"/>
        </w:numPr>
        <w:jc w:val="both"/>
        <w:rPr>
          <w:lang w:val="es-ES"/>
        </w:rPr>
      </w:pPr>
      <w:r>
        <w:rPr>
          <w:lang w:val="es-ES"/>
        </w:rPr>
        <w:t>Por otra parte, cabe anotar que el beneficio por la eliminación del contrabando es aquel que tiene mayor peso en la justificación del proyecto.  Se analiza como sensibilidad un nivel de contrabando igual al 50% del caso base.</w:t>
      </w:r>
    </w:p>
    <w:p w14:paraId="1A1B06EE" w14:textId="77777777" w:rsidR="00C8772D" w:rsidRDefault="00C8772D" w:rsidP="00C8772D">
      <w:pPr>
        <w:pStyle w:val="Banknumbered"/>
        <w:numPr>
          <w:ilvl w:val="0"/>
          <w:numId w:val="0"/>
        </w:numPr>
        <w:jc w:val="both"/>
        <w:rPr>
          <w:lang w:val="es-ES"/>
        </w:rPr>
      </w:pPr>
      <w:r>
        <w:rPr>
          <w:lang w:val="es-ES"/>
        </w:rPr>
        <w:t>Se obtienen de esta manera los resultados consignados en la Tabla 14.</w:t>
      </w:r>
    </w:p>
    <w:p w14:paraId="19E59C47" w14:textId="77777777" w:rsidR="00C8772D" w:rsidRPr="00496DE7" w:rsidRDefault="00C8772D" w:rsidP="00C8772D">
      <w:pPr>
        <w:jc w:val="center"/>
        <w:rPr>
          <w:sz w:val="22"/>
          <w:lang w:val="es-ES"/>
        </w:rPr>
      </w:pPr>
      <w:r>
        <w:rPr>
          <w:sz w:val="22"/>
          <w:lang w:val="es-ES"/>
        </w:rPr>
        <w:t xml:space="preserve">Tabla 14. </w:t>
      </w:r>
      <w:r w:rsidRPr="00496DE7">
        <w:rPr>
          <w:sz w:val="22"/>
          <w:lang w:val="es-ES"/>
        </w:rPr>
        <w:t>Análisis de Sensibilidad</w:t>
      </w:r>
    </w:p>
    <w:tbl>
      <w:tblPr>
        <w:tblStyle w:val="TableGrid"/>
        <w:tblW w:w="0" w:type="auto"/>
        <w:tblLook w:val="04A0" w:firstRow="1" w:lastRow="0" w:firstColumn="1" w:lastColumn="0" w:noHBand="0" w:noVBand="1"/>
      </w:tblPr>
      <w:tblGrid>
        <w:gridCol w:w="1818"/>
        <w:gridCol w:w="1350"/>
        <w:gridCol w:w="1890"/>
        <w:gridCol w:w="1890"/>
        <w:gridCol w:w="2441"/>
      </w:tblGrid>
      <w:tr w:rsidR="00C8772D" w:rsidRPr="00C12307" w14:paraId="4AEE90A2" w14:textId="77777777" w:rsidTr="004B4BA5">
        <w:tc>
          <w:tcPr>
            <w:tcW w:w="1818" w:type="dxa"/>
          </w:tcPr>
          <w:p w14:paraId="18A902AC" w14:textId="77777777" w:rsidR="00C8772D" w:rsidRPr="00896DF1" w:rsidRDefault="00C8772D" w:rsidP="004B4BA5">
            <w:pPr>
              <w:spacing w:before="0"/>
              <w:jc w:val="center"/>
              <w:rPr>
                <w:rFonts w:ascii="Arial Narrow" w:hAnsi="Arial Narrow"/>
                <w:b/>
                <w:sz w:val="18"/>
                <w:szCs w:val="18"/>
                <w:lang w:val="es-ES"/>
              </w:rPr>
            </w:pPr>
          </w:p>
        </w:tc>
        <w:tc>
          <w:tcPr>
            <w:tcW w:w="1350" w:type="dxa"/>
          </w:tcPr>
          <w:p w14:paraId="26D840C6" w14:textId="77777777" w:rsidR="00C8772D" w:rsidRPr="00896DF1" w:rsidRDefault="00C8772D" w:rsidP="004B4BA5">
            <w:pPr>
              <w:spacing w:before="0"/>
              <w:jc w:val="center"/>
              <w:rPr>
                <w:rFonts w:ascii="Arial Narrow" w:hAnsi="Arial Narrow"/>
                <w:b/>
                <w:sz w:val="18"/>
                <w:szCs w:val="18"/>
                <w:lang w:val="es-ES"/>
              </w:rPr>
            </w:pPr>
            <w:r w:rsidRPr="00896DF1">
              <w:rPr>
                <w:rFonts w:ascii="Arial Narrow" w:hAnsi="Arial Narrow"/>
                <w:b/>
                <w:sz w:val="18"/>
                <w:szCs w:val="18"/>
                <w:lang w:val="es-ES"/>
              </w:rPr>
              <w:t>Caso Base</w:t>
            </w:r>
          </w:p>
        </w:tc>
        <w:tc>
          <w:tcPr>
            <w:tcW w:w="1890" w:type="dxa"/>
          </w:tcPr>
          <w:p w14:paraId="5139BFEC" w14:textId="77777777" w:rsidR="00C8772D" w:rsidRPr="00896DF1" w:rsidRDefault="00C8772D" w:rsidP="004B4BA5">
            <w:pPr>
              <w:spacing w:before="0"/>
              <w:jc w:val="center"/>
              <w:rPr>
                <w:rFonts w:ascii="Arial Narrow" w:hAnsi="Arial Narrow"/>
                <w:b/>
                <w:sz w:val="18"/>
                <w:szCs w:val="18"/>
                <w:lang w:val="es-ES"/>
              </w:rPr>
            </w:pPr>
            <w:r w:rsidRPr="00896DF1">
              <w:rPr>
                <w:rFonts w:ascii="Arial Narrow" w:hAnsi="Arial Narrow"/>
                <w:b/>
                <w:sz w:val="18"/>
                <w:szCs w:val="18"/>
                <w:lang w:val="es-ES"/>
              </w:rPr>
              <w:t xml:space="preserve">Caso Base con </w:t>
            </w:r>
            <w:r>
              <w:rPr>
                <w:rFonts w:ascii="Arial Narrow" w:hAnsi="Arial Narrow"/>
                <w:b/>
                <w:sz w:val="18"/>
                <w:szCs w:val="18"/>
                <w:lang w:val="es-ES"/>
              </w:rPr>
              <w:t>Elasticidad GLP de -0.2</w:t>
            </w:r>
          </w:p>
        </w:tc>
        <w:tc>
          <w:tcPr>
            <w:tcW w:w="1890" w:type="dxa"/>
          </w:tcPr>
          <w:p w14:paraId="2F84B254" w14:textId="77777777" w:rsidR="00C8772D" w:rsidRPr="00896DF1" w:rsidRDefault="00C8772D" w:rsidP="004B4BA5">
            <w:pPr>
              <w:spacing w:before="0"/>
              <w:jc w:val="center"/>
              <w:rPr>
                <w:rFonts w:ascii="Arial Narrow" w:hAnsi="Arial Narrow"/>
                <w:b/>
                <w:sz w:val="18"/>
                <w:szCs w:val="18"/>
                <w:lang w:val="es-ES"/>
              </w:rPr>
            </w:pPr>
            <w:r w:rsidRPr="00896DF1">
              <w:rPr>
                <w:rFonts w:ascii="Arial Narrow" w:hAnsi="Arial Narrow"/>
                <w:b/>
                <w:sz w:val="18"/>
                <w:szCs w:val="18"/>
                <w:lang w:val="es-ES"/>
              </w:rPr>
              <w:t xml:space="preserve">Caso Base con </w:t>
            </w:r>
            <w:r>
              <w:rPr>
                <w:rFonts w:ascii="Arial Narrow" w:hAnsi="Arial Narrow"/>
                <w:b/>
                <w:sz w:val="18"/>
                <w:szCs w:val="18"/>
                <w:lang w:val="es-ES"/>
              </w:rPr>
              <w:t>Elasticidad Electricidad de -0.3</w:t>
            </w:r>
          </w:p>
        </w:tc>
        <w:tc>
          <w:tcPr>
            <w:tcW w:w="2441" w:type="dxa"/>
          </w:tcPr>
          <w:p w14:paraId="10BA0215" w14:textId="77777777" w:rsidR="00C8772D" w:rsidRPr="00896DF1" w:rsidRDefault="00C8772D" w:rsidP="004B4BA5">
            <w:pPr>
              <w:spacing w:before="0"/>
              <w:jc w:val="center"/>
              <w:rPr>
                <w:rFonts w:ascii="Arial Narrow" w:hAnsi="Arial Narrow"/>
                <w:b/>
                <w:sz w:val="18"/>
                <w:szCs w:val="18"/>
                <w:lang w:val="es-ES"/>
              </w:rPr>
            </w:pPr>
            <w:r>
              <w:rPr>
                <w:rFonts w:ascii="Arial Narrow" w:hAnsi="Arial Narrow"/>
                <w:b/>
                <w:sz w:val="18"/>
                <w:szCs w:val="18"/>
                <w:lang w:val="es-ES"/>
              </w:rPr>
              <w:t>Reducción de 50% en el Contrabando</w:t>
            </w:r>
          </w:p>
        </w:tc>
      </w:tr>
      <w:tr w:rsidR="00C8772D" w:rsidRPr="00896DF1" w14:paraId="67FF90C8" w14:textId="77777777" w:rsidTr="004B4BA5">
        <w:tc>
          <w:tcPr>
            <w:tcW w:w="1818" w:type="dxa"/>
          </w:tcPr>
          <w:p w14:paraId="3D2F68C0" w14:textId="77777777" w:rsidR="00C8772D" w:rsidRPr="00896DF1" w:rsidRDefault="00C8772D" w:rsidP="004B4BA5">
            <w:pPr>
              <w:spacing w:before="0"/>
              <w:rPr>
                <w:rFonts w:ascii="Arial Narrow" w:hAnsi="Arial Narrow"/>
                <w:sz w:val="18"/>
                <w:szCs w:val="18"/>
                <w:lang w:val="es-ES"/>
              </w:rPr>
            </w:pPr>
            <w:r w:rsidRPr="00896DF1">
              <w:rPr>
                <w:rFonts w:ascii="Arial Narrow" w:hAnsi="Arial Narrow"/>
                <w:sz w:val="18"/>
                <w:szCs w:val="18"/>
                <w:lang w:val="es-ES"/>
              </w:rPr>
              <w:t>VPN Beneficios Brutos</w:t>
            </w:r>
          </w:p>
        </w:tc>
        <w:tc>
          <w:tcPr>
            <w:tcW w:w="1350" w:type="dxa"/>
          </w:tcPr>
          <w:p w14:paraId="5ED255AE"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1,867M$</w:t>
            </w:r>
          </w:p>
        </w:tc>
        <w:tc>
          <w:tcPr>
            <w:tcW w:w="1890" w:type="dxa"/>
          </w:tcPr>
          <w:p w14:paraId="462DDC70"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1,958M$</w:t>
            </w:r>
          </w:p>
        </w:tc>
        <w:tc>
          <w:tcPr>
            <w:tcW w:w="1890" w:type="dxa"/>
          </w:tcPr>
          <w:p w14:paraId="686E8190"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1,955M$</w:t>
            </w:r>
          </w:p>
        </w:tc>
        <w:tc>
          <w:tcPr>
            <w:tcW w:w="2441" w:type="dxa"/>
          </w:tcPr>
          <w:p w14:paraId="726D5916"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1,490M$</w:t>
            </w:r>
          </w:p>
        </w:tc>
      </w:tr>
      <w:tr w:rsidR="00C8772D" w:rsidRPr="00896DF1" w14:paraId="52FC044D" w14:textId="77777777" w:rsidTr="004B4BA5">
        <w:tc>
          <w:tcPr>
            <w:tcW w:w="1818" w:type="dxa"/>
          </w:tcPr>
          <w:p w14:paraId="52624928" w14:textId="77777777" w:rsidR="00C8772D" w:rsidRPr="00896DF1" w:rsidRDefault="00C8772D" w:rsidP="004B4BA5">
            <w:pPr>
              <w:spacing w:before="0"/>
              <w:rPr>
                <w:rFonts w:ascii="Arial Narrow" w:hAnsi="Arial Narrow"/>
                <w:sz w:val="18"/>
                <w:szCs w:val="18"/>
                <w:lang w:val="es-ES"/>
              </w:rPr>
            </w:pPr>
            <w:r w:rsidRPr="00896DF1">
              <w:rPr>
                <w:rFonts w:ascii="Arial Narrow" w:hAnsi="Arial Narrow"/>
                <w:sz w:val="18"/>
                <w:szCs w:val="18"/>
                <w:lang w:val="es-ES"/>
              </w:rPr>
              <w:t>VPN Costos</w:t>
            </w:r>
          </w:p>
        </w:tc>
        <w:tc>
          <w:tcPr>
            <w:tcW w:w="1350" w:type="dxa"/>
          </w:tcPr>
          <w:p w14:paraId="1F9D7114"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1,851M$</w:t>
            </w:r>
          </w:p>
        </w:tc>
        <w:tc>
          <w:tcPr>
            <w:tcW w:w="1890" w:type="dxa"/>
          </w:tcPr>
          <w:p w14:paraId="7607D52B"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1,851M$</w:t>
            </w:r>
          </w:p>
        </w:tc>
        <w:tc>
          <w:tcPr>
            <w:tcW w:w="1890" w:type="dxa"/>
          </w:tcPr>
          <w:p w14:paraId="2589C8B6"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1,851M$</w:t>
            </w:r>
          </w:p>
        </w:tc>
        <w:tc>
          <w:tcPr>
            <w:tcW w:w="2441" w:type="dxa"/>
          </w:tcPr>
          <w:p w14:paraId="31E5ABC9"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1,851M$</w:t>
            </w:r>
          </w:p>
        </w:tc>
      </w:tr>
      <w:tr w:rsidR="00C8772D" w:rsidRPr="00896DF1" w14:paraId="52F8346A" w14:textId="77777777" w:rsidTr="004B4BA5">
        <w:tc>
          <w:tcPr>
            <w:tcW w:w="1818" w:type="dxa"/>
          </w:tcPr>
          <w:p w14:paraId="293DE659" w14:textId="77777777" w:rsidR="00C8772D" w:rsidRPr="00896DF1" w:rsidRDefault="00C8772D" w:rsidP="004B4BA5">
            <w:pPr>
              <w:spacing w:before="0"/>
              <w:rPr>
                <w:rFonts w:ascii="Arial Narrow" w:hAnsi="Arial Narrow"/>
                <w:sz w:val="18"/>
                <w:szCs w:val="18"/>
                <w:lang w:val="es-ES"/>
              </w:rPr>
            </w:pPr>
            <w:r w:rsidRPr="00896DF1">
              <w:rPr>
                <w:rFonts w:ascii="Arial Narrow" w:hAnsi="Arial Narrow"/>
                <w:sz w:val="18"/>
                <w:szCs w:val="18"/>
                <w:lang w:val="es-ES"/>
              </w:rPr>
              <w:t>VPN Beneficios Netos</w:t>
            </w:r>
          </w:p>
        </w:tc>
        <w:tc>
          <w:tcPr>
            <w:tcW w:w="1350" w:type="dxa"/>
          </w:tcPr>
          <w:p w14:paraId="46BABF25"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16M$</w:t>
            </w:r>
          </w:p>
        </w:tc>
        <w:tc>
          <w:tcPr>
            <w:tcW w:w="1890" w:type="dxa"/>
          </w:tcPr>
          <w:p w14:paraId="0543CDFB"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106M$</w:t>
            </w:r>
          </w:p>
        </w:tc>
        <w:tc>
          <w:tcPr>
            <w:tcW w:w="1890" w:type="dxa"/>
          </w:tcPr>
          <w:p w14:paraId="1541BA01"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104M$</w:t>
            </w:r>
          </w:p>
        </w:tc>
        <w:tc>
          <w:tcPr>
            <w:tcW w:w="2441" w:type="dxa"/>
          </w:tcPr>
          <w:p w14:paraId="15896519"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(361)M$</w:t>
            </w:r>
          </w:p>
        </w:tc>
      </w:tr>
      <w:tr w:rsidR="00C8772D" w:rsidRPr="00896DF1" w14:paraId="6BC0FDDA" w14:textId="77777777" w:rsidTr="004B4BA5">
        <w:tc>
          <w:tcPr>
            <w:tcW w:w="1818" w:type="dxa"/>
          </w:tcPr>
          <w:p w14:paraId="16FFB987" w14:textId="77777777" w:rsidR="00C8772D" w:rsidRPr="00896DF1" w:rsidRDefault="00C8772D" w:rsidP="004B4BA5">
            <w:pPr>
              <w:spacing w:before="0"/>
              <w:rPr>
                <w:rFonts w:ascii="Arial Narrow" w:hAnsi="Arial Narrow"/>
                <w:sz w:val="18"/>
                <w:szCs w:val="18"/>
                <w:lang w:val="es-ES"/>
              </w:rPr>
            </w:pPr>
            <w:r w:rsidRPr="00896DF1">
              <w:rPr>
                <w:rFonts w:ascii="Arial Narrow" w:hAnsi="Arial Narrow"/>
                <w:sz w:val="18"/>
                <w:szCs w:val="18"/>
                <w:lang w:val="es-ES"/>
              </w:rPr>
              <w:t>TIR</w:t>
            </w:r>
          </w:p>
        </w:tc>
        <w:tc>
          <w:tcPr>
            <w:tcW w:w="1350" w:type="dxa"/>
          </w:tcPr>
          <w:p w14:paraId="6B7D1C8C"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14%</w:t>
            </w:r>
          </w:p>
        </w:tc>
        <w:tc>
          <w:tcPr>
            <w:tcW w:w="1890" w:type="dxa"/>
          </w:tcPr>
          <w:p w14:paraId="39BD2304"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26%</w:t>
            </w:r>
          </w:p>
        </w:tc>
        <w:tc>
          <w:tcPr>
            <w:tcW w:w="1890" w:type="dxa"/>
          </w:tcPr>
          <w:p w14:paraId="27F5298B"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24%</w:t>
            </w:r>
          </w:p>
        </w:tc>
        <w:tc>
          <w:tcPr>
            <w:tcW w:w="2441" w:type="dxa"/>
          </w:tcPr>
          <w:p w14:paraId="03479237" w14:textId="77777777" w:rsidR="00C8772D" w:rsidRPr="00896DF1" w:rsidRDefault="00C8772D" w:rsidP="004B4BA5">
            <w:pPr>
              <w:spacing w:before="0"/>
              <w:jc w:val="center"/>
              <w:rPr>
                <w:rFonts w:ascii="Arial Narrow" w:hAnsi="Arial Narrow"/>
                <w:sz w:val="18"/>
                <w:szCs w:val="18"/>
                <w:lang w:val="es-ES"/>
              </w:rPr>
            </w:pPr>
            <w:r>
              <w:rPr>
                <w:rFonts w:ascii="Arial Narrow" w:hAnsi="Arial Narrow"/>
                <w:sz w:val="18"/>
                <w:szCs w:val="18"/>
                <w:lang w:val="es-ES"/>
              </w:rPr>
              <w:t>-35%</w:t>
            </w:r>
          </w:p>
        </w:tc>
      </w:tr>
    </w:tbl>
    <w:p w14:paraId="65D7850A" w14:textId="77777777" w:rsidR="00C8772D" w:rsidRDefault="00C8772D" w:rsidP="00C8772D">
      <w:pPr>
        <w:jc w:val="both"/>
        <w:rPr>
          <w:lang w:val="es-ES"/>
        </w:rPr>
      </w:pPr>
      <w:r>
        <w:rPr>
          <w:lang w:val="es-ES"/>
        </w:rPr>
        <w:t xml:space="preserve">Estas sensibilidades ilustran cómo los supuestos de elasticidad precio del GLP y la electricidad actúan en sentido contrario en los indicadores de la evaluación: una </w:t>
      </w:r>
      <w:r w:rsidRPr="000336E2">
        <w:rPr>
          <w:i/>
          <w:lang w:val="es-ES"/>
        </w:rPr>
        <w:t>mayor</w:t>
      </w:r>
      <w:r>
        <w:rPr>
          <w:lang w:val="es-ES"/>
        </w:rPr>
        <w:t xml:space="preserve"> elasticidad precio del GLP incrementa la rentabilidad del proyecto, al igual que una </w:t>
      </w:r>
      <w:r w:rsidRPr="000336E2">
        <w:rPr>
          <w:i/>
          <w:lang w:val="es-ES"/>
        </w:rPr>
        <w:t>menor</w:t>
      </w:r>
      <w:r>
        <w:rPr>
          <w:lang w:val="es-ES"/>
        </w:rPr>
        <w:t xml:space="preserve"> elasticidad precio de la electricidad.  También se aprecia cómo la eliminación del contrabando pesa de manera significativa en la justificación económica de la política de sustitución, y levanta el </w:t>
      </w:r>
      <w:r>
        <w:rPr>
          <w:lang w:val="es-ES"/>
        </w:rPr>
        <w:lastRenderedPageBreak/>
        <w:t>interrogante de si no se podrían lograr los resultados deseados con acciones policiales de costo considerablemente menor o alternativas tecnológicas que permitan controlar el comercio ilegal.</w:t>
      </w:r>
    </w:p>
    <w:p w14:paraId="1817B02B" w14:textId="77777777" w:rsidR="00C8772D" w:rsidRDefault="00C8772D" w:rsidP="00C8772D">
      <w:pPr>
        <w:pStyle w:val="Heading2"/>
        <w:numPr>
          <w:ilvl w:val="1"/>
          <w:numId w:val="5"/>
        </w:numPr>
        <w:ind w:left="0" w:firstLine="0"/>
        <w:jc w:val="both"/>
        <w:rPr>
          <w:lang w:val="es-ES"/>
        </w:rPr>
      </w:pPr>
      <w:r>
        <w:rPr>
          <w:lang w:val="es-ES"/>
        </w:rPr>
        <w:t>Efectos fiscales</w:t>
      </w:r>
    </w:p>
    <w:p w14:paraId="5FCE2BCC" w14:textId="77777777" w:rsidR="00C8772D" w:rsidRDefault="00C8772D" w:rsidP="00C8772D">
      <w:pPr>
        <w:rPr>
          <w:lang w:val="es-ES_tradnl"/>
        </w:rPr>
      </w:pPr>
      <w:r w:rsidRPr="006C0FD4">
        <w:rPr>
          <w:lang w:val="es-ES_tradnl"/>
        </w:rPr>
        <w:t xml:space="preserve">Con relación a </w:t>
      </w:r>
      <w:r>
        <w:rPr>
          <w:lang w:val="es-ES_tradnl"/>
        </w:rPr>
        <w:t>la Gráfica 1, cuando se racionaliza el precio el Estado recupera (i) el área C+D y (ii) el valor del contrabando eliminado.  Sin embargo, incurre en un costo equivalente al subsidio de los primeros 80kWh mensuales por hogar.  La Tabla 15 resume los beneficios y costos desde el punto de vista del Estado.</w:t>
      </w:r>
    </w:p>
    <w:p w14:paraId="03732A92" w14:textId="77777777" w:rsidR="00C8772D" w:rsidRDefault="00C8772D" w:rsidP="00C8772D">
      <w:pPr>
        <w:jc w:val="center"/>
        <w:rPr>
          <w:lang w:val="es-ES_tradnl"/>
        </w:rPr>
      </w:pPr>
      <w:r>
        <w:rPr>
          <w:lang w:val="es-ES_tradnl"/>
        </w:rPr>
        <w:t>Tabla 15—Beneficios Fiscales (M$)</w:t>
      </w:r>
    </w:p>
    <w:p w14:paraId="7434E75F" w14:textId="77777777" w:rsidR="00C8772D" w:rsidRDefault="00C8772D" w:rsidP="00C8772D">
      <w:pPr>
        <w:spacing w:before="0"/>
        <w:rPr>
          <w:lang w:val="es-ES_tradnl"/>
        </w:rPr>
      </w:pPr>
      <w:r>
        <w:rPr>
          <w:noProof/>
        </w:rPr>
        <w:drawing>
          <wp:inline distT="0" distB="0" distL="0" distR="0" wp14:anchorId="4FEB5577" wp14:editId="123A8C07">
            <wp:extent cx="5477510" cy="1158875"/>
            <wp:effectExtent l="0" t="0" r="8890" b="9525"/>
            <wp:docPr id="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77510" cy="1158875"/>
                    </a:xfrm>
                    <a:prstGeom prst="rect">
                      <a:avLst/>
                    </a:prstGeom>
                    <a:noFill/>
                    <a:ln>
                      <a:noFill/>
                    </a:ln>
                  </pic:spPr>
                </pic:pic>
              </a:graphicData>
            </a:graphic>
          </wp:inline>
        </w:drawing>
      </w:r>
    </w:p>
    <w:p w14:paraId="2C9D1A87" w14:textId="77777777" w:rsidR="00C8772D" w:rsidRPr="006C0FD4" w:rsidRDefault="00C8772D" w:rsidP="00C8772D">
      <w:pPr>
        <w:rPr>
          <w:lang w:val="es-ES_tradnl"/>
        </w:rPr>
      </w:pPr>
      <w:r>
        <w:rPr>
          <w:lang w:val="es-ES_tradnl"/>
        </w:rPr>
        <w:t>Con respecto a estos beneficios fiscales, tienen un valor presente, descontado al 12%, de $597 millones.  Conviene anotar que los beneficios fiscales son positivos sobre todo debido a la eliminación del contrabando; de otra manera, la recuperación de costos no alcanza a pagar el subsidio a los primeros 80kWh mensuales.</w:t>
      </w:r>
    </w:p>
    <w:p w14:paraId="220F7FFE" w14:textId="77777777" w:rsidR="00C8772D" w:rsidRPr="00C62F89" w:rsidRDefault="00C8772D" w:rsidP="00C8772D">
      <w:pPr>
        <w:pStyle w:val="Heading1"/>
        <w:numPr>
          <w:ilvl w:val="0"/>
          <w:numId w:val="4"/>
        </w:numPr>
        <w:ind w:left="360"/>
        <w:jc w:val="both"/>
        <w:rPr>
          <w:lang w:val="es-ES"/>
        </w:rPr>
      </w:pPr>
      <w:bookmarkStart w:id="15" w:name="_Toc401572120"/>
      <w:r w:rsidRPr="00C62F89">
        <w:rPr>
          <w:lang w:val="es-ES"/>
        </w:rPr>
        <w:t>Consideraciones finales</w:t>
      </w:r>
      <w:bookmarkEnd w:id="15"/>
    </w:p>
    <w:p w14:paraId="47ADE9AC" w14:textId="77777777" w:rsidR="00C8772D" w:rsidRDefault="00C8772D" w:rsidP="00C8772D">
      <w:pPr>
        <w:pStyle w:val="Banknumbered"/>
        <w:numPr>
          <w:ilvl w:val="0"/>
          <w:numId w:val="0"/>
        </w:numPr>
        <w:jc w:val="both"/>
        <w:rPr>
          <w:lang w:val="es-ES"/>
        </w:rPr>
      </w:pPr>
      <w:r>
        <w:rPr>
          <w:lang w:val="es-ES"/>
        </w:rPr>
        <w:t xml:space="preserve">El programa propuesto para la transformación de la matriz energética del sector constituye un esfuerzo audaz del Gobierno para blindar al sector de las fluctuaciones en el precio del petróleo, permitiendo, entre otros, la implementación de una política tarifaria más estable.  Para ello se ha tomado la decisión de desarrollar centrales hidroeléctricas de gran tamaño, lo cual tendría como consecuencia períodos de sobreoferta de electricidad.  Para conjurar el problema que esto presenta, se ha concebido la sustitución de hidrocarburos por energía eléctrica, y específicamente el consumo de GLP.  Esto resuelve varios interrogantes: (a) permite reducir las ineficiencias de consumo inducidas por el exceso de subsidio del GLP, (b) permite la eliminación del contrabando, el cual ha alcanzado niveles insostenibles, y (c) permite maximizar el potencial </w:t>
      </w:r>
      <w:proofErr w:type="spellStart"/>
      <w:r>
        <w:rPr>
          <w:lang w:val="es-ES"/>
        </w:rPr>
        <w:t>hidrocarburífero</w:t>
      </w:r>
      <w:proofErr w:type="spellEnd"/>
      <w:r>
        <w:rPr>
          <w:lang w:val="es-ES"/>
        </w:rPr>
        <w:t xml:space="preserve"> del país al reducir la importación de derivados y aumentar su exportación, agregando valor a la producción nacional de crudo.</w:t>
      </w:r>
    </w:p>
    <w:p w14:paraId="75EA4060" w14:textId="77777777" w:rsidR="00C8772D" w:rsidRDefault="00C8772D" w:rsidP="00C8772D">
      <w:pPr>
        <w:pStyle w:val="Banknumbered"/>
        <w:numPr>
          <w:ilvl w:val="0"/>
          <w:numId w:val="0"/>
        </w:numPr>
        <w:jc w:val="both"/>
        <w:rPr>
          <w:lang w:val="es-ES"/>
        </w:rPr>
      </w:pPr>
      <w:r>
        <w:rPr>
          <w:lang w:val="es-ES"/>
        </w:rPr>
        <w:t>Del análisis económico se concluye que esta estrategia del Gobierno está fundamentalmente bien concebida y le aportará beneficios al país si se implementa de manera acertada.  A nivel de los proyectos de generación, transmisión, y distribución se requiere una ejecución puntual para evitar que, por una parte se promueva la sustitución por electricidad, pero que por otra no se aumente la oferta en la proporción necesaria para cubrir la nueva demanda.  Por el lado de la demanda, se requiere una campaña intensa de divulgación a nivel de la población para inducir el cambio, lo cual requiere inversiones a nivel de los usuarios para adecuación de viviendas y adaptación de costumbres a la nueva tecnología.</w:t>
      </w:r>
    </w:p>
    <w:p w14:paraId="36B49B5C" w14:textId="77777777" w:rsidR="00C8772D" w:rsidRDefault="00C8772D" w:rsidP="00C8772D">
      <w:pPr>
        <w:pStyle w:val="Banknumbered"/>
        <w:numPr>
          <w:ilvl w:val="0"/>
          <w:numId w:val="0"/>
        </w:numPr>
        <w:jc w:val="both"/>
        <w:rPr>
          <w:lang w:val="es-ES"/>
        </w:rPr>
      </w:pPr>
      <w:r>
        <w:rPr>
          <w:lang w:val="es-ES"/>
        </w:rPr>
        <w:lastRenderedPageBreak/>
        <w:t>Un estudio paralelo</w:t>
      </w:r>
      <w:r>
        <w:rPr>
          <w:rStyle w:val="FootnoteReference"/>
          <w:lang w:val="es-ES"/>
        </w:rPr>
        <w:footnoteReference w:id="22"/>
      </w:r>
      <w:r>
        <w:rPr>
          <w:lang w:val="es-ES"/>
        </w:rPr>
        <w:t xml:space="preserve">  buscó estimar los efectos fiscales netos, incluyendo (i) la eliminación de los subsidios a los combustibles utilizados en la generación de electricidad, y (ii) la eliminación del subsidio al GLP; dicho estudio estimó un ahorro fiscal de aproximadamente $5700 millones sobre el período 2014-2023.  Igualmente se estimó el impacto bruto sobre la balanza comercial, el cual llega a $37 mil millones sobre el período en cuestión; el impacto neto es menor puesto que la transformación de la matriz energética involucra un monto significativo de insumos importados, cuyo valor no ha sido calculado.</w:t>
      </w:r>
    </w:p>
    <w:p w14:paraId="49B8F542" w14:textId="77777777" w:rsidR="00C8772D" w:rsidRPr="00515D40" w:rsidRDefault="00C8772D" w:rsidP="00C8772D">
      <w:pPr>
        <w:pStyle w:val="Banknumbered"/>
        <w:numPr>
          <w:ilvl w:val="0"/>
          <w:numId w:val="0"/>
        </w:numPr>
        <w:jc w:val="both"/>
        <w:rPr>
          <w:lang w:val="es-ES"/>
        </w:rPr>
      </w:pPr>
      <w:r>
        <w:rPr>
          <w:lang w:val="es-ES"/>
        </w:rPr>
        <w:t>Finalmente, conviene recordar que la estrategia concebida por el Gobierno, aunque no es usual, sí tiene por lo menos un precedente.  Hacia 1983 el Brasil se enfrentó a una situación similar con excedentes de oferta de energía eléctrica, e implementó el proyecto “</w:t>
      </w:r>
      <w:proofErr w:type="spellStart"/>
      <w:r>
        <w:rPr>
          <w:lang w:val="es-ES"/>
        </w:rPr>
        <w:t>Eletrotermia</w:t>
      </w:r>
      <w:proofErr w:type="spellEnd"/>
      <w:r>
        <w:rPr>
          <w:lang w:val="es-ES"/>
        </w:rPr>
        <w:t xml:space="preserve">” que buscó la sustitución de generación de calor con fuel </w:t>
      </w:r>
      <w:proofErr w:type="spellStart"/>
      <w:r>
        <w:rPr>
          <w:lang w:val="es-ES"/>
        </w:rPr>
        <w:t>oil</w:t>
      </w:r>
      <w:proofErr w:type="spellEnd"/>
      <w:r>
        <w:rPr>
          <w:lang w:val="es-ES"/>
        </w:rPr>
        <w:t xml:space="preserve"> por electricidad.  La principal diferencia con el Ecuador radica en que el Brasil orientó su programa hacia el sector industrial mediante la instalación de calderas eléctricas por tiempo limitado, que sin embargo alcanzarían a amortizar los costos de capital debido al muy alto precio del petróleo y la dependencia total del país respecto a las importaciones de crudo y derivados en aquella época.  Dicho programa logró sus objetivos, y se puede esperar que la estrategia del Ecuador sea igualmente exitosa, aunque tendrá problemas logísticos más difíciles al orientar sus acciones al sector doméstico.</w:t>
      </w:r>
    </w:p>
    <w:p w14:paraId="57A5C0D6" w14:textId="77777777" w:rsidR="00C8772D" w:rsidRPr="00645C0F" w:rsidRDefault="00C8772D" w:rsidP="00C8772D">
      <w:pPr>
        <w:rPr>
          <w:lang w:val="es-ES"/>
        </w:rPr>
      </w:pPr>
    </w:p>
    <w:p w14:paraId="2447E5F0" w14:textId="77777777" w:rsidR="00645C0F" w:rsidRPr="00C8772D" w:rsidRDefault="00645C0F" w:rsidP="00C8772D">
      <w:pPr>
        <w:rPr>
          <w:lang w:val="es-ES"/>
        </w:rPr>
      </w:pPr>
    </w:p>
    <w:sectPr w:rsidR="00645C0F" w:rsidRPr="00C8772D" w:rsidSect="002E6C1F">
      <w:headerReference w:type="even" r:id="rId25"/>
      <w:headerReference w:type="default" r:id="rId26"/>
      <w:pgSz w:w="12240" w:h="15840"/>
      <w:pgMar w:top="1440" w:right="1440" w:bottom="1440" w:left="162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A49C8E" w14:textId="77777777" w:rsidR="003D44EC" w:rsidRDefault="003D44EC" w:rsidP="00CF5271">
      <w:r>
        <w:separator/>
      </w:r>
    </w:p>
  </w:endnote>
  <w:endnote w:type="continuationSeparator" w:id="0">
    <w:p w14:paraId="0E71E4AC" w14:textId="77777777" w:rsidR="003D44EC" w:rsidRDefault="003D44EC" w:rsidP="00CF5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FB1EE6" w14:textId="77777777" w:rsidR="003D44EC" w:rsidRDefault="003D44EC" w:rsidP="00CF5271">
      <w:r>
        <w:separator/>
      </w:r>
    </w:p>
  </w:footnote>
  <w:footnote w:type="continuationSeparator" w:id="0">
    <w:p w14:paraId="1685AE21" w14:textId="77777777" w:rsidR="003D44EC" w:rsidRDefault="003D44EC" w:rsidP="00CF5271">
      <w:r>
        <w:continuationSeparator/>
      </w:r>
    </w:p>
  </w:footnote>
  <w:footnote w:id="1">
    <w:p w14:paraId="10A793A4" w14:textId="77777777" w:rsidR="00C12307" w:rsidRPr="003B75DB" w:rsidRDefault="00C12307" w:rsidP="00C12307">
      <w:pPr>
        <w:pStyle w:val="FootnoteText"/>
        <w:ind w:left="90" w:hanging="90"/>
        <w:rPr>
          <w:sz w:val="18"/>
          <w:szCs w:val="18"/>
          <w:lang w:val="es-MX"/>
        </w:rPr>
      </w:pPr>
      <w:r w:rsidRPr="003B75DB">
        <w:rPr>
          <w:rStyle w:val="FootnoteReference"/>
          <w:sz w:val="18"/>
          <w:szCs w:val="18"/>
        </w:rPr>
        <w:footnoteRef/>
      </w:r>
      <w:r w:rsidRPr="003B75DB">
        <w:rPr>
          <w:sz w:val="18"/>
          <w:szCs w:val="18"/>
          <w:lang w:val="es-ES_tradnl"/>
        </w:rPr>
        <w:t xml:space="preserve"> </w:t>
      </w:r>
      <w:r w:rsidRPr="003B75DB">
        <w:rPr>
          <w:sz w:val="18"/>
          <w:szCs w:val="18"/>
          <w:lang w:val="es-MX"/>
        </w:rPr>
        <w:t xml:space="preserve">Incluye cargo cero por consumo de los primeros 80 </w:t>
      </w:r>
      <w:proofErr w:type="spellStart"/>
      <w:r w:rsidRPr="003B75DB">
        <w:rPr>
          <w:sz w:val="18"/>
          <w:szCs w:val="18"/>
          <w:lang w:val="es-MX"/>
        </w:rPr>
        <w:t>kVh</w:t>
      </w:r>
      <w:proofErr w:type="spellEnd"/>
      <w:r w:rsidRPr="003B75DB">
        <w:rPr>
          <w:sz w:val="18"/>
          <w:szCs w:val="18"/>
          <w:lang w:val="es-MX"/>
        </w:rPr>
        <w:t xml:space="preserve"> hasta el año 2018 a los usuarios </w:t>
      </w:r>
      <w:r>
        <w:rPr>
          <w:sz w:val="18"/>
          <w:szCs w:val="18"/>
          <w:lang w:val="es-MX"/>
        </w:rPr>
        <w:t>que se adhieran a la política de</w:t>
      </w:r>
      <w:r w:rsidRPr="003B75DB">
        <w:rPr>
          <w:sz w:val="18"/>
          <w:szCs w:val="18"/>
          <w:lang w:val="es-MX"/>
        </w:rPr>
        <w:t xml:space="preserve"> desplazamiento del uso GLP por electricidad en el sector residencial.</w:t>
      </w:r>
    </w:p>
  </w:footnote>
  <w:footnote w:id="2">
    <w:p w14:paraId="07D7A90A" w14:textId="77777777" w:rsidR="00C12307" w:rsidRPr="003B75DB" w:rsidRDefault="00C12307" w:rsidP="00C12307">
      <w:pPr>
        <w:pStyle w:val="FootnoteText"/>
        <w:ind w:left="90" w:hanging="90"/>
        <w:rPr>
          <w:sz w:val="18"/>
          <w:szCs w:val="18"/>
          <w:lang w:val="es-MX"/>
        </w:rPr>
      </w:pPr>
      <w:r w:rsidRPr="003B75DB">
        <w:rPr>
          <w:rStyle w:val="FootnoteReference"/>
          <w:sz w:val="18"/>
          <w:szCs w:val="18"/>
        </w:rPr>
        <w:footnoteRef/>
      </w:r>
      <w:r w:rsidRPr="003B75DB">
        <w:rPr>
          <w:sz w:val="18"/>
          <w:szCs w:val="18"/>
          <w:lang w:val="es-MX"/>
        </w:rPr>
        <w:t xml:space="preserve"> El desplazamiento de diésel se da bajo la iniciativa OGE&amp;EE y que tiene como objetivo disminuir el uso de diésel en la actividad </w:t>
      </w:r>
      <w:proofErr w:type="spellStart"/>
      <w:r w:rsidRPr="003B75DB">
        <w:rPr>
          <w:sz w:val="18"/>
          <w:szCs w:val="18"/>
          <w:lang w:val="es-MX"/>
        </w:rPr>
        <w:t>hidrocarburífera</w:t>
      </w:r>
      <w:proofErr w:type="spellEnd"/>
      <w:r w:rsidRPr="003B75DB">
        <w:rPr>
          <w:sz w:val="18"/>
          <w:szCs w:val="18"/>
          <w:lang w:val="es-MX"/>
        </w:rPr>
        <w:t xml:space="preserve">. Su cumplimiento se mide contra objetivos definidos al inicio de cada año.  </w:t>
      </w:r>
    </w:p>
  </w:footnote>
  <w:footnote w:id="3">
    <w:p w14:paraId="777C896B" w14:textId="77777777" w:rsidR="00C12307" w:rsidRPr="003B75DB" w:rsidRDefault="00C12307" w:rsidP="00C12307">
      <w:pPr>
        <w:pStyle w:val="FootnoteText"/>
        <w:rPr>
          <w:sz w:val="18"/>
          <w:szCs w:val="18"/>
          <w:lang w:val="es-ES_tradnl"/>
        </w:rPr>
      </w:pPr>
      <w:r w:rsidRPr="003B75DB">
        <w:rPr>
          <w:rStyle w:val="FootnoteReference"/>
          <w:sz w:val="18"/>
          <w:szCs w:val="18"/>
        </w:rPr>
        <w:footnoteRef/>
      </w:r>
      <w:r w:rsidRPr="003B75DB">
        <w:rPr>
          <w:sz w:val="18"/>
          <w:szCs w:val="18"/>
          <w:lang w:val="es-ES_tradnl"/>
        </w:rPr>
        <w:t xml:space="preserve"> Con información del sector al 2013.</w:t>
      </w:r>
    </w:p>
  </w:footnote>
  <w:footnote w:id="4">
    <w:p w14:paraId="7FB0D530" w14:textId="77777777" w:rsidR="00C12307" w:rsidRPr="00B474EC" w:rsidRDefault="00C12307" w:rsidP="00C12307">
      <w:pPr>
        <w:pStyle w:val="FootnoteText"/>
        <w:rPr>
          <w:sz w:val="18"/>
          <w:szCs w:val="18"/>
          <w:lang w:val="es-ES_tradnl"/>
        </w:rPr>
      </w:pPr>
      <w:r>
        <w:rPr>
          <w:rStyle w:val="FootnoteReference"/>
        </w:rPr>
        <w:footnoteRef/>
      </w:r>
      <w:r w:rsidRPr="00B474EC">
        <w:rPr>
          <w:lang w:val="es-ES_tradnl"/>
        </w:rPr>
        <w:t xml:space="preserve"> </w:t>
      </w:r>
      <w:r w:rsidRPr="00B474EC">
        <w:rPr>
          <w:sz w:val="18"/>
          <w:szCs w:val="18"/>
          <w:lang w:val="es-ES_tradnl"/>
        </w:rPr>
        <w:t>El nuevo pliego implica el alza de la tarifa eléctrica de US$0,01 para los consumidores residenciales y de US$0,02 para los clientes comerciales e industriales.</w:t>
      </w:r>
    </w:p>
  </w:footnote>
  <w:footnote w:id="5">
    <w:p w14:paraId="3DEF944A" w14:textId="77777777" w:rsidR="00C12307" w:rsidRPr="00B474EC" w:rsidRDefault="00C12307" w:rsidP="00C12307">
      <w:pPr>
        <w:pStyle w:val="FootnoteText"/>
        <w:rPr>
          <w:sz w:val="18"/>
          <w:szCs w:val="18"/>
          <w:lang w:val="es-ES_tradnl"/>
        </w:rPr>
      </w:pPr>
      <w:r>
        <w:rPr>
          <w:rStyle w:val="FootnoteReference"/>
        </w:rPr>
        <w:footnoteRef/>
      </w:r>
      <w:r w:rsidRPr="00B474EC">
        <w:rPr>
          <w:lang w:val="es-ES_tradnl"/>
        </w:rPr>
        <w:t xml:space="preserve"> </w:t>
      </w:r>
      <w:r w:rsidRPr="00B474EC">
        <w:rPr>
          <w:sz w:val="18"/>
          <w:szCs w:val="18"/>
          <w:lang w:val="es-ES_tradnl"/>
        </w:rPr>
        <w:t xml:space="preserve">Se refiere al porcentaje de </w:t>
      </w:r>
      <w:r w:rsidRPr="0095325F">
        <w:rPr>
          <w:sz w:val="18"/>
          <w:szCs w:val="18"/>
          <w:lang w:val="es-ES_tradnl"/>
        </w:rPr>
        <w:t>pérdidas</w:t>
      </w:r>
      <w:r w:rsidRPr="00B474EC">
        <w:rPr>
          <w:sz w:val="18"/>
          <w:szCs w:val="18"/>
          <w:lang w:val="es-ES_tradnl"/>
        </w:rPr>
        <w:t xml:space="preserve"> </w:t>
      </w:r>
      <w:r w:rsidRPr="0095325F">
        <w:rPr>
          <w:sz w:val="18"/>
          <w:szCs w:val="18"/>
          <w:lang w:val="es-ES_tradnl"/>
        </w:rPr>
        <w:t>eléctricas</w:t>
      </w:r>
      <w:r w:rsidRPr="00B474EC">
        <w:rPr>
          <w:sz w:val="18"/>
          <w:szCs w:val="18"/>
          <w:lang w:val="es-ES_tradnl"/>
        </w:rPr>
        <w:t xml:space="preserve"> técnica</w:t>
      </w:r>
      <w:r>
        <w:rPr>
          <w:sz w:val="18"/>
          <w:szCs w:val="18"/>
          <w:lang w:val="es-ES_tradnl"/>
        </w:rPr>
        <w:t>s</w:t>
      </w:r>
      <w:r w:rsidRPr="00B474EC">
        <w:rPr>
          <w:sz w:val="18"/>
          <w:szCs w:val="18"/>
          <w:lang w:val="es-ES_tradnl"/>
        </w:rPr>
        <w:t xml:space="preserve"> y no técnicas del sistema </w:t>
      </w:r>
      <w:r w:rsidRPr="0095325F">
        <w:rPr>
          <w:sz w:val="18"/>
          <w:szCs w:val="18"/>
          <w:lang w:val="es-ES_tradnl"/>
        </w:rPr>
        <w:t>eléctrico</w:t>
      </w:r>
      <w:r w:rsidRPr="00B474EC">
        <w:rPr>
          <w:sz w:val="18"/>
          <w:szCs w:val="18"/>
          <w:lang w:val="es-ES_tradnl"/>
        </w:rPr>
        <w:t xml:space="preserve"> nacional (incluye los sistemas de </w:t>
      </w:r>
      <w:r w:rsidRPr="0095325F">
        <w:rPr>
          <w:sz w:val="18"/>
          <w:szCs w:val="18"/>
          <w:lang w:val="es-ES_tradnl"/>
        </w:rPr>
        <w:t>transmisión</w:t>
      </w:r>
      <w:r w:rsidRPr="00B474EC">
        <w:rPr>
          <w:sz w:val="18"/>
          <w:szCs w:val="18"/>
          <w:lang w:val="es-ES_tradnl"/>
        </w:rPr>
        <w:t xml:space="preserve"> distribución </w:t>
      </w:r>
      <w:r>
        <w:rPr>
          <w:sz w:val="18"/>
          <w:szCs w:val="18"/>
          <w:lang w:val="es-ES_tradnl"/>
        </w:rPr>
        <w:t>de electricidad nacional</w:t>
      </w:r>
      <w:r w:rsidRPr="00B474EC">
        <w:rPr>
          <w:sz w:val="18"/>
          <w:szCs w:val="18"/>
          <w:lang w:val="es-ES_tradnl"/>
        </w:rPr>
        <w:t>)</w:t>
      </w:r>
    </w:p>
  </w:footnote>
  <w:footnote w:id="6">
    <w:p w14:paraId="2B18AC7B" w14:textId="77777777" w:rsidR="00C12307" w:rsidRPr="003B75DB" w:rsidRDefault="00C12307" w:rsidP="00C12307">
      <w:pPr>
        <w:pStyle w:val="FootnoteText"/>
        <w:rPr>
          <w:sz w:val="18"/>
          <w:szCs w:val="18"/>
          <w:lang w:val="es-ES_tradnl"/>
        </w:rPr>
      </w:pPr>
      <w:r w:rsidRPr="003B75DB">
        <w:rPr>
          <w:rStyle w:val="FootnoteReference"/>
          <w:sz w:val="18"/>
          <w:szCs w:val="18"/>
        </w:rPr>
        <w:footnoteRef/>
      </w:r>
      <w:r w:rsidRPr="003B75DB">
        <w:rPr>
          <w:sz w:val="18"/>
          <w:szCs w:val="18"/>
          <w:lang w:val="es-ES_tradnl"/>
        </w:rPr>
        <w:t xml:space="preserve"> </w:t>
      </w:r>
      <w:r>
        <w:rPr>
          <w:sz w:val="18"/>
          <w:szCs w:val="18"/>
          <w:lang w:val="es-ES_tradnl"/>
        </w:rPr>
        <w:t xml:space="preserve">El PMD se financia a través del </w:t>
      </w:r>
      <w:r>
        <w:rPr>
          <w:bCs/>
          <w:color w:val="000000"/>
          <w:sz w:val="18"/>
          <w:lang w:val="es-MX"/>
        </w:rPr>
        <w:t>Programa Nacional para el Reforzamiento del Sistema de Distribución Eléctrica</w:t>
      </w:r>
      <w:r w:rsidRPr="003B75DB">
        <w:rPr>
          <w:sz w:val="18"/>
          <w:szCs w:val="18"/>
          <w:lang w:val="es-ES_tradnl"/>
        </w:rPr>
        <w:t xml:space="preserve"> </w:t>
      </w:r>
      <w:r>
        <w:rPr>
          <w:sz w:val="18"/>
          <w:szCs w:val="18"/>
          <w:lang w:val="es-ES_tradnl"/>
        </w:rPr>
        <w:t>(</w:t>
      </w:r>
      <w:r w:rsidRPr="003B75DB">
        <w:rPr>
          <w:sz w:val="18"/>
          <w:szCs w:val="18"/>
          <w:lang w:val="es-ES_tradnl"/>
        </w:rPr>
        <w:t>PRSND</w:t>
      </w:r>
      <w:r>
        <w:rPr>
          <w:sz w:val="18"/>
          <w:szCs w:val="18"/>
          <w:lang w:val="es-ES_tradnl"/>
        </w:rPr>
        <w:t>), e</w:t>
      </w:r>
      <w:r w:rsidRPr="003B75DB">
        <w:rPr>
          <w:sz w:val="18"/>
          <w:szCs w:val="18"/>
          <w:lang w:val="es-ES_tradnl"/>
        </w:rPr>
        <w:t xml:space="preserve"> incluye tres etapas con un costo total aproximado de US$500.</w:t>
      </w:r>
    </w:p>
  </w:footnote>
  <w:footnote w:id="7">
    <w:p w14:paraId="6C9DBD1A" w14:textId="77777777" w:rsidR="00C12307" w:rsidRPr="00B474EC" w:rsidRDefault="00C12307" w:rsidP="00C12307">
      <w:pPr>
        <w:pStyle w:val="FootnoteText"/>
        <w:rPr>
          <w:sz w:val="18"/>
          <w:szCs w:val="18"/>
          <w:lang w:val="es-ES_tradnl"/>
        </w:rPr>
      </w:pPr>
      <w:r>
        <w:rPr>
          <w:rStyle w:val="FootnoteReference"/>
        </w:rPr>
        <w:footnoteRef/>
      </w:r>
      <w:r w:rsidRPr="00B474EC">
        <w:rPr>
          <w:lang w:val="es-ES_tradnl"/>
        </w:rPr>
        <w:t xml:space="preserve"> </w:t>
      </w:r>
      <w:r w:rsidRPr="00B474EC">
        <w:rPr>
          <w:sz w:val="18"/>
          <w:szCs w:val="18"/>
          <w:lang w:val="es-ES_tradnl"/>
        </w:rPr>
        <w:t>La metodología de sostenibilidad está basada en un análisis costo beneficio de los proyectos a ser financiados donde las condiciones de entrada son: (i) VP facturación ≥ Costo O&amp;M; y (ii) TIRE ≥12%.</w:t>
      </w:r>
    </w:p>
  </w:footnote>
  <w:footnote w:id="8">
    <w:p w14:paraId="6B1A9B31" w14:textId="77777777" w:rsidR="00C8772D" w:rsidRPr="00A9795C" w:rsidRDefault="00C8772D" w:rsidP="00C8772D">
      <w:pPr>
        <w:pStyle w:val="FootnoteText"/>
        <w:rPr>
          <w:sz w:val="22"/>
          <w:szCs w:val="22"/>
          <w:lang w:val="es-ES_tradnl"/>
        </w:rPr>
      </w:pPr>
      <w:r w:rsidRPr="00A9795C">
        <w:rPr>
          <w:rStyle w:val="FootnoteReference"/>
          <w:sz w:val="22"/>
          <w:szCs w:val="22"/>
          <w:lang w:val="es-ES_tradnl"/>
        </w:rPr>
        <w:footnoteRef/>
      </w:r>
      <w:r w:rsidRPr="00A9795C">
        <w:rPr>
          <w:sz w:val="22"/>
          <w:szCs w:val="22"/>
          <w:lang w:val="es-ES_tradnl"/>
        </w:rPr>
        <w:t xml:space="preserve"> PME, Vol. 3, Tabla 5.6, p. 205</w:t>
      </w:r>
    </w:p>
  </w:footnote>
  <w:footnote w:id="9">
    <w:p w14:paraId="76C09EE8" w14:textId="77777777" w:rsidR="00C8772D" w:rsidRPr="00A9795C" w:rsidRDefault="00C8772D" w:rsidP="00C8772D">
      <w:pPr>
        <w:pStyle w:val="FootnoteText"/>
        <w:rPr>
          <w:sz w:val="22"/>
          <w:szCs w:val="22"/>
          <w:lang w:val="es-ES_tradnl"/>
        </w:rPr>
      </w:pPr>
      <w:r w:rsidRPr="00A9795C">
        <w:rPr>
          <w:rStyle w:val="FootnoteReference"/>
          <w:sz w:val="22"/>
          <w:szCs w:val="22"/>
          <w:lang w:val="es-ES_tradnl"/>
        </w:rPr>
        <w:footnoteRef/>
      </w:r>
      <w:r w:rsidRPr="00A9795C">
        <w:rPr>
          <w:sz w:val="22"/>
          <w:szCs w:val="22"/>
          <w:lang w:val="es-ES_tradnl"/>
        </w:rPr>
        <w:t xml:space="preserve"> PME, Vol. 3, Tabla 3.44, p. 130</w:t>
      </w:r>
    </w:p>
  </w:footnote>
  <w:footnote w:id="10">
    <w:p w14:paraId="569D3114" w14:textId="77777777" w:rsidR="00C8772D" w:rsidRPr="00A9795C" w:rsidRDefault="00C8772D" w:rsidP="00C8772D">
      <w:pPr>
        <w:pStyle w:val="FootnoteText"/>
        <w:rPr>
          <w:sz w:val="22"/>
          <w:szCs w:val="22"/>
          <w:lang w:val="es-ES_tradnl"/>
        </w:rPr>
      </w:pPr>
      <w:r w:rsidRPr="00A9795C">
        <w:rPr>
          <w:rStyle w:val="FootnoteReference"/>
          <w:sz w:val="22"/>
          <w:szCs w:val="22"/>
          <w:lang w:val="es-ES_tradnl"/>
        </w:rPr>
        <w:footnoteRef/>
      </w:r>
      <w:r w:rsidRPr="00A9795C">
        <w:rPr>
          <w:sz w:val="22"/>
          <w:szCs w:val="22"/>
          <w:lang w:val="es-ES_tradnl"/>
        </w:rPr>
        <w:t xml:space="preserve"> PME, Vol. 3, Tablas 4.19 a 4.24, pp. 186 a 188</w:t>
      </w:r>
    </w:p>
  </w:footnote>
  <w:footnote w:id="11">
    <w:p w14:paraId="67709D69" w14:textId="77777777" w:rsidR="00C8772D" w:rsidRPr="00E216E1" w:rsidRDefault="00C8772D" w:rsidP="00C8772D">
      <w:pPr>
        <w:pStyle w:val="FootnoteText"/>
        <w:rPr>
          <w:lang w:val="es-ES_tradnl"/>
        </w:rPr>
      </w:pPr>
      <w:r w:rsidRPr="00E216E1">
        <w:rPr>
          <w:rStyle w:val="FootnoteReference"/>
          <w:lang w:val="es-ES_tradnl"/>
        </w:rPr>
        <w:footnoteRef/>
      </w:r>
      <w:r w:rsidRPr="00E216E1">
        <w:rPr>
          <w:lang w:val="es-ES_tradnl"/>
        </w:rPr>
        <w:t xml:space="preserve"> Administración, Operación y Mantenimiento</w:t>
      </w:r>
    </w:p>
  </w:footnote>
  <w:footnote w:id="12">
    <w:p w14:paraId="6653BA7B" w14:textId="77777777" w:rsidR="00C8772D" w:rsidRPr="00A76990" w:rsidRDefault="00C8772D" w:rsidP="00C8772D">
      <w:pPr>
        <w:pStyle w:val="FootnoteText"/>
        <w:rPr>
          <w:lang w:val="es-ES_tradnl"/>
        </w:rPr>
      </w:pPr>
      <w:r>
        <w:rPr>
          <w:rStyle w:val="FootnoteReference"/>
        </w:rPr>
        <w:footnoteRef/>
      </w:r>
      <w:r w:rsidRPr="00A76990">
        <w:rPr>
          <w:lang w:val="es-ES_tradnl"/>
        </w:rPr>
        <w:t xml:space="preserve"> No se evaluó </w:t>
      </w:r>
      <w:r>
        <w:rPr>
          <w:lang w:val="es-ES_tradnl"/>
        </w:rPr>
        <w:t xml:space="preserve">en este </w:t>
      </w:r>
      <w:proofErr w:type="spellStart"/>
      <w:r>
        <w:rPr>
          <w:lang w:val="es-ES_tradnl"/>
        </w:rPr>
        <w:t>estuido</w:t>
      </w:r>
      <w:proofErr w:type="spellEnd"/>
      <w:r>
        <w:rPr>
          <w:lang w:val="es-ES_tradnl"/>
        </w:rPr>
        <w:t xml:space="preserve">, </w:t>
      </w:r>
      <w:r w:rsidRPr="00A76990">
        <w:rPr>
          <w:lang w:val="es-ES_tradnl"/>
        </w:rPr>
        <w:t xml:space="preserve">la opción de exportación de </w:t>
      </w:r>
      <w:r>
        <w:rPr>
          <w:lang w:val="es-ES_tradnl"/>
        </w:rPr>
        <w:t>electricidad bajo este escenario</w:t>
      </w:r>
      <w:r w:rsidRPr="00A76990">
        <w:rPr>
          <w:lang w:val="es-ES_tradnl"/>
        </w:rPr>
        <w:t xml:space="preserve">. </w:t>
      </w:r>
      <w:r>
        <w:rPr>
          <w:lang w:val="es-ES_tradnl"/>
        </w:rPr>
        <w:t xml:space="preserve">Esto ha sido analizado bajo la iniciativa de integración eléctrica andina SINEA. </w:t>
      </w:r>
    </w:p>
  </w:footnote>
  <w:footnote w:id="13">
    <w:p w14:paraId="3525EBC2" w14:textId="77777777" w:rsidR="00C8772D" w:rsidRPr="005D4429" w:rsidRDefault="00C8772D" w:rsidP="00C8772D">
      <w:pPr>
        <w:pStyle w:val="FootnoteText"/>
        <w:rPr>
          <w:sz w:val="22"/>
          <w:szCs w:val="22"/>
          <w:lang w:val="es-ES_tradnl"/>
        </w:rPr>
      </w:pPr>
      <w:r w:rsidRPr="005D4429">
        <w:rPr>
          <w:rStyle w:val="FootnoteReference"/>
          <w:sz w:val="22"/>
          <w:szCs w:val="22"/>
          <w:lang w:val="es-ES_tradnl"/>
        </w:rPr>
        <w:footnoteRef/>
      </w:r>
      <w:r w:rsidRPr="005D4429">
        <w:rPr>
          <w:sz w:val="22"/>
          <w:szCs w:val="22"/>
          <w:lang w:val="es-ES_tradnl"/>
        </w:rPr>
        <w:t xml:space="preserve"> Millones de Barriles Equivalentes de Petróleo.</w:t>
      </w:r>
    </w:p>
  </w:footnote>
  <w:footnote w:id="14">
    <w:p w14:paraId="0AD23A9C" w14:textId="77777777" w:rsidR="00C8772D" w:rsidRPr="006A047B" w:rsidRDefault="00C8772D" w:rsidP="00C8772D">
      <w:pPr>
        <w:pStyle w:val="FootnoteText"/>
        <w:rPr>
          <w:sz w:val="22"/>
          <w:szCs w:val="22"/>
          <w:lang w:val="es-ES_tradnl"/>
        </w:rPr>
      </w:pPr>
      <w:r w:rsidRPr="00607545">
        <w:rPr>
          <w:rStyle w:val="FootnoteReference"/>
          <w:sz w:val="22"/>
          <w:szCs w:val="22"/>
        </w:rPr>
        <w:footnoteRef/>
      </w:r>
      <w:r w:rsidRPr="006A047B">
        <w:rPr>
          <w:sz w:val="22"/>
          <w:szCs w:val="22"/>
          <w:lang w:val="es-ES_tradnl"/>
        </w:rPr>
        <w:t xml:space="preserve"> </w:t>
      </w:r>
      <w:proofErr w:type="spellStart"/>
      <w:r w:rsidRPr="006A047B">
        <w:rPr>
          <w:sz w:val="22"/>
          <w:szCs w:val="22"/>
          <w:lang w:val="es-ES_tradnl"/>
        </w:rPr>
        <w:t>Economica</w:t>
      </w:r>
      <w:proofErr w:type="spellEnd"/>
      <w:r w:rsidRPr="006A047B">
        <w:rPr>
          <w:sz w:val="22"/>
          <w:szCs w:val="22"/>
          <w:lang w:val="es-ES_tradnl"/>
        </w:rPr>
        <w:t>, p.21</w:t>
      </w:r>
    </w:p>
  </w:footnote>
  <w:footnote w:id="15">
    <w:p w14:paraId="3E1F30F0" w14:textId="77777777" w:rsidR="00C8772D" w:rsidRPr="006A047B" w:rsidRDefault="00C8772D" w:rsidP="00C8772D">
      <w:pPr>
        <w:pStyle w:val="FootnoteText"/>
        <w:rPr>
          <w:sz w:val="22"/>
          <w:szCs w:val="22"/>
          <w:lang w:val="es-ES_tradnl"/>
        </w:rPr>
      </w:pPr>
      <w:r w:rsidRPr="00607545">
        <w:rPr>
          <w:rStyle w:val="FootnoteReference"/>
          <w:sz w:val="22"/>
          <w:szCs w:val="22"/>
        </w:rPr>
        <w:footnoteRef/>
      </w:r>
      <w:r w:rsidRPr="006A047B">
        <w:rPr>
          <w:sz w:val="22"/>
          <w:szCs w:val="22"/>
          <w:lang w:val="es-ES_tradnl"/>
        </w:rPr>
        <w:t xml:space="preserve"> </w:t>
      </w:r>
      <w:proofErr w:type="spellStart"/>
      <w:r w:rsidRPr="006A047B">
        <w:rPr>
          <w:sz w:val="22"/>
          <w:szCs w:val="22"/>
          <w:lang w:val="es-ES_tradnl"/>
        </w:rPr>
        <w:t>Economica</w:t>
      </w:r>
      <w:proofErr w:type="spellEnd"/>
      <w:r w:rsidRPr="006A047B">
        <w:rPr>
          <w:sz w:val="22"/>
          <w:szCs w:val="22"/>
          <w:lang w:val="es-ES_tradnl"/>
        </w:rPr>
        <w:t>, p.85</w:t>
      </w:r>
    </w:p>
  </w:footnote>
  <w:footnote w:id="16">
    <w:p w14:paraId="4DA53EDA" w14:textId="77777777" w:rsidR="00C8772D" w:rsidRPr="00607545" w:rsidRDefault="00C8772D" w:rsidP="00C8772D">
      <w:pPr>
        <w:pStyle w:val="FootnoteText"/>
        <w:rPr>
          <w:sz w:val="22"/>
          <w:szCs w:val="22"/>
          <w:lang w:val="es-ES_tradnl"/>
        </w:rPr>
      </w:pPr>
      <w:r w:rsidRPr="00607545">
        <w:rPr>
          <w:rStyle w:val="FootnoteReference"/>
          <w:sz w:val="22"/>
          <w:szCs w:val="22"/>
          <w:lang w:val="es-ES_tradnl"/>
        </w:rPr>
        <w:footnoteRef/>
      </w:r>
      <w:r w:rsidRPr="00607545">
        <w:rPr>
          <w:sz w:val="22"/>
          <w:szCs w:val="22"/>
          <w:lang w:val="es-ES_tradnl"/>
        </w:rPr>
        <w:t xml:space="preserve"> </w:t>
      </w:r>
      <w:proofErr w:type="spellStart"/>
      <w:r w:rsidRPr="00607545">
        <w:rPr>
          <w:sz w:val="22"/>
          <w:szCs w:val="22"/>
          <w:lang w:val="es-ES_tradnl"/>
        </w:rPr>
        <w:t>Economica</w:t>
      </w:r>
      <w:proofErr w:type="spellEnd"/>
      <w:r w:rsidRPr="00607545">
        <w:rPr>
          <w:sz w:val="22"/>
          <w:szCs w:val="22"/>
          <w:lang w:val="es-ES_tradnl"/>
        </w:rPr>
        <w:t>, p.86 Tabla 62</w:t>
      </w:r>
    </w:p>
  </w:footnote>
  <w:footnote w:id="17">
    <w:p w14:paraId="57691EF7" w14:textId="77777777" w:rsidR="00C8772D" w:rsidRPr="006A047B" w:rsidRDefault="00C8772D" w:rsidP="00C8772D">
      <w:pPr>
        <w:pStyle w:val="FootnoteText"/>
        <w:rPr>
          <w:sz w:val="22"/>
          <w:szCs w:val="22"/>
          <w:lang w:val="es-ES_tradnl"/>
        </w:rPr>
      </w:pPr>
      <w:r w:rsidRPr="00607545">
        <w:rPr>
          <w:rStyle w:val="FootnoteReference"/>
          <w:sz w:val="22"/>
          <w:szCs w:val="22"/>
        </w:rPr>
        <w:footnoteRef/>
      </w:r>
      <w:r w:rsidRPr="006A047B">
        <w:rPr>
          <w:sz w:val="22"/>
          <w:szCs w:val="22"/>
          <w:lang w:val="es-ES_tradnl"/>
        </w:rPr>
        <w:t xml:space="preserve"> </w:t>
      </w:r>
      <w:r w:rsidRPr="00607545">
        <w:rPr>
          <w:sz w:val="22"/>
          <w:szCs w:val="22"/>
          <w:lang w:val="es-ES_tradnl"/>
        </w:rPr>
        <w:t>El Comercio, abril 15 de 2014</w:t>
      </w:r>
      <w:r w:rsidRPr="006A047B">
        <w:rPr>
          <w:sz w:val="22"/>
          <w:szCs w:val="22"/>
          <w:lang w:val="es-ES_tradnl"/>
        </w:rPr>
        <w:t>.</w:t>
      </w:r>
    </w:p>
  </w:footnote>
  <w:footnote w:id="18">
    <w:p w14:paraId="76D5C78A" w14:textId="77777777" w:rsidR="00C8772D" w:rsidRPr="006A047B" w:rsidRDefault="00C8772D" w:rsidP="00C8772D">
      <w:pPr>
        <w:pStyle w:val="FootnoteText"/>
        <w:rPr>
          <w:sz w:val="22"/>
          <w:szCs w:val="22"/>
          <w:lang w:val="es-ES_tradnl"/>
        </w:rPr>
      </w:pPr>
      <w:r w:rsidRPr="005D4429">
        <w:rPr>
          <w:rStyle w:val="FootnoteReference"/>
          <w:sz w:val="22"/>
          <w:szCs w:val="22"/>
        </w:rPr>
        <w:footnoteRef/>
      </w:r>
      <w:r w:rsidRPr="006A047B">
        <w:rPr>
          <w:sz w:val="22"/>
          <w:szCs w:val="22"/>
          <w:lang w:val="es-ES_tradnl"/>
        </w:rPr>
        <w:t xml:space="preserve"> Fuente: </w:t>
      </w:r>
      <w:proofErr w:type="spellStart"/>
      <w:r w:rsidRPr="006A047B">
        <w:rPr>
          <w:sz w:val="22"/>
          <w:szCs w:val="22"/>
          <w:lang w:val="es-ES_tradnl"/>
        </w:rPr>
        <w:t>Economica</w:t>
      </w:r>
      <w:proofErr w:type="spellEnd"/>
      <w:r w:rsidRPr="006A047B">
        <w:rPr>
          <w:sz w:val="22"/>
          <w:szCs w:val="22"/>
          <w:lang w:val="es-ES_tradnl"/>
        </w:rPr>
        <w:t>, Tabla 62, p.86</w:t>
      </w:r>
    </w:p>
  </w:footnote>
  <w:footnote w:id="19">
    <w:p w14:paraId="0254E2DC" w14:textId="77777777" w:rsidR="00C8772D" w:rsidRPr="008D7F53" w:rsidRDefault="00C8772D" w:rsidP="00C8772D">
      <w:pPr>
        <w:pStyle w:val="FootnoteText"/>
        <w:spacing w:before="60"/>
        <w:rPr>
          <w:lang w:val="es-ES_tradnl"/>
        </w:rPr>
      </w:pPr>
      <w:r w:rsidRPr="008D7F53">
        <w:rPr>
          <w:rStyle w:val="FootnoteReference"/>
          <w:szCs w:val="20"/>
          <w:lang w:val="es-ES_tradnl"/>
        </w:rPr>
        <w:footnoteRef/>
      </w:r>
      <w:r w:rsidRPr="00F746CD">
        <w:rPr>
          <w:szCs w:val="20"/>
          <w:lang w:val="es-ES_tradnl"/>
        </w:rPr>
        <w:t xml:space="preserve"> </w:t>
      </w:r>
      <w:r w:rsidRPr="003B2D15">
        <w:rPr>
          <w:szCs w:val="20"/>
          <w:lang w:val="es-ES_tradnl"/>
        </w:rPr>
        <w:t>Referencias a este respecto</w:t>
      </w:r>
      <w:r w:rsidRPr="00F746CD">
        <w:rPr>
          <w:szCs w:val="20"/>
          <w:lang w:val="es-ES_tradnl"/>
        </w:rPr>
        <w:t xml:space="preserve">: (i) </w:t>
      </w:r>
      <w:proofErr w:type="spellStart"/>
      <w:r w:rsidRPr="00F746CD">
        <w:rPr>
          <w:szCs w:val="20"/>
          <w:lang w:val="es-ES_tradnl"/>
        </w:rPr>
        <w:t>Neenan</w:t>
      </w:r>
      <w:proofErr w:type="spellEnd"/>
      <w:r w:rsidRPr="00F746CD">
        <w:rPr>
          <w:szCs w:val="20"/>
          <w:lang w:val="es-ES_tradnl"/>
        </w:rPr>
        <w:t xml:space="preserve">, B. and </w:t>
      </w:r>
      <w:proofErr w:type="spellStart"/>
      <w:r w:rsidRPr="00F746CD">
        <w:rPr>
          <w:szCs w:val="20"/>
          <w:lang w:val="es-ES_tradnl"/>
        </w:rPr>
        <w:t>Jiyong</w:t>
      </w:r>
      <w:proofErr w:type="spellEnd"/>
      <w:r w:rsidRPr="00F746CD">
        <w:rPr>
          <w:szCs w:val="20"/>
          <w:lang w:val="es-ES_tradnl"/>
        </w:rPr>
        <w:t>, E. “</w:t>
      </w:r>
      <w:r w:rsidRPr="00F746CD">
        <w:rPr>
          <w:i/>
          <w:szCs w:val="20"/>
          <w:lang w:val="es-ES_tradnl"/>
        </w:rPr>
        <w:t xml:space="preserve">Price </w:t>
      </w:r>
      <w:proofErr w:type="spellStart"/>
      <w:r w:rsidRPr="00F746CD">
        <w:rPr>
          <w:i/>
          <w:szCs w:val="20"/>
          <w:lang w:val="es-ES_tradnl"/>
        </w:rPr>
        <w:t>Elasticity</w:t>
      </w:r>
      <w:proofErr w:type="spellEnd"/>
      <w:r w:rsidRPr="00F746CD">
        <w:rPr>
          <w:i/>
          <w:szCs w:val="20"/>
          <w:lang w:val="es-ES_tradnl"/>
        </w:rPr>
        <w:t xml:space="preserve"> of </w:t>
      </w:r>
      <w:proofErr w:type="spellStart"/>
      <w:r w:rsidRPr="00F746CD">
        <w:rPr>
          <w:i/>
          <w:szCs w:val="20"/>
          <w:lang w:val="es-ES_tradnl"/>
        </w:rPr>
        <w:t>Demand</w:t>
      </w:r>
      <w:proofErr w:type="spellEnd"/>
      <w:r w:rsidRPr="00F746CD">
        <w:rPr>
          <w:i/>
          <w:szCs w:val="20"/>
          <w:lang w:val="es-ES_tradnl"/>
        </w:rPr>
        <w:t xml:space="preserve"> for </w:t>
      </w:r>
      <w:proofErr w:type="spellStart"/>
      <w:r w:rsidRPr="00F746CD">
        <w:rPr>
          <w:i/>
          <w:szCs w:val="20"/>
          <w:lang w:val="es-ES_tradnl"/>
        </w:rPr>
        <w:t>Electricity</w:t>
      </w:r>
      <w:proofErr w:type="spellEnd"/>
      <w:r w:rsidRPr="00F746CD">
        <w:rPr>
          <w:i/>
          <w:szCs w:val="20"/>
          <w:lang w:val="es-ES_tradnl"/>
        </w:rPr>
        <w:t xml:space="preserve">: a Primer and </w:t>
      </w:r>
      <w:proofErr w:type="spellStart"/>
      <w:r w:rsidRPr="00F746CD">
        <w:rPr>
          <w:i/>
          <w:szCs w:val="20"/>
          <w:lang w:val="es-ES_tradnl"/>
        </w:rPr>
        <w:t>Synthesis</w:t>
      </w:r>
      <w:proofErr w:type="spellEnd"/>
      <w:r w:rsidRPr="00F746CD">
        <w:rPr>
          <w:szCs w:val="20"/>
          <w:lang w:val="es-ES_tradnl"/>
        </w:rPr>
        <w:t xml:space="preserve">”, Electric </w:t>
      </w:r>
      <w:proofErr w:type="spellStart"/>
      <w:r w:rsidRPr="00F746CD">
        <w:rPr>
          <w:szCs w:val="20"/>
          <w:lang w:val="es-ES_tradnl"/>
        </w:rPr>
        <w:t>Power</w:t>
      </w:r>
      <w:proofErr w:type="spellEnd"/>
      <w:r w:rsidRPr="00F746CD">
        <w:rPr>
          <w:szCs w:val="20"/>
          <w:lang w:val="es-ES_tradnl"/>
        </w:rPr>
        <w:t xml:space="preserve"> </w:t>
      </w:r>
      <w:proofErr w:type="spellStart"/>
      <w:r w:rsidRPr="00F746CD">
        <w:rPr>
          <w:szCs w:val="20"/>
          <w:lang w:val="es-ES_tradnl"/>
        </w:rPr>
        <w:t>Research</w:t>
      </w:r>
      <w:proofErr w:type="spellEnd"/>
      <w:r w:rsidRPr="00F746CD">
        <w:rPr>
          <w:szCs w:val="20"/>
          <w:lang w:val="es-ES_tradnl"/>
        </w:rPr>
        <w:t xml:space="preserve"> </w:t>
      </w:r>
      <w:proofErr w:type="spellStart"/>
      <w:r w:rsidRPr="00F746CD">
        <w:rPr>
          <w:szCs w:val="20"/>
          <w:lang w:val="es-ES_tradnl"/>
        </w:rPr>
        <w:t>Institute</w:t>
      </w:r>
      <w:proofErr w:type="spellEnd"/>
      <w:r w:rsidRPr="00F746CD">
        <w:rPr>
          <w:szCs w:val="20"/>
          <w:lang w:val="es-ES_tradnl"/>
        </w:rPr>
        <w:t xml:space="preserve">, Palo Alto, CA, </w:t>
      </w:r>
      <w:proofErr w:type="spellStart"/>
      <w:r w:rsidRPr="00F746CD">
        <w:rPr>
          <w:szCs w:val="20"/>
          <w:lang w:val="es-ES_tradnl"/>
        </w:rPr>
        <w:t>January</w:t>
      </w:r>
      <w:proofErr w:type="spellEnd"/>
      <w:r w:rsidRPr="00F746CD">
        <w:rPr>
          <w:szCs w:val="20"/>
          <w:lang w:val="es-ES_tradnl"/>
        </w:rPr>
        <w:t xml:space="preserve"> 2008; (ii)  </w:t>
      </w:r>
      <w:proofErr w:type="spellStart"/>
      <w:r w:rsidRPr="00F746CD">
        <w:rPr>
          <w:szCs w:val="20"/>
          <w:lang w:val="es-ES_tradnl"/>
        </w:rPr>
        <w:t>Espey</w:t>
      </w:r>
      <w:proofErr w:type="spellEnd"/>
      <w:r w:rsidRPr="00F746CD">
        <w:rPr>
          <w:szCs w:val="20"/>
          <w:lang w:val="es-ES_tradnl"/>
        </w:rPr>
        <w:t xml:space="preserve">, J. and </w:t>
      </w:r>
      <w:proofErr w:type="spellStart"/>
      <w:r w:rsidRPr="00F746CD">
        <w:rPr>
          <w:szCs w:val="20"/>
          <w:lang w:val="es-ES_tradnl"/>
        </w:rPr>
        <w:t>Espey</w:t>
      </w:r>
      <w:proofErr w:type="spellEnd"/>
      <w:r w:rsidRPr="00F746CD">
        <w:rPr>
          <w:szCs w:val="20"/>
          <w:lang w:val="es-ES_tradnl"/>
        </w:rPr>
        <w:t>, M. “</w:t>
      </w:r>
      <w:proofErr w:type="spellStart"/>
      <w:r w:rsidRPr="00F746CD">
        <w:rPr>
          <w:szCs w:val="20"/>
          <w:lang w:val="es-ES_tradnl"/>
        </w:rPr>
        <w:t>Turning</w:t>
      </w:r>
      <w:proofErr w:type="spellEnd"/>
      <w:r w:rsidRPr="00F746CD">
        <w:rPr>
          <w:szCs w:val="20"/>
          <w:lang w:val="es-ES_tradnl"/>
        </w:rPr>
        <w:t xml:space="preserve"> </w:t>
      </w:r>
      <w:proofErr w:type="spellStart"/>
      <w:r w:rsidRPr="00F746CD">
        <w:rPr>
          <w:szCs w:val="20"/>
          <w:lang w:val="es-ES_tradnl"/>
        </w:rPr>
        <w:t>on</w:t>
      </w:r>
      <w:proofErr w:type="spellEnd"/>
      <w:r w:rsidRPr="00F746CD">
        <w:rPr>
          <w:szCs w:val="20"/>
          <w:lang w:val="es-ES_tradnl"/>
        </w:rPr>
        <w:t xml:space="preserve"> the </w:t>
      </w:r>
      <w:proofErr w:type="spellStart"/>
      <w:r w:rsidRPr="00F746CD">
        <w:rPr>
          <w:szCs w:val="20"/>
          <w:lang w:val="es-ES_tradnl"/>
        </w:rPr>
        <w:t>Lights</w:t>
      </w:r>
      <w:proofErr w:type="spellEnd"/>
      <w:r w:rsidRPr="00F746CD">
        <w:rPr>
          <w:szCs w:val="20"/>
          <w:lang w:val="es-ES_tradnl"/>
        </w:rPr>
        <w:t>: a Meta-</w:t>
      </w:r>
      <w:proofErr w:type="spellStart"/>
      <w:r w:rsidRPr="00F746CD">
        <w:rPr>
          <w:szCs w:val="20"/>
          <w:lang w:val="es-ES_tradnl"/>
        </w:rPr>
        <w:t>Analysis</w:t>
      </w:r>
      <w:proofErr w:type="spellEnd"/>
      <w:r w:rsidRPr="00F746CD">
        <w:rPr>
          <w:szCs w:val="20"/>
          <w:lang w:val="es-ES_tradnl"/>
        </w:rPr>
        <w:t xml:space="preserve"> of </w:t>
      </w:r>
      <w:proofErr w:type="spellStart"/>
      <w:r w:rsidRPr="00F746CD">
        <w:rPr>
          <w:szCs w:val="20"/>
          <w:lang w:val="es-ES_tradnl"/>
        </w:rPr>
        <w:t>Residential</w:t>
      </w:r>
      <w:proofErr w:type="spellEnd"/>
      <w:r w:rsidRPr="00F746CD">
        <w:rPr>
          <w:szCs w:val="20"/>
          <w:lang w:val="es-ES_tradnl"/>
        </w:rPr>
        <w:t xml:space="preserve"> </w:t>
      </w:r>
      <w:proofErr w:type="spellStart"/>
      <w:r w:rsidRPr="00F746CD">
        <w:rPr>
          <w:szCs w:val="20"/>
          <w:lang w:val="es-ES_tradnl"/>
        </w:rPr>
        <w:t>Electricity</w:t>
      </w:r>
      <w:proofErr w:type="spellEnd"/>
      <w:r w:rsidRPr="00F746CD">
        <w:rPr>
          <w:szCs w:val="20"/>
          <w:lang w:val="es-ES_tradnl"/>
        </w:rPr>
        <w:t xml:space="preserve"> </w:t>
      </w:r>
      <w:proofErr w:type="spellStart"/>
      <w:r w:rsidRPr="00F746CD">
        <w:rPr>
          <w:szCs w:val="20"/>
          <w:lang w:val="es-ES_tradnl"/>
        </w:rPr>
        <w:t>Demand</w:t>
      </w:r>
      <w:proofErr w:type="spellEnd"/>
      <w:r w:rsidRPr="00F746CD">
        <w:rPr>
          <w:szCs w:val="20"/>
          <w:lang w:val="es-ES_tradnl"/>
        </w:rPr>
        <w:t xml:space="preserve"> </w:t>
      </w:r>
      <w:proofErr w:type="spellStart"/>
      <w:r w:rsidRPr="00F746CD">
        <w:rPr>
          <w:szCs w:val="20"/>
          <w:lang w:val="es-ES_tradnl"/>
        </w:rPr>
        <w:t>Elasticities</w:t>
      </w:r>
      <w:proofErr w:type="spellEnd"/>
      <w:r w:rsidRPr="00F746CD">
        <w:rPr>
          <w:szCs w:val="20"/>
          <w:lang w:val="es-ES_tradnl"/>
        </w:rPr>
        <w:t xml:space="preserve">”, </w:t>
      </w:r>
      <w:proofErr w:type="spellStart"/>
      <w:r w:rsidRPr="00F746CD">
        <w:rPr>
          <w:i/>
          <w:szCs w:val="20"/>
          <w:lang w:val="es-ES_tradnl"/>
        </w:rPr>
        <w:t>Journal</w:t>
      </w:r>
      <w:proofErr w:type="spellEnd"/>
      <w:r w:rsidRPr="00F746CD">
        <w:rPr>
          <w:i/>
          <w:szCs w:val="20"/>
          <w:lang w:val="es-ES_tradnl"/>
        </w:rPr>
        <w:t xml:space="preserve"> of </w:t>
      </w:r>
      <w:proofErr w:type="spellStart"/>
      <w:r w:rsidRPr="00F746CD">
        <w:rPr>
          <w:i/>
          <w:szCs w:val="20"/>
          <w:lang w:val="es-ES_tradnl"/>
        </w:rPr>
        <w:t>Agricultural</w:t>
      </w:r>
      <w:proofErr w:type="spellEnd"/>
      <w:r w:rsidRPr="00F746CD">
        <w:rPr>
          <w:i/>
          <w:szCs w:val="20"/>
          <w:lang w:val="es-ES_tradnl"/>
        </w:rPr>
        <w:t xml:space="preserve"> and </w:t>
      </w:r>
      <w:proofErr w:type="spellStart"/>
      <w:r w:rsidRPr="00F746CD">
        <w:rPr>
          <w:i/>
          <w:szCs w:val="20"/>
          <w:lang w:val="es-ES_tradnl"/>
        </w:rPr>
        <w:t>Applied</w:t>
      </w:r>
      <w:proofErr w:type="spellEnd"/>
      <w:r w:rsidRPr="00F746CD">
        <w:rPr>
          <w:i/>
          <w:szCs w:val="20"/>
          <w:lang w:val="es-ES_tradnl"/>
        </w:rPr>
        <w:t xml:space="preserve"> </w:t>
      </w:r>
      <w:proofErr w:type="spellStart"/>
      <w:r w:rsidRPr="00F746CD">
        <w:rPr>
          <w:i/>
          <w:szCs w:val="20"/>
          <w:lang w:val="es-ES_tradnl"/>
        </w:rPr>
        <w:t>Economics</w:t>
      </w:r>
      <w:proofErr w:type="spellEnd"/>
      <w:r w:rsidRPr="00F746CD">
        <w:rPr>
          <w:szCs w:val="20"/>
          <w:lang w:val="es-ES_tradnl"/>
        </w:rPr>
        <w:t xml:space="preserve">, </w:t>
      </w:r>
      <w:proofErr w:type="spellStart"/>
      <w:r w:rsidRPr="00F746CD">
        <w:rPr>
          <w:szCs w:val="20"/>
          <w:lang w:val="es-ES_tradnl"/>
        </w:rPr>
        <w:t>April</w:t>
      </w:r>
      <w:proofErr w:type="spellEnd"/>
      <w:r w:rsidRPr="00F746CD">
        <w:rPr>
          <w:szCs w:val="20"/>
          <w:lang w:val="es-ES_tradnl"/>
        </w:rPr>
        <w:t xml:space="preserve"> 2004, pp. 65-8; (iii) </w:t>
      </w:r>
      <w:proofErr w:type="spellStart"/>
      <w:r w:rsidRPr="00F746CD">
        <w:rPr>
          <w:szCs w:val="20"/>
          <w:lang w:val="es-ES_tradnl"/>
        </w:rPr>
        <w:t>Westley</w:t>
      </w:r>
      <w:proofErr w:type="spellEnd"/>
      <w:r w:rsidRPr="00F746CD">
        <w:rPr>
          <w:szCs w:val="20"/>
          <w:lang w:val="es-ES_tradnl"/>
        </w:rPr>
        <w:t>, Glenn, “</w:t>
      </w:r>
      <w:r w:rsidRPr="00F746CD">
        <w:rPr>
          <w:i/>
          <w:szCs w:val="20"/>
          <w:lang w:val="es-ES_tradnl"/>
        </w:rPr>
        <w:t xml:space="preserve">New </w:t>
      </w:r>
      <w:proofErr w:type="spellStart"/>
      <w:r w:rsidRPr="00F746CD">
        <w:rPr>
          <w:i/>
          <w:szCs w:val="20"/>
          <w:lang w:val="es-ES_tradnl"/>
        </w:rPr>
        <w:t>Directions</w:t>
      </w:r>
      <w:proofErr w:type="spellEnd"/>
      <w:r w:rsidRPr="00F746CD">
        <w:rPr>
          <w:i/>
          <w:szCs w:val="20"/>
          <w:lang w:val="es-ES_tradnl"/>
        </w:rPr>
        <w:t xml:space="preserve"> in </w:t>
      </w:r>
      <w:proofErr w:type="spellStart"/>
      <w:r w:rsidRPr="00F746CD">
        <w:rPr>
          <w:i/>
          <w:szCs w:val="20"/>
          <w:lang w:val="es-ES_tradnl"/>
        </w:rPr>
        <w:t>Econometric</w:t>
      </w:r>
      <w:proofErr w:type="spellEnd"/>
      <w:r w:rsidRPr="00F746CD">
        <w:rPr>
          <w:i/>
          <w:szCs w:val="20"/>
          <w:lang w:val="es-ES_tradnl"/>
        </w:rPr>
        <w:t xml:space="preserve"> </w:t>
      </w:r>
      <w:proofErr w:type="spellStart"/>
      <w:r w:rsidRPr="00F746CD">
        <w:rPr>
          <w:i/>
          <w:szCs w:val="20"/>
          <w:lang w:val="es-ES_tradnl"/>
        </w:rPr>
        <w:t>Modeling</w:t>
      </w:r>
      <w:proofErr w:type="spellEnd"/>
      <w:r w:rsidRPr="00F746CD">
        <w:rPr>
          <w:i/>
          <w:szCs w:val="20"/>
          <w:lang w:val="es-ES_tradnl"/>
        </w:rPr>
        <w:t xml:space="preserve"> of </w:t>
      </w:r>
      <w:proofErr w:type="spellStart"/>
      <w:r w:rsidRPr="00F746CD">
        <w:rPr>
          <w:i/>
          <w:szCs w:val="20"/>
          <w:lang w:val="es-ES_tradnl"/>
        </w:rPr>
        <w:t>Energy</w:t>
      </w:r>
      <w:proofErr w:type="spellEnd"/>
      <w:r w:rsidRPr="00F746CD">
        <w:rPr>
          <w:i/>
          <w:szCs w:val="20"/>
          <w:lang w:val="es-ES_tradnl"/>
        </w:rPr>
        <w:t xml:space="preserve"> </w:t>
      </w:r>
      <w:proofErr w:type="spellStart"/>
      <w:r w:rsidRPr="00F746CD">
        <w:rPr>
          <w:i/>
          <w:szCs w:val="20"/>
          <w:lang w:val="es-ES_tradnl"/>
        </w:rPr>
        <w:t>Demand</w:t>
      </w:r>
      <w:proofErr w:type="spellEnd"/>
      <w:r w:rsidRPr="00F746CD">
        <w:rPr>
          <w:szCs w:val="20"/>
          <w:lang w:val="es-ES_tradnl"/>
        </w:rPr>
        <w:t xml:space="preserve">”, Inter-American </w:t>
      </w:r>
      <w:proofErr w:type="spellStart"/>
      <w:r w:rsidRPr="00F746CD">
        <w:rPr>
          <w:szCs w:val="20"/>
          <w:lang w:val="es-ES_tradnl"/>
        </w:rPr>
        <w:t>Development</w:t>
      </w:r>
      <w:proofErr w:type="spellEnd"/>
      <w:r w:rsidRPr="00F746CD">
        <w:rPr>
          <w:szCs w:val="20"/>
          <w:lang w:val="es-ES_tradnl"/>
        </w:rPr>
        <w:t xml:space="preserve"> Bank, Washington, DC, </w:t>
      </w:r>
      <w:proofErr w:type="spellStart"/>
      <w:r w:rsidRPr="00F746CD">
        <w:rPr>
          <w:szCs w:val="20"/>
          <w:lang w:val="es-ES_tradnl"/>
        </w:rPr>
        <w:t>February</w:t>
      </w:r>
      <w:proofErr w:type="spellEnd"/>
      <w:r w:rsidRPr="00F746CD">
        <w:rPr>
          <w:szCs w:val="20"/>
          <w:lang w:val="es-ES_tradnl"/>
        </w:rPr>
        <w:t xml:space="preserve"> 1992; (iv) </w:t>
      </w:r>
      <w:r w:rsidRPr="006A047B">
        <w:rPr>
          <w:szCs w:val="20"/>
          <w:lang w:val="es-ES_tradnl"/>
        </w:rPr>
        <w:t>Lecaros, Fernando “</w:t>
      </w:r>
      <w:r w:rsidRPr="002D45C7">
        <w:rPr>
          <w:i/>
          <w:szCs w:val="20"/>
          <w:lang w:val="es-ES_tradnl"/>
        </w:rPr>
        <w:t>Estudio Sectorial de la Demanda por Energía Eléctrica en el Ecuador</w:t>
      </w:r>
      <w:r w:rsidRPr="002D45C7">
        <w:rPr>
          <w:szCs w:val="20"/>
          <w:lang w:val="es-ES_tradnl"/>
        </w:rPr>
        <w:t>”, Instituto Ecuatoriano de Electrificación</w:t>
      </w:r>
      <w:r w:rsidRPr="006A047B">
        <w:rPr>
          <w:szCs w:val="20"/>
          <w:lang w:val="es-ES_tradnl"/>
        </w:rPr>
        <w:t xml:space="preserve"> (INECEL) y Banco Interamericano de Desarrollo, </w:t>
      </w:r>
      <w:r w:rsidRPr="00236204">
        <w:rPr>
          <w:szCs w:val="20"/>
          <w:lang w:val="es-ES_tradnl"/>
        </w:rPr>
        <w:t xml:space="preserve">abril </w:t>
      </w:r>
      <w:r w:rsidRPr="006A047B">
        <w:rPr>
          <w:szCs w:val="20"/>
          <w:lang w:val="es-ES_tradnl"/>
        </w:rPr>
        <w:t>de 1986</w:t>
      </w:r>
      <w:r>
        <w:rPr>
          <w:szCs w:val="20"/>
          <w:lang w:val="es-ES_tradnl"/>
        </w:rPr>
        <w:t>.</w:t>
      </w:r>
    </w:p>
  </w:footnote>
  <w:footnote w:id="20">
    <w:p w14:paraId="0D8FD0CA" w14:textId="77777777" w:rsidR="00C8772D" w:rsidRPr="00236204" w:rsidRDefault="00C8772D" w:rsidP="00C8772D">
      <w:pPr>
        <w:pStyle w:val="FootnoteText"/>
        <w:rPr>
          <w:szCs w:val="20"/>
        </w:rPr>
      </w:pPr>
      <w:r w:rsidRPr="00A87A45">
        <w:rPr>
          <w:rStyle w:val="FootnoteReference"/>
          <w:szCs w:val="20"/>
        </w:rPr>
        <w:footnoteRef/>
      </w:r>
      <w:r w:rsidRPr="00A87A45">
        <w:rPr>
          <w:szCs w:val="20"/>
        </w:rPr>
        <w:t xml:space="preserve"> </w:t>
      </w:r>
      <w:proofErr w:type="spellStart"/>
      <w:r w:rsidRPr="00F746CD">
        <w:rPr>
          <w:szCs w:val="20"/>
        </w:rPr>
        <w:t>Véase</w:t>
      </w:r>
      <w:proofErr w:type="spellEnd"/>
      <w:r>
        <w:rPr>
          <w:szCs w:val="20"/>
        </w:rPr>
        <w:t>: Malta Regulatory Authority, “</w:t>
      </w:r>
      <w:r>
        <w:rPr>
          <w:i/>
          <w:szCs w:val="20"/>
        </w:rPr>
        <w:t>The Market for LPG/propane and Impact of Approved Prices on the Domestic and the Commercial Industrial Sectors</w:t>
      </w:r>
      <w:r>
        <w:rPr>
          <w:szCs w:val="20"/>
        </w:rPr>
        <w:t>”, working paper, June 2010; y Kojima, Masami, “</w:t>
      </w:r>
      <w:r>
        <w:rPr>
          <w:i/>
          <w:szCs w:val="20"/>
        </w:rPr>
        <w:t>The Role of LPG in Reducing Energy Poverty</w:t>
      </w:r>
      <w:r>
        <w:rPr>
          <w:szCs w:val="20"/>
        </w:rPr>
        <w:t>”, The World Bank, 2011</w:t>
      </w:r>
    </w:p>
  </w:footnote>
  <w:footnote w:id="21">
    <w:p w14:paraId="61499812" w14:textId="77777777" w:rsidR="00C8772D" w:rsidRPr="00222A17" w:rsidRDefault="00C8772D" w:rsidP="00C8772D">
      <w:pPr>
        <w:pStyle w:val="FootnoteText"/>
        <w:rPr>
          <w:lang w:val="es-ES_tradnl"/>
        </w:rPr>
      </w:pPr>
      <w:r w:rsidRPr="00222A17">
        <w:rPr>
          <w:rStyle w:val="FootnoteReference"/>
          <w:lang w:val="es-ES_tradnl"/>
        </w:rPr>
        <w:footnoteRef/>
      </w:r>
      <w:r w:rsidRPr="00222A17">
        <w:rPr>
          <w:lang w:val="es-ES_tradnl"/>
        </w:rPr>
        <w:t xml:space="preserve"> En Colombia, debido a una política errada de precios, el productor de GLP reducía su oferta y se presentaban con frecuencia episodios de desabastecimiento</w:t>
      </w:r>
      <w:r>
        <w:rPr>
          <w:lang w:val="es-ES_tradnl"/>
        </w:rPr>
        <w:t xml:space="preserve"> (demoras en la entrega)</w:t>
      </w:r>
      <w:r w:rsidRPr="00222A17">
        <w:rPr>
          <w:lang w:val="es-ES_tradnl"/>
        </w:rPr>
        <w:t>, razón por la cual los consumidores sustituyeron el GLP por electricidad (cuyo precio tampoco reflejaba el costo real, pero el desabastecimiento de electricidad—con apagones—era intolerable políticamente</w:t>
      </w:r>
      <w:r>
        <w:rPr>
          <w:lang w:val="es-ES_tradnl"/>
        </w:rPr>
        <w:t>).</w:t>
      </w:r>
    </w:p>
  </w:footnote>
  <w:footnote w:id="22">
    <w:p w14:paraId="5F5BCE58" w14:textId="77777777" w:rsidR="00C8772D" w:rsidRPr="00F112CB" w:rsidRDefault="00C8772D" w:rsidP="00C8772D">
      <w:pPr>
        <w:widowControl w:val="0"/>
        <w:autoSpaceDE w:val="0"/>
        <w:autoSpaceDN w:val="0"/>
        <w:adjustRightInd w:val="0"/>
        <w:spacing w:before="0" w:after="240"/>
        <w:rPr>
          <w:rFonts w:ascii="Times" w:hAnsi="Times" w:cs="Times"/>
          <w:szCs w:val="24"/>
          <w:lang w:val="es-ES_tradnl"/>
        </w:rPr>
      </w:pPr>
      <w:r w:rsidRPr="00F112CB">
        <w:rPr>
          <w:rStyle w:val="FootnoteReference"/>
          <w:lang w:val="es-ES_tradnl"/>
        </w:rPr>
        <w:footnoteRef/>
      </w:r>
      <w:r w:rsidRPr="00F112CB">
        <w:rPr>
          <w:lang w:val="es-ES_tradnl"/>
        </w:rPr>
        <w:t xml:space="preserve"> “</w:t>
      </w:r>
      <w:r w:rsidRPr="00F112CB">
        <w:rPr>
          <w:rFonts w:ascii="Times" w:hAnsi="Times" w:cs="Times"/>
          <w:sz w:val="22"/>
          <w:lang w:val="es-ES_tradnl"/>
        </w:rPr>
        <w:t>Consultoría Para Analizar El Impacto Macroeconómico De La Transformación De La Matriz Energética Ecuatoriana”</w:t>
      </w:r>
      <w:r w:rsidRPr="00F112CB">
        <w:rPr>
          <w:rFonts w:ascii="Times" w:hAnsi="Times" w:cs="Times"/>
          <w:sz w:val="18"/>
          <w:szCs w:val="18"/>
          <w:lang w:val="es-ES_tradnl"/>
        </w:rPr>
        <w:t xml:space="preserve">, </w:t>
      </w:r>
      <w:r w:rsidRPr="00F112CB">
        <w:rPr>
          <w:rFonts w:ascii="Bell MT" w:hAnsi="Bell MT" w:cs="Bell MT"/>
          <w:sz w:val="22"/>
          <w:lang w:val="es-ES_tradnl"/>
        </w:rPr>
        <w:t>ECONÓMICA -Centro de Investigaciones Cuantitativas para el Desarrollo Económico y Social, septiembre de 2014, p.123</w:t>
      </w:r>
    </w:p>
    <w:p w14:paraId="6007DDB5" w14:textId="77777777" w:rsidR="00C8772D" w:rsidRPr="00F746CD" w:rsidRDefault="00C8772D" w:rsidP="00C8772D">
      <w:pPr>
        <w:pStyle w:val="FootnoteText"/>
        <w:rPr>
          <w:lang w:val="es-ES_trad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B457E" w14:textId="77777777" w:rsidR="003D44EC" w:rsidRDefault="003D44EC" w:rsidP="006458C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53ACE12" w14:textId="77777777" w:rsidR="003D44EC" w:rsidRDefault="003D44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C9EA" w14:textId="77777777" w:rsidR="003D44EC" w:rsidRDefault="003D44EC" w:rsidP="006458C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4674A">
      <w:rPr>
        <w:rStyle w:val="PageNumber"/>
        <w:noProof/>
      </w:rPr>
      <w:t>2</w:t>
    </w:r>
    <w:r>
      <w:rPr>
        <w:rStyle w:val="PageNumber"/>
      </w:rPr>
      <w:fldChar w:fldCharType="end"/>
    </w:r>
  </w:p>
  <w:p w14:paraId="72DCB6A9" w14:textId="77777777" w:rsidR="003D44EC" w:rsidRDefault="003D44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8790B"/>
    <w:multiLevelType w:val="hybridMultilevel"/>
    <w:tmpl w:val="CB54026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E0B6CF3"/>
    <w:multiLevelType w:val="hybridMultilevel"/>
    <w:tmpl w:val="7F2077CE"/>
    <w:lvl w:ilvl="0" w:tplc="8FF89194">
      <w:start w:val="1"/>
      <w:numFmt w:val="bullet"/>
      <w:pStyle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27312F7A"/>
    <w:multiLevelType w:val="hybridMultilevel"/>
    <w:tmpl w:val="4C50F736"/>
    <w:lvl w:ilvl="0" w:tplc="04090019">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3">
    <w:nsid w:val="2CC4232B"/>
    <w:multiLevelType w:val="hybridMultilevel"/>
    <w:tmpl w:val="5448A330"/>
    <w:lvl w:ilvl="0" w:tplc="0E3C676A">
      <w:start w:val="1"/>
      <w:numFmt w:val="decimal"/>
      <w:pStyle w:val="Banknumbered"/>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450DFF"/>
    <w:multiLevelType w:val="hybridMultilevel"/>
    <w:tmpl w:val="5E60DDB6"/>
    <w:lvl w:ilvl="0" w:tplc="04090019">
      <w:start w:val="1"/>
      <w:numFmt w:val="lowerLetter"/>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5">
    <w:nsid w:val="3E8421BE"/>
    <w:multiLevelType w:val="hybridMultilevel"/>
    <w:tmpl w:val="66ECC6F2"/>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4B751D45"/>
    <w:multiLevelType w:val="multilevel"/>
    <w:tmpl w:val="9DD44454"/>
    <w:lvl w:ilvl="0">
      <w:start w:val="1"/>
      <w:numFmt w:val="decimal"/>
      <w:pStyle w:val="Chapter"/>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7">
    <w:nsid w:val="50033DFD"/>
    <w:multiLevelType w:val="hybridMultilevel"/>
    <w:tmpl w:val="96D84BE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9E74B6"/>
    <w:multiLevelType w:val="hybridMultilevel"/>
    <w:tmpl w:val="8516410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6B030FC4"/>
    <w:multiLevelType w:val="hybridMultilevel"/>
    <w:tmpl w:val="0DB097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1435B8"/>
    <w:multiLevelType w:val="hybridMultilevel"/>
    <w:tmpl w:val="121E67B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71E10C8F"/>
    <w:multiLevelType w:val="hybridMultilevel"/>
    <w:tmpl w:val="10946EC4"/>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063DF4"/>
    <w:multiLevelType w:val="hybridMultilevel"/>
    <w:tmpl w:val="DBEC8B0E"/>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3">
    <w:nsid w:val="7D7E2E4E"/>
    <w:multiLevelType w:val="hybridMultilevel"/>
    <w:tmpl w:val="54F6C97E"/>
    <w:lvl w:ilvl="0" w:tplc="04090015">
      <w:start w:val="1"/>
      <w:numFmt w:val="upperLetter"/>
      <w:lvlText w:val="%1."/>
      <w:lvlJc w:val="left"/>
      <w:pPr>
        <w:ind w:left="360" w:hanging="360"/>
      </w:p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6"/>
  </w:num>
  <w:num w:numId="4">
    <w:abstractNumId w:val="7"/>
  </w:num>
  <w:num w:numId="5">
    <w:abstractNumId w:val="11"/>
  </w:num>
  <w:num w:numId="6">
    <w:abstractNumId w:val="10"/>
  </w:num>
  <w:num w:numId="7">
    <w:abstractNumId w:val="8"/>
  </w:num>
  <w:num w:numId="8">
    <w:abstractNumId w:val="5"/>
  </w:num>
  <w:num w:numId="9">
    <w:abstractNumId w:val="12"/>
  </w:num>
  <w:num w:numId="10">
    <w:abstractNumId w:val="2"/>
  </w:num>
  <w:num w:numId="11">
    <w:abstractNumId w:val="4"/>
  </w:num>
  <w:num w:numId="12">
    <w:abstractNumId w:val="0"/>
  </w:num>
  <w:num w:numId="13">
    <w:abstractNumId w:val="9"/>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4AC5"/>
    <w:rsid w:val="00012A8F"/>
    <w:rsid w:val="00033564"/>
    <w:rsid w:val="000336E2"/>
    <w:rsid w:val="00040A14"/>
    <w:rsid w:val="0004674A"/>
    <w:rsid w:val="000510CE"/>
    <w:rsid w:val="00052DC4"/>
    <w:rsid w:val="0005607F"/>
    <w:rsid w:val="00080471"/>
    <w:rsid w:val="00080490"/>
    <w:rsid w:val="00083C85"/>
    <w:rsid w:val="00093B94"/>
    <w:rsid w:val="000965C1"/>
    <w:rsid w:val="000B2165"/>
    <w:rsid w:val="000C2E1A"/>
    <w:rsid w:val="000E69DB"/>
    <w:rsid w:val="000F4BF7"/>
    <w:rsid w:val="001007A8"/>
    <w:rsid w:val="00111647"/>
    <w:rsid w:val="00117ED4"/>
    <w:rsid w:val="00121D06"/>
    <w:rsid w:val="00124CB7"/>
    <w:rsid w:val="00134C76"/>
    <w:rsid w:val="001440F2"/>
    <w:rsid w:val="00144DB9"/>
    <w:rsid w:val="001527CC"/>
    <w:rsid w:val="00164A2A"/>
    <w:rsid w:val="001735DB"/>
    <w:rsid w:val="00173762"/>
    <w:rsid w:val="00195C41"/>
    <w:rsid w:val="001961A7"/>
    <w:rsid w:val="001A0431"/>
    <w:rsid w:val="001A0E5B"/>
    <w:rsid w:val="001A2DAD"/>
    <w:rsid w:val="001A7512"/>
    <w:rsid w:val="001C3DCA"/>
    <w:rsid w:val="001F3B4F"/>
    <w:rsid w:val="00202378"/>
    <w:rsid w:val="00205132"/>
    <w:rsid w:val="00222A17"/>
    <w:rsid w:val="00223634"/>
    <w:rsid w:val="00236204"/>
    <w:rsid w:val="0024011F"/>
    <w:rsid w:val="00242AB9"/>
    <w:rsid w:val="00245562"/>
    <w:rsid w:val="00255AC4"/>
    <w:rsid w:val="00261206"/>
    <w:rsid w:val="002673E9"/>
    <w:rsid w:val="002759E4"/>
    <w:rsid w:val="00282817"/>
    <w:rsid w:val="002919CA"/>
    <w:rsid w:val="00295A52"/>
    <w:rsid w:val="002A433D"/>
    <w:rsid w:val="002B1774"/>
    <w:rsid w:val="002B18CF"/>
    <w:rsid w:val="002B54FB"/>
    <w:rsid w:val="002C5E05"/>
    <w:rsid w:val="002C5FA0"/>
    <w:rsid w:val="002D760D"/>
    <w:rsid w:val="002D7EE6"/>
    <w:rsid w:val="002E6C1F"/>
    <w:rsid w:val="002E7886"/>
    <w:rsid w:val="003002B3"/>
    <w:rsid w:val="00317789"/>
    <w:rsid w:val="00327C10"/>
    <w:rsid w:val="003418C6"/>
    <w:rsid w:val="003520BC"/>
    <w:rsid w:val="0037154F"/>
    <w:rsid w:val="00375CB9"/>
    <w:rsid w:val="003779ED"/>
    <w:rsid w:val="00385C84"/>
    <w:rsid w:val="00387162"/>
    <w:rsid w:val="00396A70"/>
    <w:rsid w:val="003A04DA"/>
    <w:rsid w:val="003B2D15"/>
    <w:rsid w:val="003C0446"/>
    <w:rsid w:val="003C5494"/>
    <w:rsid w:val="003D44EC"/>
    <w:rsid w:val="00401906"/>
    <w:rsid w:val="0040432D"/>
    <w:rsid w:val="0040674A"/>
    <w:rsid w:val="00407EA7"/>
    <w:rsid w:val="00413E25"/>
    <w:rsid w:val="00446FF5"/>
    <w:rsid w:val="0046292C"/>
    <w:rsid w:val="00474173"/>
    <w:rsid w:val="00483004"/>
    <w:rsid w:val="0049085F"/>
    <w:rsid w:val="00491D56"/>
    <w:rsid w:val="00493ADB"/>
    <w:rsid w:val="00496DE7"/>
    <w:rsid w:val="004B4638"/>
    <w:rsid w:val="004D03F3"/>
    <w:rsid w:val="004E1DE4"/>
    <w:rsid w:val="004F3C37"/>
    <w:rsid w:val="0051325F"/>
    <w:rsid w:val="00515D40"/>
    <w:rsid w:val="00516329"/>
    <w:rsid w:val="00521C35"/>
    <w:rsid w:val="005312D6"/>
    <w:rsid w:val="00536120"/>
    <w:rsid w:val="00540600"/>
    <w:rsid w:val="005666C0"/>
    <w:rsid w:val="00570301"/>
    <w:rsid w:val="00571ADD"/>
    <w:rsid w:val="00574B66"/>
    <w:rsid w:val="005917AA"/>
    <w:rsid w:val="00595157"/>
    <w:rsid w:val="005A5885"/>
    <w:rsid w:val="005B1B9F"/>
    <w:rsid w:val="005C35C4"/>
    <w:rsid w:val="005C3B41"/>
    <w:rsid w:val="005C6B10"/>
    <w:rsid w:val="005D16B6"/>
    <w:rsid w:val="005D1D0B"/>
    <w:rsid w:val="005D4429"/>
    <w:rsid w:val="005D75A1"/>
    <w:rsid w:val="0060569D"/>
    <w:rsid w:val="00605B12"/>
    <w:rsid w:val="00607545"/>
    <w:rsid w:val="00617CD2"/>
    <w:rsid w:val="00631B89"/>
    <w:rsid w:val="00637A31"/>
    <w:rsid w:val="00643C60"/>
    <w:rsid w:val="006458CE"/>
    <w:rsid w:val="00645C0F"/>
    <w:rsid w:val="00650257"/>
    <w:rsid w:val="00653CAC"/>
    <w:rsid w:val="00680582"/>
    <w:rsid w:val="006820A5"/>
    <w:rsid w:val="006914F2"/>
    <w:rsid w:val="006A047B"/>
    <w:rsid w:val="006C0FD4"/>
    <w:rsid w:val="007015BC"/>
    <w:rsid w:val="007238E3"/>
    <w:rsid w:val="007272D3"/>
    <w:rsid w:val="00727F6C"/>
    <w:rsid w:val="00732C1C"/>
    <w:rsid w:val="00746DA1"/>
    <w:rsid w:val="00776D7B"/>
    <w:rsid w:val="00781C58"/>
    <w:rsid w:val="007821D5"/>
    <w:rsid w:val="00783587"/>
    <w:rsid w:val="00787D77"/>
    <w:rsid w:val="00793B15"/>
    <w:rsid w:val="007A5A47"/>
    <w:rsid w:val="007A7DC1"/>
    <w:rsid w:val="007B6757"/>
    <w:rsid w:val="007C65C0"/>
    <w:rsid w:val="007D04DD"/>
    <w:rsid w:val="007D4396"/>
    <w:rsid w:val="007F02CB"/>
    <w:rsid w:val="007F074A"/>
    <w:rsid w:val="00802017"/>
    <w:rsid w:val="008029B3"/>
    <w:rsid w:val="00803B1F"/>
    <w:rsid w:val="00812E8E"/>
    <w:rsid w:val="00815DBC"/>
    <w:rsid w:val="00817DA6"/>
    <w:rsid w:val="00820C12"/>
    <w:rsid w:val="0082746C"/>
    <w:rsid w:val="00827E46"/>
    <w:rsid w:val="008367A1"/>
    <w:rsid w:val="00837D89"/>
    <w:rsid w:val="00851C53"/>
    <w:rsid w:val="00862025"/>
    <w:rsid w:val="00867CC8"/>
    <w:rsid w:val="008847B8"/>
    <w:rsid w:val="00896DF1"/>
    <w:rsid w:val="008A58E2"/>
    <w:rsid w:val="008C60A0"/>
    <w:rsid w:val="008D2E79"/>
    <w:rsid w:val="008D7F53"/>
    <w:rsid w:val="008E3429"/>
    <w:rsid w:val="008E6C00"/>
    <w:rsid w:val="008F4208"/>
    <w:rsid w:val="00900438"/>
    <w:rsid w:val="00913004"/>
    <w:rsid w:val="009143DD"/>
    <w:rsid w:val="00921286"/>
    <w:rsid w:val="00936079"/>
    <w:rsid w:val="00941DD4"/>
    <w:rsid w:val="00944B57"/>
    <w:rsid w:val="009464C2"/>
    <w:rsid w:val="00947690"/>
    <w:rsid w:val="009641C8"/>
    <w:rsid w:val="00970ACF"/>
    <w:rsid w:val="00971D39"/>
    <w:rsid w:val="00972B42"/>
    <w:rsid w:val="009758B5"/>
    <w:rsid w:val="00984F02"/>
    <w:rsid w:val="00991534"/>
    <w:rsid w:val="009A284A"/>
    <w:rsid w:val="009D0F78"/>
    <w:rsid w:val="009E2A00"/>
    <w:rsid w:val="009E3A2B"/>
    <w:rsid w:val="009F3F2C"/>
    <w:rsid w:val="009F69CD"/>
    <w:rsid w:val="00A06259"/>
    <w:rsid w:val="00A0723D"/>
    <w:rsid w:val="00A23A92"/>
    <w:rsid w:val="00A61AC8"/>
    <w:rsid w:val="00A7342B"/>
    <w:rsid w:val="00A84B31"/>
    <w:rsid w:val="00A87A45"/>
    <w:rsid w:val="00A9795C"/>
    <w:rsid w:val="00AA0CA4"/>
    <w:rsid w:val="00AA7EDC"/>
    <w:rsid w:val="00AB43FD"/>
    <w:rsid w:val="00AB4880"/>
    <w:rsid w:val="00AB5B82"/>
    <w:rsid w:val="00AB6ECF"/>
    <w:rsid w:val="00AC5430"/>
    <w:rsid w:val="00AD3B4B"/>
    <w:rsid w:val="00AE2B44"/>
    <w:rsid w:val="00AE4CE4"/>
    <w:rsid w:val="00AF245D"/>
    <w:rsid w:val="00AF6AEB"/>
    <w:rsid w:val="00B11B95"/>
    <w:rsid w:val="00B11E41"/>
    <w:rsid w:val="00B1596E"/>
    <w:rsid w:val="00B24B67"/>
    <w:rsid w:val="00B33641"/>
    <w:rsid w:val="00B340D7"/>
    <w:rsid w:val="00B53324"/>
    <w:rsid w:val="00B5344E"/>
    <w:rsid w:val="00B63E9D"/>
    <w:rsid w:val="00B6551F"/>
    <w:rsid w:val="00B67937"/>
    <w:rsid w:val="00B75139"/>
    <w:rsid w:val="00B75896"/>
    <w:rsid w:val="00B8594E"/>
    <w:rsid w:val="00B92386"/>
    <w:rsid w:val="00B967F8"/>
    <w:rsid w:val="00B969AE"/>
    <w:rsid w:val="00B9701A"/>
    <w:rsid w:val="00B978DA"/>
    <w:rsid w:val="00B97CF9"/>
    <w:rsid w:val="00BA304A"/>
    <w:rsid w:val="00BA7BC2"/>
    <w:rsid w:val="00BB52D8"/>
    <w:rsid w:val="00BC0909"/>
    <w:rsid w:val="00BE0A56"/>
    <w:rsid w:val="00BE6671"/>
    <w:rsid w:val="00BF12EB"/>
    <w:rsid w:val="00BF649F"/>
    <w:rsid w:val="00C06347"/>
    <w:rsid w:val="00C12040"/>
    <w:rsid w:val="00C12307"/>
    <w:rsid w:val="00C32A84"/>
    <w:rsid w:val="00C37DE6"/>
    <w:rsid w:val="00C4184B"/>
    <w:rsid w:val="00C42F3C"/>
    <w:rsid w:val="00C54C46"/>
    <w:rsid w:val="00C57622"/>
    <w:rsid w:val="00C62F89"/>
    <w:rsid w:val="00C671F3"/>
    <w:rsid w:val="00C83561"/>
    <w:rsid w:val="00C8772D"/>
    <w:rsid w:val="00CB2FC4"/>
    <w:rsid w:val="00CC4029"/>
    <w:rsid w:val="00CD5119"/>
    <w:rsid w:val="00CE776D"/>
    <w:rsid w:val="00CF5271"/>
    <w:rsid w:val="00D04A8D"/>
    <w:rsid w:val="00D113C5"/>
    <w:rsid w:val="00D25A9A"/>
    <w:rsid w:val="00D332FF"/>
    <w:rsid w:val="00D33626"/>
    <w:rsid w:val="00D35D23"/>
    <w:rsid w:val="00D448D0"/>
    <w:rsid w:val="00D53D7C"/>
    <w:rsid w:val="00D55606"/>
    <w:rsid w:val="00D57D60"/>
    <w:rsid w:val="00D71273"/>
    <w:rsid w:val="00D816D0"/>
    <w:rsid w:val="00D824B6"/>
    <w:rsid w:val="00DA03C6"/>
    <w:rsid w:val="00DA7BAB"/>
    <w:rsid w:val="00DF004C"/>
    <w:rsid w:val="00DF08B1"/>
    <w:rsid w:val="00E216E1"/>
    <w:rsid w:val="00E2574A"/>
    <w:rsid w:val="00E25A7A"/>
    <w:rsid w:val="00E3797C"/>
    <w:rsid w:val="00E52A3E"/>
    <w:rsid w:val="00E736E9"/>
    <w:rsid w:val="00E742DA"/>
    <w:rsid w:val="00E84586"/>
    <w:rsid w:val="00EA4DAC"/>
    <w:rsid w:val="00EB2D19"/>
    <w:rsid w:val="00ED5522"/>
    <w:rsid w:val="00EE0318"/>
    <w:rsid w:val="00EE1386"/>
    <w:rsid w:val="00EE39AF"/>
    <w:rsid w:val="00EF3C2D"/>
    <w:rsid w:val="00EF58AD"/>
    <w:rsid w:val="00F0575F"/>
    <w:rsid w:val="00F109D4"/>
    <w:rsid w:val="00F245D8"/>
    <w:rsid w:val="00F36E0C"/>
    <w:rsid w:val="00F57FC2"/>
    <w:rsid w:val="00F65CEE"/>
    <w:rsid w:val="00F80C60"/>
    <w:rsid w:val="00F85F20"/>
    <w:rsid w:val="00F93E17"/>
    <w:rsid w:val="00F96BC5"/>
    <w:rsid w:val="00F97685"/>
    <w:rsid w:val="00F97931"/>
    <w:rsid w:val="00FA0C4A"/>
    <w:rsid w:val="00FA0DEA"/>
    <w:rsid w:val="00FD0985"/>
    <w:rsid w:val="00FD1EB2"/>
    <w:rsid w:val="00FD292F"/>
    <w:rsid w:val="00FD6242"/>
    <w:rsid w:val="00FE2CE6"/>
    <w:rsid w:val="00FF2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446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B44"/>
    <w:pPr>
      <w:spacing w:before="120"/>
    </w:pPr>
    <w:rPr>
      <w:rFonts w:ascii="Times New Roman" w:hAnsi="Times New Roman"/>
      <w:sz w:val="24"/>
      <w:szCs w:val="22"/>
    </w:rPr>
  </w:style>
  <w:style w:type="paragraph" w:styleId="Heading1">
    <w:name w:val="heading 1"/>
    <w:basedOn w:val="Normal"/>
    <w:next w:val="Normal"/>
    <w:link w:val="Heading1Char"/>
    <w:uiPriority w:val="9"/>
    <w:qFormat/>
    <w:rsid w:val="00C62F89"/>
    <w:pPr>
      <w:keepNext/>
      <w:keepLines/>
      <w:spacing w:before="480"/>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C62F89"/>
    <w:pPr>
      <w:keepNext/>
      <w:keepLines/>
      <w:numPr>
        <w:ilvl w:val="1"/>
        <w:numId w:val="3"/>
      </w:numPr>
      <w:spacing w:before="200"/>
      <w:outlineLvl w:val="1"/>
    </w:pPr>
    <w:rPr>
      <w:rFonts w:eastAsiaTheme="majorEastAsia" w:cstheme="majorBidi"/>
      <w:b/>
      <w:bCs/>
      <w:szCs w:val="26"/>
    </w:rPr>
  </w:style>
  <w:style w:type="paragraph" w:styleId="Heading3">
    <w:name w:val="heading 3"/>
    <w:basedOn w:val="Normal"/>
    <w:next w:val="Normal"/>
    <w:link w:val="Heading3Char"/>
    <w:uiPriority w:val="9"/>
    <w:semiHidden/>
    <w:unhideWhenUsed/>
    <w:qFormat/>
    <w:rsid w:val="00483004"/>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83004"/>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83004"/>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8300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8300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8300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8300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C0621"/>
    <w:rPr>
      <w:rFonts w:ascii="Tahoma" w:eastAsia="Times New Roman" w:hAnsi="Tahoma" w:cs="Tahoma"/>
      <w:sz w:val="16"/>
      <w:szCs w:val="16"/>
    </w:rPr>
  </w:style>
  <w:style w:type="paragraph" w:styleId="FootnoteText">
    <w:name w:val="footnote text"/>
    <w:basedOn w:val="Normal"/>
    <w:link w:val="FootnoteTextChar"/>
    <w:uiPriority w:val="99"/>
    <w:unhideWhenUsed/>
    <w:rsid w:val="00902F77"/>
    <w:pPr>
      <w:keepNext/>
      <w:keepLines/>
      <w:spacing w:before="0" w:after="120"/>
      <w:ind w:left="288" w:hanging="288"/>
      <w:jc w:val="both"/>
    </w:pPr>
    <w:rPr>
      <w:spacing w:val="-3"/>
      <w:sz w:val="20"/>
      <w:szCs w:val="24"/>
    </w:rPr>
  </w:style>
  <w:style w:type="character" w:customStyle="1" w:styleId="FootnoteTextChar">
    <w:name w:val="Footnote Text Char"/>
    <w:basedOn w:val="DefaultParagraphFont"/>
    <w:link w:val="FootnoteText"/>
    <w:uiPriority w:val="99"/>
    <w:rsid w:val="00902F77"/>
    <w:rPr>
      <w:rFonts w:ascii="Times New Roman" w:hAnsi="Times New Roman"/>
      <w:spacing w:val="-3"/>
      <w:szCs w:val="24"/>
    </w:rPr>
  </w:style>
  <w:style w:type="character" w:styleId="FootnoteReference">
    <w:name w:val="footnote reference"/>
    <w:basedOn w:val="DefaultParagraphFont"/>
    <w:uiPriority w:val="99"/>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jc w:val="center"/>
      <w:outlineLvl w:val="0"/>
    </w:pPr>
    <w:rPr>
      <w:rFonts w:eastAsia="Times New Roman"/>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eastAsia="Times New Roman" w:cs="Arial"/>
      <w:b/>
      <w:smallCaps/>
      <w:szCs w:val="20"/>
    </w:rPr>
  </w:style>
  <w:style w:type="paragraph" w:styleId="BodyText">
    <w:name w:val="Body Text"/>
    <w:basedOn w:val="Normal"/>
    <w:link w:val="BodyTextChar"/>
    <w:rsid w:val="00B52681"/>
    <w:pPr>
      <w:tabs>
        <w:tab w:val="left" w:pos="3060"/>
      </w:tabs>
      <w:jc w:val="center"/>
    </w:pPr>
    <w:rPr>
      <w:rFonts w:eastAsia="Times New Roman"/>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basedOn w:val="CommentText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MediumShading2-Accent11">
    <w:name w:val="Medium Shading 2 - Accent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Banknumbered">
    <w:name w:val="Bank numbered"/>
    <w:link w:val="BanknumberedChar"/>
    <w:qFormat/>
    <w:rsid w:val="00BF649F"/>
    <w:pPr>
      <w:numPr>
        <w:numId w:val="1"/>
      </w:numPr>
      <w:spacing w:before="120"/>
    </w:pPr>
    <w:rPr>
      <w:rFonts w:ascii="Times New Roman" w:eastAsiaTheme="minorHAnsi" w:hAnsi="Times New Roman" w:cstheme="minorBidi"/>
      <w:sz w:val="24"/>
      <w:szCs w:val="24"/>
    </w:rPr>
  </w:style>
  <w:style w:type="paragraph" w:customStyle="1" w:styleId="Bullet">
    <w:name w:val="Bullet"/>
    <w:basedOn w:val="ListParagraph"/>
    <w:link w:val="BulletChar"/>
    <w:qFormat/>
    <w:rsid w:val="00BF649F"/>
    <w:pPr>
      <w:numPr>
        <w:numId w:val="2"/>
      </w:numPr>
      <w:contextualSpacing w:val="0"/>
    </w:pPr>
    <w:rPr>
      <w:rFonts w:eastAsiaTheme="minorHAnsi" w:cstheme="minorBidi"/>
    </w:rPr>
  </w:style>
  <w:style w:type="character" w:customStyle="1" w:styleId="BanknumberedChar">
    <w:name w:val="Bank numbered Char"/>
    <w:basedOn w:val="DefaultParagraphFont"/>
    <w:link w:val="Banknumbered"/>
    <w:rsid w:val="00BF649F"/>
    <w:rPr>
      <w:rFonts w:ascii="Times New Roman" w:eastAsiaTheme="minorHAnsi" w:hAnsi="Times New Roman" w:cstheme="minorBidi"/>
      <w:sz w:val="24"/>
      <w:szCs w:val="24"/>
    </w:rPr>
  </w:style>
  <w:style w:type="character" w:customStyle="1" w:styleId="BulletChar">
    <w:name w:val="Bullet Char"/>
    <w:basedOn w:val="DefaultParagraphFont"/>
    <w:link w:val="Bullet"/>
    <w:rsid w:val="00BF649F"/>
    <w:rPr>
      <w:rFonts w:ascii="Times New Roman" w:eastAsiaTheme="minorHAnsi" w:hAnsi="Times New Roman" w:cstheme="minorBidi"/>
      <w:sz w:val="24"/>
      <w:szCs w:val="22"/>
    </w:rPr>
  </w:style>
  <w:style w:type="character" w:styleId="PageNumber">
    <w:name w:val="page number"/>
    <w:basedOn w:val="DefaultParagraphFont"/>
    <w:uiPriority w:val="99"/>
    <w:semiHidden/>
    <w:unhideWhenUsed/>
    <w:rsid w:val="002E6C1F"/>
  </w:style>
  <w:style w:type="character" w:customStyle="1" w:styleId="Heading1Char">
    <w:name w:val="Heading 1 Char"/>
    <w:basedOn w:val="DefaultParagraphFont"/>
    <w:link w:val="Heading1"/>
    <w:uiPriority w:val="9"/>
    <w:rsid w:val="00C62F89"/>
    <w:rPr>
      <w:rFonts w:ascii="Times New Roman" w:eastAsiaTheme="majorEastAsia" w:hAnsi="Times New Roman" w:cstheme="majorBidi"/>
      <w:b/>
      <w:bCs/>
      <w:sz w:val="24"/>
      <w:szCs w:val="28"/>
    </w:rPr>
  </w:style>
  <w:style w:type="paragraph" w:styleId="TOCHeading">
    <w:name w:val="TOC Heading"/>
    <w:basedOn w:val="Heading1"/>
    <w:next w:val="Normal"/>
    <w:uiPriority w:val="39"/>
    <w:unhideWhenUsed/>
    <w:qFormat/>
    <w:rsid w:val="00483004"/>
    <w:pPr>
      <w:spacing w:line="276" w:lineRule="auto"/>
      <w:outlineLvl w:val="9"/>
    </w:pPr>
    <w:rPr>
      <w:lang w:eastAsia="ja-JP"/>
    </w:rPr>
  </w:style>
  <w:style w:type="paragraph" w:styleId="TOC2">
    <w:name w:val="toc 2"/>
    <w:basedOn w:val="Normal"/>
    <w:next w:val="Normal"/>
    <w:autoRedefine/>
    <w:uiPriority w:val="39"/>
    <w:unhideWhenUsed/>
    <w:qFormat/>
    <w:rsid w:val="00483004"/>
    <w:pPr>
      <w:tabs>
        <w:tab w:val="left" w:pos="1152"/>
        <w:tab w:val="right" w:leader="dot" w:pos="8741"/>
      </w:tabs>
      <w:spacing w:before="0"/>
      <w:ind w:left="1166" w:hanging="605"/>
    </w:pPr>
    <w:rPr>
      <w:rFonts w:eastAsiaTheme="minorEastAsia"/>
      <w:lang w:eastAsia="ja-JP"/>
    </w:rPr>
  </w:style>
  <w:style w:type="paragraph" w:styleId="TOC1">
    <w:name w:val="toc 1"/>
    <w:basedOn w:val="Normal"/>
    <w:next w:val="Normal"/>
    <w:autoRedefine/>
    <w:uiPriority w:val="39"/>
    <w:unhideWhenUsed/>
    <w:qFormat/>
    <w:rsid w:val="00C62F89"/>
    <w:pPr>
      <w:tabs>
        <w:tab w:val="right" w:leader="dot" w:pos="8741"/>
      </w:tabs>
      <w:spacing w:before="240" w:after="240"/>
      <w:ind w:left="547" w:hanging="547"/>
    </w:pPr>
    <w:rPr>
      <w:rFonts w:eastAsiaTheme="minorEastAsia"/>
      <w:smallCaps/>
      <w:lang w:eastAsia="ja-JP"/>
    </w:rPr>
  </w:style>
  <w:style w:type="paragraph" w:styleId="TOC3">
    <w:name w:val="toc 3"/>
    <w:basedOn w:val="Normal"/>
    <w:next w:val="Normal"/>
    <w:autoRedefine/>
    <w:uiPriority w:val="39"/>
    <w:unhideWhenUsed/>
    <w:qFormat/>
    <w:rsid w:val="00483004"/>
    <w:pPr>
      <w:tabs>
        <w:tab w:val="left" w:pos="1728"/>
        <w:tab w:val="right" w:leader="dot" w:pos="8741"/>
      </w:tabs>
      <w:spacing w:before="0"/>
      <w:ind w:left="1714" w:hanging="562"/>
    </w:pPr>
    <w:rPr>
      <w:rFonts w:eastAsiaTheme="minorEastAsia"/>
      <w:lang w:eastAsia="ja-JP"/>
    </w:rPr>
  </w:style>
  <w:style w:type="paragraph" w:customStyle="1" w:styleId="Chapter">
    <w:name w:val="Chapter"/>
    <w:basedOn w:val="Normal"/>
    <w:next w:val="Normal"/>
    <w:link w:val="ChapterChar"/>
    <w:rsid w:val="00483004"/>
    <w:pPr>
      <w:keepNext/>
      <w:numPr>
        <w:numId w:val="3"/>
      </w:numPr>
      <w:tabs>
        <w:tab w:val="num" w:pos="648"/>
        <w:tab w:val="left" w:pos="1440"/>
      </w:tabs>
      <w:spacing w:before="240" w:after="240"/>
      <w:ind w:left="0" w:firstLine="288"/>
      <w:jc w:val="center"/>
    </w:pPr>
    <w:rPr>
      <w:b/>
      <w:smallCaps/>
      <w:lang w:val="es-ES"/>
    </w:rPr>
  </w:style>
  <w:style w:type="character" w:customStyle="1" w:styleId="ListParagraphChar">
    <w:name w:val="List Paragraph Char"/>
    <w:basedOn w:val="DefaultParagraphFont"/>
    <w:link w:val="ListParagraph"/>
    <w:uiPriority w:val="34"/>
    <w:rsid w:val="00483004"/>
    <w:rPr>
      <w:rFonts w:ascii="Times New Roman" w:hAnsi="Times New Roman"/>
      <w:sz w:val="24"/>
      <w:szCs w:val="22"/>
    </w:rPr>
  </w:style>
  <w:style w:type="character" w:customStyle="1" w:styleId="ChapterChar">
    <w:name w:val="Chapter Char"/>
    <w:basedOn w:val="ListParagraphChar"/>
    <w:link w:val="Chapter"/>
    <w:rsid w:val="00483004"/>
    <w:rPr>
      <w:rFonts w:ascii="Times New Roman" w:hAnsi="Times New Roman"/>
      <w:b/>
      <w:smallCaps/>
      <w:sz w:val="24"/>
      <w:szCs w:val="22"/>
      <w:lang w:val="es-ES"/>
    </w:rPr>
  </w:style>
  <w:style w:type="paragraph" w:customStyle="1" w:styleId="FirstHeading">
    <w:name w:val="FirstHeading"/>
    <w:basedOn w:val="Normal"/>
    <w:next w:val="Normal"/>
    <w:link w:val="FirstHeadingChar"/>
    <w:rsid w:val="00483004"/>
    <w:pPr>
      <w:keepNext/>
      <w:tabs>
        <w:tab w:val="left" w:pos="0"/>
        <w:tab w:val="left" w:pos="86"/>
      </w:tabs>
      <w:spacing w:after="120"/>
      <w:ind w:hanging="720"/>
    </w:pPr>
    <w:rPr>
      <w:b/>
      <w:lang w:val="es-ES"/>
    </w:rPr>
  </w:style>
  <w:style w:type="character" w:customStyle="1" w:styleId="FirstHeadingChar">
    <w:name w:val="FirstHeading Char"/>
    <w:basedOn w:val="ListParagraphChar"/>
    <w:link w:val="FirstHeading"/>
    <w:rsid w:val="00483004"/>
    <w:rPr>
      <w:rFonts w:ascii="Times New Roman" w:hAnsi="Times New Roman"/>
      <w:b/>
      <w:sz w:val="24"/>
      <w:szCs w:val="22"/>
      <w:lang w:val="es-ES"/>
    </w:rPr>
  </w:style>
  <w:style w:type="paragraph" w:customStyle="1" w:styleId="SecHeading">
    <w:name w:val="SecHeading"/>
    <w:basedOn w:val="Normal"/>
    <w:next w:val="Paragraph"/>
    <w:link w:val="SecHeadingChar"/>
    <w:rsid w:val="00483004"/>
    <w:pPr>
      <w:keepNext/>
      <w:tabs>
        <w:tab w:val="num" w:pos="1296"/>
      </w:tabs>
      <w:spacing w:after="120"/>
      <w:ind w:left="1296" w:hanging="576"/>
    </w:pPr>
    <w:rPr>
      <w:b/>
      <w:lang w:val="es-ES"/>
    </w:rPr>
  </w:style>
  <w:style w:type="character" w:customStyle="1" w:styleId="SecHeadingChar">
    <w:name w:val="SecHeading Char"/>
    <w:basedOn w:val="ListParagraphChar"/>
    <w:link w:val="SecHeading"/>
    <w:rsid w:val="00483004"/>
    <w:rPr>
      <w:rFonts w:ascii="Times New Roman" w:hAnsi="Times New Roman"/>
      <w:b/>
      <w:sz w:val="24"/>
      <w:szCs w:val="22"/>
      <w:lang w:val="es-ES"/>
    </w:rPr>
  </w:style>
  <w:style w:type="paragraph" w:customStyle="1" w:styleId="SubHeading1">
    <w:name w:val="SubHeading1"/>
    <w:basedOn w:val="SecHeading"/>
    <w:link w:val="SubHeading1Char"/>
    <w:rsid w:val="00483004"/>
    <w:pPr>
      <w:tabs>
        <w:tab w:val="clear" w:pos="1296"/>
        <w:tab w:val="num" w:pos="1872"/>
      </w:tabs>
      <w:ind w:left="1872"/>
    </w:pPr>
  </w:style>
  <w:style w:type="character" w:customStyle="1" w:styleId="SubHeading1Char">
    <w:name w:val="SubHeading1 Char"/>
    <w:basedOn w:val="ListParagraphChar"/>
    <w:link w:val="SubHeading1"/>
    <w:rsid w:val="00483004"/>
    <w:rPr>
      <w:rFonts w:ascii="Times New Roman" w:hAnsi="Times New Roman"/>
      <w:b/>
      <w:sz w:val="24"/>
      <w:szCs w:val="22"/>
      <w:lang w:val="es-ES"/>
    </w:rPr>
  </w:style>
  <w:style w:type="paragraph" w:customStyle="1" w:styleId="Subheading2">
    <w:name w:val="Subheading2"/>
    <w:basedOn w:val="SecHeading"/>
    <w:link w:val="Subheading2Char"/>
    <w:rsid w:val="00483004"/>
    <w:pPr>
      <w:tabs>
        <w:tab w:val="clear" w:pos="1296"/>
        <w:tab w:val="num" w:pos="2376"/>
      </w:tabs>
      <w:ind w:left="2376" w:hanging="288"/>
    </w:pPr>
  </w:style>
  <w:style w:type="character" w:customStyle="1" w:styleId="Subheading2Char">
    <w:name w:val="Subheading2 Char"/>
    <w:basedOn w:val="ListParagraphChar"/>
    <w:link w:val="Subheading2"/>
    <w:rsid w:val="00483004"/>
    <w:rPr>
      <w:rFonts w:ascii="Times New Roman" w:hAnsi="Times New Roman"/>
      <w:b/>
      <w:sz w:val="24"/>
      <w:szCs w:val="22"/>
      <w:lang w:val="es-ES"/>
    </w:rPr>
  </w:style>
  <w:style w:type="paragraph" w:customStyle="1" w:styleId="Paragraph">
    <w:name w:val="Paragraph"/>
    <w:basedOn w:val="BodyTextIndent"/>
    <w:link w:val="ParagraphChar"/>
    <w:rsid w:val="00483004"/>
    <w:pPr>
      <w:tabs>
        <w:tab w:val="num" w:pos="720"/>
      </w:tabs>
      <w:ind w:hanging="720"/>
      <w:jc w:val="both"/>
      <w:outlineLvl w:val="1"/>
    </w:pPr>
    <w:rPr>
      <w:lang w:val="es-ES"/>
    </w:rPr>
  </w:style>
  <w:style w:type="character" w:customStyle="1" w:styleId="ParagraphChar">
    <w:name w:val="Paragraph Char"/>
    <w:basedOn w:val="ListParagraphChar"/>
    <w:link w:val="Paragraph"/>
    <w:rsid w:val="00483004"/>
    <w:rPr>
      <w:rFonts w:ascii="Times New Roman" w:hAnsi="Times New Roman"/>
      <w:sz w:val="24"/>
      <w:szCs w:val="22"/>
      <w:lang w:val="es-ES"/>
    </w:rPr>
  </w:style>
  <w:style w:type="paragraph" w:customStyle="1" w:styleId="subpar">
    <w:name w:val="subpar"/>
    <w:basedOn w:val="BodyTextIndent3"/>
    <w:link w:val="subparChar"/>
    <w:rsid w:val="00483004"/>
    <w:pPr>
      <w:tabs>
        <w:tab w:val="num" w:pos="1152"/>
      </w:tabs>
      <w:ind w:left="1152" w:hanging="432"/>
      <w:jc w:val="both"/>
      <w:outlineLvl w:val="2"/>
    </w:pPr>
    <w:rPr>
      <w:lang w:val="es-ES"/>
    </w:rPr>
  </w:style>
  <w:style w:type="character" w:customStyle="1" w:styleId="subparChar">
    <w:name w:val="subpar Char"/>
    <w:basedOn w:val="ListParagraphChar"/>
    <w:link w:val="subpar"/>
    <w:rsid w:val="00483004"/>
    <w:rPr>
      <w:rFonts w:ascii="Times New Roman" w:hAnsi="Times New Roman"/>
      <w:sz w:val="24"/>
      <w:szCs w:val="16"/>
      <w:lang w:val="es-ES"/>
    </w:rPr>
  </w:style>
  <w:style w:type="paragraph" w:customStyle="1" w:styleId="SubSubPar">
    <w:name w:val="SubSubPar"/>
    <w:basedOn w:val="subpar"/>
    <w:link w:val="SubSubParChar"/>
    <w:rsid w:val="00483004"/>
    <w:pPr>
      <w:tabs>
        <w:tab w:val="left" w:pos="0"/>
        <w:tab w:val="num" w:pos="1296"/>
      </w:tabs>
      <w:ind w:left="1296" w:hanging="288"/>
    </w:pPr>
  </w:style>
  <w:style w:type="character" w:customStyle="1" w:styleId="SubSubParChar">
    <w:name w:val="SubSubPar Char"/>
    <w:basedOn w:val="ListParagraphChar"/>
    <w:link w:val="SubSubPar"/>
    <w:rsid w:val="00483004"/>
    <w:rPr>
      <w:rFonts w:ascii="Times New Roman" w:hAnsi="Times New Roman"/>
      <w:sz w:val="24"/>
      <w:szCs w:val="16"/>
      <w:lang w:val="es-ES"/>
    </w:rPr>
  </w:style>
  <w:style w:type="paragraph" w:customStyle="1" w:styleId="Regtable">
    <w:name w:val="Regtable"/>
    <w:basedOn w:val="Normal"/>
    <w:link w:val="RegtableChar"/>
    <w:rsid w:val="00483004"/>
    <w:pPr>
      <w:keepLines/>
      <w:framePr w:wrap="around" w:vAnchor="text" w:hAnchor="text" w:y="1"/>
      <w:spacing w:before="20" w:after="20"/>
    </w:pPr>
    <w:rPr>
      <w:lang w:val="es-ES"/>
    </w:rPr>
  </w:style>
  <w:style w:type="character" w:customStyle="1" w:styleId="RegtableChar">
    <w:name w:val="Regtable Char"/>
    <w:basedOn w:val="ListParagraphChar"/>
    <w:link w:val="Regtable"/>
    <w:rsid w:val="00483004"/>
    <w:rPr>
      <w:rFonts w:ascii="Times New Roman" w:hAnsi="Times New Roman"/>
      <w:sz w:val="24"/>
      <w:szCs w:val="22"/>
      <w:lang w:val="es-ES"/>
    </w:rPr>
  </w:style>
  <w:style w:type="paragraph" w:customStyle="1" w:styleId="TableTitle">
    <w:name w:val="TableTitle"/>
    <w:basedOn w:val="Normal"/>
    <w:link w:val="TableTitleChar"/>
    <w:rsid w:val="00483004"/>
    <w:pPr>
      <w:keepNext/>
      <w:framePr w:wrap="around" w:vAnchor="text" w:hAnchor="text" w:y="1"/>
      <w:spacing w:before="20" w:after="20"/>
      <w:jc w:val="center"/>
    </w:pPr>
    <w:rPr>
      <w:rFonts w:ascii="Times New Roman Bold" w:hAnsi="Times New Roman Bold"/>
      <w:b/>
      <w:spacing w:val="-3"/>
      <w:lang w:val="es-ES"/>
    </w:rPr>
  </w:style>
  <w:style w:type="character" w:customStyle="1" w:styleId="TableTitleChar">
    <w:name w:val="TableTitle Char"/>
    <w:basedOn w:val="ListParagraphChar"/>
    <w:link w:val="TableTitle"/>
    <w:rsid w:val="00483004"/>
    <w:rPr>
      <w:rFonts w:ascii="Times New Roman Bold" w:hAnsi="Times New Roman Bold"/>
      <w:b/>
      <w:spacing w:val="-3"/>
      <w:sz w:val="24"/>
      <w:szCs w:val="22"/>
      <w:lang w:val="es-ES"/>
    </w:rPr>
  </w:style>
  <w:style w:type="character" w:customStyle="1" w:styleId="Heading2Char">
    <w:name w:val="Heading 2 Char"/>
    <w:basedOn w:val="DefaultParagraphFont"/>
    <w:link w:val="Heading2"/>
    <w:uiPriority w:val="9"/>
    <w:rsid w:val="00C62F89"/>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semiHidden/>
    <w:rsid w:val="00483004"/>
    <w:rPr>
      <w:rFonts w:asciiTheme="majorHAnsi" w:eastAsiaTheme="majorEastAsia" w:hAnsiTheme="majorHAnsi" w:cstheme="majorBidi"/>
      <w:b/>
      <w:bCs/>
      <w:color w:val="4F81BD" w:themeColor="accent1"/>
      <w:sz w:val="24"/>
      <w:szCs w:val="22"/>
    </w:rPr>
  </w:style>
  <w:style w:type="character" w:customStyle="1" w:styleId="Heading4Char">
    <w:name w:val="Heading 4 Char"/>
    <w:basedOn w:val="DefaultParagraphFont"/>
    <w:link w:val="Heading4"/>
    <w:uiPriority w:val="9"/>
    <w:semiHidden/>
    <w:rsid w:val="00483004"/>
    <w:rPr>
      <w:rFonts w:asciiTheme="majorHAnsi" w:eastAsiaTheme="majorEastAsia" w:hAnsiTheme="majorHAnsi" w:cstheme="majorBidi"/>
      <w:b/>
      <w:bCs/>
      <w:i/>
      <w:iCs/>
      <w:color w:val="4F81BD" w:themeColor="accent1"/>
      <w:sz w:val="24"/>
      <w:szCs w:val="22"/>
    </w:rPr>
  </w:style>
  <w:style w:type="character" w:customStyle="1" w:styleId="Heading5Char">
    <w:name w:val="Heading 5 Char"/>
    <w:basedOn w:val="DefaultParagraphFont"/>
    <w:link w:val="Heading5"/>
    <w:uiPriority w:val="9"/>
    <w:semiHidden/>
    <w:rsid w:val="00483004"/>
    <w:rPr>
      <w:rFonts w:asciiTheme="majorHAnsi" w:eastAsiaTheme="majorEastAsia" w:hAnsiTheme="majorHAnsi" w:cstheme="majorBidi"/>
      <w:color w:val="243F60" w:themeColor="accent1" w:themeShade="7F"/>
      <w:sz w:val="24"/>
      <w:szCs w:val="22"/>
    </w:rPr>
  </w:style>
  <w:style w:type="character" w:customStyle="1" w:styleId="Heading6Char">
    <w:name w:val="Heading 6 Char"/>
    <w:basedOn w:val="DefaultParagraphFont"/>
    <w:link w:val="Heading6"/>
    <w:uiPriority w:val="9"/>
    <w:semiHidden/>
    <w:rsid w:val="00483004"/>
    <w:rPr>
      <w:rFonts w:asciiTheme="majorHAnsi" w:eastAsiaTheme="majorEastAsia" w:hAnsiTheme="majorHAnsi" w:cstheme="majorBidi"/>
      <w:i/>
      <w:iCs/>
      <w:color w:val="243F60" w:themeColor="accent1" w:themeShade="7F"/>
      <w:sz w:val="24"/>
      <w:szCs w:val="22"/>
    </w:rPr>
  </w:style>
  <w:style w:type="character" w:customStyle="1" w:styleId="Heading7Char">
    <w:name w:val="Heading 7 Char"/>
    <w:basedOn w:val="DefaultParagraphFont"/>
    <w:link w:val="Heading7"/>
    <w:uiPriority w:val="9"/>
    <w:semiHidden/>
    <w:rsid w:val="00483004"/>
    <w:rPr>
      <w:rFonts w:asciiTheme="majorHAnsi" w:eastAsiaTheme="majorEastAsia" w:hAnsiTheme="majorHAnsi" w:cstheme="majorBidi"/>
      <w:i/>
      <w:iCs/>
      <w:color w:val="404040" w:themeColor="text1" w:themeTint="BF"/>
      <w:sz w:val="24"/>
      <w:szCs w:val="22"/>
    </w:rPr>
  </w:style>
  <w:style w:type="character" w:customStyle="1" w:styleId="Heading8Char">
    <w:name w:val="Heading 8 Char"/>
    <w:basedOn w:val="DefaultParagraphFont"/>
    <w:link w:val="Heading8"/>
    <w:uiPriority w:val="9"/>
    <w:semiHidden/>
    <w:rsid w:val="00483004"/>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483004"/>
    <w:rPr>
      <w:rFonts w:asciiTheme="majorHAnsi" w:eastAsiaTheme="majorEastAsia" w:hAnsiTheme="majorHAnsi" w:cstheme="majorBidi"/>
      <w:i/>
      <w:iCs/>
      <w:color w:val="404040" w:themeColor="text1" w:themeTint="BF"/>
    </w:rPr>
  </w:style>
  <w:style w:type="paragraph" w:styleId="BodyTextIndent">
    <w:name w:val="Body Text Indent"/>
    <w:basedOn w:val="Normal"/>
    <w:link w:val="BodyTextIndentChar"/>
    <w:uiPriority w:val="99"/>
    <w:semiHidden/>
    <w:unhideWhenUsed/>
    <w:rsid w:val="00483004"/>
    <w:pPr>
      <w:spacing w:before="0" w:after="120"/>
      <w:ind w:left="360"/>
    </w:pPr>
  </w:style>
  <w:style w:type="character" w:customStyle="1" w:styleId="BodyTextIndentChar">
    <w:name w:val="Body Text Indent Char"/>
    <w:basedOn w:val="DefaultParagraphFont"/>
    <w:link w:val="BodyTextIndent"/>
    <w:uiPriority w:val="99"/>
    <w:semiHidden/>
    <w:rsid w:val="00483004"/>
    <w:rPr>
      <w:rFonts w:ascii="Times New Roman" w:hAnsi="Times New Roman"/>
      <w:sz w:val="24"/>
      <w:szCs w:val="22"/>
    </w:rPr>
  </w:style>
  <w:style w:type="paragraph" w:styleId="BodyTextIndent3">
    <w:name w:val="Body Text Indent 3"/>
    <w:basedOn w:val="Normal"/>
    <w:link w:val="BodyTextIndent3Char"/>
    <w:uiPriority w:val="99"/>
    <w:semiHidden/>
    <w:unhideWhenUsed/>
    <w:rsid w:val="00483004"/>
    <w:pPr>
      <w:spacing w:before="0" w:after="120"/>
      <w:ind w:left="360"/>
    </w:pPr>
    <w:rPr>
      <w:szCs w:val="16"/>
    </w:rPr>
  </w:style>
  <w:style w:type="character" w:customStyle="1" w:styleId="BodyTextIndent3Char">
    <w:name w:val="Body Text Indent 3 Char"/>
    <w:basedOn w:val="DefaultParagraphFont"/>
    <w:link w:val="BodyTextIndent3"/>
    <w:uiPriority w:val="99"/>
    <w:semiHidden/>
    <w:rsid w:val="00483004"/>
    <w:rPr>
      <w:rFonts w:ascii="Times New Roman" w:hAnsi="Times New Roman"/>
      <w:sz w:val="24"/>
      <w:szCs w:val="16"/>
    </w:rPr>
  </w:style>
  <w:style w:type="character" w:styleId="Hyperlink">
    <w:name w:val="Hyperlink"/>
    <w:basedOn w:val="DefaultParagraphFont"/>
    <w:uiPriority w:val="99"/>
    <w:unhideWhenUsed/>
    <w:rsid w:val="00483004"/>
    <w:rPr>
      <w:color w:val="0000FF" w:themeColor="hyperlink"/>
      <w:u w:val="single"/>
    </w:rPr>
  </w:style>
  <w:style w:type="paragraph" w:styleId="Subtitle">
    <w:name w:val="Subtitle"/>
    <w:basedOn w:val="Normal"/>
    <w:next w:val="Normal"/>
    <w:link w:val="SubtitleChar"/>
    <w:uiPriority w:val="11"/>
    <w:qFormat/>
    <w:rsid w:val="00971D39"/>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971D39"/>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B44"/>
    <w:pPr>
      <w:spacing w:before="120"/>
    </w:pPr>
    <w:rPr>
      <w:rFonts w:ascii="Times New Roman" w:hAnsi="Times New Roman"/>
      <w:sz w:val="24"/>
      <w:szCs w:val="22"/>
    </w:rPr>
  </w:style>
  <w:style w:type="paragraph" w:styleId="Heading1">
    <w:name w:val="heading 1"/>
    <w:basedOn w:val="Normal"/>
    <w:next w:val="Normal"/>
    <w:link w:val="Heading1Char"/>
    <w:uiPriority w:val="9"/>
    <w:qFormat/>
    <w:rsid w:val="00C62F89"/>
    <w:pPr>
      <w:keepNext/>
      <w:keepLines/>
      <w:spacing w:before="480"/>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C62F89"/>
    <w:pPr>
      <w:keepNext/>
      <w:keepLines/>
      <w:numPr>
        <w:ilvl w:val="1"/>
        <w:numId w:val="3"/>
      </w:numPr>
      <w:spacing w:before="200"/>
      <w:outlineLvl w:val="1"/>
    </w:pPr>
    <w:rPr>
      <w:rFonts w:eastAsiaTheme="majorEastAsia" w:cstheme="majorBidi"/>
      <w:b/>
      <w:bCs/>
      <w:szCs w:val="26"/>
    </w:rPr>
  </w:style>
  <w:style w:type="paragraph" w:styleId="Heading3">
    <w:name w:val="heading 3"/>
    <w:basedOn w:val="Normal"/>
    <w:next w:val="Normal"/>
    <w:link w:val="Heading3Char"/>
    <w:uiPriority w:val="9"/>
    <w:semiHidden/>
    <w:unhideWhenUsed/>
    <w:qFormat/>
    <w:rsid w:val="00483004"/>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83004"/>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83004"/>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8300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8300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8300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8300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C0621"/>
    <w:rPr>
      <w:rFonts w:ascii="Tahoma" w:eastAsia="Times New Roman" w:hAnsi="Tahoma" w:cs="Tahoma"/>
      <w:sz w:val="16"/>
      <w:szCs w:val="16"/>
    </w:rPr>
  </w:style>
  <w:style w:type="paragraph" w:styleId="FootnoteText">
    <w:name w:val="footnote text"/>
    <w:basedOn w:val="Normal"/>
    <w:link w:val="FootnoteTextChar"/>
    <w:uiPriority w:val="99"/>
    <w:unhideWhenUsed/>
    <w:rsid w:val="00902F77"/>
    <w:pPr>
      <w:keepNext/>
      <w:keepLines/>
      <w:spacing w:before="0" w:after="120"/>
      <w:ind w:left="288" w:hanging="288"/>
      <w:jc w:val="both"/>
    </w:pPr>
    <w:rPr>
      <w:spacing w:val="-3"/>
      <w:sz w:val="20"/>
      <w:szCs w:val="24"/>
    </w:rPr>
  </w:style>
  <w:style w:type="character" w:customStyle="1" w:styleId="FootnoteTextChar">
    <w:name w:val="Footnote Text Char"/>
    <w:basedOn w:val="DefaultParagraphFont"/>
    <w:link w:val="FootnoteText"/>
    <w:uiPriority w:val="99"/>
    <w:rsid w:val="00902F77"/>
    <w:rPr>
      <w:rFonts w:ascii="Times New Roman" w:hAnsi="Times New Roman"/>
      <w:spacing w:val="-3"/>
      <w:szCs w:val="24"/>
    </w:rPr>
  </w:style>
  <w:style w:type="character" w:styleId="FootnoteReference">
    <w:name w:val="footnote reference"/>
    <w:basedOn w:val="DefaultParagraphFont"/>
    <w:uiPriority w:val="99"/>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jc w:val="center"/>
      <w:outlineLvl w:val="0"/>
    </w:pPr>
    <w:rPr>
      <w:rFonts w:eastAsia="Times New Roman"/>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eastAsia="Times New Roman" w:cs="Arial"/>
      <w:b/>
      <w:smallCaps/>
      <w:szCs w:val="20"/>
    </w:rPr>
  </w:style>
  <w:style w:type="paragraph" w:styleId="BodyText">
    <w:name w:val="Body Text"/>
    <w:basedOn w:val="Normal"/>
    <w:link w:val="BodyTextChar"/>
    <w:rsid w:val="00B52681"/>
    <w:pPr>
      <w:tabs>
        <w:tab w:val="left" w:pos="3060"/>
      </w:tabs>
      <w:jc w:val="center"/>
    </w:pPr>
    <w:rPr>
      <w:rFonts w:eastAsia="Times New Roman"/>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basedOn w:val="CommentText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MediumShading2-Accent11">
    <w:name w:val="Medium Shading 2 - Accent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Banknumbered">
    <w:name w:val="Bank numbered"/>
    <w:link w:val="BanknumberedChar"/>
    <w:qFormat/>
    <w:rsid w:val="00BF649F"/>
    <w:pPr>
      <w:numPr>
        <w:numId w:val="1"/>
      </w:numPr>
      <w:spacing w:before="120"/>
    </w:pPr>
    <w:rPr>
      <w:rFonts w:ascii="Times New Roman" w:eastAsiaTheme="minorHAnsi" w:hAnsi="Times New Roman" w:cstheme="minorBidi"/>
      <w:sz w:val="24"/>
      <w:szCs w:val="24"/>
    </w:rPr>
  </w:style>
  <w:style w:type="paragraph" w:customStyle="1" w:styleId="Bullet">
    <w:name w:val="Bullet"/>
    <w:basedOn w:val="ListParagraph"/>
    <w:link w:val="BulletChar"/>
    <w:qFormat/>
    <w:rsid w:val="00BF649F"/>
    <w:pPr>
      <w:numPr>
        <w:numId w:val="2"/>
      </w:numPr>
      <w:contextualSpacing w:val="0"/>
    </w:pPr>
    <w:rPr>
      <w:rFonts w:eastAsiaTheme="minorHAnsi" w:cstheme="minorBidi"/>
    </w:rPr>
  </w:style>
  <w:style w:type="character" w:customStyle="1" w:styleId="BanknumberedChar">
    <w:name w:val="Bank numbered Char"/>
    <w:basedOn w:val="DefaultParagraphFont"/>
    <w:link w:val="Banknumbered"/>
    <w:rsid w:val="00BF649F"/>
    <w:rPr>
      <w:rFonts w:ascii="Times New Roman" w:eastAsiaTheme="minorHAnsi" w:hAnsi="Times New Roman" w:cstheme="minorBidi"/>
      <w:sz w:val="24"/>
      <w:szCs w:val="24"/>
    </w:rPr>
  </w:style>
  <w:style w:type="character" w:customStyle="1" w:styleId="BulletChar">
    <w:name w:val="Bullet Char"/>
    <w:basedOn w:val="DefaultParagraphFont"/>
    <w:link w:val="Bullet"/>
    <w:rsid w:val="00BF649F"/>
    <w:rPr>
      <w:rFonts w:ascii="Times New Roman" w:eastAsiaTheme="minorHAnsi" w:hAnsi="Times New Roman" w:cstheme="minorBidi"/>
      <w:sz w:val="24"/>
      <w:szCs w:val="22"/>
    </w:rPr>
  </w:style>
  <w:style w:type="character" w:styleId="PageNumber">
    <w:name w:val="page number"/>
    <w:basedOn w:val="DefaultParagraphFont"/>
    <w:uiPriority w:val="99"/>
    <w:semiHidden/>
    <w:unhideWhenUsed/>
    <w:rsid w:val="002E6C1F"/>
  </w:style>
  <w:style w:type="character" w:customStyle="1" w:styleId="Heading1Char">
    <w:name w:val="Heading 1 Char"/>
    <w:basedOn w:val="DefaultParagraphFont"/>
    <w:link w:val="Heading1"/>
    <w:uiPriority w:val="9"/>
    <w:rsid w:val="00C62F89"/>
    <w:rPr>
      <w:rFonts w:ascii="Times New Roman" w:eastAsiaTheme="majorEastAsia" w:hAnsi="Times New Roman" w:cstheme="majorBidi"/>
      <w:b/>
      <w:bCs/>
      <w:sz w:val="24"/>
      <w:szCs w:val="28"/>
    </w:rPr>
  </w:style>
  <w:style w:type="paragraph" w:styleId="TOCHeading">
    <w:name w:val="TOC Heading"/>
    <w:basedOn w:val="Heading1"/>
    <w:next w:val="Normal"/>
    <w:uiPriority w:val="39"/>
    <w:unhideWhenUsed/>
    <w:qFormat/>
    <w:rsid w:val="00483004"/>
    <w:pPr>
      <w:spacing w:line="276" w:lineRule="auto"/>
      <w:outlineLvl w:val="9"/>
    </w:pPr>
    <w:rPr>
      <w:lang w:eastAsia="ja-JP"/>
    </w:rPr>
  </w:style>
  <w:style w:type="paragraph" w:styleId="TOC2">
    <w:name w:val="toc 2"/>
    <w:basedOn w:val="Normal"/>
    <w:next w:val="Normal"/>
    <w:autoRedefine/>
    <w:uiPriority w:val="39"/>
    <w:unhideWhenUsed/>
    <w:qFormat/>
    <w:rsid w:val="00483004"/>
    <w:pPr>
      <w:tabs>
        <w:tab w:val="left" w:pos="1152"/>
        <w:tab w:val="right" w:leader="dot" w:pos="8741"/>
      </w:tabs>
      <w:spacing w:before="0"/>
      <w:ind w:left="1166" w:hanging="605"/>
    </w:pPr>
    <w:rPr>
      <w:rFonts w:eastAsiaTheme="minorEastAsia"/>
      <w:lang w:eastAsia="ja-JP"/>
    </w:rPr>
  </w:style>
  <w:style w:type="paragraph" w:styleId="TOC1">
    <w:name w:val="toc 1"/>
    <w:basedOn w:val="Normal"/>
    <w:next w:val="Normal"/>
    <w:autoRedefine/>
    <w:uiPriority w:val="39"/>
    <w:unhideWhenUsed/>
    <w:qFormat/>
    <w:rsid w:val="00C62F89"/>
    <w:pPr>
      <w:tabs>
        <w:tab w:val="right" w:leader="dot" w:pos="8741"/>
      </w:tabs>
      <w:spacing w:before="240" w:after="240"/>
      <w:ind w:left="547" w:hanging="547"/>
    </w:pPr>
    <w:rPr>
      <w:rFonts w:eastAsiaTheme="minorEastAsia"/>
      <w:smallCaps/>
      <w:lang w:eastAsia="ja-JP"/>
    </w:rPr>
  </w:style>
  <w:style w:type="paragraph" w:styleId="TOC3">
    <w:name w:val="toc 3"/>
    <w:basedOn w:val="Normal"/>
    <w:next w:val="Normal"/>
    <w:autoRedefine/>
    <w:uiPriority w:val="39"/>
    <w:unhideWhenUsed/>
    <w:qFormat/>
    <w:rsid w:val="00483004"/>
    <w:pPr>
      <w:tabs>
        <w:tab w:val="left" w:pos="1728"/>
        <w:tab w:val="right" w:leader="dot" w:pos="8741"/>
      </w:tabs>
      <w:spacing w:before="0"/>
      <w:ind w:left="1714" w:hanging="562"/>
    </w:pPr>
    <w:rPr>
      <w:rFonts w:eastAsiaTheme="minorEastAsia"/>
      <w:lang w:eastAsia="ja-JP"/>
    </w:rPr>
  </w:style>
  <w:style w:type="paragraph" w:customStyle="1" w:styleId="Chapter">
    <w:name w:val="Chapter"/>
    <w:basedOn w:val="Normal"/>
    <w:next w:val="Normal"/>
    <w:link w:val="ChapterChar"/>
    <w:rsid w:val="00483004"/>
    <w:pPr>
      <w:keepNext/>
      <w:numPr>
        <w:numId w:val="3"/>
      </w:numPr>
      <w:tabs>
        <w:tab w:val="num" w:pos="648"/>
        <w:tab w:val="left" w:pos="1440"/>
      </w:tabs>
      <w:spacing w:before="240" w:after="240"/>
      <w:ind w:left="0" w:firstLine="288"/>
      <w:jc w:val="center"/>
    </w:pPr>
    <w:rPr>
      <w:b/>
      <w:smallCaps/>
      <w:lang w:val="es-ES"/>
    </w:rPr>
  </w:style>
  <w:style w:type="character" w:customStyle="1" w:styleId="ListParagraphChar">
    <w:name w:val="List Paragraph Char"/>
    <w:basedOn w:val="DefaultParagraphFont"/>
    <w:link w:val="ListParagraph"/>
    <w:uiPriority w:val="34"/>
    <w:rsid w:val="00483004"/>
    <w:rPr>
      <w:rFonts w:ascii="Times New Roman" w:hAnsi="Times New Roman"/>
      <w:sz w:val="24"/>
      <w:szCs w:val="22"/>
    </w:rPr>
  </w:style>
  <w:style w:type="character" w:customStyle="1" w:styleId="ChapterChar">
    <w:name w:val="Chapter Char"/>
    <w:basedOn w:val="ListParagraphChar"/>
    <w:link w:val="Chapter"/>
    <w:rsid w:val="00483004"/>
    <w:rPr>
      <w:rFonts w:ascii="Times New Roman" w:hAnsi="Times New Roman"/>
      <w:b/>
      <w:smallCaps/>
      <w:sz w:val="24"/>
      <w:szCs w:val="22"/>
      <w:lang w:val="es-ES"/>
    </w:rPr>
  </w:style>
  <w:style w:type="paragraph" w:customStyle="1" w:styleId="FirstHeading">
    <w:name w:val="FirstHeading"/>
    <w:basedOn w:val="Normal"/>
    <w:next w:val="Normal"/>
    <w:link w:val="FirstHeadingChar"/>
    <w:rsid w:val="00483004"/>
    <w:pPr>
      <w:keepNext/>
      <w:tabs>
        <w:tab w:val="left" w:pos="0"/>
        <w:tab w:val="left" w:pos="86"/>
      </w:tabs>
      <w:spacing w:after="120"/>
      <w:ind w:hanging="720"/>
    </w:pPr>
    <w:rPr>
      <w:b/>
      <w:lang w:val="es-ES"/>
    </w:rPr>
  </w:style>
  <w:style w:type="character" w:customStyle="1" w:styleId="FirstHeadingChar">
    <w:name w:val="FirstHeading Char"/>
    <w:basedOn w:val="ListParagraphChar"/>
    <w:link w:val="FirstHeading"/>
    <w:rsid w:val="00483004"/>
    <w:rPr>
      <w:rFonts w:ascii="Times New Roman" w:hAnsi="Times New Roman"/>
      <w:b/>
      <w:sz w:val="24"/>
      <w:szCs w:val="22"/>
      <w:lang w:val="es-ES"/>
    </w:rPr>
  </w:style>
  <w:style w:type="paragraph" w:customStyle="1" w:styleId="SecHeading">
    <w:name w:val="SecHeading"/>
    <w:basedOn w:val="Normal"/>
    <w:next w:val="Paragraph"/>
    <w:link w:val="SecHeadingChar"/>
    <w:rsid w:val="00483004"/>
    <w:pPr>
      <w:keepNext/>
      <w:tabs>
        <w:tab w:val="num" w:pos="1296"/>
      </w:tabs>
      <w:spacing w:after="120"/>
      <w:ind w:left="1296" w:hanging="576"/>
    </w:pPr>
    <w:rPr>
      <w:b/>
      <w:lang w:val="es-ES"/>
    </w:rPr>
  </w:style>
  <w:style w:type="character" w:customStyle="1" w:styleId="SecHeadingChar">
    <w:name w:val="SecHeading Char"/>
    <w:basedOn w:val="ListParagraphChar"/>
    <w:link w:val="SecHeading"/>
    <w:rsid w:val="00483004"/>
    <w:rPr>
      <w:rFonts w:ascii="Times New Roman" w:hAnsi="Times New Roman"/>
      <w:b/>
      <w:sz w:val="24"/>
      <w:szCs w:val="22"/>
      <w:lang w:val="es-ES"/>
    </w:rPr>
  </w:style>
  <w:style w:type="paragraph" w:customStyle="1" w:styleId="SubHeading1">
    <w:name w:val="SubHeading1"/>
    <w:basedOn w:val="SecHeading"/>
    <w:link w:val="SubHeading1Char"/>
    <w:rsid w:val="00483004"/>
    <w:pPr>
      <w:tabs>
        <w:tab w:val="clear" w:pos="1296"/>
        <w:tab w:val="num" w:pos="1872"/>
      </w:tabs>
      <w:ind w:left="1872"/>
    </w:pPr>
  </w:style>
  <w:style w:type="character" w:customStyle="1" w:styleId="SubHeading1Char">
    <w:name w:val="SubHeading1 Char"/>
    <w:basedOn w:val="ListParagraphChar"/>
    <w:link w:val="SubHeading1"/>
    <w:rsid w:val="00483004"/>
    <w:rPr>
      <w:rFonts w:ascii="Times New Roman" w:hAnsi="Times New Roman"/>
      <w:b/>
      <w:sz w:val="24"/>
      <w:szCs w:val="22"/>
      <w:lang w:val="es-ES"/>
    </w:rPr>
  </w:style>
  <w:style w:type="paragraph" w:customStyle="1" w:styleId="Subheading2">
    <w:name w:val="Subheading2"/>
    <w:basedOn w:val="SecHeading"/>
    <w:link w:val="Subheading2Char"/>
    <w:rsid w:val="00483004"/>
    <w:pPr>
      <w:tabs>
        <w:tab w:val="clear" w:pos="1296"/>
        <w:tab w:val="num" w:pos="2376"/>
      </w:tabs>
      <w:ind w:left="2376" w:hanging="288"/>
    </w:pPr>
  </w:style>
  <w:style w:type="character" w:customStyle="1" w:styleId="Subheading2Char">
    <w:name w:val="Subheading2 Char"/>
    <w:basedOn w:val="ListParagraphChar"/>
    <w:link w:val="Subheading2"/>
    <w:rsid w:val="00483004"/>
    <w:rPr>
      <w:rFonts w:ascii="Times New Roman" w:hAnsi="Times New Roman"/>
      <w:b/>
      <w:sz w:val="24"/>
      <w:szCs w:val="22"/>
      <w:lang w:val="es-ES"/>
    </w:rPr>
  </w:style>
  <w:style w:type="paragraph" w:customStyle="1" w:styleId="Paragraph">
    <w:name w:val="Paragraph"/>
    <w:basedOn w:val="BodyTextIndent"/>
    <w:link w:val="ParagraphChar"/>
    <w:rsid w:val="00483004"/>
    <w:pPr>
      <w:tabs>
        <w:tab w:val="num" w:pos="720"/>
      </w:tabs>
      <w:ind w:hanging="720"/>
      <w:jc w:val="both"/>
      <w:outlineLvl w:val="1"/>
    </w:pPr>
    <w:rPr>
      <w:lang w:val="es-ES"/>
    </w:rPr>
  </w:style>
  <w:style w:type="character" w:customStyle="1" w:styleId="ParagraphChar">
    <w:name w:val="Paragraph Char"/>
    <w:basedOn w:val="ListParagraphChar"/>
    <w:link w:val="Paragraph"/>
    <w:rsid w:val="00483004"/>
    <w:rPr>
      <w:rFonts w:ascii="Times New Roman" w:hAnsi="Times New Roman"/>
      <w:sz w:val="24"/>
      <w:szCs w:val="22"/>
      <w:lang w:val="es-ES"/>
    </w:rPr>
  </w:style>
  <w:style w:type="paragraph" w:customStyle="1" w:styleId="subpar">
    <w:name w:val="subpar"/>
    <w:basedOn w:val="BodyTextIndent3"/>
    <w:link w:val="subparChar"/>
    <w:rsid w:val="00483004"/>
    <w:pPr>
      <w:tabs>
        <w:tab w:val="num" w:pos="1152"/>
      </w:tabs>
      <w:ind w:left="1152" w:hanging="432"/>
      <w:jc w:val="both"/>
      <w:outlineLvl w:val="2"/>
    </w:pPr>
    <w:rPr>
      <w:lang w:val="es-ES"/>
    </w:rPr>
  </w:style>
  <w:style w:type="character" w:customStyle="1" w:styleId="subparChar">
    <w:name w:val="subpar Char"/>
    <w:basedOn w:val="ListParagraphChar"/>
    <w:link w:val="subpar"/>
    <w:rsid w:val="00483004"/>
    <w:rPr>
      <w:rFonts w:ascii="Times New Roman" w:hAnsi="Times New Roman"/>
      <w:sz w:val="24"/>
      <w:szCs w:val="16"/>
      <w:lang w:val="es-ES"/>
    </w:rPr>
  </w:style>
  <w:style w:type="paragraph" w:customStyle="1" w:styleId="SubSubPar">
    <w:name w:val="SubSubPar"/>
    <w:basedOn w:val="subpar"/>
    <w:link w:val="SubSubParChar"/>
    <w:rsid w:val="00483004"/>
    <w:pPr>
      <w:tabs>
        <w:tab w:val="left" w:pos="0"/>
        <w:tab w:val="num" w:pos="1296"/>
      </w:tabs>
      <w:ind w:left="1296" w:hanging="288"/>
    </w:pPr>
  </w:style>
  <w:style w:type="character" w:customStyle="1" w:styleId="SubSubParChar">
    <w:name w:val="SubSubPar Char"/>
    <w:basedOn w:val="ListParagraphChar"/>
    <w:link w:val="SubSubPar"/>
    <w:rsid w:val="00483004"/>
    <w:rPr>
      <w:rFonts w:ascii="Times New Roman" w:hAnsi="Times New Roman"/>
      <w:sz w:val="24"/>
      <w:szCs w:val="16"/>
      <w:lang w:val="es-ES"/>
    </w:rPr>
  </w:style>
  <w:style w:type="paragraph" w:customStyle="1" w:styleId="Regtable">
    <w:name w:val="Regtable"/>
    <w:basedOn w:val="Normal"/>
    <w:link w:val="RegtableChar"/>
    <w:rsid w:val="00483004"/>
    <w:pPr>
      <w:keepLines/>
      <w:framePr w:wrap="around" w:vAnchor="text" w:hAnchor="text" w:y="1"/>
      <w:spacing w:before="20" w:after="20"/>
    </w:pPr>
    <w:rPr>
      <w:lang w:val="es-ES"/>
    </w:rPr>
  </w:style>
  <w:style w:type="character" w:customStyle="1" w:styleId="RegtableChar">
    <w:name w:val="Regtable Char"/>
    <w:basedOn w:val="ListParagraphChar"/>
    <w:link w:val="Regtable"/>
    <w:rsid w:val="00483004"/>
    <w:rPr>
      <w:rFonts w:ascii="Times New Roman" w:hAnsi="Times New Roman"/>
      <w:sz w:val="24"/>
      <w:szCs w:val="22"/>
      <w:lang w:val="es-ES"/>
    </w:rPr>
  </w:style>
  <w:style w:type="paragraph" w:customStyle="1" w:styleId="TableTitle">
    <w:name w:val="TableTitle"/>
    <w:basedOn w:val="Normal"/>
    <w:link w:val="TableTitleChar"/>
    <w:rsid w:val="00483004"/>
    <w:pPr>
      <w:keepNext/>
      <w:framePr w:wrap="around" w:vAnchor="text" w:hAnchor="text" w:y="1"/>
      <w:spacing w:before="20" w:after="20"/>
      <w:jc w:val="center"/>
    </w:pPr>
    <w:rPr>
      <w:rFonts w:ascii="Times New Roman Bold" w:hAnsi="Times New Roman Bold"/>
      <w:b/>
      <w:spacing w:val="-3"/>
      <w:lang w:val="es-ES"/>
    </w:rPr>
  </w:style>
  <w:style w:type="character" w:customStyle="1" w:styleId="TableTitleChar">
    <w:name w:val="TableTitle Char"/>
    <w:basedOn w:val="ListParagraphChar"/>
    <w:link w:val="TableTitle"/>
    <w:rsid w:val="00483004"/>
    <w:rPr>
      <w:rFonts w:ascii="Times New Roman Bold" w:hAnsi="Times New Roman Bold"/>
      <w:b/>
      <w:spacing w:val="-3"/>
      <w:sz w:val="24"/>
      <w:szCs w:val="22"/>
      <w:lang w:val="es-ES"/>
    </w:rPr>
  </w:style>
  <w:style w:type="character" w:customStyle="1" w:styleId="Heading2Char">
    <w:name w:val="Heading 2 Char"/>
    <w:basedOn w:val="DefaultParagraphFont"/>
    <w:link w:val="Heading2"/>
    <w:uiPriority w:val="9"/>
    <w:rsid w:val="00C62F89"/>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semiHidden/>
    <w:rsid w:val="00483004"/>
    <w:rPr>
      <w:rFonts w:asciiTheme="majorHAnsi" w:eastAsiaTheme="majorEastAsia" w:hAnsiTheme="majorHAnsi" w:cstheme="majorBidi"/>
      <w:b/>
      <w:bCs/>
      <w:color w:val="4F81BD" w:themeColor="accent1"/>
      <w:sz w:val="24"/>
      <w:szCs w:val="22"/>
    </w:rPr>
  </w:style>
  <w:style w:type="character" w:customStyle="1" w:styleId="Heading4Char">
    <w:name w:val="Heading 4 Char"/>
    <w:basedOn w:val="DefaultParagraphFont"/>
    <w:link w:val="Heading4"/>
    <w:uiPriority w:val="9"/>
    <w:semiHidden/>
    <w:rsid w:val="00483004"/>
    <w:rPr>
      <w:rFonts w:asciiTheme="majorHAnsi" w:eastAsiaTheme="majorEastAsia" w:hAnsiTheme="majorHAnsi" w:cstheme="majorBidi"/>
      <w:b/>
      <w:bCs/>
      <w:i/>
      <w:iCs/>
      <w:color w:val="4F81BD" w:themeColor="accent1"/>
      <w:sz w:val="24"/>
      <w:szCs w:val="22"/>
    </w:rPr>
  </w:style>
  <w:style w:type="character" w:customStyle="1" w:styleId="Heading5Char">
    <w:name w:val="Heading 5 Char"/>
    <w:basedOn w:val="DefaultParagraphFont"/>
    <w:link w:val="Heading5"/>
    <w:uiPriority w:val="9"/>
    <w:semiHidden/>
    <w:rsid w:val="00483004"/>
    <w:rPr>
      <w:rFonts w:asciiTheme="majorHAnsi" w:eastAsiaTheme="majorEastAsia" w:hAnsiTheme="majorHAnsi" w:cstheme="majorBidi"/>
      <w:color w:val="243F60" w:themeColor="accent1" w:themeShade="7F"/>
      <w:sz w:val="24"/>
      <w:szCs w:val="22"/>
    </w:rPr>
  </w:style>
  <w:style w:type="character" w:customStyle="1" w:styleId="Heading6Char">
    <w:name w:val="Heading 6 Char"/>
    <w:basedOn w:val="DefaultParagraphFont"/>
    <w:link w:val="Heading6"/>
    <w:uiPriority w:val="9"/>
    <w:semiHidden/>
    <w:rsid w:val="00483004"/>
    <w:rPr>
      <w:rFonts w:asciiTheme="majorHAnsi" w:eastAsiaTheme="majorEastAsia" w:hAnsiTheme="majorHAnsi" w:cstheme="majorBidi"/>
      <w:i/>
      <w:iCs/>
      <w:color w:val="243F60" w:themeColor="accent1" w:themeShade="7F"/>
      <w:sz w:val="24"/>
      <w:szCs w:val="22"/>
    </w:rPr>
  </w:style>
  <w:style w:type="character" w:customStyle="1" w:styleId="Heading7Char">
    <w:name w:val="Heading 7 Char"/>
    <w:basedOn w:val="DefaultParagraphFont"/>
    <w:link w:val="Heading7"/>
    <w:uiPriority w:val="9"/>
    <w:semiHidden/>
    <w:rsid w:val="00483004"/>
    <w:rPr>
      <w:rFonts w:asciiTheme="majorHAnsi" w:eastAsiaTheme="majorEastAsia" w:hAnsiTheme="majorHAnsi" w:cstheme="majorBidi"/>
      <w:i/>
      <w:iCs/>
      <w:color w:val="404040" w:themeColor="text1" w:themeTint="BF"/>
      <w:sz w:val="24"/>
      <w:szCs w:val="22"/>
    </w:rPr>
  </w:style>
  <w:style w:type="character" w:customStyle="1" w:styleId="Heading8Char">
    <w:name w:val="Heading 8 Char"/>
    <w:basedOn w:val="DefaultParagraphFont"/>
    <w:link w:val="Heading8"/>
    <w:uiPriority w:val="9"/>
    <w:semiHidden/>
    <w:rsid w:val="00483004"/>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483004"/>
    <w:rPr>
      <w:rFonts w:asciiTheme="majorHAnsi" w:eastAsiaTheme="majorEastAsia" w:hAnsiTheme="majorHAnsi" w:cstheme="majorBidi"/>
      <w:i/>
      <w:iCs/>
      <w:color w:val="404040" w:themeColor="text1" w:themeTint="BF"/>
    </w:rPr>
  </w:style>
  <w:style w:type="paragraph" w:styleId="BodyTextIndent">
    <w:name w:val="Body Text Indent"/>
    <w:basedOn w:val="Normal"/>
    <w:link w:val="BodyTextIndentChar"/>
    <w:uiPriority w:val="99"/>
    <w:semiHidden/>
    <w:unhideWhenUsed/>
    <w:rsid w:val="00483004"/>
    <w:pPr>
      <w:spacing w:before="0" w:after="120"/>
      <w:ind w:left="360"/>
    </w:pPr>
  </w:style>
  <w:style w:type="character" w:customStyle="1" w:styleId="BodyTextIndentChar">
    <w:name w:val="Body Text Indent Char"/>
    <w:basedOn w:val="DefaultParagraphFont"/>
    <w:link w:val="BodyTextIndent"/>
    <w:uiPriority w:val="99"/>
    <w:semiHidden/>
    <w:rsid w:val="00483004"/>
    <w:rPr>
      <w:rFonts w:ascii="Times New Roman" w:hAnsi="Times New Roman"/>
      <w:sz w:val="24"/>
      <w:szCs w:val="22"/>
    </w:rPr>
  </w:style>
  <w:style w:type="paragraph" w:styleId="BodyTextIndent3">
    <w:name w:val="Body Text Indent 3"/>
    <w:basedOn w:val="Normal"/>
    <w:link w:val="BodyTextIndent3Char"/>
    <w:uiPriority w:val="99"/>
    <w:semiHidden/>
    <w:unhideWhenUsed/>
    <w:rsid w:val="00483004"/>
    <w:pPr>
      <w:spacing w:before="0" w:after="120"/>
      <w:ind w:left="360"/>
    </w:pPr>
    <w:rPr>
      <w:szCs w:val="16"/>
    </w:rPr>
  </w:style>
  <w:style w:type="character" w:customStyle="1" w:styleId="BodyTextIndent3Char">
    <w:name w:val="Body Text Indent 3 Char"/>
    <w:basedOn w:val="DefaultParagraphFont"/>
    <w:link w:val="BodyTextIndent3"/>
    <w:uiPriority w:val="99"/>
    <w:semiHidden/>
    <w:rsid w:val="00483004"/>
    <w:rPr>
      <w:rFonts w:ascii="Times New Roman" w:hAnsi="Times New Roman"/>
      <w:sz w:val="24"/>
      <w:szCs w:val="16"/>
    </w:rPr>
  </w:style>
  <w:style w:type="character" w:styleId="Hyperlink">
    <w:name w:val="Hyperlink"/>
    <w:basedOn w:val="DefaultParagraphFont"/>
    <w:uiPriority w:val="99"/>
    <w:unhideWhenUsed/>
    <w:rsid w:val="00483004"/>
    <w:rPr>
      <w:color w:val="0000FF" w:themeColor="hyperlink"/>
      <w:u w:val="single"/>
    </w:rPr>
  </w:style>
  <w:style w:type="paragraph" w:styleId="Subtitle">
    <w:name w:val="Subtitle"/>
    <w:basedOn w:val="Normal"/>
    <w:next w:val="Normal"/>
    <w:link w:val="SubtitleChar"/>
    <w:uiPriority w:val="11"/>
    <w:qFormat/>
    <w:rsid w:val="00971D39"/>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971D39"/>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164940">
      <w:bodyDiv w:val="1"/>
      <w:marLeft w:val="0"/>
      <w:marRight w:val="0"/>
      <w:marTop w:val="0"/>
      <w:marBottom w:val="0"/>
      <w:divBdr>
        <w:top w:val="none" w:sz="0" w:space="0" w:color="auto"/>
        <w:left w:val="none" w:sz="0" w:space="0" w:color="auto"/>
        <w:bottom w:val="none" w:sz="0" w:space="0" w:color="auto"/>
        <w:right w:val="none" w:sz="0" w:space="0" w:color="auto"/>
      </w:divBdr>
    </w:div>
    <w:div w:id="141520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customXml" Target="../customXml/item7.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eader" Target="header1.xml"/><Relationship Id="rId33"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ntTable" Target="fontTable.xml"/><Relationship Id="rId30" Type="http://schemas.openxmlformats.org/officeDocument/2006/relationships/customXml" Target="../customXml/item3.xml"/><Relationship Id="rId35" Type="http://schemas.openxmlformats.org/officeDocument/2006/relationships/customXml" Target="../customXml/item8.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39199615</IDBDocs_x0020_Number>
    <TaxCatchAll xmlns="cdc7663a-08f0-4737-9e8c-148ce897a09c"/>
    <Phase xmlns="cdc7663a-08f0-4737-9e8c-148ce897a09c" xsi:nil="true"/>
    <SISCOR_x0020_Number xmlns="cdc7663a-08f0-4737-9e8c-148ce897a09c" xsi:nil="true"/>
    <Division_x0020_or_x0020_Unit xmlns="cdc7663a-08f0-4737-9e8c-148ce897a09c">INE/ENE</Division_x0020_or_x0020_Unit>
    <Approval_x0020_Number xmlns="cdc7663a-08f0-4737-9e8c-148ce897a09c" xsi:nil="true"/>
    <Document_x0020_Author xmlns="cdc7663a-08f0-4737-9e8c-148ce897a09c">Cova Leon,Haydemar</Document_x0020_Author>
    <Fiscal_x0020_Year_x0020_IDB xmlns="cdc7663a-08f0-4737-9e8c-148ce897a09c">2015</Fiscal_x0020_Year_x0020_IDB>
    <Other_x0020_Author xmlns="cdc7663a-08f0-4737-9e8c-148ce897a09c" xsi:nil="true"/>
    <Project_x0020_Number xmlns="cdc7663a-08f0-4737-9e8c-148ce897a09c">EC-L1140</Project_x0020_Number>
    <Package_x0020_Code xmlns="cdc7663a-08f0-4737-9e8c-148ce897a09c" xsi:nil="true"/>
    <Key_x0020_Document xmlns="cdc7663a-08f0-4737-9e8c-148ce897a09c">false</Key_x0020_Document>
    <Migration_x0020_Info xmlns="cdc7663a-08f0-4737-9e8c-148ce897a09c">MS WORDLPLoan Proposal0N</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EZSHARE-1908190663-70</_dlc_DocId>
    <From_x003a_ xmlns="cdc7663a-08f0-4737-9e8c-148ce897a09c" xsi:nil="true"/>
    <To_x003a_ xmlns="cdc7663a-08f0-4737-9e8c-148ce897a09c" xsi:nil="true"/>
    <_dlc_DocIdUrl xmlns="cdc7663a-08f0-4737-9e8c-148ce897a09c">
      <Url>https://idbg.sharepoint.com/teams/EZ-EC-LON/EC-L1140/_layouts/15/DocIdRedir.aspx?ID=EZSHARE-1908190663-70</Url>
      <Description>EZSHARE-1908190663-70</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FB1AA3A77B405748AF5F83AF5A3A43F7" ma:contentTypeVersion="21" ma:contentTypeDescription="The base project type from which other project content types inherit their information." ma:contentTypeScope="" ma:versionID="cebbc5b5c312df96b6527a72be49695f">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3F43151A-462C-4170-829E-D894008A63BA}"/>
</file>

<file path=customXml/itemProps2.xml><?xml version="1.0" encoding="utf-8"?>
<ds:datastoreItem xmlns:ds="http://schemas.openxmlformats.org/officeDocument/2006/customXml" ds:itemID="{ED6BBA92-1701-46BE-8CD5-3DBC4DFD2DDF}"/>
</file>

<file path=customXml/itemProps3.xml><?xml version="1.0" encoding="utf-8"?>
<ds:datastoreItem xmlns:ds="http://schemas.openxmlformats.org/officeDocument/2006/customXml" ds:itemID="{B5D6035A-3001-4490-B30B-5EACD9681565}"/>
</file>

<file path=customXml/itemProps4.xml><?xml version="1.0" encoding="utf-8"?>
<ds:datastoreItem xmlns:ds="http://schemas.openxmlformats.org/officeDocument/2006/customXml" ds:itemID="{29F0582B-E183-478A-9DE2-444A48DA799C}"/>
</file>

<file path=customXml/itemProps5.xml><?xml version="1.0" encoding="utf-8"?>
<ds:datastoreItem xmlns:ds="http://schemas.openxmlformats.org/officeDocument/2006/customXml" ds:itemID="{C9208925-269C-42A3-A70C-FADCCDD0AD87}"/>
</file>

<file path=customXml/itemProps6.xml><?xml version="1.0" encoding="utf-8"?>
<ds:datastoreItem xmlns:ds="http://schemas.openxmlformats.org/officeDocument/2006/customXml" ds:itemID="{954467E9-DEBB-4D0D-B086-D23CC0E812BD}"/>
</file>

<file path=customXml/itemProps7.xml><?xml version="1.0" encoding="utf-8"?>
<ds:datastoreItem xmlns:ds="http://schemas.openxmlformats.org/officeDocument/2006/customXml" ds:itemID="{5BC20DCE-EE22-4154-9022-B2ACE8411779}"/>
</file>

<file path=customXml/itemProps8.xml><?xml version="1.0" encoding="utf-8"?>
<ds:datastoreItem xmlns:ds="http://schemas.openxmlformats.org/officeDocument/2006/customXml" ds:itemID="{3250ED79-5864-49D1-AE15-C6CA27AF598A}"/>
</file>

<file path=docProps/app.xml><?xml version="1.0" encoding="utf-8"?>
<Properties xmlns="http://schemas.openxmlformats.org/officeDocument/2006/extended-properties" xmlns:vt="http://schemas.openxmlformats.org/officeDocument/2006/docPropsVTypes">
  <Template>Normal.dotm</Template>
  <TotalTime>6</TotalTime>
  <Pages>20</Pages>
  <Words>5931</Words>
  <Characters>33813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39665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EC-L1140 Analisis Economico pre QRR</dc:title>
  <dc:creator>shakirahc</dc:creator>
  <cp:lastModifiedBy>Test</cp:lastModifiedBy>
  <cp:revision>10</cp:revision>
  <cp:lastPrinted>2012-07-26T22:05:00Z</cp:lastPrinted>
  <dcterms:created xsi:type="dcterms:W3CDTF">2014-11-03T15:56:00Z</dcterms:created>
  <dcterms:modified xsi:type="dcterms:W3CDTF">2014-12-12T17:19:00Z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0x010100ACF722E9F6B0B149B0CD8BE2560A667200FB1AA3A77B405748AF5F83AF5A3A43F7</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19;#Loan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19;#Loan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7000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Loan Proposal</vt:lpwstr>
  </property>
  <property fmtid="{D5CDD505-2E9C-101B-9397-08002B2CF9AE}" pid="24" name="Webtopic">
    <vt:lpwstr>Energy</vt:lpwstr>
  </property>
  <property fmtid="{D5CDD505-2E9C-101B-9397-08002B2CF9AE}" pid="26" name="Disclosed">
    <vt:bool>false</vt:bool>
  </property>
  <property fmtid="{D5CDD505-2E9C-101B-9397-08002B2CF9AE}" pid="27" name="_dlc_DocIdItemGuid">
    <vt:lpwstr>f0c7e695-ce74-413e-bf6a-f50e1872d434</vt:lpwstr>
  </property>
</Properties>
</file>